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635A34">
      <w:pPr>
        <w:spacing w:line="360" w:lineRule="auto"/>
        <w:jc w:val="center"/>
        <w:rPr>
          <w:rFonts w:eastAsia="黑体"/>
          <w:bCs/>
          <w:color w:val="000000"/>
          <w:sz w:val="52"/>
          <w:szCs w:val="52"/>
          <w:highlight w:val="none"/>
        </w:rPr>
      </w:pPr>
    </w:p>
    <w:p w14:paraId="5B4C4804">
      <w:pPr>
        <w:spacing w:line="360" w:lineRule="auto"/>
        <w:jc w:val="center"/>
        <w:rPr>
          <w:rFonts w:eastAsia="黑体"/>
          <w:b/>
          <w:color w:val="000000"/>
          <w:sz w:val="52"/>
          <w:szCs w:val="52"/>
          <w:highlight w:val="none"/>
        </w:rPr>
      </w:pPr>
    </w:p>
    <w:p w14:paraId="43BAB66A">
      <w:pPr>
        <w:spacing w:line="360" w:lineRule="auto"/>
        <w:jc w:val="center"/>
        <w:rPr>
          <w:rFonts w:eastAsia="黑体"/>
          <w:b/>
          <w:color w:val="000000"/>
          <w:sz w:val="72"/>
          <w:szCs w:val="72"/>
          <w:highlight w:val="none"/>
        </w:rPr>
      </w:pPr>
      <w:r>
        <w:rPr>
          <w:rFonts w:hint="eastAsia" w:eastAsia="黑体"/>
          <w:b/>
          <w:color w:val="000000"/>
          <w:sz w:val="72"/>
          <w:szCs w:val="72"/>
          <w:highlight w:val="none"/>
        </w:rPr>
        <w:t>无锡市政府采购</w:t>
      </w:r>
    </w:p>
    <w:p w14:paraId="004002B3">
      <w:pPr>
        <w:spacing w:line="360" w:lineRule="auto"/>
        <w:jc w:val="center"/>
        <w:rPr>
          <w:rFonts w:eastAsia="黑体"/>
          <w:b/>
          <w:color w:val="000000"/>
          <w:sz w:val="72"/>
          <w:szCs w:val="72"/>
          <w:highlight w:val="none"/>
        </w:rPr>
      </w:pPr>
    </w:p>
    <w:p w14:paraId="3F0B2512">
      <w:pPr>
        <w:spacing w:line="360" w:lineRule="auto"/>
        <w:jc w:val="center"/>
        <w:rPr>
          <w:rFonts w:eastAsia="黑体"/>
          <w:b/>
          <w:color w:val="000000"/>
          <w:sz w:val="72"/>
          <w:szCs w:val="72"/>
          <w:highlight w:val="none"/>
        </w:rPr>
      </w:pPr>
      <w:r>
        <w:rPr>
          <w:rFonts w:hint="eastAsia" w:eastAsia="黑体"/>
          <w:b/>
          <w:color w:val="000000"/>
          <w:sz w:val="72"/>
          <w:szCs w:val="72"/>
          <w:highlight w:val="none"/>
        </w:rPr>
        <w:t>公开招标文件</w:t>
      </w:r>
    </w:p>
    <w:p w14:paraId="496C11B8">
      <w:pPr>
        <w:spacing w:line="360" w:lineRule="auto"/>
        <w:jc w:val="center"/>
        <w:rPr>
          <w:rFonts w:eastAsia="仿宋_GB2312"/>
          <w:b/>
          <w:color w:val="000000"/>
          <w:sz w:val="24"/>
          <w:highlight w:val="none"/>
        </w:rPr>
      </w:pPr>
    </w:p>
    <w:p w14:paraId="74DC6193">
      <w:pPr>
        <w:spacing w:line="360" w:lineRule="auto"/>
        <w:jc w:val="center"/>
        <w:rPr>
          <w:rFonts w:eastAsia="仿宋_GB2312"/>
          <w:b/>
          <w:color w:val="000000"/>
          <w:sz w:val="24"/>
          <w:highlight w:val="none"/>
        </w:rPr>
      </w:pPr>
    </w:p>
    <w:p w14:paraId="2FB7A173">
      <w:pPr>
        <w:spacing w:line="360" w:lineRule="auto"/>
        <w:rPr>
          <w:rFonts w:eastAsia="仿宋_GB2312"/>
          <w:b/>
          <w:color w:val="000000"/>
          <w:sz w:val="24"/>
          <w:highlight w:val="none"/>
        </w:rPr>
      </w:pPr>
    </w:p>
    <w:p w14:paraId="2B5595BD">
      <w:pPr>
        <w:spacing w:line="360" w:lineRule="auto"/>
        <w:rPr>
          <w:rFonts w:eastAsia="仿宋_GB2312"/>
          <w:b/>
          <w:color w:val="000000"/>
          <w:sz w:val="24"/>
          <w:highlight w:val="none"/>
        </w:rPr>
      </w:pPr>
    </w:p>
    <w:p w14:paraId="1507E610">
      <w:pPr>
        <w:spacing w:line="360" w:lineRule="auto"/>
        <w:rPr>
          <w:b/>
          <w:color w:val="000000"/>
          <w:sz w:val="32"/>
          <w:szCs w:val="32"/>
          <w:highlight w:val="none"/>
        </w:rPr>
      </w:pPr>
    </w:p>
    <w:p w14:paraId="083144A0">
      <w:pPr>
        <w:spacing w:line="360" w:lineRule="auto"/>
        <w:ind w:firstLine="321" w:firstLineChars="100"/>
        <w:rPr>
          <w:rFonts w:hint="eastAsia" w:eastAsia="宋体"/>
          <w:b/>
          <w:color w:val="000000"/>
          <w:sz w:val="32"/>
          <w:szCs w:val="32"/>
          <w:highlight w:val="none"/>
          <w:lang w:eastAsia="zh-CN"/>
        </w:rPr>
      </w:pPr>
      <w:r>
        <w:rPr>
          <w:rFonts w:hint="eastAsia"/>
          <w:b/>
          <w:color w:val="000000"/>
          <w:sz w:val="32"/>
          <w:szCs w:val="32"/>
          <w:highlight w:val="none"/>
        </w:rPr>
        <w:t>政府采购编号：</w:t>
      </w:r>
      <w:r>
        <w:rPr>
          <w:rFonts w:hint="eastAsia"/>
          <w:b/>
          <w:color w:val="000000"/>
          <w:sz w:val="32"/>
          <w:szCs w:val="32"/>
          <w:highlight w:val="none"/>
          <w:lang w:eastAsia="zh-CN"/>
        </w:rPr>
        <w:t>JSZC-320200-JJJC-G2025-0012</w:t>
      </w:r>
    </w:p>
    <w:p w14:paraId="5B30C6EA">
      <w:pPr>
        <w:spacing w:line="360" w:lineRule="auto"/>
        <w:ind w:firstLine="321" w:firstLineChars="100"/>
        <w:rPr>
          <w:b/>
          <w:color w:val="000000"/>
          <w:sz w:val="32"/>
          <w:szCs w:val="32"/>
          <w:highlight w:val="none"/>
        </w:rPr>
      </w:pPr>
    </w:p>
    <w:p w14:paraId="574D9C3A">
      <w:pPr>
        <w:spacing w:line="360" w:lineRule="auto"/>
        <w:ind w:left="2889" w:leftChars="152" w:hanging="2570" w:hangingChars="800"/>
        <w:rPr>
          <w:b/>
          <w:color w:val="000000"/>
          <w:sz w:val="32"/>
          <w:szCs w:val="32"/>
          <w:highlight w:val="none"/>
        </w:rPr>
      </w:pPr>
      <w:r>
        <w:rPr>
          <w:rFonts w:hint="eastAsia"/>
          <w:b/>
          <w:color w:val="000000"/>
          <w:sz w:val="32"/>
          <w:szCs w:val="32"/>
          <w:highlight w:val="none"/>
        </w:rPr>
        <w:t>采购项目名称：两艘移动藻水分离船运行项目</w:t>
      </w:r>
    </w:p>
    <w:p w14:paraId="0A6C02F3">
      <w:pPr>
        <w:spacing w:line="360" w:lineRule="auto"/>
        <w:ind w:firstLine="321" w:firstLineChars="100"/>
        <w:rPr>
          <w:b/>
          <w:color w:val="000000"/>
          <w:sz w:val="32"/>
          <w:szCs w:val="32"/>
          <w:highlight w:val="none"/>
        </w:rPr>
      </w:pPr>
    </w:p>
    <w:p w14:paraId="6C221B31">
      <w:pPr>
        <w:spacing w:line="360" w:lineRule="auto"/>
        <w:ind w:firstLine="321" w:firstLineChars="100"/>
        <w:rPr>
          <w:b/>
          <w:color w:val="000000"/>
          <w:sz w:val="32"/>
          <w:szCs w:val="32"/>
          <w:highlight w:val="none"/>
        </w:rPr>
      </w:pPr>
      <w:r>
        <w:rPr>
          <w:rFonts w:hint="eastAsia"/>
          <w:b/>
          <w:color w:val="000000"/>
          <w:sz w:val="32"/>
          <w:szCs w:val="32"/>
          <w:highlight w:val="none"/>
        </w:rPr>
        <w:t>采购人：无锡市河湖治理和水资源管理中心</w:t>
      </w:r>
    </w:p>
    <w:p w14:paraId="611074E8">
      <w:pPr>
        <w:spacing w:line="360" w:lineRule="auto"/>
        <w:ind w:firstLine="321" w:firstLineChars="100"/>
        <w:rPr>
          <w:b/>
          <w:color w:val="000000"/>
          <w:sz w:val="32"/>
          <w:szCs w:val="32"/>
          <w:highlight w:val="none"/>
        </w:rPr>
      </w:pPr>
    </w:p>
    <w:p w14:paraId="24F1210B">
      <w:pPr>
        <w:spacing w:line="360" w:lineRule="auto"/>
        <w:ind w:firstLine="321" w:firstLineChars="100"/>
        <w:rPr>
          <w:b/>
          <w:color w:val="000000"/>
          <w:sz w:val="32"/>
          <w:szCs w:val="32"/>
          <w:highlight w:val="none"/>
        </w:rPr>
      </w:pPr>
      <w:r>
        <w:rPr>
          <w:rFonts w:hint="eastAsia"/>
          <w:b/>
          <w:color w:val="000000"/>
          <w:sz w:val="32"/>
          <w:szCs w:val="32"/>
          <w:highlight w:val="none"/>
        </w:rPr>
        <w:t>采购代理机构：江苏嘉加诚工程投资咨询有限公司</w:t>
      </w:r>
    </w:p>
    <w:p w14:paraId="36DDD119">
      <w:pPr>
        <w:spacing w:line="360" w:lineRule="auto"/>
        <w:rPr>
          <w:rFonts w:eastAsia="仿宋_GB2312"/>
          <w:b/>
          <w:color w:val="000000"/>
          <w:sz w:val="24"/>
          <w:highlight w:val="none"/>
        </w:rPr>
      </w:pPr>
    </w:p>
    <w:p w14:paraId="2E17A965">
      <w:pPr>
        <w:spacing w:line="360" w:lineRule="auto"/>
        <w:rPr>
          <w:rFonts w:eastAsia="仿宋_GB2312"/>
          <w:b/>
          <w:color w:val="000000"/>
          <w:sz w:val="24"/>
          <w:highlight w:val="none"/>
        </w:rPr>
      </w:pPr>
    </w:p>
    <w:p w14:paraId="4F70E3E4">
      <w:pPr>
        <w:spacing w:line="360" w:lineRule="auto"/>
        <w:rPr>
          <w:rFonts w:eastAsia="仿宋_GB2312"/>
          <w:b/>
          <w:color w:val="000000"/>
          <w:sz w:val="24"/>
          <w:highlight w:val="none"/>
        </w:rPr>
      </w:pPr>
    </w:p>
    <w:p w14:paraId="7F6B73E9">
      <w:pPr>
        <w:spacing w:line="360" w:lineRule="auto"/>
        <w:jc w:val="center"/>
        <w:rPr>
          <w:b/>
          <w:color w:val="000000"/>
          <w:sz w:val="32"/>
          <w:szCs w:val="32"/>
          <w:highlight w:val="none"/>
        </w:rPr>
      </w:pPr>
      <w:r>
        <w:rPr>
          <w:rFonts w:hint="eastAsia"/>
          <w:b/>
          <w:color w:val="000000"/>
          <w:sz w:val="32"/>
          <w:szCs w:val="32"/>
          <w:highlight w:val="none"/>
        </w:rPr>
        <w:t>2025年</w:t>
      </w:r>
      <w:r>
        <w:rPr>
          <w:rFonts w:hint="eastAsia"/>
          <w:b/>
          <w:color w:val="000000"/>
          <w:sz w:val="32"/>
          <w:szCs w:val="32"/>
          <w:highlight w:val="none"/>
          <w:lang w:val="en-US" w:eastAsia="zh-CN"/>
        </w:rPr>
        <w:t>5</w:t>
      </w:r>
      <w:r>
        <w:rPr>
          <w:rFonts w:hint="eastAsia"/>
          <w:b/>
          <w:color w:val="000000"/>
          <w:sz w:val="32"/>
          <w:szCs w:val="32"/>
          <w:highlight w:val="none"/>
        </w:rPr>
        <w:t>月</w:t>
      </w:r>
    </w:p>
    <w:p w14:paraId="1DEF1A05">
      <w:pPr>
        <w:spacing w:line="360" w:lineRule="auto"/>
        <w:jc w:val="center"/>
        <w:rPr>
          <w:rFonts w:eastAsia="仿宋_GB2312"/>
          <w:b/>
          <w:color w:val="000000"/>
          <w:sz w:val="24"/>
          <w:highlight w:val="none"/>
        </w:rPr>
      </w:pPr>
    </w:p>
    <w:p w14:paraId="6F09F93F">
      <w:pPr>
        <w:spacing w:line="360" w:lineRule="auto"/>
        <w:jc w:val="center"/>
        <w:rPr>
          <w:rFonts w:eastAsia="仿宋_GB2312"/>
          <w:b/>
          <w:color w:val="000000"/>
          <w:sz w:val="24"/>
          <w:highlight w:val="none"/>
        </w:rPr>
      </w:pPr>
    </w:p>
    <w:p w14:paraId="46389505">
      <w:pPr>
        <w:spacing w:line="360" w:lineRule="auto"/>
        <w:rPr>
          <w:rFonts w:eastAsia="仿宋_GB2312"/>
          <w:b/>
          <w:color w:val="000000"/>
          <w:sz w:val="24"/>
          <w:highlight w:val="none"/>
        </w:rPr>
      </w:pPr>
    </w:p>
    <w:p w14:paraId="3CB30432">
      <w:pPr>
        <w:spacing w:line="360" w:lineRule="auto"/>
        <w:jc w:val="center"/>
        <w:rPr>
          <w:b/>
          <w:color w:val="000000"/>
          <w:sz w:val="44"/>
          <w:szCs w:val="44"/>
          <w:highlight w:val="none"/>
        </w:rPr>
      </w:pPr>
      <w:r>
        <w:rPr>
          <w:rFonts w:hint="eastAsia"/>
          <w:b/>
          <w:color w:val="000000"/>
          <w:sz w:val="44"/>
          <w:szCs w:val="44"/>
          <w:highlight w:val="none"/>
        </w:rPr>
        <w:t>目  录</w:t>
      </w:r>
    </w:p>
    <w:p w14:paraId="0FBD1B60">
      <w:pPr>
        <w:spacing w:line="360" w:lineRule="auto"/>
        <w:jc w:val="center"/>
        <w:rPr>
          <w:b/>
          <w:color w:val="000000"/>
          <w:sz w:val="30"/>
          <w:szCs w:val="30"/>
          <w:highlight w:val="none"/>
        </w:rPr>
      </w:pPr>
    </w:p>
    <w:p w14:paraId="73C1CBAB">
      <w:pPr>
        <w:tabs>
          <w:tab w:val="left" w:pos="8000"/>
        </w:tabs>
        <w:spacing w:line="1000" w:lineRule="exact"/>
        <w:rPr>
          <w:b/>
          <w:color w:val="000000"/>
          <w:sz w:val="30"/>
          <w:szCs w:val="30"/>
          <w:highlight w:val="none"/>
        </w:rPr>
      </w:pPr>
      <w:r>
        <w:rPr>
          <w:rFonts w:hint="eastAsia"/>
          <w:b/>
          <w:color w:val="000000"/>
          <w:sz w:val="30"/>
          <w:szCs w:val="30"/>
          <w:highlight w:val="none"/>
        </w:rPr>
        <w:t xml:space="preserve">第一部分   投标邀请 </w:t>
      </w:r>
    </w:p>
    <w:p w14:paraId="01CE9B12">
      <w:pPr>
        <w:spacing w:line="1000" w:lineRule="exact"/>
        <w:rPr>
          <w:b/>
          <w:color w:val="000000"/>
          <w:sz w:val="30"/>
          <w:szCs w:val="30"/>
          <w:highlight w:val="none"/>
        </w:rPr>
      </w:pPr>
      <w:r>
        <w:rPr>
          <w:rFonts w:hint="eastAsia"/>
          <w:b/>
          <w:color w:val="000000"/>
          <w:sz w:val="30"/>
          <w:szCs w:val="30"/>
          <w:highlight w:val="none"/>
        </w:rPr>
        <w:t xml:space="preserve">第二部分   投标人须知 </w:t>
      </w:r>
    </w:p>
    <w:p w14:paraId="5C35C4BB">
      <w:pPr>
        <w:spacing w:line="1000" w:lineRule="exact"/>
        <w:rPr>
          <w:b/>
          <w:color w:val="000000"/>
          <w:sz w:val="30"/>
          <w:szCs w:val="30"/>
          <w:highlight w:val="none"/>
        </w:rPr>
      </w:pPr>
      <w:r>
        <w:rPr>
          <w:rFonts w:hint="eastAsia"/>
          <w:b/>
          <w:color w:val="000000"/>
          <w:sz w:val="30"/>
          <w:szCs w:val="30"/>
          <w:highlight w:val="none"/>
        </w:rPr>
        <w:t xml:space="preserve">第三部分   采购需求 </w:t>
      </w:r>
    </w:p>
    <w:p w14:paraId="587D6C1D">
      <w:pPr>
        <w:spacing w:line="1000" w:lineRule="exact"/>
        <w:rPr>
          <w:b/>
          <w:color w:val="000000"/>
          <w:sz w:val="30"/>
          <w:szCs w:val="30"/>
          <w:highlight w:val="none"/>
        </w:rPr>
      </w:pPr>
      <w:r>
        <w:rPr>
          <w:rFonts w:hint="eastAsia"/>
          <w:b/>
          <w:color w:val="000000"/>
          <w:sz w:val="30"/>
          <w:szCs w:val="30"/>
          <w:highlight w:val="none"/>
        </w:rPr>
        <w:t xml:space="preserve">第四部分   合同书 </w:t>
      </w:r>
    </w:p>
    <w:p w14:paraId="73E59EA4">
      <w:pPr>
        <w:spacing w:line="1000" w:lineRule="exact"/>
        <w:rPr>
          <w:b/>
          <w:color w:val="000000"/>
          <w:sz w:val="30"/>
          <w:szCs w:val="30"/>
          <w:highlight w:val="none"/>
        </w:rPr>
      </w:pPr>
      <w:r>
        <w:rPr>
          <w:rFonts w:hint="eastAsia"/>
          <w:b/>
          <w:color w:val="000000"/>
          <w:sz w:val="30"/>
          <w:szCs w:val="30"/>
          <w:highlight w:val="none"/>
        </w:rPr>
        <w:t xml:space="preserve">第五部分   附件 </w:t>
      </w:r>
    </w:p>
    <w:p w14:paraId="460AB8B5">
      <w:pPr>
        <w:widowControl/>
        <w:spacing w:line="360" w:lineRule="auto"/>
        <w:rPr>
          <w:rFonts w:eastAsia="仿宋_GB2312"/>
          <w:b/>
          <w:color w:val="000000"/>
          <w:sz w:val="24"/>
          <w:highlight w:val="none"/>
        </w:rPr>
      </w:pPr>
    </w:p>
    <w:p w14:paraId="5B9036EC">
      <w:pPr>
        <w:widowControl/>
        <w:spacing w:line="360" w:lineRule="auto"/>
        <w:rPr>
          <w:rFonts w:eastAsia="仿宋_GB2312"/>
          <w:b/>
          <w:color w:val="000000"/>
          <w:sz w:val="24"/>
          <w:highlight w:val="none"/>
        </w:rPr>
      </w:pPr>
    </w:p>
    <w:p w14:paraId="5F3FEC50">
      <w:pPr>
        <w:widowControl/>
        <w:spacing w:line="360" w:lineRule="auto"/>
        <w:rPr>
          <w:rFonts w:eastAsia="仿宋_GB2312"/>
          <w:b/>
          <w:color w:val="000000"/>
          <w:sz w:val="24"/>
          <w:highlight w:val="none"/>
        </w:rPr>
      </w:pPr>
    </w:p>
    <w:p w14:paraId="2F82FA3A">
      <w:pPr>
        <w:widowControl/>
        <w:spacing w:line="360" w:lineRule="auto"/>
        <w:rPr>
          <w:rFonts w:eastAsia="仿宋_GB2312"/>
          <w:b/>
          <w:color w:val="000000"/>
          <w:sz w:val="24"/>
          <w:highlight w:val="none"/>
        </w:rPr>
      </w:pPr>
    </w:p>
    <w:p w14:paraId="1CA72130">
      <w:pPr>
        <w:widowControl/>
        <w:spacing w:line="360" w:lineRule="auto"/>
        <w:rPr>
          <w:rFonts w:eastAsia="仿宋_GB2312"/>
          <w:b/>
          <w:color w:val="000000"/>
          <w:sz w:val="24"/>
          <w:highlight w:val="none"/>
        </w:rPr>
      </w:pPr>
    </w:p>
    <w:p w14:paraId="249E1FBA">
      <w:pPr>
        <w:widowControl/>
        <w:spacing w:before="470"/>
        <w:rPr>
          <w:rFonts w:eastAsia="仿宋_GB2312"/>
          <w:b/>
          <w:color w:val="000000"/>
          <w:sz w:val="24"/>
          <w:highlight w:val="none"/>
        </w:rPr>
      </w:pPr>
    </w:p>
    <w:p w14:paraId="0409E604">
      <w:pPr>
        <w:widowControl/>
        <w:spacing w:before="470"/>
        <w:rPr>
          <w:rFonts w:eastAsia="仿宋_GB2312"/>
          <w:b/>
          <w:color w:val="000000"/>
          <w:sz w:val="24"/>
          <w:highlight w:val="none"/>
        </w:rPr>
      </w:pPr>
    </w:p>
    <w:p w14:paraId="66B669DC">
      <w:pPr>
        <w:widowControl/>
        <w:jc w:val="center"/>
        <w:rPr>
          <w:rFonts w:ascii="黑体" w:eastAsia="黑体"/>
          <w:b/>
          <w:color w:val="000000"/>
          <w:sz w:val="44"/>
          <w:szCs w:val="44"/>
          <w:highlight w:val="none"/>
        </w:rPr>
      </w:pPr>
      <w:r>
        <w:rPr>
          <w:b/>
          <w:color w:val="000000"/>
          <w:sz w:val="24"/>
          <w:highlight w:val="none"/>
        </w:rPr>
        <w:br w:type="page" w:clear="all"/>
      </w:r>
      <w:r>
        <w:rPr>
          <w:rFonts w:hint="eastAsia" w:ascii="黑体" w:eastAsia="黑体"/>
          <w:b/>
          <w:color w:val="000000"/>
          <w:sz w:val="44"/>
          <w:szCs w:val="44"/>
          <w:highlight w:val="none"/>
        </w:rPr>
        <w:t>第一部分. 投标邀请</w:t>
      </w:r>
    </w:p>
    <w:tbl>
      <w:tblPr>
        <w:tblStyle w:val="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92"/>
        <w:gridCol w:w="8166"/>
      </w:tblGrid>
      <w:tr w14:paraId="68173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 w:hRule="atLeast"/>
        </w:trPr>
        <w:tc>
          <w:tcPr>
            <w:tcW w:w="1392" w:type="dxa"/>
            <w:vAlign w:val="center"/>
          </w:tcPr>
          <w:p w14:paraId="02743777">
            <w:pPr>
              <w:widowControl/>
              <w:jc w:val="center"/>
              <w:rPr>
                <w:color w:val="000000"/>
                <w:sz w:val="24"/>
                <w:highlight w:val="none"/>
              </w:rPr>
            </w:pPr>
            <w:r>
              <w:rPr>
                <w:rFonts w:hint="eastAsia"/>
                <w:color w:val="000000"/>
                <w:sz w:val="24"/>
                <w:highlight w:val="none"/>
              </w:rPr>
              <w:t>序号</w:t>
            </w:r>
          </w:p>
        </w:tc>
        <w:tc>
          <w:tcPr>
            <w:tcW w:w="8166" w:type="dxa"/>
            <w:vAlign w:val="center"/>
          </w:tcPr>
          <w:p w14:paraId="36109C13">
            <w:pPr>
              <w:widowControl/>
              <w:jc w:val="center"/>
              <w:rPr>
                <w:rFonts w:ascii="宋体" w:hAnsi="宋体"/>
                <w:color w:val="000000"/>
                <w:sz w:val="24"/>
                <w:highlight w:val="none"/>
              </w:rPr>
            </w:pPr>
            <w:r>
              <w:rPr>
                <w:rFonts w:hint="eastAsia" w:ascii="宋体" w:hAnsi="宋体"/>
                <w:color w:val="000000"/>
                <w:sz w:val="24"/>
                <w:highlight w:val="none"/>
              </w:rPr>
              <w:t>内容</w:t>
            </w:r>
          </w:p>
        </w:tc>
      </w:tr>
      <w:tr w14:paraId="3312B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vAlign w:val="center"/>
          </w:tcPr>
          <w:p w14:paraId="1ABEEA70">
            <w:pPr>
              <w:widowControl/>
              <w:spacing w:line="360" w:lineRule="auto"/>
              <w:jc w:val="center"/>
              <w:rPr>
                <w:rFonts w:ascii="宋体" w:hAnsi="宋体" w:cs="宋体"/>
                <w:color w:val="000000"/>
                <w:sz w:val="24"/>
                <w:highlight w:val="none"/>
              </w:rPr>
            </w:pPr>
            <w:r>
              <w:rPr>
                <w:rFonts w:hint="eastAsia" w:ascii="宋体" w:hAnsi="宋体" w:cs="宋体"/>
                <w:color w:val="000000"/>
                <w:sz w:val="24"/>
                <w:highlight w:val="none"/>
              </w:rPr>
              <w:t>1</w:t>
            </w:r>
          </w:p>
        </w:tc>
        <w:tc>
          <w:tcPr>
            <w:tcW w:w="8166" w:type="dxa"/>
            <w:vAlign w:val="center"/>
          </w:tcPr>
          <w:p w14:paraId="58AFFC91">
            <w:pPr>
              <w:spacing w:line="360" w:lineRule="auto"/>
              <w:ind w:left="1200" w:hanging="1200"/>
              <w:rPr>
                <w:rFonts w:ascii="宋体" w:hAnsi="宋体" w:cs="宋体"/>
                <w:b/>
                <w:bCs/>
                <w:color w:val="000000"/>
                <w:sz w:val="24"/>
                <w:highlight w:val="none"/>
              </w:rPr>
            </w:pPr>
            <w:r>
              <w:rPr>
                <w:rFonts w:hint="eastAsia" w:ascii="宋体" w:hAnsi="宋体"/>
                <w:color w:val="000000"/>
                <w:sz w:val="24"/>
                <w:highlight w:val="none"/>
              </w:rPr>
              <w:t>项目名称：</w:t>
            </w:r>
            <w:r>
              <w:rPr>
                <w:rFonts w:hint="eastAsia" w:ascii="宋体" w:hAnsi="宋体" w:cs="宋体"/>
                <w:color w:val="000000"/>
                <w:sz w:val="24"/>
                <w:highlight w:val="none"/>
              </w:rPr>
              <w:t xml:space="preserve">两艘移动藻水分离船运行项目  </w:t>
            </w:r>
          </w:p>
          <w:p w14:paraId="724B26C7">
            <w:pPr>
              <w:widowControl/>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采购编号：</w:t>
            </w:r>
            <w:r>
              <w:rPr>
                <w:rFonts w:hint="eastAsia" w:ascii="宋体" w:hAnsi="宋体"/>
                <w:color w:val="000000"/>
                <w:sz w:val="24"/>
                <w:highlight w:val="none"/>
                <w:lang w:eastAsia="zh-CN"/>
              </w:rPr>
              <w:t>JSZC-320200-JJJC-G2025-0012</w:t>
            </w:r>
          </w:p>
          <w:p w14:paraId="61FEEDBC">
            <w:pPr>
              <w:widowControl/>
              <w:spacing w:line="360" w:lineRule="auto"/>
              <w:rPr>
                <w:rFonts w:ascii="宋体" w:hAnsi="宋体"/>
                <w:color w:val="000000"/>
                <w:sz w:val="24"/>
                <w:highlight w:val="none"/>
              </w:rPr>
            </w:pPr>
            <w:r>
              <w:rPr>
                <w:rFonts w:hint="eastAsia" w:ascii="宋体" w:hAnsi="宋体"/>
                <w:color w:val="000000"/>
                <w:sz w:val="24"/>
                <w:highlight w:val="none"/>
              </w:rPr>
              <w:t>采购人：无锡市河湖治理和水资源管理中心</w:t>
            </w:r>
          </w:p>
          <w:p w14:paraId="77C284A3">
            <w:pPr>
              <w:widowControl/>
              <w:spacing w:line="360" w:lineRule="auto"/>
              <w:rPr>
                <w:rFonts w:ascii="宋体" w:hAnsi="宋体"/>
                <w:color w:val="000000"/>
                <w:sz w:val="24"/>
                <w:highlight w:val="none"/>
              </w:rPr>
            </w:pPr>
            <w:r>
              <w:rPr>
                <w:rFonts w:hint="eastAsia" w:ascii="宋体" w:hAnsi="宋体"/>
                <w:color w:val="000000"/>
                <w:sz w:val="24"/>
                <w:highlight w:val="none"/>
              </w:rPr>
              <w:t>采购方式：公开招标</w:t>
            </w:r>
          </w:p>
        </w:tc>
      </w:tr>
      <w:tr w14:paraId="6E8AA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vAlign w:val="center"/>
          </w:tcPr>
          <w:p w14:paraId="4B01DE4F">
            <w:pPr>
              <w:widowControl/>
              <w:spacing w:line="360" w:lineRule="auto"/>
              <w:jc w:val="center"/>
              <w:rPr>
                <w:rFonts w:ascii="宋体" w:hAnsi="宋体" w:cs="宋体"/>
                <w:color w:val="000000"/>
                <w:sz w:val="24"/>
                <w:highlight w:val="none"/>
              </w:rPr>
            </w:pPr>
            <w:r>
              <w:rPr>
                <w:rFonts w:hint="eastAsia" w:ascii="宋体" w:hAnsi="宋体" w:cs="宋体"/>
                <w:color w:val="000000"/>
                <w:sz w:val="24"/>
                <w:highlight w:val="none"/>
              </w:rPr>
              <w:t>2</w:t>
            </w:r>
          </w:p>
        </w:tc>
        <w:tc>
          <w:tcPr>
            <w:tcW w:w="8166" w:type="dxa"/>
            <w:vAlign w:val="center"/>
          </w:tcPr>
          <w:p w14:paraId="1FFDDF54">
            <w:pPr>
              <w:widowControl/>
              <w:spacing w:line="360" w:lineRule="auto"/>
              <w:rPr>
                <w:rFonts w:ascii="宋体" w:hAnsi="宋体" w:cs="宋体"/>
                <w:b/>
                <w:color w:val="000000"/>
                <w:sz w:val="24"/>
                <w:highlight w:val="none"/>
              </w:rPr>
            </w:pPr>
            <w:r>
              <w:rPr>
                <w:rFonts w:hint="eastAsia" w:ascii="宋体" w:hAnsi="宋体"/>
                <w:color w:val="000000"/>
                <w:sz w:val="24"/>
                <w:highlight w:val="none"/>
              </w:rPr>
              <w:t>采购人：无锡市河湖治理和水资源管理中心</w:t>
            </w:r>
          </w:p>
          <w:p w14:paraId="5B7B9E42">
            <w:pPr>
              <w:widowControl/>
              <w:spacing w:line="360" w:lineRule="auto"/>
              <w:rPr>
                <w:rFonts w:ascii="宋体" w:hAnsi="宋体"/>
                <w:color w:val="000000"/>
                <w:sz w:val="24"/>
                <w:highlight w:val="none"/>
              </w:rPr>
            </w:pPr>
            <w:r>
              <w:rPr>
                <w:rFonts w:hint="eastAsia" w:ascii="宋体" w:hAnsi="宋体"/>
                <w:color w:val="000000"/>
                <w:sz w:val="24"/>
                <w:highlight w:val="none"/>
              </w:rPr>
              <w:t xml:space="preserve">采购人地址：无锡市滨湖区建筑西路599-2  </w:t>
            </w:r>
          </w:p>
          <w:p w14:paraId="425416D3">
            <w:pPr>
              <w:widowControl/>
              <w:spacing w:line="360" w:lineRule="auto"/>
              <w:rPr>
                <w:rFonts w:ascii="宋体" w:hAnsi="宋体"/>
                <w:color w:val="000000"/>
                <w:sz w:val="24"/>
                <w:highlight w:val="none"/>
              </w:rPr>
            </w:pPr>
            <w:r>
              <w:rPr>
                <w:rFonts w:hint="eastAsia" w:ascii="宋体" w:hAnsi="宋体"/>
                <w:color w:val="000000"/>
                <w:sz w:val="24"/>
                <w:highlight w:val="none"/>
              </w:rPr>
              <w:t>采购代理机构：江苏嘉加诚工程投资咨询有限公司</w:t>
            </w:r>
          </w:p>
          <w:p w14:paraId="0456C526">
            <w:pPr>
              <w:widowControl/>
              <w:spacing w:line="360" w:lineRule="auto"/>
              <w:rPr>
                <w:rFonts w:ascii="宋体" w:hAnsi="宋体"/>
                <w:color w:val="000000"/>
                <w:sz w:val="24"/>
                <w:highlight w:val="none"/>
              </w:rPr>
            </w:pPr>
            <w:r>
              <w:rPr>
                <w:rFonts w:hint="eastAsia" w:ascii="宋体" w:hAnsi="宋体"/>
                <w:color w:val="000000"/>
                <w:sz w:val="24"/>
                <w:highlight w:val="none"/>
              </w:rPr>
              <w:t>采购机构地址：</w:t>
            </w:r>
            <w:r>
              <w:rPr>
                <w:rFonts w:hint="eastAsia" w:ascii="宋体" w:hAnsi="宋体"/>
                <w:bCs/>
                <w:color w:val="000000"/>
                <w:sz w:val="24"/>
                <w:highlight w:val="none"/>
              </w:rPr>
              <w:t>无锡市滨湖区鸿桥路879号8楼</w:t>
            </w:r>
          </w:p>
        </w:tc>
      </w:tr>
      <w:tr w14:paraId="77FF2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vAlign w:val="center"/>
          </w:tcPr>
          <w:p w14:paraId="0A668503">
            <w:pPr>
              <w:widowControl/>
              <w:spacing w:line="360" w:lineRule="auto"/>
              <w:jc w:val="center"/>
              <w:rPr>
                <w:rFonts w:ascii="宋体" w:hAnsi="宋体" w:cs="宋体"/>
                <w:color w:val="000000"/>
                <w:sz w:val="24"/>
                <w:highlight w:val="none"/>
              </w:rPr>
            </w:pPr>
            <w:r>
              <w:rPr>
                <w:rFonts w:hint="eastAsia" w:ascii="宋体" w:hAnsi="宋体" w:cs="宋体"/>
                <w:color w:val="000000"/>
                <w:sz w:val="24"/>
                <w:highlight w:val="none"/>
              </w:rPr>
              <w:t>3</w:t>
            </w:r>
          </w:p>
        </w:tc>
        <w:tc>
          <w:tcPr>
            <w:tcW w:w="8166" w:type="dxa"/>
            <w:vAlign w:val="center"/>
          </w:tcPr>
          <w:p w14:paraId="03CAD42E">
            <w:pPr>
              <w:widowControl/>
              <w:spacing w:line="360" w:lineRule="auto"/>
              <w:rPr>
                <w:rFonts w:ascii="宋体" w:hAnsi="宋体"/>
                <w:color w:val="000000"/>
                <w:sz w:val="24"/>
                <w:highlight w:val="none"/>
              </w:rPr>
            </w:pPr>
            <w:r>
              <w:rPr>
                <w:rFonts w:hint="eastAsia" w:ascii="宋体" w:hAnsi="宋体"/>
                <w:color w:val="000000"/>
                <w:sz w:val="24"/>
                <w:highlight w:val="none"/>
              </w:rPr>
              <w:t>采购项目概况、要求：</w:t>
            </w:r>
          </w:p>
          <w:p w14:paraId="582BD84D">
            <w:pPr>
              <w:widowControl/>
              <w:spacing w:line="360" w:lineRule="auto"/>
              <w:ind w:firstLine="480" w:firstLineChars="200"/>
              <w:rPr>
                <w:rFonts w:ascii="宋体" w:hAnsi="宋体" w:cs="宋体"/>
                <w:color w:val="000000"/>
                <w:sz w:val="24"/>
                <w:highlight w:val="none"/>
              </w:rPr>
            </w:pPr>
            <w:r>
              <w:rPr>
                <w:rFonts w:hint="eastAsia" w:ascii="宋体" w:hAnsi="宋体"/>
                <w:color w:val="000000"/>
                <w:sz w:val="24"/>
                <w:highlight w:val="none"/>
              </w:rPr>
              <w:t>两艘移动藻水分离船运行项目，主要服务内容包括：对2艘移动式藻水分离船运行管理、根据每次杯试结果投加药剂、藻泥运输及无害化处置</w:t>
            </w:r>
            <w:r>
              <w:rPr>
                <w:rFonts w:hint="eastAsia"/>
                <w:color w:val="000000"/>
                <w:sz w:val="24"/>
                <w:highlight w:val="none"/>
              </w:rPr>
              <w:t>，</w:t>
            </w:r>
            <w:r>
              <w:rPr>
                <w:rFonts w:hint="eastAsia" w:ascii="宋体" w:hAnsi="宋体" w:cs="宋体"/>
                <w:color w:val="000000"/>
                <w:sz w:val="24"/>
                <w:highlight w:val="none"/>
              </w:rPr>
              <w:t>具体服务内容详见“第三部分 采购需求”；</w:t>
            </w:r>
          </w:p>
          <w:p w14:paraId="56062197">
            <w:pPr>
              <w:spacing w:line="360" w:lineRule="auto"/>
              <w:rPr>
                <w:rFonts w:ascii="宋体" w:hAnsi="宋体" w:cs="宋体"/>
                <w:bCs/>
                <w:color w:val="000000"/>
                <w:sz w:val="24"/>
                <w:szCs w:val="22"/>
                <w:highlight w:val="none"/>
              </w:rPr>
            </w:pPr>
            <w:r>
              <w:rPr>
                <w:rFonts w:hint="eastAsia" w:ascii="宋体" w:hAnsi="宋体" w:cs="宋体"/>
                <w:bCs/>
                <w:color w:val="000000"/>
                <w:sz w:val="24"/>
                <w:highlight w:val="none"/>
              </w:rPr>
              <w:t>服务期：1年，以合同约定时间为准</w:t>
            </w:r>
            <w:r>
              <w:rPr>
                <w:rFonts w:hint="eastAsia" w:ascii="宋体" w:hAnsi="宋体" w:cs="宋体"/>
                <w:bCs/>
                <w:color w:val="000000"/>
                <w:sz w:val="24"/>
                <w:szCs w:val="22"/>
                <w:highlight w:val="none"/>
              </w:rPr>
              <w:t>；</w:t>
            </w:r>
          </w:p>
          <w:p w14:paraId="02B5D71B">
            <w:pPr>
              <w:spacing w:line="360" w:lineRule="auto"/>
              <w:rPr>
                <w:rFonts w:ascii="宋体" w:hAnsi="宋体" w:cs="宋体"/>
                <w:color w:val="000000"/>
                <w:highlight w:val="none"/>
              </w:rPr>
            </w:pPr>
            <w:r>
              <w:rPr>
                <w:rFonts w:hint="eastAsia" w:ascii="宋体" w:hAnsi="宋体" w:cs="宋体"/>
                <w:bCs/>
                <w:color w:val="000000"/>
                <w:sz w:val="24"/>
                <w:highlight w:val="none"/>
              </w:rPr>
              <w:t>服务要求：满足采购人要求（详见采购需求）</w:t>
            </w:r>
            <w:r>
              <w:rPr>
                <w:rFonts w:hint="eastAsia" w:ascii="宋体" w:hAnsi="宋体" w:cs="宋体"/>
                <w:color w:val="000000"/>
                <w:highlight w:val="none"/>
              </w:rPr>
              <w:t>；</w:t>
            </w:r>
          </w:p>
          <w:p w14:paraId="20724AC5">
            <w:pPr>
              <w:spacing w:line="360" w:lineRule="auto"/>
              <w:rPr>
                <w:rFonts w:ascii="宋体" w:hAnsi="宋体" w:cs="宋体"/>
                <w:color w:val="000000"/>
                <w:highlight w:val="none"/>
              </w:rPr>
            </w:pPr>
            <w:r>
              <w:rPr>
                <w:rStyle w:val="539"/>
                <w:rFonts w:hint="eastAsia" w:ascii="宋体"/>
                <w:sz w:val="24"/>
                <w:highlight w:val="none"/>
              </w:rPr>
              <w:t>验收标准：满足采购人要求，一次性验收合格。</w:t>
            </w:r>
          </w:p>
          <w:p w14:paraId="3C445479">
            <w:pPr>
              <w:tabs>
                <w:tab w:val="left" w:pos="360"/>
              </w:tabs>
              <w:spacing w:line="360" w:lineRule="auto"/>
              <w:rPr>
                <w:rFonts w:ascii="宋体" w:hAnsi="宋体" w:cs="宋体"/>
                <w:b/>
                <w:bCs/>
                <w:color w:val="000000"/>
                <w:sz w:val="24"/>
                <w:highlight w:val="none"/>
              </w:rPr>
            </w:pPr>
            <w:r>
              <w:rPr>
                <w:rFonts w:hint="eastAsia" w:ascii="宋体" w:hAnsi="宋体" w:cs="宋体"/>
                <w:b/>
                <w:bCs/>
                <w:color w:val="000000"/>
                <w:sz w:val="24"/>
                <w:highlight w:val="none"/>
              </w:rPr>
              <w:t>本项目是否专门面向中小微企业：是。</w:t>
            </w:r>
          </w:p>
          <w:p w14:paraId="0FE67888">
            <w:pPr>
              <w:widowControl/>
              <w:spacing w:line="360" w:lineRule="auto"/>
              <w:rPr>
                <w:rFonts w:ascii="宋体" w:hAnsi="宋体" w:cs="宋体"/>
                <w:color w:val="000000"/>
                <w:sz w:val="24"/>
                <w:highlight w:val="none"/>
              </w:rPr>
            </w:pPr>
            <w:r>
              <w:rPr>
                <w:rFonts w:hint="eastAsia" w:ascii="宋体" w:hAnsi="宋体" w:cs="宋体"/>
                <w:b/>
                <w:color w:val="000000"/>
                <w:sz w:val="24"/>
                <w:highlight w:val="none"/>
              </w:rPr>
              <w:t>本项目标的所属行业：</w:t>
            </w:r>
            <w:r>
              <w:rPr>
                <w:rFonts w:hint="eastAsia" w:ascii="宋体" w:hAnsi="宋体"/>
                <w:bCs/>
                <w:color w:val="000000"/>
                <w:sz w:val="24"/>
                <w:highlight w:val="none"/>
              </w:rPr>
              <w:t>其他未列明行业。</w:t>
            </w:r>
            <w:r>
              <w:rPr>
                <w:rFonts w:hint="eastAsia" w:ascii="宋体" w:hAnsi="宋体"/>
                <w:sz w:val="24"/>
                <w:highlight w:val="none"/>
              </w:rPr>
              <w:t>从业人员300人以下的为中小微型企业。其中，从业人员100人及以上的为中型企业；从业人员10人及以上的为小型企业；从业人员10人以下的为微型企业</w:t>
            </w:r>
            <w:r>
              <w:rPr>
                <w:rFonts w:hint="eastAsia" w:ascii="宋体" w:hAnsi="宋体"/>
                <w:bCs/>
                <w:color w:val="000000"/>
                <w:sz w:val="24"/>
                <w:highlight w:val="none"/>
              </w:rPr>
              <w:t>。</w:t>
            </w:r>
          </w:p>
        </w:tc>
      </w:tr>
      <w:tr w14:paraId="5C9796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7" w:hRule="atLeast"/>
        </w:trPr>
        <w:tc>
          <w:tcPr>
            <w:tcW w:w="1392" w:type="dxa"/>
            <w:vAlign w:val="center"/>
          </w:tcPr>
          <w:p w14:paraId="735AB2D1">
            <w:pPr>
              <w:widowControl/>
              <w:spacing w:line="360" w:lineRule="auto"/>
              <w:jc w:val="center"/>
              <w:rPr>
                <w:rFonts w:ascii="宋体" w:hAnsi="宋体" w:cs="宋体"/>
                <w:color w:val="000000"/>
                <w:sz w:val="24"/>
                <w:highlight w:val="none"/>
              </w:rPr>
            </w:pPr>
            <w:r>
              <w:rPr>
                <w:rFonts w:hint="eastAsia" w:ascii="宋体" w:hAnsi="宋体" w:cs="宋体"/>
                <w:color w:val="000000"/>
                <w:sz w:val="24"/>
                <w:highlight w:val="none"/>
              </w:rPr>
              <w:t>4</w:t>
            </w:r>
          </w:p>
        </w:tc>
        <w:tc>
          <w:tcPr>
            <w:tcW w:w="8166" w:type="dxa"/>
            <w:vAlign w:val="center"/>
          </w:tcPr>
          <w:p w14:paraId="20830D8C">
            <w:pPr>
              <w:tabs>
                <w:tab w:val="left" w:pos="0"/>
              </w:tabs>
              <w:spacing w:line="360" w:lineRule="auto"/>
              <w:rPr>
                <w:color w:val="000000"/>
                <w:sz w:val="24"/>
                <w:highlight w:val="none"/>
              </w:rPr>
            </w:pPr>
            <w:r>
              <w:rPr>
                <w:rFonts w:hint="eastAsia"/>
                <w:color w:val="000000"/>
                <w:sz w:val="24"/>
                <w:highlight w:val="none"/>
              </w:rPr>
              <w:t>投标人资格要求：</w:t>
            </w:r>
          </w:p>
          <w:p w14:paraId="6720326E">
            <w:pPr>
              <w:tabs>
                <w:tab w:val="left" w:pos="0"/>
              </w:tabs>
              <w:spacing w:line="360" w:lineRule="auto"/>
              <w:rPr>
                <w:color w:val="000000"/>
                <w:sz w:val="24"/>
                <w:highlight w:val="none"/>
              </w:rPr>
            </w:pPr>
            <w:r>
              <w:rPr>
                <w:rFonts w:hint="eastAsia"/>
                <w:color w:val="000000"/>
                <w:sz w:val="24"/>
                <w:highlight w:val="none"/>
              </w:rPr>
              <w:t>1.具备《中华人民共和国政府采购法》第二十二条第一款规定的条件；</w:t>
            </w:r>
          </w:p>
          <w:p w14:paraId="656BBB5E">
            <w:pPr>
              <w:tabs>
                <w:tab w:val="left" w:pos="0"/>
              </w:tabs>
              <w:spacing w:line="360" w:lineRule="auto"/>
              <w:rPr>
                <w:color w:val="000000"/>
                <w:sz w:val="24"/>
                <w:highlight w:val="none"/>
              </w:rPr>
            </w:pPr>
            <w:r>
              <w:rPr>
                <w:rFonts w:hint="eastAsia"/>
                <w:color w:val="000000"/>
                <w:sz w:val="24"/>
                <w:highlight w:val="none"/>
              </w:rPr>
              <w:t>2.落实政府采购政策需满足的资格要求：本项目专门面向中小企业，投标人应为中/小/微企业或监狱企业或残疾人福利性单位；</w:t>
            </w:r>
          </w:p>
          <w:p w14:paraId="013D3510">
            <w:pPr>
              <w:tabs>
                <w:tab w:val="left" w:pos="0"/>
              </w:tabs>
              <w:spacing w:line="360" w:lineRule="auto"/>
              <w:rPr>
                <w:color w:val="000000"/>
                <w:sz w:val="24"/>
                <w:highlight w:val="none"/>
              </w:rPr>
            </w:pPr>
            <w:r>
              <w:rPr>
                <w:rFonts w:hint="eastAsia"/>
                <w:color w:val="000000"/>
                <w:sz w:val="24"/>
                <w:highlight w:val="none"/>
              </w:rPr>
              <w:t>3.未被“信用中国”网站（www.creditchina.gov.cn）、“信用江苏”网站（credit.jiangsu.gov.cn）、中国政府采购网（www.ccgp.gov.cn）列入失信被执行人、重大税收违法失信主体、政府采购严重违法失信行为记录名单；</w:t>
            </w:r>
          </w:p>
          <w:p w14:paraId="31A2C283">
            <w:pPr>
              <w:tabs>
                <w:tab w:val="left" w:pos="0"/>
              </w:tabs>
              <w:spacing w:line="360" w:lineRule="auto"/>
              <w:rPr>
                <w:color w:val="000000"/>
                <w:sz w:val="24"/>
                <w:highlight w:val="none"/>
              </w:rPr>
            </w:pPr>
            <w:r>
              <w:rPr>
                <w:rFonts w:hint="eastAsia"/>
                <w:color w:val="000000"/>
                <w:sz w:val="24"/>
                <w:highlight w:val="none"/>
              </w:rPr>
              <w:t>4.具备采购人根据招标项目的特殊要求规定的以下特定资质：</w:t>
            </w:r>
          </w:p>
          <w:p w14:paraId="695CF16C">
            <w:pPr>
              <w:tabs>
                <w:tab w:val="left" w:pos="0"/>
              </w:tabs>
              <w:spacing w:line="360" w:lineRule="auto"/>
              <w:rPr>
                <w:rFonts w:ascii="宋体" w:hAnsi="宋体" w:cs="宋体"/>
                <w:color w:val="000000"/>
                <w:sz w:val="24"/>
                <w:highlight w:val="none"/>
              </w:rPr>
            </w:pPr>
            <w:r>
              <w:rPr>
                <w:rFonts w:hint="eastAsia" w:ascii="宋体" w:hAnsi="宋体" w:cs="宋体"/>
                <w:color w:val="000000"/>
                <w:sz w:val="24"/>
                <w:highlight w:val="none"/>
              </w:rPr>
              <w:t>（1）投标人应在中华人民共和国境内注册；</w:t>
            </w:r>
          </w:p>
          <w:p w14:paraId="7E3C49DC">
            <w:pPr>
              <w:tabs>
                <w:tab w:val="left" w:pos="0"/>
              </w:tabs>
              <w:spacing w:line="360" w:lineRule="auto"/>
              <w:rPr>
                <w:rFonts w:ascii="宋体" w:hAnsi="宋体" w:cs="宋体"/>
                <w:color w:val="000000"/>
                <w:sz w:val="24"/>
                <w:highlight w:val="none"/>
              </w:rPr>
            </w:pPr>
            <w:r>
              <w:rPr>
                <w:rFonts w:hint="eastAsia" w:ascii="宋体" w:hAnsi="宋体" w:cs="宋体"/>
                <w:color w:val="000000"/>
                <w:sz w:val="24"/>
                <w:highlight w:val="none"/>
              </w:rPr>
              <w:t>（2）被授权委托人应为投标人在职职工；</w:t>
            </w:r>
          </w:p>
          <w:p w14:paraId="005867FD">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（3）不接受联合体投标。</w:t>
            </w:r>
          </w:p>
        </w:tc>
      </w:tr>
      <w:tr w14:paraId="3B49B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vAlign w:val="center"/>
          </w:tcPr>
          <w:p w14:paraId="6861DD19">
            <w:pPr>
              <w:widowControl/>
              <w:spacing w:line="360" w:lineRule="auto"/>
              <w:jc w:val="center"/>
              <w:rPr>
                <w:rFonts w:ascii="宋体" w:hAnsi="宋体" w:cs="宋体"/>
                <w:color w:val="000000"/>
                <w:sz w:val="24"/>
                <w:highlight w:val="none"/>
              </w:rPr>
            </w:pPr>
            <w:r>
              <w:rPr>
                <w:rFonts w:hint="eastAsia" w:ascii="宋体" w:hAnsi="宋体" w:cs="宋体"/>
                <w:color w:val="000000"/>
                <w:sz w:val="24"/>
                <w:highlight w:val="none"/>
              </w:rPr>
              <w:t>5</w:t>
            </w:r>
          </w:p>
        </w:tc>
        <w:tc>
          <w:tcPr>
            <w:tcW w:w="8166" w:type="dxa"/>
            <w:vAlign w:val="center"/>
          </w:tcPr>
          <w:p w14:paraId="16525DF9">
            <w:pPr>
              <w:widowControl/>
              <w:spacing w:line="360" w:lineRule="auto"/>
              <w:jc w:val="left"/>
              <w:rPr>
                <w:rFonts w:hAnsi="宋体"/>
                <w:bCs/>
                <w:color w:val="000000"/>
                <w:sz w:val="24"/>
                <w:highlight w:val="none"/>
              </w:rPr>
            </w:pPr>
            <w:r>
              <w:rPr>
                <w:rFonts w:hint="eastAsia" w:hAnsi="宋体"/>
                <w:bCs/>
                <w:color w:val="000000"/>
                <w:sz w:val="24"/>
                <w:highlight w:val="none"/>
              </w:rPr>
              <w:t>招标文件获取时间：</w:t>
            </w:r>
            <w:r>
              <w:rPr>
                <w:rFonts w:hint="eastAsia" w:ascii="宋体" w:hAnsi="宋体" w:cs="宋体"/>
                <w:color w:val="000000"/>
                <w:sz w:val="24"/>
                <w:highlight w:val="none"/>
              </w:rPr>
              <w:t>自招标文件公告发布之日起5个工作日</w:t>
            </w:r>
            <w:r>
              <w:rPr>
                <w:rFonts w:hint="eastAsia" w:hAnsi="宋体"/>
                <w:bCs/>
                <w:color w:val="000000"/>
                <w:sz w:val="24"/>
                <w:highlight w:val="none"/>
              </w:rPr>
              <w:t>，每天0:00-23:59（北京时间），</w:t>
            </w:r>
            <w:r>
              <w:rPr>
                <w:rFonts w:hint="eastAsia" w:ascii="宋体" w:hAnsi="宋体" w:cs="宋体"/>
                <w:color w:val="000000"/>
                <w:sz w:val="24"/>
                <w:highlight w:val="none"/>
              </w:rPr>
              <w:t>五个工作日后仍可下载招标文件，但不作为供应商权益受到损害的证明材料和依据。</w:t>
            </w:r>
          </w:p>
          <w:p w14:paraId="526F6894">
            <w:pPr>
              <w:widowControl/>
              <w:spacing w:line="360" w:lineRule="auto"/>
              <w:jc w:val="left"/>
              <w:rPr>
                <w:rFonts w:hAnsi="宋体"/>
                <w:bCs/>
                <w:color w:val="000000"/>
                <w:sz w:val="24"/>
                <w:highlight w:val="none"/>
              </w:rPr>
            </w:pPr>
            <w:r>
              <w:rPr>
                <w:rFonts w:hint="eastAsia" w:hAnsi="宋体"/>
                <w:bCs/>
                <w:color w:val="000000"/>
                <w:sz w:val="24"/>
                <w:highlight w:val="none"/>
              </w:rPr>
              <w:t>招标文件获取地点：供应商登录苏采云http://jszfcg.jsczt.cn/进行获取。</w:t>
            </w:r>
          </w:p>
          <w:p w14:paraId="7A17461F">
            <w:pPr>
              <w:widowControl/>
              <w:spacing w:line="360" w:lineRule="auto"/>
              <w:jc w:val="left"/>
              <w:rPr>
                <w:rFonts w:hAnsi="宋体"/>
                <w:bCs/>
                <w:color w:val="000000"/>
                <w:sz w:val="24"/>
                <w:highlight w:val="none"/>
              </w:rPr>
            </w:pPr>
            <w:r>
              <w:rPr>
                <w:rFonts w:hint="eastAsia" w:hAnsi="宋体"/>
                <w:bCs/>
                <w:color w:val="000000"/>
                <w:sz w:val="24"/>
                <w:highlight w:val="none"/>
              </w:rPr>
              <w:t>售价：0元。</w:t>
            </w:r>
          </w:p>
          <w:p w14:paraId="1DA55434">
            <w:pPr>
              <w:widowControl/>
              <w:spacing w:line="360" w:lineRule="auto"/>
              <w:jc w:val="left"/>
              <w:rPr>
                <w:rFonts w:ascii="宋体" w:hAnsi="宋体"/>
                <w:color w:val="000000"/>
                <w:sz w:val="24"/>
                <w:highlight w:val="none"/>
              </w:rPr>
            </w:pPr>
            <w:r>
              <w:rPr>
                <w:rFonts w:hint="eastAsia" w:hAnsi="宋体"/>
                <w:bCs/>
                <w:color w:val="000000"/>
                <w:sz w:val="24"/>
                <w:highlight w:val="none"/>
              </w:rPr>
              <w:t>获取招标文件方式：供应商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w:t>
            </w:r>
          </w:p>
        </w:tc>
      </w:tr>
      <w:tr w14:paraId="28E443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vAlign w:val="center"/>
          </w:tcPr>
          <w:p w14:paraId="0A0818F4">
            <w:pPr>
              <w:widowControl/>
              <w:spacing w:line="360" w:lineRule="auto"/>
              <w:jc w:val="center"/>
              <w:rPr>
                <w:rFonts w:ascii="宋体" w:hAnsi="宋体" w:cs="宋体"/>
                <w:color w:val="000000"/>
                <w:sz w:val="24"/>
                <w:highlight w:val="none"/>
              </w:rPr>
            </w:pPr>
            <w:r>
              <w:rPr>
                <w:rFonts w:hint="eastAsia" w:ascii="宋体" w:hAnsi="宋体" w:cs="宋体"/>
                <w:color w:val="000000"/>
                <w:sz w:val="24"/>
                <w:highlight w:val="none"/>
              </w:rPr>
              <w:t>6</w:t>
            </w:r>
          </w:p>
        </w:tc>
        <w:tc>
          <w:tcPr>
            <w:tcW w:w="8166" w:type="dxa"/>
            <w:vAlign w:val="center"/>
          </w:tcPr>
          <w:p w14:paraId="6F36C087">
            <w:pPr>
              <w:widowControl/>
              <w:spacing w:line="360" w:lineRule="auto"/>
              <w:rPr>
                <w:rFonts w:ascii="宋体" w:hAnsi="宋体"/>
                <w:color w:val="000000"/>
                <w:sz w:val="24"/>
                <w:highlight w:val="none"/>
              </w:rPr>
            </w:pPr>
            <w:r>
              <w:rPr>
                <w:rFonts w:hint="eastAsia" w:ascii="宋体" w:hAnsi="宋体"/>
                <w:color w:val="000000"/>
                <w:sz w:val="24"/>
                <w:highlight w:val="none"/>
              </w:rPr>
              <w:t>提疑截止时间：</w:t>
            </w:r>
            <w:r>
              <w:rPr>
                <w:rFonts w:hint="eastAsia" w:ascii="宋体" w:hAnsi="宋体" w:cs="宋体"/>
                <w:color w:val="000000"/>
                <w:sz w:val="24"/>
                <w:highlight w:val="none"/>
              </w:rPr>
              <w:t>2025年</w:t>
            </w:r>
            <w:r>
              <w:rPr>
                <w:rFonts w:hint="eastAsia" w:ascii="宋体" w:hAnsi="宋体" w:cs="宋体"/>
                <w:color w:val="000000"/>
                <w:sz w:val="24"/>
                <w:highlight w:val="none"/>
                <w:lang w:val="en-US" w:eastAsia="zh-CN"/>
              </w:rPr>
              <w:t>5</w:t>
            </w:r>
            <w:r>
              <w:rPr>
                <w:rFonts w:hint="eastAsia" w:ascii="宋体" w:hAnsi="宋体" w:cs="宋体"/>
                <w:color w:val="000000"/>
                <w:sz w:val="24"/>
                <w:highlight w:val="none"/>
              </w:rPr>
              <w:t>月</w:t>
            </w:r>
            <w:r>
              <w:rPr>
                <w:rFonts w:hint="eastAsia" w:ascii="宋体" w:hAnsi="宋体" w:cs="宋体"/>
                <w:color w:val="000000"/>
                <w:sz w:val="24"/>
                <w:highlight w:val="none"/>
                <w:lang w:val="en-US" w:eastAsia="zh-CN"/>
              </w:rPr>
              <w:t>15</w:t>
            </w:r>
            <w:r>
              <w:rPr>
                <w:rFonts w:hint="eastAsia" w:ascii="宋体" w:hAnsi="宋体" w:cs="宋体"/>
                <w:color w:val="000000"/>
                <w:sz w:val="24"/>
                <w:highlight w:val="none"/>
              </w:rPr>
              <w:t>日</w:t>
            </w:r>
            <w:r>
              <w:rPr>
                <w:rFonts w:hint="eastAsia" w:ascii="宋体" w:hAnsi="宋体"/>
                <w:color w:val="000000"/>
                <w:sz w:val="24"/>
                <w:highlight w:val="none"/>
              </w:rPr>
              <w:t>10时，以书面形式（含电子邮件）发送给采购代理机构。</w:t>
            </w:r>
          </w:p>
          <w:p w14:paraId="52EB634D">
            <w:pPr>
              <w:widowControl/>
              <w:spacing w:line="360" w:lineRule="auto"/>
              <w:rPr>
                <w:rFonts w:ascii="宋体" w:hAnsi="宋体"/>
                <w:color w:val="000000"/>
                <w:sz w:val="24"/>
                <w:highlight w:val="none"/>
              </w:rPr>
            </w:pPr>
            <w:r>
              <w:rPr>
                <w:rFonts w:hint="eastAsia" w:ascii="宋体" w:hAnsi="宋体"/>
                <w:color w:val="000000"/>
                <w:sz w:val="24"/>
                <w:highlight w:val="none"/>
              </w:rPr>
              <w:t>答疑时间：投标文件接收截止时间前15天，以书面形式（含电子邮件）回发给各投标供应商。</w:t>
            </w:r>
          </w:p>
        </w:tc>
      </w:tr>
      <w:tr w14:paraId="619AF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vAlign w:val="center"/>
          </w:tcPr>
          <w:p w14:paraId="7AC14A1C">
            <w:pPr>
              <w:widowControl/>
              <w:spacing w:line="360" w:lineRule="auto"/>
              <w:jc w:val="center"/>
              <w:rPr>
                <w:rFonts w:ascii="宋体" w:hAnsi="宋体" w:cs="宋体"/>
                <w:color w:val="000000"/>
                <w:sz w:val="24"/>
                <w:highlight w:val="none"/>
              </w:rPr>
            </w:pPr>
            <w:r>
              <w:rPr>
                <w:rFonts w:hint="eastAsia" w:ascii="宋体" w:hAnsi="宋体" w:cs="宋体"/>
                <w:color w:val="000000"/>
                <w:sz w:val="24"/>
                <w:highlight w:val="none"/>
              </w:rPr>
              <w:t>7</w:t>
            </w:r>
          </w:p>
        </w:tc>
        <w:tc>
          <w:tcPr>
            <w:tcW w:w="8166" w:type="dxa"/>
            <w:vAlign w:val="center"/>
          </w:tcPr>
          <w:p w14:paraId="3CEFF70E">
            <w:pPr>
              <w:widowControl/>
              <w:spacing w:line="360" w:lineRule="auto"/>
              <w:rPr>
                <w:rFonts w:ascii="宋体" w:hAnsi="宋体"/>
                <w:color w:val="000000"/>
                <w:sz w:val="24"/>
                <w:highlight w:val="none"/>
              </w:rPr>
            </w:pPr>
            <w:r>
              <w:rPr>
                <w:rFonts w:hint="eastAsia" w:hAnsi="宋体"/>
                <w:bCs/>
                <w:color w:val="000000"/>
                <w:sz w:val="24"/>
                <w:highlight w:val="none"/>
              </w:rPr>
              <w:t>本项目无需缴纳投标保证金。</w:t>
            </w:r>
          </w:p>
        </w:tc>
      </w:tr>
      <w:tr w14:paraId="4CE1A3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vAlign w:val="center"/>
          </w:tcPr>
          <w:p w14:paraId="709FC9A6">
            <w:pPr>
              <w:widowControl/>
              <w:spacing w:line="360" w:lineRule="auto"/>
              <w:jc w:val="center"/>
              <w:rPr>
                <w:rFonts w:ascii="宋体" w:hAnsi="宋体" w:cs="宋体"/>
                <w:color w:val="000000"/>
                <w:sz w:val="24"/>
                <w:highlight w:val="none"/>
              </w:rPr>
            </w:pPr>
            <w:r>
              <w:rPr>
                <w:rFonts w:hint="eastAsia" w:ascii="宋体" w:hAnsi="宋体" w:cs="宋体"/>
                <w:color w:val="000000"/>
                <w:sz w:val="24"/>
                <w:highlight w:val="none"/>
              </w:rPr>
              <w:t>8</w:t>
            </w:r>
          </w:p>
        </w:tc>
        <w:tc>
          <w:tcPr>
            <w:tcW w:w="8166" w:type="dxa"/>
            <w:vAlign w:val="center"/>
          </w:tcPr>
          <w:p w14:paraId="58ED928D">
            <w:pPr>
              <w:widowControl/>
              <w:spacing w:line="360" w:lineRule="auto"/>
              <w:rPr>
                <w:rFonts w:ascii="宋体" w:hAnsi="宋体"/>
                <w:color w:val="000000"/>
                <w:sz w:val="24"/>
                <w:highlight w:val="none"/>
              </w:rPr>
            </w:pPr>
            <w:r>
              <w:rPr>
                <w:rFonts w:hint="eastAsia" w:ascii="宋体" w:hAnsi="宋体"/>
                <w:color w:val="000000"/>
                <w:sz w:val="24"/>
                <w:highlight w:val="none"/>
              </w:rPr>
              <w:t>投标有效期：投标之日起180天</w:t>
            </w:r>
          </w:p>
        </w:tc>
      </w:tr>
      <w:tr w14:paraId="244EAA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vAlign w:val="center"/>
          </w:tcPr>
          <w:p w14:paraId="62045053">
            <w:pPr>
              <w:widowControl/>
              <w:spacing w:line="360" w:lineRule="auto"/>
              <w:jc w:val="center"/>
              <w:rPr>
                <w:rFonts w:ascii="宋体" w:hAnsi="宋体" w:cs="宋体"/>
                <w:color w:val="000000"/>
                <w:sz w:val="24"/>
                <w:highlight w:val="none"/>
              </w:rPr>
            </w:pPr>
            <w:r>
              <w:rPr>
                <w:rFonts w:hint="eastAsia" w:ascii="宋体" w:hAnsi="宋体" w:cs="宋体"/>
                <w:color w:val="000000"/>
                <w:sz w:val="24"/>
                <w:highlight w:val="none"/>
              </w:rPr>
              <w:t>9</w:t>
            </w:r>
          </w:p>
        </w:tc>
        <w:tc>
          <w:tcPr>
            <w:tcW w:w="8166" w:type="dxa"/>
            <w:vAlign w:val="center"/>
          </w:tcPr>
          <w:p w14:paraId="1839E9CE">
            <w:pPr>
              <w:widowControl/>
              <w:spacing w:line="360" w:lineRule="auto"/>
              <w:rPr>
                <w:rFonts w:ascii="宋体" w:hAnsi="宋体"/>
                <w:color w:val="000000"/>
                <w:sz w:val="24"/>
                <w:highlight w:val="none"/>
              </w:rPr>
            </w:pPr>
            <w:r>
              <w:rPr>
                <w:rFonts w:hint="eastAsia" w:ascii="宋体" w:hAnsi="宋体"/>
                <w:color w:val="000000"/>
                <w:sz w:val="24"/>
                <w:highlight w:val="none"/>
              </w:rPr>
              <w:t>网上投标截止时间（开标时间）：</w:t>
            </w:r>
            <w:r>
              <w:rPr>
                <w:rFonts w:hint="eastAsia" w:ascii="宋体" w:hAnsi="宋体" w:cs="宋体"/>
                <w:color w:val="000000"/>
                <w:sz w:val="24"/>
                <w:highlight w:val="none"/>
              </w:rPr>
              <w:t>2025年</w:t>
            </w:r>
            <w:r>
              <w:rPr>
                <w:rFonts w:hint="eastAsia" w:ascii="宋体" w:hAnsi="宋体" w:cs="宋体"/>
                <w:color w:val="000000"/>
                <w:sz w:val="24"/>
                <w:highlight w:val="none"/>
                <w:lang w:val="en-US" w:eastAsia="zh-CN"/>
              </w:rPr>
              <w:t>5</w:t>
            </w:r>
            <w:r>
              <w:rPr>
                <w:rFonts w:hint="eastAsia" w:ascii="宋体" w:hAnsi="宋体" w:cs="宋体"/>
                <w:color w:val="000000"/>
                <w:sz w:val="24"/>
                <w:highlight w:val="none"/>
              </w:rPr>
              <w:t>月</w:t>
            </w:r>
            <w:r>
              <w:rPr>
                <w:rFonts w:hint="eastAsia" w:ascii="宋体" w:hAnsi="宋体" w:cs="宋体"/>
                <w:color w:val="000000"/>
                <w:sz w:val="24"/>
                <w:highlight w:val="none"/>
                <w:lang w:val="en-US" w:eastAsia="zh-CN"/>
              </w:rPr>
              <w:t>30</w:t>
            </w:r>
            <w:r>
              <w:rPr>
                <w:rFonts w:hint="eastAsia" w:ascii="宋体" w:hAnsi="宋体" w:cs="宋体"/>
                <w:color w:val="000000"/>
                <w:sz w:val="24"/>
                <w:highlight w:val="none"/>
              </w:rPr>
              <w:t>日</w:t>
            </w:r>
            <w:r>
              <w:rPr>
                <w:rFonts w:hint="eastAsia" w:ascii="宋体" w:hAnsi="宋体"/>
                <w:color w:val="000000"/>
                <w:sz w:val="24"/>
                <w:highlight w:val="none"/>
              </w:rPr>
              <w:t>13时30分</w:t>
            </w:r>
          </w:p>
          <w:p w14:paraId="0D0DC1BB">
            <w:pPr>
              <w:widowControl/>
              <w:spacing w:line="360" w:lineRule="auto"/>
              <w:rPr>
                <w:rFonts w:ascii="宋体" w:hAnsi="宋体"/>
                <w:color w:val="000000"/>
                <w:sz w:val="24"/>
                <w:highlight w:val="none"/>
              </w:rPr>
            </w:pPr>
            <w:r>
              <w:rPr>
                <w:rFonts w:hint="eastAsia" w:ascii="宋体" w:hAnsi="宋体"/>
                <w:color w:val="000000"/>
                <w:sz w:val="24"/>
                <w:highlight w:val="none"/>
              </w:rPr>
              <w:t>投标文件递交网址：江苏省政府采购（苏采云）平台中上传。</w:t>
            </w:r>
          </w:p>
          <w:p w14:paraId="777F1EE7">
            <w:pPr>
              <w:widowControl/>
              <w:spacing w:line="360" w:lineRule="auto"/>
              <w:rPr>
                <w:rFonts w:ascii="宋体" w:hAnsi="宋体"/>
                <w:color w:val="000000"/>
                <w:sz w:val="24"/>
                <w:highlight w:val="none"/>
              </w:rPr>
            </w:pPr>
            <w:r>
              <w:rPr>
                <w:rFonts w:hint="eastAsia" w:ascii="宋体" w:hAnsi="宋体"/>
                <w:color w:val="000000"/>
                <w:sz w:val="24"/>
                <w:highlight w:val="none"/>
              </w:rPr>
              <w:t>注：</w:t>
            </w:r>
          </w:p>
          <w:p w14:paraId="10C5EB96">
            <w:pPr>
              <w:widowControl/>
              <w:spacing w:line="360" w:lineRule="auto"/>
              <w:rPr>
                <w:rFonts w:ascii="宋体" w:hAnsi="宋体"/>
                <w:color w:val="000000"/>
                <w:sz w:val="24"/>
                <w:highlight w:val="none"/>
              </w:rPr>
            </w:pPr>
            <w:r>
              <w:rPr>
                <w:rFonts w:hint="eastAsia" w:ascii="宋体" w:hAnsi="宋体"/>
                <w:color w:val="000000"/>
                <w:sz w:val="24"/>
                <w:highlight w:val="none"/>
              </w:rPr>
              <w:t>1、投标截止时间后将无法上传或撤回、修改投标文件，请投标供应商谨慎处理。</w:t>
            </w:r>
          </w:p>
          <w:p w14:paraId="2F3B2635">
            <w:pPr>
              <w:widowControl/>
              <w:spacing w:line="360" w:lineRule="auto"/>
              <w:rPr>
                <w:rFonts w:ascii="宋体" w:hAnsi="宋体"/>
                <w:color w:val="000000"/>
                <w:sz w:val="24"/>
                <w:highlight w:val="none"/>
              </w:rPr>
            </w:pPr>
            <w:r>
              <w:rPr>
                <w:rFonts w:hint="eastAsia" w:ascii="宋体" w:hAnsi="宋体"/>
                <w:color w:val="000000"/>
                <w:sz w:val="24"/>
                <w:highlight w:val="none"/>
              </w:rPr>
              <w:t>2、请投标供应商关注开标大厅的提示进行解密，解密时间为30分钟，供应商未解密但解密剩余时间为0秒后，视为投标供应商放弃投标。</w:t>
            </w:r>
          </w:p>
          <w:p w14:paraId="668CBF7C">
            <w:pPr>
              <w:widowControl/>
              <w:spacing w:line="360" w:lineRule="auto"/>
              <w:rPr>
                <w:rFonts w:ascii="宋体" w:hAnsi="宋体"/>
                <w:color w:val="000000"/>
                <w:sz w:val="24"/>
                <w:highlight w:val="none"/>
              </w:rPr>
            </w:pPr>
            <w:r>
              <w:rPr>
                <w:rFonts w:hint="eastAsia" w:ascii="宋体" w:hAnsi="宋体"/>
                <w:color w:val="000000"/>
                <w:sz w:val="24"/>
                <w:highlight w:val="none"/>
              </w:rPr>
              <w:t>3、本次投标无需制作纸质投标文件，但中标供应商在领取中标通知书时需提供纸质版投标文件二份（纸质投标文件应与苏采云系统中上传的投标文件一致并加盖公章），用于项目存档。</w:t>
            </w:r>
          </w:p>
        </w:tc>
      </w:tr>
      <w:tr w14:paraId="050A6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vAlign w:val="center"/>
          </w:tcPr>
          <w:p w14:paraId="35723364">
            <w:pPr>
              <w:widowControl/>
              <w:spacing w:line="360" w:lineRule="auto"/>
              <w:jc w:val="center"/>
              <w:rPr>
                <w:rFonts w:ascii="宋体" w:hAnsi="宋体" w:cs="宋体"/>
                <w:color w:val="000000"/>
                <w:sz w:val="24"/>
                <w:highlight w:val="none"/>
              </w:rPr>
            </w:pPr>
            <w:r>
              <w:rPr>
                <w:rFonts w:hint="eastAsia" w:ascii="宋体" w:hAnsi="宋体" w:cs="宋体"/>
                <w:color w:val="000000"/>
                <w:sz w:val="24"/>
                <w:highlight w:val="none"/>
              </w:rPr>
              <w:t>10</w:t>
            </w:r>
          </w:p>
        </w:tc>
        <w:tc>
          <w:tcPr>
            <w:tcW w:w="8166" w:type="dxa"/>
            <w:vAlign w:val="center"/>
          </w:tcPr>
          <w:p w14:paraId="523ACA4D">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开标时间：2025年</w:t>
            </w:r>
            <w:r>
              <w:rPr>
                <w:rFonts w:hint="eastAsia" w:ascii="宋体" w:hAnsi="宋体" w:cs="宋体"/>
                <w:color w:val="000000"/>
                <w:sz w:val="24"/>
                <w:highlight w:val="none"/>
                <w:lang w:val="en-US" w:eastAsia="zh-CN"/>
              </w:rPr>
              <w:t>5</w:t>
            </w:r>
            <w:r>
              <w:rPr>
                <w:rFonts w:hint="eastAsia" w:ascii="宋体" w:hAnsi="宋体" w:cs="宋体"/>
                <w:color w:val="000000"/>
                <w:sz w:val="24"/>
                <w:highlight w:val="none"/>
              </w:rPr>
              <w:t>月</w:t>
            </w:r>
            <w:r>
              <w:rPr>
                <w:rFonts w:hint="eastAsia" w:ascii="宋体" w:hAnsi="宋体" w:cs="宋体"/>
                <w:color w:val="000000"/>
                <w:sz w:val="24"/>
                <w:highlight w:val="none"/>
                <w:lang w:val="en-US" w:eastAsia="zh-CN"/>
              </w:rPr>
              <w:t>30</w:t>
            </w:r>
            <w:r>
              <w:rPr>
                <w:rFonts w:hint="eastAsia" w:ascii="宋体" w:hAnsi="宋体" w:cs="宋体"/>
                <w:color w:val="000000"/>
                <w:sz w:val="24"/>
                <w:highlight w:val="none"/>
              </w:rPr>
              <w:t>日</w:t>
            </w:r>
            <w:r>
              <w:rPr>
                <w:rFonts w:hint="eastAsia" w:ascii="宋体" w:hAnsi="宋体"/>
                <w:color w:val="000000"/>
                <w:sz w:val="24"/>
                <w:highlight w:val="none"/>
              </w:rPr>
              <w:t>13时30分</w:t>
            </w:r>
          </w:p>
          <w:p w14:paraId="0F163271">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开标地点：江苏省政府采购（苏采云）平台不见面开标大厅（推荐使用谷歌浏览器）</w:t>
            </w:r>
          </w:p>
          <w:p w14:paraId="318C6AF6">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评标时间：2025年</w:t>
            </w:r>
            <w:r>
              <w:rPr>
                <w:rFonts w:hint="eastAsia" w:ascii="宋体" w:hAnsi="宋体" w:cs="宋体"/>
                <w:color w:val="000000"/>
                <w:sz w:val="24"/>
                <w:highlight w:val="none"/>
                <w:lang w:val="en-US" w:eastAsia="zh-CN"/>
              </w:rPr>
              <w:t>5</w:t>
            </w:r>
            <w:r>
              <w:rPr>
                <w:rFonts w:hint="eastAsia" w:ascii="宋体" w:hAnsi="宋体" w:cs="宋体"/>
                <w:color w:val="000000"/>
                <w:sz w:val="24"/>
                <w:highlight w:val="none"/>
              </w:rPr>
              <w:t>月</w:t>
            </w:r>
            <w:r>
              <w:rPr>
                <w:rFonts w:hint="eastAsia" w:ascii="宋体" w:hAnsi="宋体" w:cs="宋体"/>
                <w:color w:val="000000"/>
                <w:sz w:val="24"/>
                <w:highlight w:val="none"/>
                <w:lang w:val="en-US" w:eastAsia="zh-CN"/>
              </w:rPr>
              <w:t>30</w:t>
            </w:r>
            <w:r>
              <w:rPr>
                <w:rFonts w:hint="eastAsia" w:ascii="宋体" w:hAnsi="宋体" w:cs="宋体"/>
                <w:color w:val="000000"/>
                <w:sz w:val="24"/>
                <w:highlight w:val="none"/>
              </w:rPr>
              <w:t>日开标结束后</w:t>
            </w:r>
          </w:p>
          <w:p w14:paraId="3B20BB4D">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评标地点：江苏嘉加诚工程投资咨询有限公司评标室（无锡市滨湖区鸿桥路879号8楼804室）</w:t>
            </w:r>
          </w:p>
          <w:p w14:paraId="707694C0">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注：</w:t>
            </w:r>
          </w:p>
          <w:p w14:paraId="027F1526">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1、本项目为不见面开标，开标当日，投标供应商仅需在任意地点通过“苏采云不见面开标大厅”参加开标会议，并根据需要使用不见面开标系统与现场开标主持人（采购人或招标代理）进行互动交流、澄清、疑问/询问以及文件传送等活动。</w:t>
            </w:r>
          </w:p>
          <w:p w14:paraId="65885350">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2、投标文件的授权委托书中需明确授权委托人的联系方式（手机），否则如由于无法及时联系相关授权委托人而造成的一切后果由各投标供应商自行承担。</w:t>
            </w:r>
          </w:p>
        </w:tc>
      </w:tr>
      <w:tr w14:paraId="27FAD9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vAlign w:val="center"/>
          </w:tcPr>
          <w:p w14:paraId="4FAF05DF">
            <w:pPr>
              <w:widowControl/>
              <w:spacing w:line="360" w:lineRule="auto"/>
              <w:jc w:val="center"/>
              <w:rPr>
                <w:rFonts w:ascii="宋体" w:hAnsi="宋体" w:cs="宋体"/>
                <w:color w:val="000000"/>
                <w:sz w:val="24"/>
                <w:highlight w:val="none"/>
              </w:rPr>
            </w:pPr>
            <w:r>
              <w:rPr>
                <w:rFonts w:hint="eastAsia" w:ascii="宋体" w:hAnsi="宋体" w:cs="宋体"/>
                <w:color w:val="000000"/>
                <w:sz w:val="24"/>
                <w:highlight w:val="none"/>
              </w:rPr>
              <w:t>11</w:t>
            </w:r>
          </w:p>
        </w:tc>
        <w:tc>
          <w:tcPr>
            <w:tcW w:w="8166" w:type="dxa"/>
            <w:vAlign w:val="center"/>
          </w:tcPr>
          <w:p w14:paraId="0BE5C733">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确定中标单位时间：2025年</w:t>
            </w:r>
            <w:r>
              <w:rPr>
                <w:rFonts w:hint="eastAsia" w:ascii="宋体" w:hAnsi="宋体" w:cs="宋体"/>
                <w:color w:val="000000"/>
                <w:sz w:val="24"/>
                <w:highlight w:val="none"/>
                <w:lang w:val="en-US" w:eastAsia="zh-CN"/>
              </w:rPr>
              <w:t>5</w:t>
            </w:r>
            <w:r>
              <w:rPr>
                <w:rFonts w:hint="eastAsia" w:ascii="宋体" w:hAnsi="宋体" w:cs="宋体"/>
                <w:color w:val="000000"/>
                <w:sz w:val="24"/>
                <w:highlight w:val="none"/>
              </w:rPr>
              <w:t>月</w:t>
            </w:r>
            <w:r>
              <w:rPr>
                <w:rFonts w:hint="eastAsia" w:ascii="宋体" w:hAnsi="宋体" w:cs="宋体"/>
                <w:color w:val="000000"/>
                <w:sz w:val="24"/>
                <w:highlight w:val="none"/>
                <w:lang w:val="en-US" w:eastAsia="zh-CN"/>
              </w:rPr>
              <w:t>30</w:t>
            </w:r>
            <w:r>
              <w:rPr>
                <w:rFonts w:hint="eastAsia" w:ascii="宋体" w:hAnsi="宋体" w:cs="宋体"/>
                <w:color w:val="000000"/>
                <w:sz w:val="24"/>
                <w:highlight w:val="none"/>
              </w:rPr>
              <w:t>日评审结束</w:t>
            </w:r>
          </w:p>
          <w:p w14:paraId="0DBFB4D6">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确定中标单位地点：江苏嘉加诚工程投资咨询有限公司评标室（无锡市滨湖区鸿桥路879号8楼804室）</w:t>
            </w:r>
          </w:p>
        </w:tc>
      </w:tr>
      <w:tr w14:paraId="5A285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vAlign w:val="center"/>
          </w:tcPr>
          <w:p w14:paraId="7755468F">
            <w:pPr>
              <w:widowControl/>
              <w:spacing w:line="360" w:lineRule="auto"/>
              <w:jc w:val="center"/>
              <w:rPr>
                <w:rFonts w:ascii="宋体" w:hAnsi="宋体" w:cs="宋体"/>
                <w:color w:val="000000"/>
                <w:sz w:val="24"/>
                <w:highlight w:val="none"/>
              </w:rPr>
            </w:pPr>
            <w:r>
              <w:rPr>
                <w:rFonts w:hint="eastAsia" w:ascii="宋体" w:hAnsi="宋体" w:cs="宋体"/>
                <w:color w:val="000000"/>
                <w:sz w:val="24"/>
                <w:highlight w:val="none"/>
              </w:rPr>
              <w:t>12</w:t>
            </w:r>
          </w:p>
        </w:tc>
        <w:tc>
          <w:tcPr>
            <w:tcW w:w="8166" w:type="dxa"/>
            <w:vAlign w:val="center"/>
          </w:tcPr>
          <w:p w14:paraId="312C9E37">
            <w:pPr>
              <w:widowControl/>
              <w:spacing w:line="360" w:lineRule="auto"/>
              <w:rPr>
                <w:rFonts w:ascii="宋体" w:hAnsi="宋体" w:cs="宋体"/>
                <w:b/>
                <w:bCs/>
                <w:color w:val="000000"/>
                <w:sz w:val="24"/>
                <w:highlight w:val="none"/>
              </w:rPr>
            </w:pPr>
            <w:r>
              <w:rPr>
                <w:rFonts w:hint="eastAsia" w:ascii="宋体" w:hAnsi="宋体" w:cs="宋体"/>
                <w:b/>
                <w:bCs/>
                <w:color w:val="000000"/>
                <w:sz w:val="24"/>
                <w:highlight w:val="none"/>
              </w:rPr>
              <w:t>投标文件制作要求：</w:t>
            </w:r>
          </w:p>
          <w:p w14:paraId="6046A41E">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1.因本项目作为采用线上电子开评标</w:t>
            </w:r>
            <w:r>
              <w:rPr>
                <w:rFonts w:hint="eastAsia" w:ascii="宋体" w:hAnsi="宋体" w:cs="宋体"/>
                <w:b/>
                <w:bCs/>
                <w:color w:val="000000"/>
                <w:sz w:val="24"/>
                <w:highlight w:val="none"/>
              </w:rPr>
              <w:t>（网上不见面开标）</w:t>
            </w:r>
            <w:r>
              <w:rPr>
                <w:rFonts w:hint="eastAsia" w:ascii="宋体" w:hAnsi="宋体" w:cs="宋体"/>
                <w:color w:val="000000"/>
                <w:sz w:val="24"/>
                <w:highlight w:val="none"/>
              </w:rPr>
              <w:t>，供应商在苏采云系统规定的时间内对投标文件进行解密。</w:t>
            </w:r>
          </w:p>
          <w:p w14:paraId="6DAB7629">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2.中标供应商在收到中标通知书后与采购人签订合同前，必须提供与系统中电子投标文件一致的纸质投标文件一式二份。</w:t>
            </w:r>
          </w:p>
          <w:p w14:paraId="7D36E0A6">
            <w:pPr>
              <w:widowControl/>
              <w:spacing w:line="360" w:lineRule="auto"/>
              <w:rPr>
                <w:rFonts w:ascii="宋体" w:hAnsi="宋体" w:cs="宋体"/>
                <w:b/>
                <w:bCs/>
                <w:color w:val="000000"/>
                <w:sz w:val="24"/>
                <w:highlight w:val="none"/>
              </w:rPr>
            </w:pPr>
            <w:r>
              <w:rPr>
                <w:rFonts w:hint="eastAsia" w:ascii="宋体" w:hAnsi="宋体" w:cs="宋体"/>
                <w:b/>
                <w:bCs/>
                <w:color w:val="000000"/>
                <w:sz w:val="24"/>
                <w:highlight w:val="none"/>
              </w:rPr>
              <w:t>3.供应商请仔细阅读供应商注册流程和公开招标文件中关于电子开评标等相关事项，如有问题可发送邮件或移动电话咨询。</w:t>
            </w:r>
          </w:p>
          <w:p w14:paraId="58ED15B7">
            <w:pPr>
              <w:widowControl/>
              <w:spacing w:line="360" w:lineRule="auto"/>
              <w:rPr>
                <w:rFonts w:ascii="宋体" w:hAnsi="宋体" w:cs="宋体"/>
                <w:color w:val="000000"/>
                <w:sz w:val="24"/>
                <w:highlight w:val="none"/>
              </w:rPr>
            </w:pPr>
            <w:r>
              <w:rPr>
                <w:rFonts w:hint="eastAsia" w:ascii="宋体" w:hAnsi="宋体" w:cs="宋体"/>
                <w:b/>
                <w:bCs/>
                <w:color w:val="000000"/>
                <w:sz w:val="24"/>
                <w:highlight w:val="none"/>
              </w:rPr>
              <w:t>4.本次采购采用“苏采云”系统进行采购活动，招标文件发布、报价、评审和中标结果发布全程电子化。</w:t>
            </w:r>
          </w:p>
        </w:tc>
      </w:tr>
      <w:tr w14:paraId="64B4A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1392" w:type="dxa"/>
            <w:vAlign w:val="center"/>
          </w:tcPr>
          <w:p w14:paraId="38FFC260">
            <w:pPr>
              <w:widowControl/>
              <w:spacing w:line="360" w:lineRule="auto"/>
              <w:jc w:val="center"/>
              <w:rPr>
                <w:rFonts w:ascii="宋体" w:hAnsi="宋体" w:cs="宋体"/>
                <w:color w:val="000000"/>
                <w:sz w:val="24"/>
                <w:highlight w:val="none"/>
              </w:rPr>
            </w:pPr>
            <w:r>
              <w:rPr>
                <w:rFonts w:hint="eastAsia" w:ascii="宋体" w:hAnsi="宋体" w:cs="宋体"/>
                <w:color w:val="000000"/>
                <w:sz w:val="24"/>
                <w:highlight w:val="none"/>
              </w:rPr>
              <w:t>13</w:t>
            </w:r>
          </w:p>
        </w:tc>
        <w:tc>
          <w:tcPr>
            <w:tcW w:w="8166" w:type="dxa"/>
            <w:vAlign w:val="center"/>
          </w:tcPr>
          <w:p w14:paraId="641F2996">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项目预算：68.463万元</w:t>
            </w:r>
          </w:p>
          <w:p w14:paraId="1DDE553C">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最高限价：68.463万元</w:t>
            </w:r>
          </w:p>
        </w:tc>
      </w:tr>
      <w:tr w14:paraId="6097B3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vAlign w:val="center"/>
          </w:tcPr>
          <w:p w14:paraId="16F5D006">
            <w:pPr>
              <w:widowControl/>
              <w:spacing w:line="360" w:lineRule="auto"/>
              <w:jc w:val="center"/>
              <w:rPr>
                <w:rFonts w:ascii="宋体" w:hAnsi="宋体" w:cs="宋体"/>
                <w:color w:val="000000"/>
                <w:sz w:val="24"/>
                <w:highlight w:val="none"/>
              </w:rPr>
            </w:pPr>
            <w:r>
              <w:rPr>
                <w:rFonts w:hint="eastAsia" w:ascii="宋体" w:hAnsi="宋体" w:cs="宋体"/>
                <w:color w:val="000000"/>
                <w:sz w:val="24"/>
                <w:highlight w:val="none"/>
              </w:rPr>
              <w:t>14</w:t>
            </w:r>
          </w:p>
        </w:tc>
        <w:tc>
          <w:tcPr>
            <w:tcW w:w="8166" w:type="dxa"/>
            <w:vAlign w:val="center"/>
          </w:tcPr>
          <w:p w14:paraId="3B74ECD1">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有关本次采购活动程序方面的问题，可来人、来函（传真）或电话联系。</w:t>
            </w:r>
          </w:p>
          <w:p w14:paraId="641552F6">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1）采购人：无锡市河湖治理和水资源管理中心</w:t>
            </w:r>
          </w:p>
          <w:p w14:paraId="0A310F7D">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联系人：许工</w:t>
            </w:r>
          </w:p>
          <w:p w14:paraId="30711018">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联系电话：0510-80109297</w:t>
            </w:r>
          </w:p>
          <w:p w14:paraId="5E6F0CA8">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联系地址：无锡市滨湖区建筑西路599-2</w:t>
            </w:r>
          </w:p>
          <w:p w14:paraId="11CF83BA">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2）采购代理机构：江苏嘉加诚工程投资咨询有限公司 </w:t>
            </w:r>
          </w:p>
          <w:p w14:paraId="45DBF2A6">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联系人：虞青</w:t>
            </w:r>
          </w:p>
          <w:p w14:paraId="1DA4D25D">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联系电话：0510-66810081 </w:t>
            </w:r>
          </w:p>
          <w:p w14:paraId="574430B7">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联系地址：无锡市滨湖区鸿桥路879号8楼</w:t>
            </w:r>
          </w:p>
          <w:p w14:paraId="67EA1CBA">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邮政编码：214000       </w:t>
            </w:r>
          </w:p>
          <w:p w14:paraId="563DE92E">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电子邮件地址：jsjjcwx@qq.com</w:t>
            </w:r>
          </w:p>
        </w:tc>
      </w:tr>
      <w:tr w14:paraId="4D00B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vAlign w:val="center"/>
          </w:tcPr>
          <w:p w14:paraId="55554AAC">
            <w:pPr>
              <w:widowControl/>
              <w:spacing w:line="360" w:lineRule="auto"/>
              <w:jc w:val="center"/>
              <w:rPr>
                <w:rFonts w:ascii="宋体" w:hAnsi="宋体" w:cs="宋体"/>
                <w:color w:val="000000"/>
                <w:sz w:val="24"/>
                <w:highlight w:val="none"/>
              </w:rPr>
            </w:pPr>
            <w:r>
              <w:rPr>
                <w:rFonts w:hint="eastAsia" w:ascii="宋体" w:hAnsi="宋体" w:cs="宋体"/>
                <w:color w:val="000000"/>
                <w:sz w:val="24"/>
                <w:highlight w:val="none"/>
              </w:rPr>
              <w:t>15</w:t>
            </w:r>
          </w:p>
        </w:tc>
        <w:tc>
          <w:tcPr>
            <w:tcW w:w="8166" w:type="dxa"/>
            <w:vAlign w:val="center"/>
          </w:tcPr>
          <w:p w14:paraId="5A1FE944">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其他事项：</w:t>
            </w:r>
          </w:p>
          <w:p w14:paraId="783FC08D">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1.请有意参加本项目投标的投标供应商按以下流程进行操作：</w:t>
            </w:r>
          </w:p>
          <w:p w14:paraId="44DC698B">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（1）访问“无锡政府采购网”点击“江苏省政府采购（苏采云）平台”（以下简称“苏采云”）进行账号注册，注册完成后需在系统中填写资质信息并提交审核。也可以直接通过http://jszfcg.jsczt.cn/进入注册界面。</w:t>
            </w:r>
          </w:p>
          <w:p w14:paraId="73108047">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（2）办理“意源”CA数字证书和“方正”电子签章（办理地址：无锡市滨湖区观山路199号12号楼二楼9号、10号窗口），办理指南链接：http://jsxcmm.com/help/help.html。</w:t>
            </w:r>
          </w:p>
          <w:p w14:paraId="09EC5F0F">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（3）CA驱动下载：在“江苏省政府采购（苏采云）平台”账号登录页面，点击“驱动下载”链接中的“政务CA、方正签章控件驱动安装包及安装说明”可以直接下载驱动安装包，安装包中附有驱动安装手册。</w:t>
            </w:r>
          </w:p>
          <w:p w14:paraId="1AA1FCA6">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（4）技术服务电话：0510-81827781（服务时间：工作日9:00-11:30,13:00-17:00）</w:t>
            </w:r>
          </w:p>
          <w:p w14:paraId="5BD9D37A">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2.完成苏采云注册的供应商方可在苏采云中进行CA绑定。登录“江苏省政府采购（苏采云）平台”，插入CA后，点击【账号设置】——【绑定CA】。</w:t>
            </w:r>
          </w:p>
          <w:p w14:paraId="261FA7FE">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3.供应商应按上述要求提供相关材料及注册登记信息，所提供的材料应均是真实的、准确的，若有违背，供应商自行承担由此而产生的一切后果。</w:t>
            </w:r>
          </w:p>
          <w:p w14:paraId="43A82055">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HYPERLINK "http://cz.wuxi.gov.cn/doc/2023/10/11/4080287.shtml" \t "_blank" \o "\“苏采云\”系统供应商操作手册"</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“苏采云”系统供应商操作手册</w:t>
            </w:r>
            <w:r>
              <w:rPr>
                <w:rFonts w:hint="eastAsia" w:ascii="宋体" w:hAnsi="宋体" w:cs="宋体"/>
                <w:color w:val="000000"/>
                <w:sz w:val="24"/>
                <w:highlight w:val="none"/>
              </w:rPr>
              <w:fldChar w:fldCharType="end"/>
            </w:r>
            <w:r>
              <w:rPr>
                <w:rFonts w:hint="eastAsia" w:ascii="宋体" w:hAnsi="宋体" w:cs="宋体"/>
                <w:color w:val="000000"/>
                <w:sz w:val="24"/>
                <w:highlight w:val="none"/>
              </w:rPr>
              <w:t>。</w:t>
            </w:r>
          </w:p>
          <w:p w14:paraId="1B45F00B">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技术支持QQ：孙先生：442456465；王先生：1476328133。</w:t>
            </w:r>
          </w:p>
          <w:p w14:paraId="0A9ED731">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5、供应商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2BF3194E">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特别提醒：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w:t>
            </w:r>
          </w:p>
        </w:tc>
      </w:tr>
    </w:tbl>
    <w:p w14:paraId="01ED1FBD">
      <w:pPr>
        <w:spacing w:line="360" w:lineRule="auto"/>
        <w:jc w:val="center"/>
        <w:rPr>
          <w:rFonts w:ascii="黑体" w:hAnsi="黑体" w:eastAsia="黑体"/>
          <w:b/>
          <w:color w:val="000000"/>
          <w:sz w:val="44"/>
          <w:szCs w:val="44"/>
          <w:highlight w:val="none"/>
        </w:rPr>
      </w:pPr>
      <w:r>
        <w:rPr>
          <w:rFonts w:hint="eastAsia" w:ascii="黑体" w:hAnsi="黑体" w:eastAsia="黑体"/>
          <w:b/>
          <w:color w:val="000000"/>
          <w:sz w:val="44"/>
          <w:szCs w:val="44"/>
          <w:highlight w:val="none"/>
        </w:rPr>
        <w:br w:type="page" w:clear="all"/>
      </w:r>
      <w:r>
        <w:rPr>
          <w:rFonts w:hint="eastAsia" w:ascii="黑体" w:hAnsi="黑体" w:eastAsia="黑体"/>
          <w:b/>
          <w:color w:val="000000"/>
          <w:sz w:val="44"/>
          <w:szCs w:val="44"/>
          <w:highlight w:val="none"/>
        </w:rPr>
        <w:t>第二部分. 投标人须知</w:t>
      </w:r>
    </w:p>
    <w:p w14:paraId="23EB94E5">
      <w:pPr>
        <w:spacing w:line="360" w:lineRule="auto"/>
        <w:ind w:firstLine="240"/>
        <w:outlineLvl w:val="0"/>
        <w:rPr>
          <w:rFonts w:ascii="宋体" w:hAnsi="宋体"/>
          <w:color w:val="000000"/>
          <w:sz w:val="24"/>
          <w:highlight w:val="none"/>
        </w:rPr>
      </w:pPr>
      <w:r>
        <w:rPr>
          <w:rFonts w:hint="eastAsia" w:ascii="宋体" w:hAnsi="宋体"/>
          <w:color w:val="000000"/>
          <w:sz w:val="24"/>
          <w:highlight w:val="none"/>
        </w:rPr>
        <w:t>（一）遵循原则：</w:t>
      </w:r>
    </w:p>
    <w:p w14:paraId="56087D8F">
      <w:pPr>
        <w:spacing w:line="360" w:lineRule="auto"/>
        <w:ind w:firstLine="240"/>
        <w:rPr>
          <w:rFonts w:ascii="宋体" w:hAnsi="宋体"/>
          <w:color w:val="000000"/>
          <w:sz w:val="24"/>
          <w:highlight w:val="none"/>
        </w:rPr>
      </w:pPr>
      <w:r>
        <w:rPr>
          <w:rFonts w:hint="eastAsia" w:ascii="宋体" w:hAnsi="宋体"/>
          <w:color w:val="000000"/>
          <w:sz w:val="24"/>
          <w:highlight w:val="none"/>
        </w:rPr>
        <w:t>公开透明原则、公平竞争原则、公正原则和诚实信用原则。</w:t>
      </w:r>
    </w:p>
    <w:p w14:paraId="106129EA">
      <w:pPr>
        <w:spacing w:line="360" w:lineRule="auto"/>
        <w:ind w:firstLine="240"/>
        <w:outlineLvl w:val="0"/>
        <w:rPr>
          <w:rFonts w:ascii="宋体" w:hAnsi="宋体"/>
          <w:color w:val="000000"/>
          <w:sz w:val="24"/>
          <w:highlight w:val="none"/>
        </w:rPr>
      </w:pPr>
      <w:r>
        <w:rPr>
          <w:rFonts w:hint="eastAsia" w:ascii="宋体" w:hAnsi="宋体"/>
          <w:color w:val="000000"/>
          <w:sz w:val="24"/>
          <w:highlight w:val="none"/>
        </w:rPr>
        <w:t>（二）招标文件：</w:t>
      </w:r>
    </w:p>
    <w:p w14:paraId="4C59F850">
      <w:pPr>
        <w:spacing w:line="360" w:lineRule="auto"/>
        <w:ind w:firstLine="360"/>
        <w:rPr>
          <w:rFonts w:ascii="宋体" w:hAnsi="宋体"/>
          <w:color w:val="000000"/>
          <w:sz w:val="24"/>
          <w:highlight w:val="none"/>
        </w:rPr>
      </w:pPr>
      <w:r>
        <w:rPr>
          <w:rFonts w:hint="eastAsia" w:ascii="宋体" w:hAnsi="宋体"/>
          <w:color w:val="000000"/>
          <w:sz w:val="24"/>
          <w:highlight w:val="none"/>
        </w:rPr>
        <w:t>1．招标文件包括文件目录所列全部内容，投标人应仔细阅读，并在投标文件中充分响应招标文件的所有要求。</w:t>
      </w:r>
    </w:p>
    <w:p w14:paraId="52CB5AED">
      <w:pPr>
        <w:spacing w:line="360" w:lineRule="auto"/>
        <w:ind w:firstLine="360"/>
        <w:rPr>
          <w:rFonts w:ascii="宋体" w:hAnsi="宋体"/>
          <w:color w:val="000000"/>
          <w:sz w:val="24"/>
          <w:highlight w:val="none"/>
        </w:rPr>
      </w:pPr>
      <w:r>
        <w:rPr>
          <w:rFonts w:hint="eastAsia" w:ascii="宋体" w:hAnsi="宋体"/>
          <w:color w:val="000000"/>
          <w:sz w:val="24"/>
          <w:highlight w:val="none"/>
        </w:rPr>
        <w:t>2. 招标文件中的“营业执照”是指投标人的营业执照或相关部门的登记证明文件，“法定代表人”是指投标人的营业执照或相关部门的登记证明文件中的“法定代表人”或“负责人”。</w:t>
      </w:r>
    </w:p>
    <w:p w14:paraId="1888C216">
      <w:pPr>
        <w:spacing w:line="360" w:lineRule="auto"/>
        <w:ind w:firstLine="360"/>
        <w:rPr>
          <w:rFonts w:ascii="宋体" w:hAnsi="宋体"/>
          <w:color w:val="000000"/>
          <w:sz w:val="24"/>
          <w:highlight w:val="none"/>
        </w:rPr>
      </w:pPr>
      <w:r>
        <w:rPr>
          <w:rFonts w:hint="eastAsia" w:ascii="宋体" w:hAnsi="宋体"/>
          <w:color w:val="000000"/>
          <w:sz w:val="24"/>
          <w:highlight w:val="none"/>
        </w:rPr>
        <w:t>3．投标人应下载招标文件及有关资料，按招标文件要求提交全部资料并对招标文件各项内容做出实质性响应，否则该投标人的投标无效。</w:t>
      </w:r>
    </w:p>
    <w:p w14:paraId="0555CA8C">
      <w:pPr>
        <w:spacing w:line="360" w:lineRule="auto"/>
        <w:ind w:firstLine="360"/>
        <w:rPr>
          <w:rFonts w:ascii="宋体" w:hAnsi="宋体"/>
          <w:color w:val="000000"/>
          <w:sz w:val="24"/>
          <w:highlight w:val="none"/>
        </w:rPr>
      </w:pPr>
      <w:r>
        <w:rPr>
          <w:rFonts w:hint="eastAsia" w:ascii="宋体" w:hAnsi="宋体"/>
          <w:color w:val="000000"/>
          <w:sz w:val="24"/>
          <w:highlight w:val="none"/>
        </w:rPr>
        <w:t>4．招标文件一经售出、一律不退，且仅作为本次采购招标使用。</w:t>
      </w:r>
    </w:p>
    <w:p w14:paraId="380627C1">
      <w:pPr>
        <w:spacing w:line="360" w:lineRule="auto"/>
        <w:ind w:firstLine="240"/>
        <w:outlineLvl w:val="0"/>
        <w:rPr>
          <w:rFonts w:ascii="宋体" w:hAnsi="宋体"/>
          <w:color w:val="000000"/>
          <w:sz w:val="24"/>
          <w:highlight w:val="none"/>
        </w:rPr>
      </w:pPr>
      <w:r>
        <w:rPr>
          <w:rFonts w:hint="eastAsia" w:ascii="宋体" w:hAnsi="宋体"/>
          <w:color w:val="000000"/>
          <w:sz w:val="24"/>
          <w:highlight w:val="none"/>
        </w:rPr>
        <w:t>（三）招标文件的解释：</w:t>
      </w:r>
    </w:p>
    <w:p w14:paraId="2718AB0E">
      <w:pPr>
        <w:spacing w:line="360" w:lineRule="auto"/>
        <w:ind w:firstLine="480"/>
        <w:rPr>
          <w:rFonts w:ascii="宋体" w:hAnsi="宋体"/>
          <w:color w:val="000000"/>
          <w:sz w:val="24"/>
          <w:highlight w:val="none"/>
        </w:rPr>
      </w:pPr>
      <w:r>
        <w:rPr>
          <w:rFonts w:hint="eastAsia" w:ascii="宋体" w:hAnsi="宋体"/>
          <w:color w:val="000000"/>
          <w:sz w:val="24"/>
          <w:highlight w:val="none"/>
        </w:rPr>
        <w:t>1．投标人如有需要对招标文件要求澄清的问题，请以书面方式提出，并按“投标邀请”第6项规定的时间发送至指定地点，联系方式详见投标邀请第14项。</w:t>
      </w:r>
    </w:p>
    <w:p w14:paraId="0BAE208B">
      <w:pPr>
        <w:spacing w:line="360" w:lineRule="auto"/>
        <w:ind w:firstLine="480"/>
        <w:rPr>
          <w:rFonts w:ascii="宋体" w:hAnsi="宋体"/>
          <w:color w:val="000000"/>
          <w:sz w:val="24"/>
          <w:highlight w:val="none"/>
        </w:rPr>
      </w:pPr>
      <w:r>
        <w:rPr>
          <w:rFonts w:hint="eastAsia" w:ascii="宋体" w:hAnsi="宋体"/>
          <w:color w:val="000000"/>
          <w:sz w:val="24"/>
          <w:highlight w:val="none"/>
        </w:rPr>
        <w:t>2．采购人、江苏嘉加诚工程投资咨询有限公司将按“投标邀请”第6项规定的时间对投标人针对招标文件书面提出的要求澄清的问题进行书面答疑。</w:t>
      </w:r>
    </w:p>
    <w:p w14:paraId="5B8CB8D1">
      <w:pPr>
        <w:spacing w:line="360" w:lineRule="auto"/>
        <w:ind w:firstLine="480"/>
        <w:rPr>
          <w:rFonts w:ascii="宋体" w:hAnsi="宋体"/>
          <w:color w:val="000000"/>
          <w:sz w:val="24"/>
          <w:highlight w:val="none"/>
        </w:rPr>
      </w:pPr>
      <w:r>
        <w:rPr>
          <w:rFonts w:hint="eastAsia" w:ascii="宋体" w:hAnsi="宋体"/>
          <w:color w:val="000000"/>
          <w:sz w:val="24"/>
          <w:highlight w:val="none"/>
        </w:rPr>
        <w:t>3．本文件的最终解释权归采购人。</w:t>
      </w:r>
    </w:p>
    <w:p w14:paraId="3AC3A9DA">
      <w:pPr>
        <w:spacing w:line="360" w:lineRule="auto"/>
        <w:ind w:firstLine="240"/>
        <w:outlineLvl w:val="0"/>
        <w:rPr>
          <w:rFonts w:ascii="宋体" w:hAnsi="宋体"/>
          <w:color w:val="000000"/>
          <w:sz w:val="24"/>
          <w:highlight w:val="none"/>
        </w:rPr>
      </w:pPr>
      <w:r>
        <w:rPr>
          <w:rFonts w:hint="eastAsia" w:ascii="宋体" w:hAnsi="宋体"/>
          <w:color w:val="000000"/>
          <w:sz w:val="24"/>
          <w:highlight w:val="none"/>
        </w:rPr>
        <w:t>（四）招标文件的补充或修正：</w:t>
      </w:r>
    </w:p>
    <w:p w14:paraId="5095EB31">
      <w:pPr>
        <w:spacing w:line="360" w:lineRule="auto"/>
        <w:ind w:firstLine="480"/>
        <w:rPr>
          <w:rFonts w:ascii="宋体" w:hAnsi="宋体"/>
          <w:color w:val="000000"/>
          <w:sz w:val="24"/>
          <w:highlight w:val="none"/>
        </w:rPr>
      </w:pPr>
      <w:r>
        <w:rPr>
          <w:rFonts w:hint="eastAsia" w:ascii="宋体" w:hAnsi="宋体"/>
          <w:color w:val="000000"/>
          <w:sz w:val="24"/>
          <w:highlight w:val="none"/>
        </w:rPr>
        <w:t>1．采购人或者采购代理机构可以对已发出的招标文件进行必要的澄清或者修改，澄清或者修改将在江苏政府采购网、无锡政府采购网上发布澄清公告。澄清或者修改的内容为招标文件组成部分，与招标文件具有同等约束力。</w:t>
      </w:r>
    </w:p>
    <w:p w14:paraId="20A59027">
      <w:pPr>
        <w:spacing w:line="360" w:lineRule="auto"/>
        <w:ind w:firstLine="480"/>
        <w:rPr>
          <w:rFonts w:ascii="宋体" w:hAnsi="宋体"/>
          <w:color w:val="000000"/>
          <w:sz w:val="24"/>
          <w:highlight w:val="none"/>
        </w:rPr>
      </w:pPr>
      <w:r>
        <w:rPr>
          <w:rFonts w:hint="eastAsia" w:ascii="宋体" w:hAnsi="宋体"/>
          <w:color w:val="000000"/>
          <w:sz w:val="24"/>
          <w:highlight w:val="none"/>
        </w:rPr>
        <w:t>2. 澄清或者修改的内容可能影响投标文件编制的，采购人或者采购代理机构将在投标截止时间至少15日前，发布澄清公告；不足15日的，采购人或者采购代理机构将顺延提交投标文件的截止时间。</w:t>
      </w:r>
    </w:p>
    <w:p w14:paraId="287A329F">
      <w:pPr>
        <w:spacing w:line="360" w:lineRule="auto"/>
        <w:ind w:firstLine="480"/>
        <w:rPr>
          <w:rFonts w:ascii="宋体" w:hAnsi="宋体"/>
          <w:color w:val="000000"/>
          <w:sz w:val="24"/>
          <w:highlight w:val="none"/>
        </w:rPr>
      </w:pPr>
      <w:r>
        <w:rPr>
          <w:rFonts w:hint="eastAsia" w:ascii="宋体" w:hAnsi="宋体"/>
          <w:color w:val="000000"/>
          <w:sz w:val="24"/>
          <w:highlight w:val="none"/>
        </w:rPr>
        <w:t>3．投标人应在投标截止时间前关注原采购公告媒体上发布的相关更正公告。因投标人未尽注意义务，未及时全面地关注更正公告导致其提交的投标材料不符合招标要求，而造成的损失及风险（包括但不限于未成交）由投标人自行承担。</w:t>
      </w:r>
    </w:p>
    <w:p w14:paraId="0EB51803">
      <w:pPr>
        <w:spacing w:line="360" w:lineRule="auto"/>
        <w:ind w:firstLine="480"/>
        <w:rPr>
          <w:rFonts w:ascii="宋体" w:hAnsi="宋体"/>
          <w:color w:val="000000"/>
          <w:sz w:val="24"/>
          <w:highlight w:val="none"/>
        </w:rPr>
      </w:pPr>
      <w:r>
        <w:rPr>
          <w:rFonts w:hint="eastAsia" w:ascii="宋体" w:hAnsi="宋体"/>
          <w:color w:val="000000"/>
          <w:sz w:val="24"/>
          <w:highlight w:val="none"/>
        </w:rPr>
        <w:t>4．</w:t>
      </w:r>
      <w:r>
        <w:rPr>
          <w:rFonts w:hint="eastAsia" w:ascii="宋体" w:hAnsi="宋体"/>
          <w:sz w:val="24"/>
          <w:szCs w:val="20"/>
          <w:highlight w:val="none"/>
        </w:rPr>
        <w:t>投标人认为招标文件使自己的权益受到损害的，可以自获取招标文件之日或者招标公告期限届满之日（公告期限届满后获取招标文件的，以公告期限届满之日为准）起7个工作日内，以书面形式（</w:t>
      </w:r>
      <w:r>
        <w:rPr>
          <w:rFonts w:hint="eastAsia" w:ascii="宋体" w:hAnsi="宋体"/>
          <w:sz w:val="24"/>
          <w:highlight w:val="none"/>
        </w:rPr>
        <w:t>含电子邮件</w:t>
      </w:r>
      <w:r>
        <w:rPr>
          <w:rFonts w:hint="eastAsia" w:ascii="宋体" w:hAnsi="宋体"/>
          <w:sz w:val="24"/>
          <w:szCs w:val="20"/>
          <w:highlight w:val="none"/>
        </w:rPr>
        <w:t>）向采购人、采购代理机构提出质疑。针对同一采购程序环节的质疑，须在法定质疑期内一次性提出。质疑函的质疑事项应具体、明确，并有必要的事实依据和法律依据（格式详见中国政府采购网《政府采购供应商质疑函范本》）。江苏嘉加诚工程投资咨询有限公司将在收到符合上述要求的书面质疑后七个工作日内，对质疑内容作出答复。投标人在法定质疑期限外送达的质疑函或法定质疑期限内送达的质疑函不符合上述要求的均为无效质疑，江苏嘉加诚工程投资咨询有限公司对无效质疑不予受理。</w:t>
      </w:r>
    </w:p>
    <w:p w14:paraId="590D21E3">
      <w:pPr>
        <w:spacing w:line="360" w:lineRule="auto"/>
        <w:ind w:firstLine="240"/>
        <w:outlineLvl w:val="0"/>
        <w:rPr>
          <w:rFonts w:ascii="宋体" w:hAnsi="宋体"/>
          <w:color w:val="000000"/>
          <w:sz w:val="24"/>
          <w:highlight w:val="none"/>
        </w:rPr>
      </w:pPr>
      <w:r>
        <w:rPr>
          <w:rFonts w:hint="eastAsia" w:ascii="宋体" w:hAnsi="宋体"/>
          <w:color w:val="000000"/>
          <w:sz w:val="24"/>
          <w:highlight w:val="none"/>
        </w:rPr>
        <w:t>（五）投标文件的组成</w:t>
      </w:r>
      <w:r>
        <w:rPr>
          <w:rFonts w:hint="eastAsia" w:ascii="宋体" w:hAnsi="宋体"/>
          <w:b/>
          <w:bCs/>
          <w:color w:val="000000"/>
          <w:sz w:val="24"/>
          <w:highlight w:val="none"/>
        </w:rPr>
        <w:t>（相应内容上传至投标客户端）</w:t>
      </w:r>
      <w:r>
        <w:rPr>
          <w:rFonts w:hint="eastAsia" w:ascii="宋体" w:hAnsi="宋体"/>
          <w:color w:val="000000"/>
          <w:sz w:val="24"/>
          <w:highlight w:val="none"/>
        </w:rPr>
        <w:t>：</w:t>
      </w:r>
    </w:p>
    <w:p w14:paraId="5CD7AC78">
      <w:pPr>
        <w:numPr>
          <w:ilvl w:val="0"/>
          <w:numId w:val="12"/>
        </w:numPr>
        <w:tabs>
          <w:tab w:val="left" w:pos="525"/>
          <w:tab w:val="left" w:pos="945"/>
        </w:tabs>
        <w:spacing w:line="360" w:lineRule="auto"/>
        <w:ind w:left="1" w:firstLine="523"/>
        <w:rPr>
          <w:rFonts w:ascii="宋体" w:hAnsi="宋体"/>
          <w:bCs/>
          <w:color w:val="000000"/>
          <w:sz w:val="24"/>
          <w:highlight w:val="none"/>
        </w:rPr>
      </w:pPr>
      <w:r>
        <w:rPr>
          <w:rFonts w:hint="eastAsia" w:ascii="宋体" w:hAnsi="宋体"/>
          <w:bCs/>
          <w:color w:val="000000"/>
          <w:sz w:val="24"/>
          <w:highlight w:val="none"/>
        </w:rPr>
        <w:t>投标函（</w:t>
      </w:r>
      <w:r>
        <w:rPr>
          <w:rFonts w:hint="eastAsia" w:ascii="宋体" w:hAnsi="宋体"/>
          <w:b/>
          <w:bCs/>
          <w:color w:val="000000"/>
          <w:sz w:val="24"/>
          <w:highlight w:val="none"/>
        </w:rPr>
        <w:t>格式见附件）</w:t>
      </w:r>
    </w:p>
    <w:p w14:paraId="00172BD0">
      <w:pPr>
        <w:numPr>
          <w:ilvl w:val="0"/>
          <w:numId w:val="12"/>
        </w:numPr>
        <w:tabs>
          <w:tab w:val="left" w:pos="525"/>
          <w:tab w:val="left" w:pos="945"/>
        </w:tabs>
        <w:spacing w:line="360" w:lineRule="auto"/>
        <w:ind w:left="0" w:firstLine="523"/>
        <w:rPr>
          <w:rFonts w:ascii="宋体" w:hAnsi="宋体"/>
          <w:bCs/>
          <w:color w:val="000000"/>
          <w:sz w:val="24"/>
          <w:highlight w:val="none"/>
        </w:rPr>
      </w:pPr>
      <w:r>
        <w:rPr>
          <w:rFonts w:hint="eastAsia" w:ascii="宋体" w:hAnsi="宋体"/>
          <w:bCs/>
          <w:color w:val="000000"/>
          <w:sz w:val="24"/>
          <w:highlight w:val="none"/>
        </w:rPr>
        <w:t>证明文件部分：</w:t>
      </w:r>
    </w:p>
    <w:p w14:paraId="21E732A5">
      <w:pPr>
        <w:spacing w:line="360" w:lineRule="auto"/>
        <w:ind w:firstLine="480"/>
        <w:rPr>
          <w:rFonts w:ascii="宋体" w:hAnsi="宋体"/>
          <w:color w:val="000000"/>
          <w:sz w:val="24"/>
          <w:highlight w:val="none"/>
        </w:rPr>
      </w:pPr>
      <w:r>
        <w:rPr>
          <w:rFonts w:hint="eastAsia" w:ascii="宋体" w:hAnsi="宋体"/>
          <w:color w:val="000000"/>
          <w:sz w:val="24"/>
          <w:highlight w:val="none"/>
        </w:rPr>
        <w:t>（1）关于资格的声明函；</w:t>
      </w:r>
      <w:r>
        <w:rPr>
          <w:rFonts w:hint="eastAsia" w:ascii="宋体" w:hAnsi="宋体"/>
          <w:bCs/>
          <w:color w:val="000000"/>
          <w:sz w:val="24"/>
          <w:highlight w:val="none"/>
        </w:rPr>
        <w:t>（</w:t>
      </w:r>
      <w:r>
        <w:rPr>
          <w:rFonts w:hint="eastAsia" w:ascii="宋体" w:hAnsi="宋体"/>
          <w:b/>
          <w:bCs/>
          <w:color w:val="000000"/>
          <w:sz w:val="24"/>
          <w:highlight w:val="none"/>
        </w:rPr>
        <w:t>格式见附件）</w:t>
      </w:r>
    </w:p>
    <w:p w14:paraId="5D3AA09F">
      <w:pPr>
        <w:spacing w:line="360" w:lineRule="auto"/>
        <w:ind w:firstLine="480"/>
        <w:rPr>
          <w:rFonts w:ascii="宋体" w:hAnsi="宋体"/>
          <w:color w:val="000000"/>
          <w:sz w:val="24"/>
          <w:highlight w:val="none"/>
        </w:rPr>
      </w:pPr>
      <w:r>
        <w:rPr>
          <w:rFonts w:hint="eastAsia" w:ascii="宋体" w:hAnsi="宋体"/>
          <w:color w:val="000000"/>
          <w:sz w:val="24"/>
          <w:highlight w:val="none"/>
        </w:rPr>
        <w:t>（2）投标人法定代表人授权委托书；</w:t>
      </w:r>
      <w:r>
        <w:rPr>
          <w:rFonts w:hint="eastAsia" w:ascii="宋体" w:hAnsi="宋体"/>
          <w:b/>
          <w:color w:val="000000"/>
          <w:sz w:val="24"/>
          <w:highlight w:val="none"/>
        </w:rPr>
        <w:t>（法定代表人亲自参与投标的除外，格式见附件）</w:t>
      </w:r>
    </w:p>
    <w:p w14:paraId="3C561CF1">
      <w:pPr>
        <w:spacing w:line="360" w:lineRule="auto"/>
        <w:ind w:firstLine="480"/>
        <w:rPr>
          <w:rFonts w:ascii="宋体" w:hAnsi="宋体"/>
          <w:color w:val="000000"/>
          <w:sz w:val="24"/>
          <w:highlight w:val="none"/>
        </w:rPr>
      </w:pPr>
      <w:r>
        <w:rPr>
          <w:rFonts w:hint="eastAsia" w:ascii="宋体" w:hAnsi="宋体"/>
          <w:color w:val="000000"/>
          <w:sz w:val="24"/>
          <w:highlight w:val="none"/>
        </w:rPr>
        <w:t>（3）投标人的法定代表人身份证及被授权委托人的身份证原件扫描件（身份证应为正、反面）；</w:t>
      </w:r>
    </w:p>
    <w:p w14:paraId="6FE01BAB">
      <w:pPr>
        <w:spacing w:line="360" w:lineRule="auto"/>
        <w:ind w:firstLine="480"/>
        <w:rPr>
          <w:rFonts w:ascii="宋体" w:hAnsi="宋体"/>
          <w:b/>
          <w:color w:val="000000"/>
          <w:sz w:val="24"/>
          <w:highlight w:val="none"/>
        </w:rPr>
      </w:pPr>
      <w:r>
        <w:rPr>
          <w:rFonts w:hint="eastAsia" w:ascii="宋体" w:hAnsi="宋体"/>
          <w:color w:val="000000"/>
          <w:sz w:val="24"/>
          <w:highlight w:val="none"/>
        </w:rPr>
        <w:t>（4）投标人有效期内营业执照原件扫描件并加盖公章或签电子公章；</w:t>
      </w:r>
    </w:p>
    <w:p w14:paraId="3E018F1D">
      <w:pPr>
        <w:spacing w:line="360" w:lineRule="auto"/>
        <w:ind w:firstLine="480"/>
        <w:rPr>
          <w:rFonts w:ascii="宋体" w:hAnsi="宋体"/>
          <w:b/>
          <w:color w:val="000000"/>
          <w:sz w:val="24"/>
          <w:highlight w:val="none"/>
        </w:rPr>
      </w:pPr>
      <w:r>
        <w:rPr>
          <w:rFonts w:hint="eastAsia" w:ascii="宋体" w:hAnsi="宋体"/>
          <w:color w:val="000000"/>
          <w:sz w:val="24"/>
          <w:highlight w:val="none"/>
        </w:rPr>
        <w:t>（5）</w:t>
      </w:r>
      <w:r>
        <w:rPr>
          <w:rFonts w:hint="eastAsia" w:ascii="宋体" w:hAnsi="宋体"/>
          <w:bCs/>
          <w:color w:val="000000"/>
          <w:sz w:val="24"/>
          <w:highlight w:val="none"/>
        </w:rPr>
        <w:t>投标人近一年中任意一个月份（不含开标当月）的财务状况报告（资产负债表和利润表）或由会计师事务所出具的近两年中任意一年度的审计报告和所附已审财务报告原件扫描件并加盖公章或签电子公章；</w:t>
      </w:r>
    </w:p>
    <w:p w14:paraId="0DE9D9F5">
      <w:pPr>
        <w:tabs>
          <w:tab w:val="left" w:pos="0"/>
        </w:tabs>
        <w:spacing w:line="360" w:lineRule="auto"/>
        <w:ind w:firstLine="480"/>
        <w:rPr>
          <w:rFonts w:ascii="宋体" w:hAnsi="宋体"/>
          <w:bCs/>
          <w:color w:val="000000"/>
          <w:sz w:val="24"/>
          <w:highlight w:val="none"/>
        </w:rPr>
      </w:pPr>
      <w:r>
        <w:rPr>
          <w:rFonts w:hint="eastAsia" w:ascii="宋体" w:hAnsi="宋体"/>
          <w:color w:val="000000"/>
          <w:sz w:val="24"/>
          <w:highlight w:val="none"/>
        </w:rPr>
        <w:t>（6）</w:t>
      </w:r>
      <w:r>
        <w:rPr>
          <w:rFonts w:hint="eastAsia" w:ascii="宋体" w:hAnsi="宋体"/>
          <w:bCs/>
          <w:color w:val="000000"/>
          <w:sz w:val="24"/>
          <w:highlight w:val="none"/>
        </w:rPr>
        <w:t>投标人近一年中任意一个月份（不含开标当月）的依法缴纳税收的相关材料（提供相关主管部门证明或银行代扣证明）原件扫描件并加盖公章或签电子公章；</w:t>
      </w:r>
    </w:p>
    <w:p w14:paraId="21E12712">
      <w:pPr>
        <w:tabs>
          <w:tab w:val="left" w:pos="0"/>
        </w:tabs>
        <w:spacing w:line="360" w:lineRule="auto"/>
        <w:ind w:firstLine="480"/>
        <w:rPr>
          <w:rFonts w:ascii="宋体" w:hAnsi="宋体"/>
          <w:bCs/>
          <w:color w:val="000000"/>
          <w:sz w:val="24"/>
          <w:highlight w:val="none"/>
        </w:rPr>
      </w:pPr>
      <w:r>
        <w:rPr>
          <w:rFonts w:hint="eastAsia" w:ascii="宋体" w:hAnsi="宋体"/>
          <w:bCs/>
          <w:color w:val="000000"/>
          <w:sz w:val="24"/>
          <w:highlight w:val="none"/>
        </w:rPr>
        <w:t>（7）投标人近一年中任意一个月份（不含开标当月）的依法缴纳社会保障资金的相关材料（提供相关主管部门证明或银行代扣证明）原件扫描件并加盖公章或签电子公章；</w:t>
      </w:r>
    </w:p>
    <w:p w14:paraId="3555720E">
      <w:pPr>
        <w:spacing w:line="360" w:lineRule="auto"/>
        <w:ind w:firstLine="480"/>
        <w:rPr>
          <w:rFonts w:ascii="宋体" w:hAnsi="宋体"/>
          <w:b/>
          <w:bCs/>
          <w:color w:val="000000"/>
          <w:sz w:val="24"/>
          <w:highlight w:val="none"/>
        </w:rPr>
      </w:pPr>
      <w:r>
        <w:rPr>
          <w:rFonts w:hint="eastAsia" w:ascii="宋体" w:cs="宋体"/>
          <w:color w:val="000000"/>
          <w:sz w:val="24"/>
          <w:highlight w:val="none"/>
          <w:lang w:val="zh-CN"/>
        </w:rPr>
        <w:t>（</w:t>
      </w:r>
      <w:r>
        <w:rPr>
          <w:rFonts w:hint="eastAsia" w:ascii="宋体" w:cs="宋体"/>
          <w:color w:val="000000"/>
          <w:sz w:val="24"/>
          <w:highlight w:val="none"/>
        </w:rPr>
        <w:t>8</w:t>
      </w:r>
      <w:r>
        <w:rPr>
          <w:rFonts w:hint="eastAsia" w:ascii="宋体" w:cs="宋体"/>
          <w:color w:val="000000"/>
          <w:sz w:val="24"/>
          <w:highlight w:val="none"/>
          <w:lang w:val="zh-CN"/>
        </w:rPr>
        <w:t>）</w:t>
      </w:r>
      <w:r>
        <w:rPr>
          <w:rFonts w:hint="eastAsia" w:ascii="宋体" w:hAnsi="宋体" w:cs="宋体"/>
          <w:bCs/>
          <w:color w:val="000000"/>
          <w:sz w:val="24"/>
          <w:highlight w:val="none"/>
        </w:rPr>
        <w:t>被授权委托人与</w:t>
      </w:r>
      <w:r>
        <w:rPr>
          <w:rFonts w:hint="eastAsia" w:ascii="宋体" w:hAnsi="宋体"/>
          <w:bCs/>
          <w:color w:val="000000"/>
          <w:sz w:val="24"/>
          <w:highlight w:val="none"/>
        </w:rPr>
        <w:t>投标人</w:t>
      </w:r>
      <w:r>
        <w:rPr>
          <w:rFonts w:hint="eastAsia" w:ascii="宋体" w:hAnsi="宋体" w:cs="宋体"/>
          <w:bCs/>
          <w:color w:val="000000"/>
          <w:sz w:val="24"/>
          <w:highlight w:val="none"/>
        </w:rPr>
        <w:t>签订的劳动合同和由社保机构出具</w:t>
      </w:r>
      <w:r>
        <w:rPr>
          <w:rFonts w:hint="eastAsia" w:ascii="宋体" w:hAnsi="宋体"/>
          <w:bCs/>
          <w:color w:val="000000"/>
          <w:sz w:val="24"/>
          <w:highlight w:val="none"/>
        </w:rPr>
        <w:t>投标人</w:t>
      </w:r>
      <w:r>
        <w:rPr>
          <w:rFonts w:hint="eastAsia" w:ascii="宋体" w:hAnsi="宋体" w:cs="宋体"/>
          <w:bCs/>
          <w:color w:val="000000"/>
          <w:sz w:val="24"/>
          <w:highlight w:val="none"/>
          <w:lang w:val="zh-CN"/>
        </w:rPr>
        <w:t>为其缴纳的</w:t>
      </w:r>
      <w:r>
        <w:rPr>
          <w:rFonts w:hint="eastAsia" w:ascii="宋体" w:hAnsi="宋体" w:cs="宋体"/>
          <w:bCs/>
          <w:color w:val="000000"/>
          <w:sz w:val="24"/>
          <w:highlight w:val="none"/>
        </w:rPr>
        <w:t>近</w:t>
      </w:r>
      <w:r>
        <w:rPr>
          <w:rFonts w:hint="eastAsia" w:ascii="宋体" w:hAnsi="宋体"/>
          <w:bCs/>
          <w:color w:val="000000"/>
          <w:sz w:val="24"/>
          <w:highlight w:val="none"/>
        </w:rPr>
        <w:t>一年中任意一个月份（不含开标当月）</w:t>
      </w:r>
      <w:r>
        <w:rPr>
          <w:rFonts w:hint="eastAsia" w:ascii="宋体" w:hAnsi="宋体" w:cs="宋体"/>
          <w:bCs/>
          <w:color w:val="000000"/>
          <w:sz w:val="24"/>
          <w:highlight w:val="none"/>
        </w:rPr>
        <w:t>的缴费证明</w:t>
      </w:r>
      <w:r>
        <w:rPr>
          <w:rFonts w:hint="eastAsia" w:ascii="宋体" w:hAnsi="宋体"/>
          <w:bCs/>
          <w:color w:val="000000"/>
          <w:sz w:val="24"/>
          <w:highlight w:val="none"/>
        </w:rPr>
        <w:t>扫描件并加盖公章或签电子公章</w:t>
      </w:r>
      <w:r>
        <w:rPr>
          <w:rFonts w:hint="eastAsia" w:ascii="宋体" w:hAnsi="宋体"/>
          <w:color w:val="000000"/>
          <w:sz w:val="24"/>
          <w:highlight w:val="none"/>
        </w:rPr>
        <w:t>；</w:t>
      </w:r>
    </w:p>
    <w:p w14:paraId="2F3770A1">
      <w:pPr>
        <w:tabs>
          <w:tab w:val="left" w:pos="0"/>
        </w:tabs>
        <w:spacing w:line="360" w:lineRule="auto"/>
        <w:ind w:firstLine="480"/>
        <w:rPr>
          <w:rFonts w:ascii="宋体" w:hAnsi="宋体"/>
          <w:color w:val="000000"/>
          <w:sz w:val="24"/>
          <w:highlight w:val="none"/>
        </w:rPr>
      </w:pPr>
      <w:r>
        <w:rPr>
          <w:rFonts w:hint="eastAsia" w:ascii="宋体" w:hAnsi="宋体"/>
          <w:color w:val="000000"/>
          <w:sz w:val="24"/>
          <w:highlight w:val="none"/>
        </w:rPr>
        <w:t>（9）承诺书；</w:t>
      </w:r>
      <w:r>
        <w:rPr>
          <w:rFonts w:hint="eastAsia" w:ascii="宋体" w:hAnsi="宋体"/>
          <w:b/>
          <w:bCs/>
          <w:color w:val="000000"/>
          <w:sz w:val="24"/>
          <w:highlight w:val="none"/>
        </w:rPr>
        <w:t>（格式见附件）</w:t>
      </w:r>
    </w:p>
    <w:p w14:paraId="45D1E2FD">
      <w:pPr>
        <w:tabs>
          <w:tab w:val="left" w:pos="0"/>
        </w:tabs>
        <w:spacing w:line="360" w:lineRule="auto"/>
        <w:ind w:firstLine="480"/>
        <w:rPr>
          <w:rFonts w:ascii="宋体" w:hAnsi="宋体"/>
          <w:color w:val="000000"/>
          <w:sz w:val="24"/>
          <w:highlight w:val="none"/>
        </w:rPr>
      </w:pPr>
      <w:r>
        <w:rPr>
          <w:rFonts w:hint="eastAsia" w:ascii="宋体" w:cs="宋体"/>
          <w:sz w:val="24"/>
          <w:highlight w:val="none"/>
          <w:lang w:val="zh-CN"/>
        </w:rPr>
        <w:t>（</w:t>
      </w:r>
      <w:r>
        <w:rPr>
          <w:rFonts w:hint="eastAsia" w:ascii="宋体" w:cs="宋体"/>
          <w:sz w:val="24"/>
          <w:highlight w:val="none"/>
        </w:rPr>
        <w:t>10</w:t>
      </w:r>
      <w:r>
        <w:rPr>
          <w:rFonts w:hint="eastAsia" w:ascii="宋体" w:cs="宋体"/>
          <w:sz w:val="24"/>
          <w:highlight w:val="none"/>
          <w:lang w:val="zh-CN"/>
        </w:rPr>
        <w:t>）《中小企业声明函》或《监狱企业证明文件》或《残疾人福利性单位声明函》；</w:t>
      </w:r>
      <w:r>
        <w:rPr>
          <w:rFonts w:hint="eastAsia" w:ascii="宋体" w:cs="宋体"/>
          <w:b/>
          <w:bCs/>
          <w:sz w:val="24"/>
          <w:highlight w:val="none"/>
          <w:lang w:val="zh-CN"/>
        </w:rPr>
        <w:t>（格式见附件）</w:t>
      </w:r>
    </w:p>
    <w:p w14:paraId="2D44C593">
      <w:pPr>
        <w:spacing w:line="360" w:lineRule="auto"/>
        <w:ind w:firstLine="482"/>
        <w:rPr>
          <w:rFonts w:ascii="宋体" w:cs="宋体"/>
          <w:b/>
          <w:bCs/>
          <w:sz w:val="24"/>
          <w:highlight w:val="none"/>
        </w:rPr>
      </w:pPr>
      <w:r>
        <w:rPr>
          <w:rFonts w:hint="eastAsia" w:ascii="宋体" w:cs="宋体"/>
          <w:b/>
          <w:bCs/>
          <w:sz w:val="24"/>
          <w:highlight w:val="none"/>
          <w:lang w:val="zh-CN"/>
        </w:rPr>
        <w:t>注：</w:t>
      </w:r>
      <w:r>
        <w:rPr>
          <w:rFonts w:hint="eastAsia" w:ascii="宋体" w:cs="宋体"/>
          <w:b/>
          <w:bCs/>
          <w:sz w:val="24"/>
          <w:highlight w:val="none"/>
        </w:rPr>
        <w:t>1、</w:t>
      </w:r>
      <w:r>
        <w:rPr>
          <w:rFonts w:hint="eastAsia" w:ascii="宋体" w:cs="宋体"/>
          <w:b/>
          <w:bCs/>
          <w:sz w:val="24"/>
          <w:highlight w:val="none"/>
          <w:lang w:val="zh-CN"/>
        </w:rPr>
        <w:t>若法定代表人亲自参加</w:t>
      </w:r>
      <w:r>
        <w:rPr>
          <w:rFonts w:hint="eastAsia" w:ascii="宋体" w:cs="宋体"/>
          <w:b/>
          <w:bCs/>
          <w:sz w:val="24"/>
          <w:highlight w:val="none"/>
        </w:rPr>
        <w:t>投标的，则无</w:t>
      </w:r>
      <w:r>
        <w:rPr>
          <w:rFonts w:hint="eastAsia" w:ascii="宋体" w:cs="宋体"/>
          <w:b/>
          <w:bCs/>
          <w:sz w:val="24"/>
          <w:highlight w:val="none"/>
          <w:lang w:val="zh-CN"/>
        </w:rPr>
        <w:t>需提供法定代表人授权委托书及有关</w:t>
      </w:r>
      <w:r>
        <w:rPr>
          <w:rFonts w:hint="eastAsia" w:ascii="宋体" w:cs="宋体"/>
          <w:b/>
          <w:bCs/>
          <w:sz w:val="24"/>
          <w:highlight w:val="none"/>
        </w:rPr>
        <w:t>被</w:t>
      </w:r>
      <w:r>
        <w:rPr>
          <w:rFonts w:hint="eastAsia" w:ascii="宋体" w:cs="宋体"/>
          <w:b/>
          <w:bCs/>
          <w:sz w:val="24"/>
          <w:highlight w:val="none"/>
          <w:lang w:val="zh-CN"/>
        </w:rPr>
        <w:t>授权委托人的</w:t>
      </w:r>
      <w:r>
        <w:rPr>
          <w:rFonts w:hint="eastAsia" w:ascii="宋体" w:cs="宋体"/>
          <w:b/>
          <w:bCs/>
          <w:sz w:val="24"/>
          <w:highlight w:val="none"/>
        </w:rPr>
        <w:t>相关资料</w:t>
      </w:r>
      <w:r>
        <w:rPr>
          <w:rFonts w:hint="eastAsia" w:ascii="宋体" w:cs="宋体"/>
          <w:b/>
          <w:bCs/>
          <w:sz w:val="24"/>
          <w:highlight w:val="none"/>
          <w:lang w:val="zh-CN"/>
        </w:rPr>
        <w:t>；</w:t>
      </w:r>
    </w:p>
    <w:p w14:paraId="25B61B98">
      <w:pPr>
        <w:spacing w:line="360" w:lineRule="auto"/>
        <w:ind w:firstLine="482"/>
        <w:rPr>
          <w:rFonts w:ascii="宋体" w:cs="宋体"/>
          <w:color w:val="000000"/>
          <w:sz w:val="24"/>
          <w:highlight w:val="none"/>
        </w:rPr>
      </w:pPr>
      <w:r>
        <w:rPr>
          <w:rFonts w:hint="eastAsia" w:ascii="宋体" w:cs="宋体"/>
          <w:b/>
          <w:bCs/>
          <w:sz w:val="24"/>
          <w:highlight w:val="none"/>
        </w:rPr>
        <w:t>2、</w:t>
      </w:r>
      <w:r>
        <w:rPr>
          <w:rFonts w:hint="eastAsia" w:ascii="宋体" w:cs="宋体"/>
          <w:b/>
          <w:bCs/>
          <w:sz w:val="24"/>
          <w:highlight w:val="none"/>
          <w:lang w:val="zh-CN"/>
        </w:rPr>
        <w:t>提供的资料涉及时间的，如投标人成立时间迟于要求开始的时间，则时间要求为投标人成立时间至截止时间</w:t>
      </w:r>
      <w:r>
        <w:rPr>
          <w:rFonts w:hint="eastAsia" w:ascii="宋体" w:cs="宋体"/>
          <w:b/>
          <w:bCs/>
          <w:color w:val="000000"/>
          <w:sz w:val="24"/>
          <w:highlight w:val="none"/>
          <w:lang w:val="zh-CN"/>
        </w:rPr>
        <w:t>。</w:t>
      </w:r>
    </w:p>
    <w:p w14:paraId="75F55709">
      <w:pPr>
        <w:tabs>
          <w:tab w:val="left" w:pos="525"/>
          <w:tab w:val="left" w:pos="945"/>
        </w:tabs>
        <w:spacing w:line="360" w:lineRule="auto"/>
        <w:ind w:left="523"/>
        <w:rPr>
          <w:rFonts w:ascii="宋体" w:hAnsi="宋体" w:cs="宋体"/>
          <w:bCs/>
          <w:color w:val="000000"/>
          <w:sz w:val="24"/>
          <w:highlight w:val="none"/>
        </w:rPr>
      </w:pPr>
      <w:r>
        <w:rPr>
          <w:rFonts w:hint="eastAsia" w:ascii="宋体" w:hAnsi="宋体"/>
          <w:color w:val="000000"/>
          <w:sz w:val="24"/>
          <w:highlight w:val="none"/>
        </w:rPr>
        <w:t>3.开标一览表</w:t>
      </w:r>
      <w:r>
        <w:rPr>
          <w:rFonts w:hint="eastAsia" w:ascii="宋体" w:hAnsi="宋体"/>
          <w:bCs/>
          <w:color w:val="000000"/>
          <w:sz w:val="24"/>
          <w:highlight w:val="none"/>
        </w:rPr>
        <w:t>（</w:t>
      </w:r>
      <w:r>
        <w:rPr>
          <w:rFonts w:hint="eastAsia" w:ascii="宋体" w:hAnsi="宋体"/>
          <w:b/>
          <w:bCs/>
          <w:color w:val="000000"/>
          <w:sz w:val="24"/>
          <w:highlight w:val="none"/>
        </w:rPr>
        <w:t>格式见附件</w:t>
      </w:r>
      <w:r>
        <w:rPr>
          <w:rFonts w:hint="eastAsia" w:ascii="宋体" w:hAnsi="宋体"/>
          <w:bCs/>
          <w:color w:val="000000"/>
          <w:sz w:val="24"/>
          <w:highlight w:val="none"/>
        </w:rPr>
        <w:t>）</w:t>
      </w:r>
    </w:p>
    <w:p w14:paraId="57C71098">
      <w:pPr>
        <w:tabs>
          <w:tab w:val="left" w:pos="525"/>
          <w:tab w:val="left" w:pos="945"/>
        </w:tabs>
        <w:spacing w:line="360" w:lineRule="auto"/>
        <w:ind w:left="523"/>
        <w:rPr>
          <w:rFonts w:ascii="宋体" w:hAnsi="宋体" w:cs="宋体"/>
          <w:bCs/>
          <w:color w:val="000000"/>
          <w:sz w:val="24"/>
          <w:highlight w:val="none"/>
        </w:rPr>
      </w:pPr>
      <w:r>
        <w:rPr>
          <w:rFonts w:hint="eastAsia" w:ascii="宋体" w:hAnsi="宋体" w:cs="宋体"/>
          <w:bCs/>
          <w:color w:val="000000"/>
          <w:sz w:val="24"/>
          <w:highlight w:val="none"/>
        </w:rPr>
        <w:t>4.报价附录</w:t>
      </w:r>
      <w:r>
        <w:rPr>
          <w:rFonts w:hint="eastAsia" w:ascii="宋体" w:hAnsi="宋体" w:cs="宋体"/>
          <w:b/>
          <w:color w:val="000000"/>
          <w:sz w:val="24"/>
          <w:highlight w:val="none"/>
        </w:rPr>
        <w:t>（格式见附件）</w:t>
      </w:r>
    </w:p>
    <w:p w14:paraId="5A1CC30D">
      <w:pPr>
        <w:tabs>
          <w:tab w:val="left" w:pos="525"/>
          <w:tab w:val="left" w:pos="945"/>
        </w:tabs>
        <w:spacing w:line="360" w:lineRule="auto"/>
        <w:ind w:left="523"/>
        <w:rPr>
          <w:rFonts w:ascii="宋体" w:hAnsi="宋体"/>
          <w:bCs/>
          <w:color w:val="000000"/>
          <w:sz w:val="24"/>
          <w:highlight w:val="none"/>
        </w:rPr>
      </w:pPr>
      <w:r>
        <w:rPr>
          <w:rFonts w:hint="eastAsia" w:ascii="宋体" w:hAnsi="宋体" w:cs="宋体"/>
          <w:bCs/>
          <w:color w:val="000000"/>
          <w:sz w:val="24"/>
          <w:highlight w:val="none"/>
        </w:rPr>
        <w:t>5.明细报价表</w:t>
      </w:r>
      <w:r>
        <w:rPr>
          <w:rFonts w:hint="eastAsia" w:ascii="宋体" w:hAnsi="宋体" w:cs="宋体"/>
          <w:b/>
          <w:color w:val="000000"/>
          <w:sz w:val="24"/>
          <w:highlight w:val="none"/>
        </w:rPr>
        <w:t>（格式见附件）</w:t>
      </w:r>
    </w:p>
    <w:p w14:paraId="168A7FB4">
      <w:pPr>
        <w:tabs>
          <w:tab w:val="left" w:pos="525"/>
          <w:tab w:val="left" w:pos="945"/>
        </w:tabs>
        <w:spacing w:line="360" w:lineRule="auto"/>
        <w:ind w:left="523"/>
        <w:rPr>
          <w:rFonts w:ascii="宋体" w:hAnsi="宋体"/>
          <w:bCs/>
          <w:color w:val="000000"/>
          <w:sz w:val="24"/>
          <w:highlight w:val="none"/>
        </w:rPr>
      </w:pPr>
      <w:r>
        <w:rPr>
          <w:rFonts w:hint="eastAsia" w:ascii="宋体" w:hAnsi="宋体" w:cs="宋体"/>
          <w:bCs/>
          <w:color w:val="000000"/>
          <w:sz w:val="24"/>
          <w:highlight w:val="none"/>
        </w:rPr>
        <w:t>6.投标偏离表</w:t>
      </w:r>
      <w:r>
        <w:rPr>
          <w:rFonts w:hint="eastAsia" w:ascii="宋体" w:hAnsi="宋体"/>
          <w:bCs/>
          <w:color w:val="000000"/>
          <w:sz w:val="24"/>
          <w:highlight w:val="none"/>
        </w:rPr>
        <w:t>（</w:t>
      </w:r>
      <w:r>
        <w:rPr>
          <w:rFonts w:hint="eastAsia" w:ascii="宋体" w:hAnsi="宋体"/>
          <w:b/>
          <w:bCs/>
          <w:color w:val="000000"/>
          <w:sz w:val="24"/>
          <w:highlight w:val="none"/>
        </w:rPr>
        <w:t>格式见附件</w:t>
      </w:r>
      <w:r>
        <w:rPr>
          <w:rFonts w:hint="eastAsia" w:ascii="宋体" w:hAnsi="宋体"/>
          <w:bCs/>
          <w:color w:val="000000"/>
          <w:sz w:val="24"/>
          <w:highlight w:val="none"/>
        </w:rPr>
        <w:t>）</w:t>
      </w:r>
    </w:p>
    <w:p w14:paraId="71EE2ECA">
      <w:pPr>
        <w:tabs>
          <w:tab w:val="left" w:pos="525"/>
          <w:tab w:val="left" w:pos="945"/>
        </w:tabs>
        <w:spacing w:line="360" w:lineRule="auto"/>
        <w:ind w:left="523"/>
        <w:rPr>
          <w:rFonts w:ascii="宋体" w:hAnsi="宋体"/>
          <w:bCs/>
          <w:color w:val="000000"/>
          <w:sz w:val="24"/>
          <w:highlight w:val="none"/>
        </w:rPr>
      </w:pPr>
      <w:r>
        <w:rPr>
          <w:rFonts w:hint="eastAsia" w:ascii="宋体" w:hAnsi="宋体"/>
          <w:bCs/>
          <w:color w:val="000000"/>
          <w:sz w:val="24"/>
          <w:highlight w:val="none"/>
        </w:rPr>
        <w:t>7.技术文件（</w:t>
      </w:r>
      <w:r>
        <w:rPr>
          <w:rFonts w:hint="eastAsia" w:ascii="宋体" w:hAnsi="宋体"/>
          <w:b/>
          <w:bCs/>
          <w:color w:val="000000"/>
          <w:sz w:val="24"/>
          <w:highlight w:val="none"/>
        </w:rPr>
        <w:t>格式自拟</w:t>
      </w:r>
      <w:r>
        <w:rPr>
          <w:rFonts w:hint="eastAsia" w:ascii="宋体" w:hAnsi="宋体"/>
          <w:bCs/>
          <w:color w:val="000000"/>
          <w:sz w:val="24"/>
          <w:highlight w:val="none"/>
        </w:rPr>
        <w:t>）</w:t>
      </w:r>
    </w:p>
    <w:p w14:paraId="02B615C9">
      <w:pPr>
        <w:tabs>
          <w:tab w:val="left" w:pos="525"/>
          <w:tab w:val="left" w:pos="945"/>
        </w:tabs>
        <w:spacing w:line="360" w:lineRule="auto"/>
        <w:ind w:left="523"/>
        <w:rPr>
          <w:rFonts w:ascii="宋体" w:hAnsi="宋体"/>
          <w:bCs/>
          <w:color w:val="000000"/>
          <w:sz w:val="24"/>
          <w:highlight w:val="none"/>
        </w:rPr>
      </w:pPr>
      <w:r>
        <w:rPr>
          <w:rFonts w:hint="eastAsia" w:ascii="宋体" w:hAnsi="宋体"/>
          <w:bCs/>
          <w:color w:val="000000"/>
          <w:sz w:val="24"/>
          <w:highlight w:val="none"/>
        </w:rPr>
        <w:t>8.评分标准中对应的其他所需证明材料（</w:t>
      </w:r>
      <w:r>
        <w:rPr>
          <w:rFonts w:hint="eastAsia" w:ascii="宋体" w:hAnsi="宋体"/>
          <w:b/>
          <w:bCs/>
          <w:color w:val="000000"/>
          <w:sz w:val="24"/>
          <w:highlight w:val="none"/>
        </w:rPr>
        <w:t>如有自行添加</w:t>
      </w:r>
      <w:r>
        <w:rPr>
          <w:rFonts w:hint="eastAsia" w:ascii="宋体" w:hAnsi="宋体"/>
          <w:bCs/>
          <w:color w:val="000000"/>
          <w:sz w:val="24"/>
          <w:highlight w:val="none"/>
        </w:rPr>
        <w:t>）</w:t>
      </w:r>
    </w:p>
    <w:p w14:paraId="381552F7">
      <w:pPr>
        <w:tabs>
          <w:tab w:val="left" w:pos="525"/>
          <w:tab w:val="left" w:pos="945"/>
        </w:tabs>
        <w:spacing w:line="360" w:lineRule="auto"/>
        <w:ind w:left="523"/>
        <w:rPr>
          <w:rFonts w:ascii="宋体" w:hAnsi="宋体"/>
          <w:bCs/>
          <w:color w:val="000000"/>
          <w:sz w:val="24"/>
          <w:highlight w:val="none"/>
        </w:rPr>
      </w:pPr>
      <w:r>
        <w:rPr>
          <w:rFonts w:hint="eastAsia" w:ascii="宋体" w:hAnsi="宋体"/>
          <w:bCs/>
          <w:color w:val="000000"/>
          <w:sz w:val="24"/>
          <w:highlight w:val="none"/>
        </w:rPr>
        <w:t>9.要求采购人提供的配合（</w:t>
      </w:r>
      <w:r>
        <w:rPr>
          <w:rFonts w:hint="eastAsia" w:ascii="宋体" w:hAnsi="宋体"/>
          <w:b/>
          <w:bCs/>
          <w:color w:val="000000"/>
          <w:sz w:val="24"/>
          <w:highlight w:val="none"/>
        </w:rPr>
        <w:t>如有自拟并自行添加</w:t>
      </w:r>
      <w:r>
        <w:rPr>
          <w:rFonts w:hint="eastAsia" w:ascii="宋体" w:hAnsi="宋体"/>
          <w:bCs/>
          <w:color w:val="000000"/>
          <w:sz w:val="24"/>
          <w:highlight w:val="none"/>
        </w:rPr>
        <w:t>）</w:t>
      </w:r>
    </w:p>
    <w:p w14:paraId="64C3A896">
      <w:pPr>
        <w:tabs>
          <w:tab w:val="left" w:pos="525"/>
          <w:tab w:val="left" w:pos="945"/>
        </w:tabs>
        <w:spacing w:line="360" w:lineRule="auto"/>
        <w:ind w:left="523"/>
        <w:rPr>
          <w:rFonts w:ascii="宋体" w:hAnsi="宋体"/>
          <w:bCs/>
          <w:color w:val="000000"/>
          <w:sz w:val="24"/>
          <w:highlight w:val="none"/>
        </w:rPr>
      </w:pPr>
      <w:r>
        <w:rPr>
          <w:rFonts w:hint="eastAsia" w:ascii="宋体" w:hAnsi="宋体"/>
          <w:bCs/>
          <w:color w:val="000000"/>
          <w:sz w:val="24"/>
          <w:highlight w:val="none"/>
        </w:rPr>
        <w:t>10.其他（</w:t>
      </w:r>
      <w:r>
        <w:rPr>
          <w:rFonts w:hint="eastAsia" w:ascii="宋体" w:hAnsi="宋体"/>
          <w:b/>
          <w:bCs/>
          <w:color w:val="000000"/>
          <w:sz w:val="24"/>
          <w:highlight w:val="none"/>
        </w:rPr>
        <w:t>投标人认为有必要提供的声明和文件，如有自拟并自行添加</w:t>
      </w:r>
      <w:r>
        <w:rPr>
          <w:rFonts w:hint="eastAsia" w:ascii="宋体" w:hAnsi="宋体"/>
          <w:bCs/>
          <w:color w:val="000000"/>
          <w:sz w:val="24"/>
          <w:highlight w:val="none"/>
        </w:rPr>
        <w:t>）</w:t>
      </w:r>
      <w:r>
        <w:rPr>
          <w:rFonts w:hint="eastAsia"/>
          <w:color w:val="000000"/>
          <w:sz w:val="24"/>
          <w:highlight w:val="none"/>
        </w:rPr>
        <w:t xml:space="preserve">  </w:t>
      </w:r>
      <w:r>
        <w:rPr>
          <w:rFonts w:hint="eastAsia" w:ascii="宋体" w:hAnsi="宋体"/>
          <w:bCs/>
          <w:color w:val="000000"/>
          <w:sz w:val="24"/>
          <w:highlight w:val="none"/>
        </w:rPr>
        <w:t xml:space="preserve">         </w:t>
      </w:r>
    </w:p>
    <w:p w14:paraId="6F611DD1">
      <w:pPr>
        <w:tabs>
          <w:tab w:val="left" w:pos="1050"/>
        </w:tabs>
        <w:spacing w:line="360" w:lineRule="auto"/>
        <w:ind w:firstLine="523"/>
        <w:rPr>
          <w:rFonts w:ascii="宋体" w:hAnsi="宋体"/>
          <w:bCs/>
          <w:color w:val="000000"/>
          <w:sz w:val="24"/>
          <w:highlight w:val="none"/>
        </w:rPr>
      </w:pPr>
      <w:r>
        <w:rPr>
          <w:rFonts w:hint="eastAsia" w:ascii="宋体" w:hAnsi="宋体"/>
          <w:bCs/>
          <w:color w:val="000000"/>
          <w:sz w:val="24"/>
          <w:highlight w:val="none"/>
        </w:rPr>
        <w:t>上述部分1-7项投标人必须按要求全部提供，否则投标文件无效。如上述资格证明文件遇年检、换证，则必须提供法定年检、换证单位出具的有效证明复印件。如上述资格证明文件第（5）（6）（7）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他可在中国大陆有效居留的许可证明。</w:t>
      </w:r>
    </w:p>
    <w:p w14:paraId="5349E613">
      <w:pPr>
        <w:spacing w:line="360" w:lineRule="auto"/>
        <w:outlineLvl w:val="0"/>
        <w:rPr>
          <w:rFonts w:ascii="宋体" w:hAnsi="宋体"/>
          <w:color w:val="000000"/>
          <w:sz w:val="24"/>
          <w:highlight w:val="none"/>
        </w:rPr>
      </w:pPr>
      <w:r>
        <w:rPr>
          <w:rFonts w:hint="eastAsia" w:ascii="宋体" w:hAnsi="宋体"/>
          <w:color w:val="000000"/>
          <w:sz w:val="24"/>
          <w:highlight w:val="none"/>
        </w:rPr>
        <w:t xml:space="preserve"> （六）投标报价说明：  </w:t>
      </w:r>
    </w:p>
    <w:p w14:paraId="1F012F7D">
      <w:pPr>
        <w:spacing w:line="360" w:lineRule="auto"/>
        <w:ind w:firstLine="480"/>
        <w:rPr>
          <w:rFonts w:ascii="宋体" w:hAnsi="宋体" w:cs="宋体"/>
          <w:sz w:val="24"/>
          <w:highlight w:val="none"/>
        </w:rPr>
      </w:pPr>
      <w:r>
        <w:rPr>
          <w:rFonts w:hint="eastAsia" w:ascii="宋体" w:hAnsi="宋体" w:cs="宋体"/>
          <w:sz w:val="24"/>
          <w:highlight w:val="none"/>
        </w:rPr>
        <w:t>1.投标人报价时应充分考虑服务期内所有可能影响到报价的因素，报价不予调整。</w:t>
      </w:r>
    </w:p>
    <w:p w14:paraId="020CABCA">
      <w:pPr>
        <w:spacing w:line="360" w:lineRule="auto"/>
        <w:ind w:firstLine="480"/>
        <w:rPr>
          <w:rFonts w:ascii="宋体" w:hAnsi="宋体"/>
          <w:sz w:val="24"/>
          <w:highlight w:val="none"/>
        </w:rPr>
      </w:pPr>
      <w:r>
        <w:rPr>
          <w:rFonts w:hint="eastAsia" w:ascii="宋体" w:hAnsi="宋体" w:cs="宋体"/>
          <w:sz w:val="24"/>
          <w:highlight w:val="none"/>
        </w:rPr>
        <w:t>2.报价包括完成项目的所有费用，采购人不再支付报价以外的任何费用</w:t>
      </w:r>
      <w:r>
        <w:rPr>
          <w:rFonts w:hint="eastAsia" w:ascii="宋体" w:hAnsi="宋体"/>
          <w:sz w:val="24"/>
          <w:highlight w:val="none"/>
        </w:rPr>
        <w:t>。</w:t>
      </w:r>
    </w:p>
    <w:p w14:paraId="7AC2B9E7">
      <w:pPr>
        <w:spacing w:line="360" w:lineRule="auto"/>
        <w:outlineLvl w:val="0"/>
        <w:rPr>
          <w:rFonts w:ascii="宋体" w:hAnsi="宋体"/>
          <w:color w:val="000000"/>
          <w:sz w:val="24"/>
          <w:highlight w:val="none"/>
        </w:rPr>
      </w:pPr>
      <w:r>
        <w:rPr>
          <w:rFonts w:hint="eastAsia" w:ascii="宋体" w:hAnsi="宋体"/>
          <w:color w:val="000000"/>
          <w:sz w:val="24"/>
          <w:highlight w:val="none"/>
        </w:rPr>
        <w:t>（七）投标文件的要求：</w:t>
      </w:r>
    </w:p>
    <w:p w14:paraId="432C91B1">
      <w:pPr>
        <w:numPr>
          <w:ilvl w:val="0"/>
          <w:numId w:val="13"/>
        </w:numPr>
        <w:tabs>
          <w:tab w:val="left" w:pos="0"/>
        </w:tabs>
        <w:spacing w:line="360" w:lineRule="auto"/>
        <w:ind w:left="0" w:firstLine="480" w:firstLineChars="200"/>
        <w:rPr>
          <w:rFonts w:ascii="宋体" w:hAnsi="宋体"/>
          <w:sz w:val="24"/>
          <w:highlight w:val="none"/>
        </w:rPr>
      </w:pPr>
      <w:r>
        <w:rPr>
          <w:rFonts w:hint="eastAsia" w:ascii="宋体" w:hAnsi="宋体"/>
          <w:sz w:val="24"/>
          <w:highlight w:val="none"/>
        </w:rPr>
        <w:t>所有文件、往来函件均应使用简体中文（规格、型号辅助符号除外）。</w:t>
      </w:r>
    </w:p>
    <w:p w14:paraId="4B80278B">
      <w:pPr>
        <w:numPr>
          <w:ilvl w:val="0"/>
          <w:numId w:val="13"/>
        </w:numPr>
        <w:tabs>
          <w:tab w:val="left" w:pos="0"/>
        </w:tabs>
        <w:spacing w:line="360" w:lineRule="auto"/>
        <w:ind w:left="0" w:firstLine="480" w:firstLineChars="200"/>
        <w:rPr>
          <w:rFonts w:ascii="宋体" w:hAnsi="宋体"/>
          <w:sz w:val="24"/>
          <w:highlight w:val="none"/>
        </w:rPr>
      </w:pPr>
      <w:r>
        <w:rPr>
          <w:rFonts w:hint="eastAsia" w:ascii="宋体" w:hAnsi="宋体"/>
          <w:sz w:val="24"/>
          <w:highlight w:val="none"/>
        </w:rPr>
        <w:t>投标文件由投标人按给定格式如实填写（编写），须有法人（盖章）、法定代表人或被授权委托人签字或盖章，方为有效，未尽事宜可自行补充。</w:t>
      </w:r>
    </w:p>
    <w:p w14:paraId="599702F5">
      <w:pPr>
        <w:numPr>
          <w:ilvl w:val="0"/>
          <w:numId w:val="13"/>
        </w:numPr>
        <w:tabs>
          <w:tab w:val="left" w:pos="0"/>
        </w:tabs>
        <w:spacing w:line="360" w:lineRule="auto"/>
        <w:ind w:left="0" w:firstLine="480" w:firstLineChars="200"/>
        <w:rPr>
          <w:rFonts w:ascii="宋体" w:hAnsi="宋体"/>
          <w:sz w:val="24"/>
          <w:highlight w:val="none"/>
        </w:rPr>
      </w:pPr>
      <w:r>
        <w:rPr>
          <w:rFonts w:hint="eastAsia" w:ascii="宋体" w:hAnsi="宋体"/>
          <w:sz w:val="24"/>
          <w:highlight w:val="none"/>
        </w:rPr>
        <w:t>投标人报价一律以人民币为报价结算货币，结算单位为“元”。</w:t>
      </w:r>
    </w:p>
    <w:p w14:paraId="251A12B5">
      <w:pPr>
        <w:numPr>
          <w:ilvl w:val="0"/>
          <w:numId w:val="13"/>
        </w:numPr>
        <w:tabs>
          <w:tab w:val="left" w:pos="0"/>
        </w:tabs>
        <w:spacing w:line="360" w:lineRule="auto"/>
        <w:ind w:left="0" w:firstLine="480" w:firstLineChars="200"/>
        <w:rPr>
          <w:rFonts w:ascii="宋体" w:hAnsi="宋体"/>
          <w:sz w:val="24"/>
          <w:highlight w:val="none"/>
        </w:rPr>
      </w:pPr>
      <w:r>
        <w:rPr>
          <w:rFonts w:hint="eastAsia" w:ascii="宋体" w:hAnsi="宋体"/>
          <w:bCs/>
          <w:color w:val="000000"/>
          <w:sz w:val="24"/>
          <w:highlight w:val="none"/>
        </w:rPr>
        <w:t>投标费用自理。</w:t>
      </w:r>
    </w:p>
    <w:p w14:paraId="441D0E4F">
      <w:pPr>
        <w:numPr>
          <w:ilvl w:val="0"/>
          <w:numId w:val="13"/>
        </w:numPr>
        <w:tabs>
          <w:tab w:val="left" w:pos="0"/>
        </w:tabs>
        <w:spacing w:line="360" w:lineRule="auto"/>
        <w:ind w:left="0" w:firstLine="480" w:firstLineChars="200"/>
        <w:rPr>
          <w:rFonts w:ascii="宋体" w:hAnsi="宋体"/>
          <w:sz w:val="24"/>
          <w:highlight w:val="none"/>
        </w:rPr>
      </w:pPr>
      <w:r>
        <w:rPr>
          <w:rFonts w:hint="eastAsia" w:ascii="宋体" w:hAnsi="宋体"/>
          <w:bCs/>
          <w:color w:val="000000"/>
          <w:sz w:val="24"/>
          <w:highlight w:val="none"/>
        </w:rPr>
        <w:t>技术文件需按要求编制</w:t>
      </w:r>
      <w:r>
        <w:rPr>
          <w:rFonts w:hint="eastAsia" w:ascii="宋体" w:hAnsi="宋体"/>
          <w:sz w:val="24"/>
          <w:highlight w:val="none"/>
        </w:rPr>
        <w:t>。</w:t>
      </w:r>
    </w:p>
    <w:p w14:paraId="6F41E634">
      <w:pPr>
        <w:spacing w:line="360" w:lineRule="auto"/>
        <w:outlineLvl w:val="0"/>
        <w:rPr>
          <w:rFonts w:ascii="宋体" w:hAnsi="宋体"/>
          <w:color w:val="000000"/>
          <w:sz w:val="24"/>
          <w:highlight w:val="none"/>
        </w:rPr>
      </w:pPr>
      <w:r>
        <w:rPr>
          <w:rFonts w:hint="eastAsia" w:ascii="宋体" w:hAnsi="宋体"/>
          <w:color w:val="000000"/>
          <w:sz w:val="24"/>
          <w:highlight w:val="none"/>
        </w:rPr>
        <w:t>（八） 网上投标：</w:t>
      </w:r>
    </w:p>
    <w:p w14:paraId="58FD26FD">
      <w:pPr>
        <w:tabs>
          <w:tab w:val="left" w:pos="525"/>
          <w:tab w:val="left" w:pos="945"/>
        </w:tabs>
        <w:spacing w:line="360" w:lineRule="auto"/>
        <w:ind w:firstLine="482"/>
        <w:rPr>
          <w:rFonts w:ascii="宋体" w:hAnsi="宋体"/>
          <w:bCs/>
          <w:color w:val="000000"/>
          <w:sz w:val="24"/>
          <w:highlight w:val="none"/>
        </w:rPr>
      </w:pPr>
      <w:r>
        <w:rPr>
          <w:rFonts w:hint="eastAsia" w:ascii="宋体" w:hAnsi="宋体"/>
          <w:bCs/>
          <w:color w:val="000000"/>
          <w:sz w:val="24"/>
          <w:highlight w:val="none"/>
        </w:rPr>
        <w:t>1、供应商应通过苏采云平台，在投标文件提交截止时间前制作并上传电子投标文件。供应商上传电子投标文件的时间不得迟于招标公告中规定的截止时间。供应商应</w:t>
      </w:r>
      <w:r>
        <w:rPr>
          <w:rFonts w:hint="eastAsia" w:ascii="宋体" w:hAnsi="宋体"/>
          <w:bCs/>
          <w:color w:val="000000"/>
          <w:sz w:val="24"/>
          <w:highlight w:val="none"/>
          <w:lang w:eastAsia="zh-CN"/>
        </w:rPr>
        <w:t>充分考虑</w:t>
      </w:r>
      <w:r>
        <w:rPr>
          <w:rFonts w:hint="eastAsia" w:ascii="宋体" w:hAnsi="宋体"/>
          <w:bCs/>
          <w:color w:val="000000"/>
          <w:sz w:val="24"/>
          <w:highlight w:val="none"/>
        </w:rPr>
        <w:t>网络环境、网络带宽等风险因素，如因供应商自身原因造成的电子投标文件上传不成功的做无效响应处理。</w:t>
      </w:r>
    </w:p>
    <w:p w14:paraId="6B366198">
      <w:pPr>
        <w:tabs>
          <w:tab w:val="left" w:pos="525"/>
          <w:tab w:val="left" w:pos="945"/>
        </w:tabs>
        <w:spacing w:line="360" w:lineRule="auto"/>
        <w:ind w:firstLine="482"/>
        <w:rPr>
          <w:rFonts w:ascii="宋体" w:hAnsi="宋体"/>
          <w:bCs/>
          <w:color w:val="000000"/>
          <w:sz w:val="24"/>
          <w:highlight w:val="none"/>
        </w:rPr>
      </w:pPr>
      <w:r>
        <w:rPr>
          <w:rFonts w:hint="eastAsia" w:ascii="宋体" w:hAnsi="宋体"/>
          <w:bCs/>
          <w:color w:val="000000"/>
          <w:sz w:val="24"/>
          <w:highlight w:val="none"/>
        </w:rPr>
        <w:t>2、投标文件</w:t>
      </w:r>
      <w:r>
        <w:rPr>
          <w:rFonts w:ascii="宋体" w:hAnsi="宋体"/>
          <w:bCs/>
          <w:color w:val="000000"/>
          <w:sz w:val="24"/>
          <w:highlight w:val="none"/>
        </w:rPr>
        <w:t>的开启</w:t>
      </w:r>
      <w:r>
        <w:rPr>
          <w:rFonts w:hint="eastAsia" w:ascii="宋体" w:hAnsi="宋体"/>
          <w:bCs/>
          <w:color w:val="000000"/>
          <w:sz w:val="24"/>
          <w:highlight w:val="none"/>
        </w:rPr>
        <w:t>由苏采云平台主持，邀请供应商参加。投标文件</w:t>
      </w:r>
      <w:r>
        <w:rPr>
          <w:rFonts w:ascii="宋体" w:hAnsi="宋体"/>
          <w:bCs/>
          <w:color w:val="000000"/>
          <w:sz w:val="24"/>
          <w:highlight w:val="none"/>
        </w:rPr>
        <w:t>开启时，</w:t>
      </w:r>
      <w:r>
        <w:rPr>
          <w:rFonts w:hint="eastAsia" w:ascii="宋体" w:hAnsi="宋体"/>
          <w:bCs/>
          <w:color w:val="000000"/>
          <w:sz w:val="24"/>
          <w:highlight w:val="none"/>
        </w:rPr>
        <w:t>苏采云平台</w:t>
      </w:r>
      <w:r>
        <w:rPr>
          <w:rFonts w:ascii="宋体" w:hAnsi="宋体"/>
          <w:bCs/>
          <w:color w:val="000000"/>
          <w:sz w:val="24"/>
          <w:highlight w:val="none"/>
        </w:rPr>
        <w:t>自动提取所有</w:t>
      </w:r>
      <w:r>
        <w:rPr>
          <w:rFonts w:hint="eastAsia" w:ascii="宋体" w:hAnsi="宋体"/>
          <w:bCs/>
          <w:color w:val="000000"/>
          <w:sz w:val="24"/>
          <w:highlight w:val="none"/>
        </w:rPr>
        <w:t>投标文件。投标文件</w:t>
      </w:r>
      <w:r>
        <w:rPr>
          <w:rFonts w:ascii="宋体" w:hAnsi="宋体"/>
          <w:bCs/>
          <w:color w:val="000000"/>
          <w:sz w:val="24"/>
          <w:highlight w:val="none"/>
        </w:rPr>
        <w:t>开启</w:t>
      </w:r>
      <w:r>
        <w:rPr>
          <w:rFonts w:hint="eastAsia" w:ascii="宋体" w:hAnsi="宋体"/>
          <w:bCs/>
          <w:color w:val="000000"/>
          <w:sz w:val="24"/>
          <w:highlight w:val="none"/>
        </w:rPr>
        <w:t>解密之后30分钟内，供应商通过苏采云平台（使用“CA数字证书”）按时在线解密。</w:t>
      </w:r>
      <w:r>
        <w:rPr>
          <w:rFonts w:ascii="宋体" w:hAnsi="宋体"/>
          <w:bCs/>
          <w:color w:val="000000"/>
          <w:sz w:val="24"/>
          <w:highlight w:val="none"/>
        </w:rPr>
        <w:t>投标文件解密失败的补救方案</w:t>
      </w:r>
      <w:r>
        <w:rPr>
          <w:rFonts w:hint="eastAsia" w:ascii="宋体" w:hAnsi="宋体"/>
          <w:bCs/>
          <w:color w:val="000000"/>
          <w:sz w:val="24"/>
          <w:highlight w:val="none"/>
        </w:rPr>
        <w:t>：无。</w:t>
      </w:r>
    </w:p>
    <w:p w14:paraId="01E0F491">
      <w:pPr>
        <w:tabs>
          <w:tab w:val="left" w:pos="525"/>
          <w:tab w:val="left" w:pos="945"/>
        </w:tabs>
        <w:spacing w:line="360" w:lineRule="auto"/>
        <w:ind w:firstLine="482"/>
        <w:rPr>
          <w:rFonts w:ascii="宋体" w:hAnsi="宋体"/>
          <w:color w:val="000000"/>
          <w:sz w:val="24"/>
          <w:highlight w:val="none"/>
        </w:rPr>
      </w:pPr>
      <w:r>
        <w:rPr>
          <w:rFonts w:hint="eastAsia" w:ascii="宋体" w:hAnsi="宋体"/>
          <w:color w:val="000000"/>
          <w:sz w:val="24"/>
          <w:highlight w:val="none"/>
        </w:rPr>
        <w:t>3、供应商应当参加投标文件开启和在苏采云平台规定的时间内对电子投标文件进行解密。供应商在投标文件开启过程中涉及的投标文件解密、结果确认等工作，应按照《操作手册》规定执行。供应商如果对投标文件开启过程和开启记录有疑义，应当根据《操作手册》规定提出，如苏采云平台中《报价记录表》宣布后5分钟内未提出的，视同认可开启结果。</w:t>
      </w:r>
    </w:p>
    <w:p w14:paraId="6675AFBD">
      <w:pPr>
        <w:tabs>
          <w:tab w:val="left" w:pos="525"/>
          <w:tab w:val="left" w:pos="945"/>
        </w:tabs>
        <w:spacing w:line="360" w:lineRule="auto"/>
        <w:ind w:firstLine="482"/>
        <w:rPr>
          <w:rFonts w:ascii="宋体" w:hAnsi="宋体"/>
          <w:color w:val="000000"/>
          <w:sz w:val="24"/>
          <w:highlight w:val="none"/>
        </w:rPr>
      </w:pPr>
      <w:r>
        <w:rPr>
          <w:rFonts w:hint="eastAsia" w:ascii="宋体" w:hAnsi="宋体"/>
          <w:color w:val="000000"/>
          <w:sz w:val="24"/>
          <w:highlight w:val="none"/>
        </w:rPr>
        <w:t>4、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p>
    <w:p w14:paraId="74526A3A">
      <w:pPr>
        <w:tabs>
          <w:tab w:val="left" w:pos="525"/>
          <w:tab w:val="left" w:pos="1050"/>
        </w:tabs>
        <w:spacing w:line="360" w:lineRule="auto"/>
        <w:ind w:firstLine="482"/>
        <w:rPr>
          <w:rFonts w:ascii="宋体" w:hAnsi="宋体"/>
          <w:bCs/>
          <w:sz w:val="24"/>
          <w:highlight w:val="none"/>
        </w:rPr>
      </w:pPr>
      <w:r>
        <w:rPr>
          <w:rFonts w:hint="eastAsia" w:ascii="宋体" w:hAnsi="宋体"/>
          <w:bCs/>
          <w:sz w:val="24"/>
          <w:highlight w:val="none"/>
        </w:rPr>
        <w:t>5、投标供应商应对CA数字证书妥善保管，如被他人盗用投标，后果自负。</w:t>
      </w:r>
    </w:p>
    <w:p w14:paraId="1211C587">
      <w:pPr>
        <w:tabs>
          <w:tab w:val="left" w:pos="525"/>
          <w:tab w:val="left" w:pos="1050"/>
        </w:tabs>
        <w:spacing w:line="360" w:lineRule="auto"/>
        <w:ind w:firstLine="482"/>
        <w:rPr>
          <w:rFonts w:ascii="宋体" w:hAnsi="宋体"/>
          <w:bCs/>
          <w:sz w:val="24"/>
          <w:highlight w:val="none"/>
        </w:rPr>
      </w:pPr>
      <w:r>
        <w:rPr>
          <w:rFonts w:hint="eastAsia" w:ascii="宋体" w:hAnsi="宋体"/>
          <w:bCs/>
          <w:sz w:val="24"/>
          <w:highlight w:val="none"/>
        </w:rPr>
        <w:t>6、投标供应商应当对采购文件提出的要求和条件作出实质性响应，并在电子投标系统逐条应答。</w:t>
      </w:r>
    </w:p>
    <w:p w14:paraId="6BAFD6B5">
      <w:pPr>
        <w:spacing w:line="360" w:lineRule="auto"/>
        <w:ind w:left="-3" w:firstLine="420"/>
        <w:rPr>
          <w:rFonts w:ascii="宋体" w:hAnsi="宋体"/>
          <w:color w:val="000000"/>
          <w:sz w:val="24"/>
          <w:highlight w:val="none"/>
        </w:rPr>
      </w:pPr>
      <w:r>
        <w:rPr>
          <w:rFonts w:hint="eastAsia" w:ascii="宋体" w:hAnsi="宋体"/>
          <w:bCs/>
          <w:sz w:val="24"/>
          <w:highlight w:val="none"/>
        </w:rPr>
        <w:t>7、投标供应商对要求提供的资格证明文件（如资质证书、资格证书）、技术资料（如白皮书、彩页、手册、检测报告等）扫描上传至投标系统</w:t>
      </w:r>
      <w:r>
        <w:rPr>
          <w:rFonts w:hint="eastAsia" w:hAnsi="宋体"/>
          <w:bCs/>
          <w:sz w:val="24"/>
          <w:highlight w:val="none"/>
        </w:rPr>
        <w:t>。</w:t>
      </w:r>
    </w:p>
    <w:p w14:paraId="6DD4F552">
      <w:pPr>
        <w:spacing w:line="360" w:lineRule="auto"/>
        <w:outlineLvl w:val="0"/>
        <w:rPr>
          <w:rFonts w:ascii="宋体" w:hAnsi="宋体"/>
          <w:color w:val="000000"/>
          <w:sz w:val="24"/>
          <w:highlight w:val="none"/>
        </w:rPr>
      </w:pPr>
      <w:r>
        <w:rPr>
          <w:rFonts w:hint="eastAsia" w:ascii="宋体" w:hAnsi="宋体"/>
          <w:color w:val="000000"/>
          <w:sz w:val="24"/>
          <w:highlight w:val="none"/>
        </w:rPr>
        <w:t>（九）无效投标文件的确认：</w:t>
      </w:r>
    </w:p>
    <w:p w14:paraId="1D75FA5B">
      <w:pPr>
        <w:spacing w:line="360" w:lineRule="auto"/>
        <w:ind w:firstLine="480"/>
        <w:rPr>
          <w:rFonts w:ascii="宋体" w:hAnsi="宋体"/>
          <w:color w:val="000000"/>
          <w:sz w:val="24"/>
          <w:highlight w:val="none"/>
        </w:rPr>
      </w:pPr>
      <w:r>
        <w:rPr>
          <w:rFonts w:hint="eastAsia" w:ascii="宋体" w:hAnsi="宋体"/>
          <w:color w:val="000000"/>
          <w:sz w:val="24"/>
          <w:highlight w:val="none"/>
        </w:rPr>
        <w:t>投标人有下列情况之一者，其投标文件无效：</w:t>
      </w:r>
    </w:p>
    <w:p w14:paraId="4B94447E">
      <w:pPr>
        <w:numPr>
          <w:ilvl w:val="0"/>
          <w:numId w:val="14"/>
        </w:numPr>
        <w:spacing w:line="360" w:lineRule="auto"/>
        <w:ind w:left="0" w:firstLine="425"/>
        <w:rPr>
          <w:rFonts w:ascii="宋体" w:hAnsi="宋体"/>
          <w:sz w:val="24"/>
          <w:highlight w:val="none"/>
        </w:rPr>
      </w:pPr>
      <w:r>
        <w:rPr>
          <w:rFonts w:hint="eastAsia" w:ascii="宋体" w:hAnsi="宋体"/>
          <w:sz w:val="24"/>
          <w:highlight w:val="none"/>
        </w:rPr>
        <w:t>未按规定在江苏省政府采购（苏采云）平台注册的；</w:t>
      </w:r>
    </w:p>
    <w:p w14:paraId="1F8667A3">
      <w:pPr>
        <w:numPr>
          <w:ilvl w:val="0"/>
          <w:numId w:val="14"/>
        </w:numPr>
        <w:spacing w:line="360" w:lineRule="auto"/>
        <w:ind w:left="0" w:firstLine="425"/>
        <w:rPr>
          <w:rFonts w:ascii="宋体" w:hAnsi="宋体"/>
          <w:sz w:val="24"/>
          <w:highlight w:val="none"/>
        </w:rPr>
      </w:pPr>
      <w:r>
        <w:rPr>
          <w:rFonts w:hint="eastAsia" w:ascii="宋体" w:hAnsi="宋体"/>
          <w:sz w:val="24"/>
          <w:highlight w:val="none"/>
        </w:rPr>
        <w:t>电子投标文件未按规定时间上传的，纸质投标文件（如有）未按规定的期限、地点送达的；</w:t>
      </w:r>
    </w:p>
    <w:p w14:paraId="2FB1EDD7">
      <w:pPr>
        <w:numPr>
          <w:ilvl w:val="0"/>
          <w:numId w:val="14"/>
        </w:numPr>
        <w:spacing w:line="360" w:lineRule="auto"/>
        <w:ind w:left="0" w:firstLine="425"/>
        <w:rPr>
          <w:rFonts w:ascii="宋体" w:hAnsi="宋体"/>
          <w:sz w:val="24"/>
          <w:highlight w:val="none"/>
        </w:rPr>
      </w:pPr>
      <w:r>
        <w:rPr>
          <w:rFonts w:hint="eastAsia" w:ascii="宋体" w:hAnsi="宋体"/>
          <w:sz w:val="24"/>
          <w:highlight w:val="none"/>
        </w:rPr>
        <w:t>电子投标文件未按招标文件要求签章的；</w:t>
      </w:r>
    </w:p>
    <w:p w14:paraId="32458E31">
      <w:pPr>
        <w:numPr>
          <w:ilvl w:val="0"/>
          <w:numId w:val="14"/>
        </w:numPr>
        <w:spacing w:line="360" w:lineRule="auto"/>
        <w:ind w:left="0" w:firstLine="425"/>
        <w:rPr>
          <w:rFonts w:ascii="宋体" w:hAnsi="宋体"/>
          <w:sz w:val="24"/>
          <w:highlight w:val="none"/>
        </w:rPr>
      </w:pPr>
      <w:r>
        <w:rPr>
          <w:rFonts w:hint="eastAsia" w:ascii="宋体" w:hAnsi="宋体"/>
          <w:sz w:val="24"/>
          <w:highlight w:val="none"/>
        </w:rPr>
        <w:t>投标人未按招标文件要求解密的；</w:t>
      </w:r>
    </w:p>
    <w:p w14:paraId="14D21689">
      <w:pPr>
        <w:numPr>
          <w:ilvl w:val="0"/>
          <w:numId w:val="14"/>
        </w:numPr>
        <w:spacing w:line="360" w:lineRule="auto"/>
        <w:ind w:left="0" w:firstLine="425"/>
        <w:rPr>
          <w:rFonts w:ascii="宋体" w:hAnsi="宋体"/>
          <w:sz w:val="24"/>
          <w:highlight w:val="none"/>
        </w:rPr>
      </w:pPr>
      <w:r>
        <w:rPr>
          <w:rFonts w:hint="eastAsia" w:ascii="宋体" w:hAnsi="宋体"/>
          <w:sz w:val="24"/>
          <w:highlight w:val="none"/>
        </w:rPr>
        <w:t>不具备招标文件中规定的资格要求的；</w:t>
      </w:r>
    </w:p>
    <w:p w14:paraId="27CB892B">
      <w:pPr>
        <w:numPr>
          <w:ilvl w:val="0"/>
          <w:numId w:val="14"/>
        </w:numPr>
        <w:spacing w:line="360" w:lineRule="auto"/>
        <w:ind w:left="0" w:firstLine="425"/>
        <w:rPr>
          <w:rFonts w:ascii="宋体" w:hAnsi="宋体"/>
          <w:sz w:val="24"/>
          <w:highlight w:val="none"/>
        </w:rPr>
      </w:pPr>
      <w:r>
        <w:rPr>
          <w:rFonts w:hint="eastAsia" w:ascii="宋体" w:hAnsi="宋体"/>
          <w:sz w:val="24"/>
          <w:highlight w:val="none"/>
        </w:rPr>
        <w:t>报价超过招标文件中规定的预算金额或最高限价的；</w:t>
      </w:r>
    </w:p>
    <w:p w14:paraId="2A93E5E2">
      <w:pPr>
        <w:numPr>
          <w:ilvl w:val="0"/>
          <w:numId w:val="14"/>
        </w:numPr>
        <w:spacing w:line="360" w:lineRule="auto"/>
        <w:ind w:left="0" w:firstLine="425"/>
        <w:rPr>
          <w:rFonts w:ascii="宋体" w:hAnsi="宋体"/>
          <w:sz w:val="24"/>
          <w:highlight w:val="none"/>
        </w:rPr>
      </w:pPr>
      <w:r>
        <w:rPr>
          <w:rFonts w:hint="eastAsia" w:ascii="宋体" w:hAnsi="宋体"/>
          <w:sz w:val="24"/>
          <w:highlight w:val="none"/>
        </w:rPr>
        <w:t>投标文件含有采购人不能接受的附加条件的；</w:t>
      </w:r>
    </w:p>
    <w:p w14:paraId="7401A825">
      <w:pPr>
        <w:numPr>
          <w:ilvl w:val="0"/>
          <w:numId w:val="14"/>
        </w:numPr>
        <w:spacing w:line="360" w:lineRule="auto"/>
        <w:ind w:left="0" w:firstLine="425"/>
        <w:rPr>
          <w:rFonts w:ascii="宋体" w:hAnsi="宋体"/>
          <w:sz w:val="24"/>
          <w:highlight w:val="none"/>
        </w:rPr>
      </w:pPr>
      <w:r>
        <w:rPr>
          <w:rFonts w:hint="eastAsia" w:ascii="宋体" w:hAnsi="宋体"/>
          <w:sz w:val="24"/>
          <w:highlight w:val="none"/>
        </w:rPr>
        <w:t>投标文件未按采购文件规定的内容和要求填写、制作的；</w:t>
      </w:r>
    </w:p>
    <w:p w14:paraId="7BBE1751">
      <w:pPr>
        <w:numPr>
          <w:ilvl w:val="0"/>
          <w:numId w:val="14"/>
        </w:numPr>
        <w:spacing w:line="360" w:lineRule="auto"/>
        <w:ind w:left="0" w:firstLine="425"/>
        <w:rPr>
          <w:rFonts w:ascii="宋体" w:hAnsi="宋体"/>
          <w:sz w:val="24"/>
          <w:highlight w:val="none"/>
        </w:rPr>
      </w:pPr>
      <w:r>
        <w:rPr>
          <w:rFonts w:hint="eastAsia" w:ascii="宋体" w:hAnsi="宋体"/>
          <w:sz w:val="24"/>
          <w:highlight w:val="none"/>
        </w:rPr>
        <w:t>投标文件书写潦草、字迹模糊不清、无法辨认的；</w:t>
      </w:r>
    </w:p>
    <w:p w14:paraId="555D6309">
      <w:pPr>
        <w:numPr>
          <w:ilvl w:val="0"/>
          <w:numId w:val="14"/>
        </w:numPr>
        <w:spacing w:line="360" w:lineRule="auto"/>
        <w:ind w:left="0" w:firstLine="425"/>
        <w:rPr>
          <w:rFonts w:ascii="宋体" w:hAnsi="宋体"/>
          <w:sz w:val="24"/>
          <w:highlight w:val="none"/>
        </w:rPr>
      </w:pPr>
      <w:r>
        <w:rPr>
          <w:rFonts w:hint="eastAsia" w:ascii="宋体" w:hAnsi="宋体"/>
          <w:sz w:val="24"/>
          <w:highlight w:val="none"/>
        </w:rPr>
        <w:t>投标文件中有采购文件未允许提供的选择性内容的；</w:t>
      </w:r>
    </w:p>
    <w:p w14:paraId="34D0BFA5">
      <w:pPr>
        <w:numPr>
          <w:ilvl w:val="0"/>
          <w:numId w:val="14"/>
        </w:numPr>
        <w:spacing w:line="360" w:lineRule="auto"/>
        <w:ind w:left="0" w:firstLine="425"/>
        <w:rPr>
          <w:rFonts w:ascii="宋体" w:hAnsi="宋体"/>
          <w:sz w:val="24"/>
          <w:highlight w:val="none"/>
        </w:rPr>
      </w:pPr>
      <w:r>
        <w:rPr>
          <w:rFonts w:hint="eastAsia" w:ascii="宋体" w:hAnsi="宋体"/>
          <w:sz w:val="24"/>
          <w:highlight w:val="none"/>
        </w:rPr>
        <w:t>不同投标供应商的投标文件上传使用的MAC地址和IP地址一致的</w:t>
      </w:r>
    </w:p>
    <w:p w14:paraId="56A5BF15">
      <w:pPr>
        <w:numPr>
          <w:ilvl w:val="0"/>
          <w:numId w:val="14"/>
        </w:numPr>
        <w:spacing w:line="360" w:lineRule="auto"/>
        <w:ind w:left="0" w:firstLine="425"/>
        <w:rPr>
          <w:rFonts w:ascii="宋体" w:hAnsi="宋体"/>
          <w:sz w:val="24"/>
          <w:highlight w:val="none"/>
        </w:rPr>
      </w:pPr>
      <w:r>
        <w:rPr>
          <w:rFonts w:hint="eastAsia" w:ascii="宋体" w:hAnsi="宋体"/>
          <w:sz w:val="24"/>
          <w:highlight w:val="none"/>
        </w:rPr>
        <w:t>恶意串通其他投标供应商，故意哄抬价格或压价的；</w:t>
      </w:r>
    </w:p>
    <w:p w14:paraId="246EC1C7">
      <w:pPr>
        <w:numPr>
          <w:ilvl w:val="0"/>
          <w:numId w:val="14"/>
        </w:numPr>
        <w:spacing w:line="360" w:lineRule="auto"/>
        <w:ind w:left="0" w:firstLine="425"/>
        <w:rPr>
          <w:rFonts w:ascii="宋体" w:hAnsi="宋体"/>
          <w:sz w:val="24"/>
          <w:highlight w:val="none"/>
        </w:rPr>
      </w:pPr>
      <w:r>
        <w:rPr>
          <w:rFonts w:hint="eastAsia" w:ascii="宋体" w:hAnsi="宋体"/>
          <w:sz w:val="24"/>
          <w:highlight w:val="none"/>
        </w:rPr>
        <w:t>提供虚假材料的（包括工商营业执照、财务报表、资格证明文件、在偏离表中填报虚假参数等）；</w:t>
      </w:r>
    </w:p>
    <w:p w14:paraId="6F44178F">
      <w:pPr>
        <w:numPr>
          <w:ilvl w:val="0"/>
          <w:numId w:val="14"/>
        </w:numPr>
        <w:spacing w:line="360" w:lineRule="auto"/>
        <w:ind w:left="0" w:firstLine="425"/>
        <w:rPr>
          <w:rFonts w:ascii="宋体" w:hAnsi="宋体"/>
          <w:sz w:val="24"/>
          <w:highlight w:val="none"/>
        </w:rPr>
      </w:pPr>
      <w:r>
        <w:rPr>
          <w:rFonts w:hint="eastAsia" w:ascii="宋体" w:hAnsi="宋体"/>
          <w:sz w:val="24"/>
          <w:highlight w:val="none"/>
        </w:rPr>
        <w:t>不具备采购文件中规定的资格要求或未按采购文件规定的要求提供资格、资信证明文件的；</w:t>
      </w:r>
    </w:p>
    <w:p w14:paraId="5A1BC445">
      <w:pPr>
        <w:numPr>
          <w:ilvl w:val="0"/>
          <w:numId w:val="14"/>
        </w:numPr>
        <w:spacing w:line="360" w:lineRule="auto"/>
        <w:ind w:left="0" w:firstLine="425"/>
        <w:rPr>
          <w:rFonts w:ascii="宋体" w:hAnsi="宋体"/>
          <w:sz w:val="24"/>
          <w:highlight w:val="none"/>
        </w:rPr>
      </w:pPr>
      <w:r>
        <w:rPr>
          <w:rFonts w:hint="eastAsia" w:ascii="宋体" w:hAnsi="宋体"/>
          <w:sz w:val="24"/>
          <w:highlight w:val="none"/>
        </w:rPr>
        <w:t>不同投标供应商投标文件中的项目相关人员出现同一人的；</w:t>
      </w:r>
    </w:p>
    <w:p w14:paraId="5BF953E3">
      <w:pPr>
        <w:numPr>
          <w:ilvl w:val="0"/>
          <w:numId w:val="14"/>
        </w:numPr>
        <w:spacing w:line="360" w:lineRule="auto"/>
        <w:ind w:left="0" w:firstLine="425"/>
        <w:rPr>
          <w:rFonts w:ascii="宋体" w:hAnsi="宋体"/>
          <w:sz w:val="24"/>
          <w:highlight w:val="none"/>
        </w:rPr>
      </w:pPr>
      <w:r>
        <w:rPr>
          <w:rFonts w:hint="eastAsia" w:ascii="宋体" w:hAnsi="宋体"/>
          <w:sz w:val="24"/>
          <w:highlight w:val="none"/>
        </w:rPr>
        <w:t>不同投标供应商聘请同一人为其投标提供技术或经济咨询服务的；</w:t>
      </w:r>
    </w:p>
    <w:p w14:paraId="1DD1A7A0">
      <w:pPr>
        <w:numPr>
          <w:ilvl w:val="0"/>
          <w:numId w:val="14"/>
        </w:numPr>
        <w:spacing w:line="360" w:lineRule="auto"/>
        <w:ind w:left="0" w:firstLine="425"/>
        <w:rPr>
          <w:rFonts w:ascii="宋体" w:hAnsi="宋体"/>
          <w:sz w:val="24"/>
          <w:highlight w:val="none"/>
        </w:rPr>
      </w:pPr>
      <w:r>
        <w:rPr>
          <w:rFonts w:hint="eastAsia" w:ascii="宋体" w:hAnsi="宋体"/>
          <w:sz w:val="24"/>
          <w:highlight w:val="none"/>
        </w:rPr>
        <w:t>不同投标供应商的单位负责人为同一人或者存在直接控股、管理关系的；</w:t>
      </w:r>
    </w:p>
    <w:p w14:paraId="5BBED7C9">
      <w:pPr>
        <w:numPr>
          <w:ilvl w:val="0"/>
          <w:numId w:val="14"/>
        </w:numPr>
        <w:spacing w:line="360" w:lineRule="auto"/>
        <w:ind w:left="0" w:firstLine="425"/>
        <w:rPr>
          <w:rFonts w:ascii="宋体" w:hAnsi="宋体"/>
          <w:sz w:val="24"/>
          <w:highlight w:val="none"/>
        </w:rPr>
      </w:pPr>
      <w:r>
        <w:rPr>
          <w:rFonts w:hint="eastAsia" w:ascii="宋体" w:hAnsi="宋体"/>
          <w:sz w:val="24"/>
          <w:highlight w:val="none"/>
        </w:rPr>
        <w:t>不同投标供应商的投标文件异常一致或者投标报价呈规律性差异；</w:t>
      </w:r>
    </w:p>
    <w:p w14:paraId="50329E36">
      <w:pPr>
        <w:numPr>
          <w:ilvl w:val="0"/>
          <w:numId w:val="14"/>
        </w:numPr>
        <w:spacing w:line="360" w:lineRule="auto"/>
        <w:ind w:left="0" w:firstLine="425"/>
        <w:rPr>
          <w:rFonts w:ascii="宋体" w:hAnsi="宋体"/>
          <w:sz w:val="24"/>
          <w:highlight w:val="none"/>
        </w:rPr>
      </w:pPr>
      <w:r>
        <w:rPr>
          <w:rFonts w:hint="eastAsia" w:ascii="宋体" w:hAnsi="宋体"/>
          <w:sz w:val="24"/>
          <w:highlight w:val="none"/>
        </w:rPr>
        <w:t>投标文件商务标中同一方案有选择性报价且未声明以哪一个为准的；</w:t>
      </w:r>
    </w:p>
    <w:p w14:paraId="27BBE8B2">
      <w:pPr>
        <w:numPr>
          <w:ilvl w:val="0"/>
          <w:numId w:val="14"/>
        </w:numPr>
        <w:spacing w:line="360" w:lineRule="auto"/>
        <w:ind w:left="0" w:firstLine="425"/>
        <w:rPr>
          <w:rFonts w:ascii="宋体" w:hAnsi="宋体"/>
          <w:sz w:val="24"/>
          <w:highlight w:val="none"/>
        </w:rPr>
      </w:pPr>
      <w:r>
        <w:rPr>
          <w:rFonts w:hint="eastAsia" w:ascii="宋体" w:hAnsi="宋体"/>
          <w:sz w:val="24"/>
          <w:highlight w:val="none"/>
        </w:rPr>
        <w:t>投标文件报价出现前后不一致，投标供应商拒不确认修正后的报价的；</w:t>
      </w:r>
    </w:p>
    <w:p w14:paraId="78678BFD">
      <w:pPr>
        <w:numPr>
          <w:ilvl w:val="0"/>
          <w:numId w:val="14"/>
        </w:numPr>
        <w:spacing w:line="360" w:lineRule="auto"/>
        <w:ind w:left="0" w:firstLine="425"/>
        <w:rPr>
          <w:rFonts w:ascii="宋体" w:hAnsi="宋体"/>
          <w:sz w:val="24"/>
          <w:highlight w:val="none"/>
        </w:rPr>
      </w:pPr>
      <w:r>
        <w:rPr>
          <w:rFonts w:hint="eastAsia" w:ascii="宋体" w:hAnsi="宋体"/>
          <w:sz w:val="24"/>
          <w:highlight w:val="none"/>
        </w:rPr>
        <w:t>投标报价明显低于其他通过符合性审查投标人的报价，有可能影响产品质量或者不能诚信履约的，不能在询标发出后半小时内提供书面说明及相关证明材料，无法证明其报价合理性的；</w:t>
      </w:r>
    </w:p>
    <w:p w14:paraId="0A14E883">
      <w:pPr>
        <w:numPr>
          <w:ilvl w:val="0"/>
          <w:numId w:val="14"/>
        </w:numPr>
        <w:spacing w:line="360" w:lineRule="auto"/>
        <w:ind w:left="0" w:firstLine="425"/>
        <w:rPr>
          <w:rFonts w:ascii="宋体" w:hAnsi="宋体"/>
          <w:sz w:val="24"/>
          <w:highlight w:val="none"/>
        </w:rPr>
      </w:pPr>
      <w:r>
        <w:rPr>
          <w:rFonts w:hint="eastAsia" w:ascii="宋体" w:hAnsi="宋体"/>
          <w:sz w:val="24"/>
          <w:highlight w:val="none"/>
        </w:rPr>
        <w:t>未通过初步资格性审查、投标文件资格性检查、 投标文件符合性检查的；</w:t>
      </w:r>
    </w:p>
    <w:p w14:paraId="4BCD3270">
      <w:pPr>
        <w:numPr>
          <w:ilvl w:val="0"/>
          <w:numId w:val="14"/>
        </w:numPr>
        <w:spacing w:line="360" w:lineRule="auto"/>
        <w:ind w:left="0" w:firstLine="425"/>
        <w:rPr>
          <w:rFonts w:ascii="宋体" w:hAnsi="宋体"/>
          <w:sz w:val="24"/>
          <w:highlight w:val="none"/>
        </w:rPr>
      </w:pPr>
      <w:r>
        <w:rPr>
          <w:rFonts w:hint="eastAsia" w:ascii="宋体" w:hAnsi="宋体"/>
          <w:sz w:val="24"/>
          <w:highlight w:val="none"/>
        </w:rPr>
        <w:t>列入失信被执行人、重大税收违法失信主体、政府采购严重违法失信行为记录名单及其他不符合《中华人民共和国政府采购法》第二十二条规定条件的；</w:t>
      </w:r>
    </w:p>
    <w:p w14:paraId="2332D355">
      <w:pPr>
        <w:numPr>
          <w:ilvl w:val="0"/>
          <w:numId w:val="14"/>
        </w:numPr>
        <w:spacing w:line="360" w:lineRule="auto"/>
        <w:ind w:left="0" w:firstLine="425"/>
        <w:rPr>
          <w:rFonts w:ascii="宋体" w:hAnsi="宋体"/>
          <w:sz w:val="24"/>
          <w:highlight w:val="none"/>
        </w:rPr>
      </w:pPr>
      <w:r>
        <w:rPr>
          <w:rFonts w:hint="eastAsia" w:ascii="宋体" w:hAnsi="宋体"/>
          <w:sz w:val="24"/>
          <w:highlight w:val="none"/>
        </w:rPr>
        <w:t>未按要求提供技术文件，技术文件编制粗糙、条理不清的；</w:t>
      </w:r>
    </w:p>
    <w:p w14:paraId="2188410B">
      <w:pPr>
        <w:numPr>
          <w:ilvl w:val="0"/>
          <w:numId w:val="14"/>
        </w:numPr>
        <w:spacing w:line="360" w:lineRule="auto"/>
        <w:ind w:left="0" w:firstLine="425"/>
        <w:rPr>
          <w:rFonts w:ascii="宋体" w:hAnsi="宋体"/>
          <w:sz w:val="24"/>
          <w:highlight w:val="none"/>
        </w:rPr>
      </w:pPr>
      <w:r>
        <w:rPr>
          <w:rFonts w:hint="eastAsia" w:ascii="宋体" w:hAnsi="宋体"/>
          <w:sz w:val="24"/>
          <w:highlight w:val="none"/>
        </w:rPr>
        <w:t>投标供应商的投标报价畸高或畸低，但投标总报价与各分项报价不能相互对应，在询标时没有合理的解释或者不能提供计算依据和报价依据的；</w:t>
      </w:r>
    </w:p>
    <w:p w14:paraId="684E5268">
      <w:pPr>
        <w:numPr>
          <w:ilvl w:val="0"/>
          <w:numId w:val="14"/>
        </w:numPr>
        <w:spacing w:line="360" w:lineRule="auto"/>
        <w:ind w:left="0" w:firstLine="425"/>
        <w:rPr>
          <w:rFonts w:ascii="宋体" w:hAnsi="宋体"/>
          <w:sz w:val="24"/>
          <w:highlight w:val="none"/>
        </w:rPr>
      </w:pPr>
      <w:r>
        <w:rPr>
          <w:rFonts w:hint="eastAsia" w:ascii="宋体" w:hAnsi="宋体"/>
          <w:sz w:val="24"/>
          <w:highlight w:val="none"/>
        </w:rPr>
        <w:t>不同投标供应商投标文件内容存在非正常一致、项目组成员或者联系人员出现同一人、投标文件中错误（或异常）一致或雷同、电子文档信息一致或雷同的；</w:t>
      </w:r>
    </w:p>
    <w:p w14:paraId="368E984A">
      <w:pPr>
        <w:numPr>
          <w:ilvl w:val="0"/>
          <w:numId w:val="14"/>
        </w:numPr>
        <w:spacing w:line="360" w:lineRule="auto"/>
        <w:ind w:left="0" w:firstLine="425"/>
        <w:rPr>
          <w:rFonts w:ascii="宋体" w:hAnsi="宋体"/>
          <w:sz w:val="24"/>
          <w:highlight w:val="none"/>
        </w:rPr>
      </w:pPr>
      <w:r>
        <w:rPr>
          <w:rFonts w:hint="eastAsia" w:ascii="宋体" w:hAnsi="宋体"/>
          <w:sz w:val="24"/>
          <w:highlight w:val="none"/>
        </w:rPr>
        <w:t>不同投标供应商的委托代理人、项目负责人以及其他相关人员有在同一个单位缴纳社会保险的；</w:t>
      </w:r>
    </w:p>
    <w:p w14:paraId="14E62CF4">
      <w:pPr>
        <w:numPr>
          <w:ilvl w:val="0"/>
          <w:numId w:val="14"/>
        </w:numPr>
        <w:spacing w:line="360" w:lineRule="auto"/>
        <w:ind w:left="0" w:firstLine="425"/>
        <w:rPr>
          <w:rFonts w:ascii="宋体" w:hAnsi="宋体"/>
          <w:sz w:val="24"/>
          <w:highlight w:val="none"/>
        </w:rPr>
      </w:pPr>
      <w:r>
        <w:rPr>
          <w:rFonts w:hint="eastAsia" w:ascii="宋体" w:hAnsi="宋体"/>
          <w:sz w:val="24"/>
          <w:highlight w:val="none"/>
        </w:rPr>
        <w:t>同一投标文件中单位名称落款与公章不是同一单位的；</w:t>
      </w:r>
    </w:p>
    <w:p w14:paraId="6D5DFCED">
      <w:pPr>
        <w:numPr>
          <w:ilvl w:val="0"/>
          <w:numId w:val="14"/>
        </w:numPr>
        <w:spacing w:line="360" w:lineRule="auto"/>
        <w:ind w:left="0" w:firstLine="425"/>
        <w:rPr>
          <w:rFonts w:ascii="宋体" w:hAnsi="宋体"/>
          <w:sz w:val="24"/>
          <w:highlight w:val="none"/>
        </w:rPr>
      </w:pPr>
      <w:r>
        <w:rPr>
          <w:rFonts w:hint="eastAsia" w:ascii="宋体" w:hAnsi="宋体"/>
          <w:sz w:val="24"/>
          <w:highlight w:val="none"/>
        </w:rPr>
        <w:t>不同投标供应商委托同一单位或者个人办理投标事宜的；</w:t>
      </w:r>
    </w:p>
    <w:p w14:paraId="74C2EB5C">
      <w:pPr>
        <w:numPr>
          <w:ilvl w:val="0"/>
          <w:numId w:val="14"/>
        </w:numPr>
        <w:spacing w:line="360" w:lineRule="auto"/>
        <w:ind w:left="0" w:firstLine="425"/>
        <w:rPr>
          <w:rFonts w:ascii="宋体" w:hAnsi="宋体"/>
          <w:sz w:val="24"/>
          <w:highlight w:val="none"/>
        </w:rPr>
      </w:pPr>
      <w:r>
        <w:rPr>
          <w:rFonts w:hint="eastAsia" w:ascii="宋体" w:hAnsi="宋体"/>
          <w:sz w:val="24"/>
          <w:highlight w:val="none"/>
        </w:rPr>
        <w:t>投标文件内容不全或不符合法律法规和采购文件中规定的其他实质性要求的。</w:t>
      </w:r>
    </w:p>
    <w:p w14:paraId="5A9CA971">
      <w:pPr>
        <w:spacing w:line="360" w:lineRule="auto"/>
        <w:ind w:left="-2" w:firstLine="420"/>
        <w:outlineLvl w:val="0"/>
        <w:rPr>
          <w:rFonts w:ascii="宋体" w:hAnsi="宋体"/>
          <w:bCs/>
          <w:color w:val="000000"/>
          <w:sz w:val="24"/>
          <w:highlight w:val="none"/>
        </w:rPr>
      </w:pPr>
      <w:r>
        <w:rPr>
          <w:rFonts w:hint="eastAsia" w:ascii="宋体" w:hAnsi="宋体"/>
          <w:bCs/>
          <w:color w:val="000000"/>
          <w:sz w:val="24"/>
          <w:highlight w:val="none"/>
        </w:rPr>
        <w:t>（十）开标、评标：</w:t>
      </w:r>
    </w:p>
    <w:p w14:paraId="0C57670F">
      <w:pPr>
        <w:tabs>
          <w:tab w:val="left" w:pos="945"/>
        </w:tabs>
        <w:spacing w:line="360" w:lineRule="auto"/>
        <w:ind w:firstLine="523"/>
        <w:rPr>
          <w:rFonts w:ascii="宋体" w:hAnsi="宋体"/>
          <w:bCs/>
          <w:color w:val="000000"/>
          <w:sz w:val="24"/>
          <w:highlight w:val="none"/>
        </w:rPr>
      </w:pPr>
      <w:r>
        <w:rPr>
          <w:rFonts w:hint="eastAsia" w:ascii="宋体" w:hAnsi="宋体"/>
          <w:bCs/>
          <w:color w:val="000000"/>
          <w:sz w:val="24"/>
          <w:highlight w:val="none"/>
        </w:rPr>
        <w:t>1．所有投标单位自行准备好上网设备，保持网络通畅，在招标文件规定的时间内登录“江苏省政府采购一体化不见面开标（采购）大厅”解密各自投标文件，并在评审过程中保持在线，等待评审小组的询标（如有），并等待评审结果，中途不得离开。如未按要求应答，由此所产生的损失及风险由供应商自行承担。</w:t>
      </w:r>
    </w:p>
    <w:p w14:paraId="3B7BB686">
      <w:pPr>
        <w:tabs>
          <w:tab w:val="left" w:pos="840"/>
          <w:tab w:val="left" w:pos="1050"/>
        </w:tabs>
        <w:spacing w:line="360" w:lineRule="auto"/>
        <w:ind w:firstLine="600"/>
        <w:rPr>
          <w:rFonts w:ascii="宋体" w:hAnsi="宋体"/>
          <w:sz w:val="24"/>
          <w:highlight w:val="none"/>
        </w:rPr>
      </w:pPr>
      <w:r>
        <w:rPr>
          <w:rFonts w:hint="eastAsia" w:ascii="宋体" w:hAnsi="宋体"/>
          <w:bCs/>
          <w:color w:val="000000"/>
          <w:sz w:val="24"/>
          <w:highlight w:val="none"/>
        </w:rPr>
        <w:t>2．投标截止时间后参加投标的供应商或解密投标文件的供应商不足三家的，不进入后续开标环节；投标供应商按开评标流程参与本次投标，开评标流程如下：开标等待----</w:t>
      </w:r>
      <w:r>
        <w:rPr>
          <w:rFonts w:hint="eastAsia" w:ascii="宋体" w:hAnsi="宋体"/>
          <w:bCs/>
          <w:color w:val="000000"/>
          <w:sz w:val="24"/>
          <w:highlight w:val="none"/>
          <w:lang w:eastAsia="zh-CN"/>
        </w:rPr>
        <w:t>〉</w:t>
      </w:r>
      <w:r>
        <w:rPr>
          <w:rFonts w:hint="eastAsia" w:ascii="宋体" w:hAnsi="宋体"/>
          <w:bCs/>
          <w:color w:val="000000"/>
          <w:sz w:val="24"/>
          <w:highlight w:val="none"/>
        </w:rPr>
        <w:t>开标主持----</w:t>
      </w:r>
      <w:r>
        <w:rPr>
          <w:rFonts w:hint="eastAsia" w:ascii="宋体" w:hAnsi="宋体"/>
          <w:bCs/>
          <w:color w:val="000000"/>
          <w:sz w:val="24"/>
          <w:highlight w:val="none"/>
          <w:lang w:eastAsia="zh-CN"/>
        </w:rPr>
        <w:t>〉</w:t>
      </w:r>
      <w:r>
        <w:rPr>
          <w:rFonts w:hint="eastAsia" w:ascii="宋体" w:hAnsi="宋体"/>
          <w:bCs/>
          <w:color w:val="000000"/>
          <w:sz w:val="24"/>
          <w:highlight w:val="none"/>
        </w:rPr>
        <w:t>供应商解密----</w:t>
      </w:r>
      <w:r>
        <w:rPr>
          <w:rFonts w:hint="eastAsia" w:ascii="宋体" w:hAnsi="宋体"/>
          <w:bCs/>
          <w:color w:val="000000"/>
          <w:sz w:val="24"/>
          <w:highlight w:val="none"/>
          <w:lang w:eastAsia="zh-CN"/>
        </w:rPr>
        <w:t>〉</w:t>
      </w:r>
      <w:r>
        <w:rPr>
          <w:rFonts w:hint="eastAsia" w:ascii="宋体" w:hAnsi="宋体"/>
          <w:bCs/>
          <w:color w:val="000000"/>
          <w:sz w:val="24"/>
          <w:highlight w:val="none"/>
        </w:rPr>
        <w:t>唱标----</w:t>
      </w:r>
      <w:r>
        <w:rPr>
          <w:rFonts w:hint="eastAsia" w:ascii="宋体" w:hAnsi="宋体"/>
          <w:bCs/>
          <w:color w:val="000000"/>
          <w:sz w:val="24"/>
          <w:highlight w:val="none"/>
          <w:lang w:eastAsia="zh-CN"/>
        </w:rPr>
        <w:t>〉</w:t>
      </w:r>
      <w:r>
        <w:rPr>
          <w:rFonts w:hint="eastAsia" w:ascii="宋体" w:hAnsi="宋体"/>
          <w:bCs/>
          <w:color w:val="000000"/>
          <w:sz w:val="24"/>
          <w:highlight w:val="none"/>
        </w:rPr>
        <w:t>评审----</w:t>
      </w:r>
      <w:r>
        <w:rPr>
          <w:rFonts w:hint="eastAsia" w:ascii="宋体" w:hAnsi="宋体"/>
          <w:bCs/>
          <w:color w:val="000000"/>
          <w:sz w:val="24"/>
          <w:highlight w:val="none"/>
          <w:lang w:eastAsia="zh-CN"/>
        </w:rPr>
        <w:t>〉</w:t>
      </w:r>
      <w:r>
        <w:rPr>
          <w:rFonts w:hint="eastAsia" w:ascii="宋体" w:hAnsi="宋体"/>
          <w:bCs/>
          <w:color w:val="000000"/>
          <w:sz w:val="24"/>
          <w:highlight w:val="none"/>
        </w:rPr>
        <w:t>评审结束。说明：整个开评标环节，供应商只需要在【供应商解密】环节进行 CA 解密、【唱标】环节进行唱标确认、【评审】环节等待询标澄清或最终报价的准备，其余环节均为语音播报，供应商观看开标即可</w:t>
      </w:r>
      <w:r>
        <w:rPr>
          <w:rFonts w:hint="eastAsia" w:ascii="宋体" w:hAnsi="宋体"/>
          <w:sz w:val="24"/>
          <w:highlight w:val="none"/>
        </w:rPr>
        <w:t>。</w:t>
      </w:r>
    </w:p>
    <w:p w14:paraId="20F784EC">
      <w:pPr>
        <w:tabs>
          <w:tab w:val="left" w:pos="840"/>
          <w:tab w:val="left" w:pos="1050"/>
        </w:tabs>
        <w:spacing w:line="360" w:lineRule="auto"/>
        <w:ind w:firstLine="600"/>
        <w:rPr>
          <w:rFonts w:ascii="宋体" w:hAnsi="宋体"/>
          <w:sz w:val="24"/>
          <w:highlight w:val="none"/>
        </w:rPr>
      </w:pPr>
      <w:r>
        <w:rPr>
          <w:rFonts w:hint="eastAsia" w:ascii="宋体" w:hAnsi="宋体"/>
          <w:sz w:val="24"/>
          <w:highlight w:val="none"/>
        </w:rPr>
        <w:t>3.开标时，投标文件报价出现前后不一致的，按照下列规定修正：</w:t>
      </w:r>
    </w:p>
    <w:p w14:paraId="1703858F">
      <w:pPr>
        <w:tabs>
          <w:tab w:val="left" w:pos="840"/>
          <w:tab w:val="left" w:pos="1050"/>
        </w:tabs>
        <w:spacing w:line="360" w:lineRule="auto"/>
        <w:ind w:firstLine="600"/>
        <w:rPr>
          <w:rFonts w:ascii="宋体" w:hAnsi="宋体"/>
          <w:sz w:val="24"/>
          <w:highlight w:val="none"/>
        </w:rPr>
      </w:pPr>
      <w:r>
        <w:rPr>
          <w:rFonts w:hint="eastAsia" w:ascii="宋体" w:hAnsi="宋体"/>
          <w:sz w:val="24"/>
          <w:highlight w:val="none"/>
        </w:rPr>
        <w:t>（1）投标文件中开标一览表（报价表）内容与投标文件中相应内容不一致的，以开标一览表（报价表）为准。</w:t>
      </w:r>
    </w:p>
    <w:p w14:paraId="120278E7">
      <w:pPr>
        <w:tabs>
          <w:tab w:val="left" w:pos="840"/>
          <w:tab w:val="left" w:pos="1050"/>
        </w:tabs>
        <w:spacing w:line="360" w:lineRule="auto"/>
        <w:ind w:firstLine="600"/>
        <w:rPr>
          <w:rFonts w:ascii="宋体" w:hAnsi="宋体"/>
          <w:sz w:val="24"/>
          <w:highlight w:val="none"/>
        </w:rPr>
      </w:pPr>
      <w:r>
        <w:rPr>
          <w:rFonts w:hint="eastAsia" w:ascii="宋体" w:hAnsi="宋体"/>
          <w:sz w:val="24"/>
          <w:highlight w:val="none"/>
        </w:rPr>
        <w:t>（2）大写金额和小写金额不一致的，以大写金额为准。</w:t>
      </w:r>
    </w:p>
    <w:p w14:paraId="4552A652">
      <w:pPr>
        <w:tabs>
          <w:tab w:val="left" w:pos="840"/>
          <w:tab w:val="left" w:pos="1050"/>
        </w:tabs>
        <w:spacing w:line="360" w:lineRule="auto"/>
        <w:ind w:firstLine="600"/>
        <w:rPr>
          <w:rFonts w:ascii="宋体" w:hAnsi="宋体"/>
          <w:sz w:val="24"/>
          <w:highlight w:val="none"/>
        </w:rPr>
      </w:pPr>
      <w:r>
        <w:rPr>
          <w:rFonts w:hint="eastAsia" w:ascii="宋体" w:hAnsi="宋体"/>
          <w:sz w:val="24"/>
          <w:highlight w:val="none"/>
        </w:rPr>
        <w:t>（3）单价金额小数点或者百分比有明显错位的，以开标一览表的总价为准，并修改单价。</w:t>
      </w:r>
    </w:p>
    <w:p w14:paraId="57AFEF40">
      <w:pPr>
        <w:tabs>
          <w:tab w:val="left" w:pos="840"/>
          <w:tab w:val="left" w:pos="1050"/>
        </w:tabs>
        <w:spacing w:line="360" w:lineRule="auto"/>
        <w:ind w:firstLine="600"/>
        <w:rPr>
          <w:rFonts w:ascii="宋体" w:hAnsi="宋体"/>
          <w:sz w:val="24"/>
          <w:highlight w:val="none"/>
        </w:rPr>
      </w:pPr>
      <w:r>
        <w:rPr>
          <w:rFonts w:hint="eastAsia" w:ascii="宋体" w:hAnsi="宋体"/>
          <w:sz w:val="24"/>
          <w:highlight w:val="none"/>
        </w:rPr>
        <w:t>（4）总价金额与按单价汇总金额不一致的，以单价金额计算结果为准。</w:t>
      </w:r>
    </w:p>
    <w:p w14:paraId="0D474089">
      <w:pPr>
        <w:tabs>
          <w:tab w:val="left" w:pos="840"/>
          <w:tab w:val="left" w:pos="1050"/>
        </w:tabs>
        <w:spacing w:line="360" w:lineRule="auto"/>
        <w:ind w:firstLine="600"/>
        <w:rPr>
          <w:rFonts w:ascii="宋体" w:hAnsi="宋体"/>
          <w:sz w:val="24"/>
          <w:highlight w:val="none"/>
        </w:rPr>
      </w:pPr>
      <w:r>
        <w:rPr>
          <w:rFonts w:hint="eastAsia" w:ascii="宋体" w:hAnsi="宋体"/>
          <w:sz w:val="24"/>
          <w:highlight w:val="none"/>
        </w:rPr>
        <w:t>同时出现两种以上不一致的，按照前款规定的顺序修正。修正后的报价评标委员会应当以书面形式要求投标人作出必要的澄清、说明或者补正，经投标人确认后产生约束力，投标人不确认的，其投标无效。</w:t>
      </w:r>
    </w:p>
    <w:p w14:paraId="20FFCC4A">
      <w:pPr>
        <w:tabs>
          <w:tab w:val="left" w:pos="945"/>
        </w:tabs>
        <w:spacing w:line="360" w:lineRule="auto"/>
        <w:ind w:firstLine="523"/>
        <w:rPr>
          <w:rFonts w:ascii="宋体" w:hAnsi="宋体" w:cs="宋体"/>
          <w:color w:val="000000"/>
          <w:sz w:val="24"/>
          <w:highlight w:val="none"/>
        </w:rPr>
      </w:pPr>
      <w:r>
        <w:rPr>
          <w:rFonts w:hint="eastAsia" w:ascii="宋体" w:hAnsi="宋体"/>
          <w:bCs/>
          <w:color w:val="000000"/>
          <w:sz w:val="24"/>
          <w:highlight w:val="none"/>
        </w:rPr>
        <w:t>4．投标供应商如对开标过程和开标记录有异议，</w:t>
      </w:r>
      <w:r>
        <w:rPr>
          <w:rFonts w:hint="eastAsia" w:ascii="宋体" w:hAnsi="宋体" w:cs="宋体"/>
          <w:color w:val="000000"/>
          <w:sz w:val="24"/>
          <w:highlight w:val="none"/>
        </w:rPr>
        <w:t>应当在开标现场提出，事后提出将不予受理。</w:t>
      </w:r>
    </w:p>
    <w:p w14:paraId="1A8AA92E">
      <w:pPr>
        <w:tabs>
          <w:tab w:val="left" w:pos="840"/>
          <w:tab w:val="left" w:pos="1050"/>
        </w:tabs>
        <w:spacing w:line="360" w:lineRule="auto"/>
        <w:ind w:firstLine="600"/>
        <w:rPr>
          <w:rFonts w:ascii="宋体" w:hAnsi="宋体"/>
          <w:sz w:val="24"/>
          <w:highlight w:val="none"/>
        </w:rPr>
      </w:pPr>
      <w:r>
        <w:rPr>
          <w:rFonts w:hint="eastAsia" w:ascii="宋体" w:hAnsi="宋体"/>
          <w:bCs/>
          <w:color w:val="000000"/>
          <w:sz w:val="24"/>
          <w:highlight w:val="none"/>
        </w:rPr>
        <w:t>5.提出异议方式：通过“留言板”功能进行提出（请供应商谨慎发言以免被禁言）</w:t>
      </w:r>
      <w:r>
        <w:rPr>
          <w:rFonts w:hint="eastAsia" w:ascii="宋体" w:hAnsi="宋体"/>
          <w:sz w:val="24"/>
          <w:highlight w:val="none"/>
        </w:rPr>
        <w:t>。</w:t>
      </w:r>
    </w:p>
    <w:p w14:paraId="5C860A35">
      <w:pPr>
        <w:tabs>
          <w:tab w:val="left" w:pos="840"/>
          <w:tab w:val="left" w:pos="1050"/>
        </w:tabs>
        <w:spacing w:line="360" w:lineRule="auto"/>
        <w:ind w:firstLine="600"/>
        <w:rPr>
          <w:rFonts w:ascii="宋体" w:hAnsi="宋体"/>
          <w:sz w:val="24"/>
          <w:highlight w:val="none"/>
        </w:rPr>
      </w:pPr>
      <w:r>
        <w:rPr>
          <w:rFonts w:hint="eastAsia" w:ascii="宋体" w:hAnsi="宋体"/>
          <w:sz w:val="24"/>
          <w:highlight w:val="none"/>
        </w:rPr>
        <w:t>6.评标程序</w:t>
      </w:r>
    </w:p>
    <w:p w14:paraId="356137E1">
      <w:pPr>
        <w:tabs>
          <w:tab w:val="left" w:pos="840"/>
          <w:tab w:val="left" w:pos="1050"/>
        </w:tabs>
        <w:spacing w:line="360" w:lineRule="auto"/>
        <w:ind w:firstLine="600"/>
        <w:rPr>
          <w:rFonts w:ascii="宋体" w:hAnsi="宋体"/>
          <w:sz w:val="24"/>
          <w:highlight w:val="none"/>
        </w:rPr>
      </w:pPr>
      <w:r>
        <w:rPr>
          <w:rFonts w:hint="eastAsia" w:ascii="宋体" w:hAnsi="宋体"/>
          <w:sz w:val="24"/>
          <w:highlight w:val="none"/>
        </w:rPr>
        <w:t>评标工作由代理公司负责组织，具体评标事务由依法组建的评标委员会负责。</w:t>
      </w:r>
    </w:p>
    <w:p w14:paraId="3997E643">
      <w:pPr>
        <w:tabs>
          <w:tab w:val="left" w:pos="840"/>
          <w:tab w:val="left" w:pos="1050"/>
        </w:tabs>
        <w:spacing w:line="360" w:lineRule="auto"/>
        <w:ind w:firstLine="600"/>
        <w:rPr>
          <w:rFonts w:ascii="宋体" w:hAnsi="宋体"/>
          <w:sz w:val="24"/>
          <w:highlight w:val="none"/>
        </w:rPr>
      </w:pPr>
      <w:r>
        <w:rPr>
          <w:rFonts w:hint="eastAsia" w:ascii="宋体" w:hAnsi="宋体"/>
          <w:sz w:val="24"/>
          <w:highlight w:val="none"/>
        </w:rPr>
        <w:t>（1）投标文件初审。初审分为资格性检查和符合性检查。</w:t>
      </w:r>
    </w:p>
    <w:p w14:paraId="4D9A9D8E">
      <w:pPr>
        <w:tabs>
          <w:tab w:val="left" w:pos="840"/>
          <w:tab w:val="left" w:pos="1050"/>
        </w:tabs>
        <w:spacing w:line="360" w:lineRule="auto"/>
        <w:ind w:firstLine="600"/>
        <w:rPr>
          <w:rFonts w:ascii="宋体" w:hAnsi="宋体"/>
          <w:sz w:val="24"/>
          <w:highlight w:val="none"/>
        </w:rPr>
      </w:pPr>
      <w:r>
        <w:rPr>
          <w:rFonts w:hint="eastAsia" w:ascii="宋体" w:hAnsi="宋体"/>
          <w:sz w:val="24"/>
          <w:highlight w:val="none"/>
        </w:rPr>
        <w:t>A．资格性检查。采购人或代理机构依据法律法规和招标文件的规定，对投标文件中的资格证明、投标（报价）承诺函等进行审查；通过“信用中国”网站（www.creditchina.gov.cn）、中国政府采购网（www.ccgp.gov.cn）、“信用中国（江苏）”网站（www.jscredit.gov.cn）查询投标供应商在投标截止时间之前，是否被列入失信被执行人、重大税收违法失信主体、政府采购严重违法失信行为记录名单，以确定投标供应商是否具备投标资格。信用查询结果以网页打印的形式留存并归档。</w:t>
      </w:r>
    </w:p>
    <w:p w14:paraId="1819AE7C">
      <w:pPr>
        <w:tabs>
          <w:tab w:val="left" w:pos="840"/>
          <w:tab w:val="left" w:pos="1050"/>
        </w:tabs>
        <w:spacing w:line="360" w:lineRule="auto"/>
        <w:ind w:firstLine="600"/>
        <w:rPr>
          <w:rFonts w:ascii="宋体" w:hAnsi="宋体"/>
          <w:sz w:val="24"/>
          <w:highlight w:val="none"/>
        </w:rPr>
      </w:pPr>
      <w:r>
        <w:rPr>
          <w:rFonts w:hint="eastAsia" w:ascii="宋体" w:hAnsi="宋体"/>
          <w:sz w:val="24"/>
          <w:highlight w:val="none"/>
        </w:rPr>
        <w:t>B．符合性检查。评标委员会依据招标文件的规定，从投标文件的有效性、完整性和对招标文件的响应程度进行审查，以确定是否对招标文件的实质性要求作出响应。</w:t>
      </w:r>
    </w:p>
    <w:p w14:paraId="26C76BCE">
      <w:pPr>
        <w:tabs>
          <w:tab w:val="left" w:pos="840"/>
          <w:tab w:val="left" w:pos="1050"/>
        </w:tabs>
        <w:spacing w:line="360" w:lineRule="auto"/>
        <w:ind w:firstLine="600"/>
        <w:rPr>
          <w:rFonts w:ascii="宋体" w:hAnsi="宋体"/>
          <w:sz w:val="24"/>
          <w:highlight w:val="none"/>
        </w:rPr>
      </w:pPr>
      <w:r>
        <w:rPr>
          <w:rFonts w:hint="eastAsia" w:ascii="宋体" w:hAnsi="宋体"/>
          <w:bCs/>
          <w:color w:val="000000"/>
          <w:sz w:val="24"/>
          <w:highlight w:val="none"/>
        </w:rPr>
        <w:t>（2）澄清有关问题。对投标文件中含义不明确、同类问题表述不一致或者有明显文字和计算错误的内容，评标委员会可以通过江苏省政府采购（苏采云）平台发起询标，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rPr>
          <w:rFonts w:hint="eastAsia" w:ascii="宋体" w:hAnsi="宋体"/>
          <w:sz w:val="24"/>
          <w:highlight w:val="none"/>
        </w:rPr>
        <w:t>。</w:t>
      </w:r>
    </w:p>
    <w:p w14:paraId="78C2CD05">
      <w:pPr>
        <w:tabs>
          <w:tab w:val="left" w:pos="840"/>
          <w:tab w:val="left" w:pos="1050"/>
        </w:tabs>
        <w:spacing w:line="360" w:lineRule="auto"/>
        <w:ind w:firstLine="600"/>
        <w:rPr>
          <w:rFonts w:ascii="宋体" w:hAnsi="宋体"/>
          <w:sz w:val="24"/>
          <w:highlight w:val="none"/>
        </w:rPr>
      </w:pPr>
      <w:r>
        <w:rPr>
          <w:rFonts w:hint="eastAsia" w:ascii="宋体" w:hAnsi="宋体"/>
          <w:sz w:val="24"/>
          <w:highlight w:val="none"/>
        </w:rPr>
        <w:t>（3）比较与评价。评标委员会按招标文件中规定的评标方法和标准，对资格性检查和符合性检查合格的投标文件进行商务和技术评估，综合比较与评价。</w:t>
      </w:r>
    </w:p>
    <w:p w14:paraId="4B396EF5">
      <w:pPr>
        <w:tabs>
          <w:tab w:val="left" w:pos="1365"/>
        </w:tabs>
        <w:spacing w:line="360" w:lineRule="auto"/>
        <w:ind w:firstLine="480"/>
        <w:rPr>
          <w:rFonts w:ascii="宋体" w:hAnsi="宋体"/>
          <w:sz w:val="24"/>
          <w:highlight w:val="none"/>
        </w:rPr>
      </w:pPr>
      <w:r>
        <w:rPr>
          <w:rFonts w:hint="eastAsia" w:ascii="宋体" w:hAnsi="宋体"/>
          <w:bCs/>
          <w:color w:val="000000"/>
          <w:sz w:val="24"/>
          <w:szCs w:val="20"/>
          <w:highlight w:val="none"/>
        </w:rPr>
        <w:t>7. 评标方法</w:t>
      </w:r>
    </w:p>
    <w:p w14:paraId="0278155C">
      <w:pPr>
        <w:spacing w:line="360" w:lineRule="auto"/>
        <w:ind w:firstLine="523"/>
        <w:rPr>
          <w:rFonts w:ascii="宋体" w:hAnsi="宋体" w:cs="宋体"/>
          <w:bCs/>
          <w:color w:val="000000"/>
          <w:sz w:val="24"/>
          <w:highlight w:val="none"/>
        </w:rPr>
      </w:pPr>
      <w:r>
        <w:rPr>
          <w:rFonts w:hint="eastAsia" w:ascii="宋体" w:hAnsi="宋体" w:cs="宋体"/>
          <w:bCs/>
          <w:color w:val="000000"/>
          <w:sz w:val="24"/>
          <w:highlight w:val="none"/>
        </w:rPr>
        <w:t>投标人通过初审的，方可进入比较与评价程序。</w:t>
      </w:r>
    </w:p>
    <w:p w14:paraId="1307FF60">
      <w:pPr>
        <w:spacing w:line="360" w:lineRule="auto"/>
        <w:ind w:firstLine="523"/>
        <w:rPr>
          <w:rFonts w:ascii="宋体" w:hAnsi="宋体"/>
          <w:sz w:val="24"/>
          <w:highlight w:val="none"/>
        </w:rPr>
      </w:pPr>
      <w:r>
        <w:rPr>
          <w:rFonts w:hint="eastAsia" w:ascii="宋体" w:hAnsi="宋体"/>
          <w:sz w:val="24"/>
          <w:highlight w:val="none"/>
        </w:rPr>
        <w:t>比较与评价采用综合评分法（计分均保留2位小数）。</w:t>
      </w:r>
    </w:p>
    <w:p w14:paraId="1B32F093">
      <w:pPr>
        <w:widowControl/>
        <w:spacing w:line="360" w:lineRule="auto"/>
        <w:ind w:firstLine="480"/>
        <w:jc w:val="left"/>
        <w:rPr>
          <w:rFonts w:ascii="宋体" w:hAnsi="宋体"/>
          <w:sz w:val="24"/>
          <w:highlight w:val="none"/>
        </w:rPr>
      </w:pPr>
      <w:r>
        <w:rPr>
          <w:rFonts w:hint="eastAsia" w:ascii="宋体" w:hAnsi="宋体"/>
          <w:sz w:val="24"/>
          <w:highlight w:val="none"/>
        </w:rPr>
        <w:t>评审委员会遵循公平、公正、择优原则，独立按照评分标准分别评定投标供应商的分值；评标结果按评审后得分由高到低顺序排列。得分相同的，按投标报价由低到高顺序排列。得分且投标报价相同的并列。投标文件满足采购文件全部实质性要求，且按照评审因素的量化指标评审得分最高的投标供应商为排名第一的中标候选人。未列入本评分标准的其他条件不作为评分内容。</w:t>
      </w:r>
    </w:p>
    <w:p w14:paraId="5FCC3F39">
      <w:pPr>
        <w:tabs>
          <w:tab w:val="left" w:pos="525"/>
          <w:tab w:val="left" w:pos="1050"/>
        </w:tabs>
        <w:spacing w:line="360" w:lineRule="auto"/>
        <w:ind w:firstLine="628"/>
        <w:rPr>
          <w:rFonts w:ascii="宋体" w:hAnsi="宋体"/>
          <w:sz w:val="24"/>
          <w:highlight w:val="none"/>
        </w:rPr>
      </w:pPr>
      <w:r>
        <w:rPr>
          <w:rFonts w:hint="eastAsia" w:ascii="宋体" w:hAnsi="宋体"/>
          <w:sz w:val="24"/>
          <w:highlight w:val="none"/>
        </w:rPr>
        <w:t>8.评分细则</w:t>
      </w:r>
    </w:p>
    <w:p w14:paraId="471EB880">
      <w:pPr>
        <w:spacing w:line="360" w:lineRule="auto"/>
        <w:rPr>
          <w:rFonts w:ascii="宋体" w:hAnsi="宋体"/>
          <w:b/>
          <w:sz w:val="24"/>
          <w:highlight w:val="none"/>
        </w:rPr>
      </w:pPr>
      <w:r>
        <w:rPr>
          <w:rFonts w:hint="eastAsia" w:ascii="宋体" w:hAnsi="宋体"/>
          <w:b/>
          <w:sz w:val="24"/>
          <w:highlight w:val="none"/>
        </w:rPr>
        <w:t>（一）评分项目及分值（总分100分）</w:t>
      </w:r>
    </w:p>
    <w:p w14:paraId="76DDB8BE">
      <w:pPr>
        <w:spacing w:line="360" w:lineRule="auto"/>
        <w:ind w:left="210"/>
        <w:rPr>
          <w:rFonts w:ascii="宋体" w:hAnsi="宋体"/>
          <w:b/>
          <w:sz w:val="24"/>
          <w:highlight w:val="none"/>
        </w:rPr>
      </w:pPr>
      <w:r>
        <w:rPr>
          <w:rFonts w:hint="eastAsia" w:ascii="宋体" w:hAnsi="宋体"/>
          <w:b/>
          <w:sz w:val="24"/>
          <w:highlight w:val="none"/>
        </w:rPr>
        <w:t>（1）投标报价                                 25分</w:t>
      </w:r>
    </w:p>
    <w:p w14:paraId="12A62578">
      <w:pPr>
        <w:spacing w:line="360" w:lineRule="auto"/>
        <w:ind w:left="210"/>
        <w:rPr>
          <w:rFonts w:ascii="宋体" w:hAnsi="宋体"/>
          <w:b/>
          <w:sz w:val="24"/>
          <w:highlight w:val="none"/>
        </w:rPr>
      </w:pPr>
      <w:r>
        <w:rPr>
          <w:rFonts w:hint="eastAsia" w:ascii="宋体" w:hAnsi="宋体"/>
          <w:b/>
          <w:sz w:val="24"/>
          <w:highlight w:val="none"/>
        </w:rPr>
        <w:t>（2）投标人评价                               21分</w:t>
      </w:r>
    </w:p>
    <w:p w14:paraId="0DCA7F2D">
      <w:pPr>
        <w:spacing w:line="360" w:lineRule="auto"/>
        <w:ind w:left="210"/>
        <w:rPr>
          <w:rFonts w:ascii="宋体" w:hAnsi="宋体"/>
          <w:b/>
          <w:sz w:val="24"/>
          <w:highlight w:val="none"/>
        </w:rPr>
      </w:pPr>
      <w:r>
        <w:rPr>
          <w:rFonts w:hint="eastAsia" w:ascii="宋体" w:hAnsi="宋体"/>
          <w:b/>
          <w:sz w:val="24"/>
          <w:highlight w:val="none"/>
        </w:rPr>
        <w:t>（3）技术文件                                 54分</w:t>
      </w:r>
    </w:p>
    <w:p w14:paraId="47A8E325">
      <w:pPr>
        <w:adjustRightInd w:val="0"/>
        <w:snapToGrid w:val="0"/>
        <w:spacing w:line="360" w:lineRule="auto"/>
        <w:rPr>
          <w:rFonts w:ascii="宋体" w:hAnsi="宋体"/>
          <w:b/>
          <w:sz w:val="24"/>
          <w:highlight w:val="none"/>
        </w:rPr>
      </w:pPr>
      <w:r>
        <w:rPr>
          <w:rFonts w:hint="eastAsia" w:ascii="宋体" w:hAnsi="宋体"/>
          <w:b/>
          <w:sz w:val="24"/>
          <w:highlight w:val="none"/>
        </w:rPr>
        <w:t>（二）各项目评分标准</w:t>
      </w:r>
    </w:p>
    <w:p w14:paraId="118B1AF6">
      <w:pPr>
        <w:spacing w:line="360" w:lineRule="auto"/>
        <w:ind w:left="210"/>
        <w:jc w:val="left"/>
        <w:rPr>
          <w:rFonts w:ascii="宋体" w:hAnsi="宋体"/>
          <w:b/>
          <w:sz w:val="24"/>
          <w:highlight w:val="none"/>
        </w:rPr>
      </w:pPr>
      <w:r>
        <w:rPr>
          <w:rFonts w:hint="eastAsia" w:ascii="宋体" w:hAnsi="宋体"/>
          <w:b/>
          <w:sz w:val="24"/>
          <w:highlight w:val="none"/>
        </w:rPr>
        <w:t>（1）投标报价（25分）</w:t>
      </w:r>
    </w:p>
    <w:p w14:paraId="2B35E989">
      <w:pPr>
        <w:adjustRightInd w:val="0"/>
        <w:snapToGrid w:val="0"/>
        <w:spacing w:line="360" w:lineRule="auto"/>
        <w:ind w:firstLine="480" w:firstLineChars="200"/>
        <w:jc w:val="left"/>
        <w:rPr>
          <w:rFonts w:hAnsi="宋体"/>
          <w:bCs/>
          <w:sz w:val="24"/>
          <w:highlight w:val="none"/>
        </w:rPr>
      </w:pPr>
      <w:r>
        <w:rPr>
          <w:rFonts w:hint="eastAsia" w:hAnsi="宋体"/>
          <w:bCs/>
          <w:sz w:val="24"/>
          <w:highlight w:val="none"/>
        </w:rPr>
        <w:t>采用低价优先法计算，即满足招标文件要求且投标价格最低的投标报价为评标基准价，其价格分为满分。其他投标人的价格分统一按照下列公式计算：</w:t>
      </w:r>
    </w:p>
    <w:p w14:paraId="72A08BA0">
      <w:pPr>
        <w:adjustRightInd w:val="0"/>
        <w:snapToGrid w:val="0"/>
        <w:spacing w:line="360" w:lineRule="auto"/>
        <w:ind w:firstLine="480" w:firstLineChars="200"/>
        <w:jc w:val="left"/>
        <w:rPr>
          <w:rFonts w:ascii="宋体" w:hAnsi="宋体"/>
          <w:bCs/>
          <w:color w:val="000000"/>
          <w:sz w:val="24"/>
          <w:highlight w:val="none"/>
        </w:rPr>
      </w:pPr>
      <w:r>
        <w:rPr>
          <w:rFonts w:hint="eastAsia" w:hAnsi="宋体"/>
          <w:bCs/>
          <w:sz w:val="24"/>
          <w:highlight w:val="none"/>
        </w:rPr>
        <w:t>投标报价得分=（评标基准价／投标报价）×价格权值×100</w:t>
      </w:r>
      <w:r>
        <w:rPr>
          <w:rFonts w:hint="eastAsia" w:ascii="宋体" w:hAnsi="宋体"/>
          <w:bCs/>
          <w:color w:val="000000"/>
          <w:sz w:val="24"/>
          <w:highlight w:val="none"/>
        </w:rPr>
        <w:t>。</w:t>
      </w:r>
    </w:p>
    <w:p w14:paraId="5FE9715C">
      <w:pPr>
        <w:spacing w:line="360" w:lineRule="auto"/>
        <w:ind w:left="210"/>
        <w:jc w:val="left"/>
        <w:rPr>
          <w:rFonts w:ascii="宋体" w:hAnsi="宋体"/>
          <w:b/>
          <w:sz w:val="24"/>
          <w:highlight w:val="none"/>
        </w:rPr>
      </w:pPr>
      <w:r>
        <w:rPr>
          <w:rFonts w:hint="eastAsia" w:ascii="宋体" w:hAnsi="宋体"/>
          <w:b/>
          <w:sz w:val="24"/>
          <w:highlight w:val="none"/>
        </w:rPr>
        <w:t xml:space="preserve"> （2）投标人评价（21分）</w:t>
      </w:r>
    </w:p>
    <w:p w14:paraId="3FC0C6E4">
      <w:pPr>
        <w:spacing w:line="360" w:lineRule="auto"/>
        <w:ind w:firstLine="480"/>
        <w:rPr>
          <w:rFonts w:ascii="宋体" w:hAnsi="宋体"/>
          <w:sz w:val="24"/>
          <w:highlight w:val="none"/>
        </w:rPr>
      </w:pPr>
      <w:r>
        <w:rPr>
          <w:rFonts w:hint="eastAsia" w:ascii="宋体" w:hAnsi="宋体"/>
          <w:sz w:val="24"/>
          <w:highlight w:val="none"/>
        </w:rPr>
        <w:t>1）业绩（3分）</w:t>
      </w:r>
    </w:p>
    <w:p w14:paraId="4F0A0C21">
      <w:pPr>
        <w:spacing w:line="360" w:lineRule="auto"/>
        <w:ind w:firstLine="480"/>
        <w:rPr>
          <w:rFonts w:ascii="宋体" w:hAnsi="宋体"/>
          <w:color w:val="000000"/>
          <w:sz w:val="24"/>
          <w:highlight w:val="none"/>
        </w:rPr>
      </w:pPr>
      <w:r>
        <w:rPr>
          <w:rFonts w:hint="eastAsia" w:ascii="宋体" w:hAnsi="宋体" w:cs="宋体"/>
          <w:color w:val="000000"/>
          <w:sz w:val="24"/>
          <w:highlight w:val="none"/>
        </w:rPr>
        <w:t>投标人近三年（以采购公告发布之日起往前推算）承接过同类项目的，有1个得3分，最高得3分。</w:t>
      </w:r>
      <w:r>
        <w:rPr>
          <w:rFonts w:hint="eastAsia" w:ascii="宋体" w:hAnsi="宋体"/>
          <w:b/>
          <w:bCs/>
          <w:color w:val="000000"/>
          <w:sz w:val="24"/>
          <w:highlight w:val="none"/>
        </w:rPr>
        <w:t>（业绩以合同签订时间为准，合同扫描件上传至系统中并加盖公章</w:t>
      </w:r>
      <w:r>
        <w:rPr>
          <w:rFonts w:hint="eastAsia"/>
          <w:b/>
          <w:bCs/>
          <w:color w:val="000000"/>
          <w:sz w:val="24"/>
          <w:szCs w:val="22"/>
          <w:highlight w:val="none"/>
        </w:rPr>
        <w:t>，</w:t>
      </w:r>
      <w:r>
        <w:rPr>
          <w:rFonts w:hint="eastAsia" w:ascii="宋体" w:hAnsi="宋体"/>
          <w:b/>
          <w:bCs/>
          <w:color w:val="000000"/>
          <w:sz w:val="24"/>
          <w:highlight w:val="none"/>
        </w:rPr>
        <w:t xml:space="preserve">不提供或提供不全不得分） </w:t>
      </w:r>
    </w:p>
    <w:p w14:paraId="413E18EB">
      <w:pPr>
        <w:spacing w:line="360" w:lineRule="auto"/>
        <w:ind w:firstLine="480"/>
        <w:rPr>
          <w:bCs/>
          <w:color w:val="000000"/>
          <w:sz w:val="24"/>
          <w:highlight w:val="none"/>
        </w:rPr>
      </w:pPr>
      <w:r>
        <w:rPr>
          <w:rFonts w:hint="eastAsia" w:ascii="宋体" w:hAnsi="宋体"/>
          <w:bCs/>
          <w:color w:val="000000"/>
          <w:sz w:val="24"/>
          <w:highlight w:val="none"/>
        </w:rPr>
        <w:t>2</w:t>
      </w:r>
      <w:r>
        <w:rPr>
          <w:rFonts w:ascii="宋体" w:hAnsi="宋体"/>
          <w:bCs/>
          <w:color w:val="000000"/>
          <w:sz w:val="24"/>
          <w:highlight w:val="none"/>
        </w:rPr>
        <w:t>）</w:t>
      </w:r>
      <w:r>
        <w:rPr>
          <w:rFonts w:hint="eastAsia"/>
          <w:bCs/>
          <w:color w:val="000000"/>
          <w:sz w:val="24"/>
          <w:highlight w:val="none"/>
        </w:rPr>
        <w:t>体系证书（6分）</w:t>
      </w:r>
    </w:p>
    <w:p w14:paraId="7347B605">
      <w:pPr>
        <w:spacing w:line="360" w:lineRule="auto"/>
        <w:ind w:firstLine="480"/>
        <w:rPr>
          <w:rFonts w:ascii="宋体" w:hAnsi="宋体"/>
          <w:b/>
          <w:sz w:val="24"/>
          <w:highlight w:val="none"/>
        </w:rPr>
      </w:pPr>
      <w:r>
        <w:rPr>
          <w:rFonts w:hint="eastAsia" w:ascii="宋体" w:hAnsi="宋体" w:cs="宋体"/>
          <w:color w:val="000000"/>
          <w:sz w:val="24"/>
          <w:highlight w:val="none"/>
        </w:rPr>
        <w:t>投标人</w:t>
      </w:r>
      <w:r>
        <w:rPr>
          <w:rFonts w:hint="eastAsia" w:ascii="宋体" w:hAnsi="宋体"/>
          <w:sz w:val="24"/>
          <w:highlight w:val="none"/>
        </w:rPr>
        <w:t>具备有效期内的质量管理体系认证证书、职业健康安全管理体系认证证书、环境管理体系认证证书</w:t>
      </w:r>
      <w:r>
        <w:rPr>
          <w:rFonts w:hint="eastAsia" w:ascii="宋体" w:hAnsi="宋体"/>
          <w:bCs/>
          <w:sz w:val="24"/>
          <w:highlight w:val="none"/>
        </w:rPr>
        <w:t>，每个得2分，最高得6分。（</w:t>
      </w:r>
      <w:r>
        <w:rPr>
          <w:rFonts w:hint="eastAsia" w:ascii="宋体" w:hAnsi="宋体"/>
          <w:b/>
          <w:sz w:val="24"/>
          <w:highlight w:val="none"/>
        </w:rPr>
        <w:t>有效证书原件扫描件及“全国认证认可信息公共服务平台” http://cx.cnca.cn 查询截图</w:t>
      </w:r>
      <w:bookmarkStart w:id="0" w:name="_Hlk146265988"/>
      <w:r>
        <w:rPr>
          <w:rFonts w:hint="eastAsia" w:ascii="宋体" w:hAnsi="宋体" w:cs="宋体"/>
          <w:b/>
          <w:color w:val="000000"/>
          <w:sz w:val="24"/>
          <w:highlight w:val="none"/>
        </w:rPr>
        <w:t>上传至系统中并加盖公章</w:t>
      </w:r>
      <w:r>
        <w:rPr>
          <w:rFonts w:hint="eastAsia" w:ascii="宋体" w:hAnsi="宋体"/>
          <w:b/>
          <w:sz w:val="24"/>
          <w:highlight w:val="none"/>
        </w:rPr>
        <w:t>，</w:t>
      </w:r>
      <w:bookmarkEnd w:id="0"/>
      <w:r>
        <w:rPr>
          <w:rFonts w:hint="eastAsia" w:ascii="宋体" w:hAnsi="宋体"/>
          <w:b/>
          <w:sz w:val="24"/>
          <w:highlight w:val="none"/>
        </w:rPr>
        <w:t>不提供或提供不全不得分）</w:t>
      </w:r>
    </w:p>
    <w:p w14:paraId="13EAADC2">
      <w:pPr>
        <w:spacing w:line="360" w:lineRule="auto"/>
        <w:ind w:firstLine="480"/>
        <w:rPr>
          <w:bCs/>
          <w:color w:val="000000"/>
          <w:sz w:val="24"/>
          <w:highlight w:val="none"/>
        </w:rPr>
      </w:pPr>
      <w:r>
        <w:rPr>
          <w:rFonts w:hint="eastAsia"/>
          <w:bCs/>
          <w:color w:val="000000"/>
          <w:sz w:val="24"/>
          <w:highlight w:val="none"/>
        </w:rPr>
        <w:t>3）人员配置情况（12分）</w:t>
      </w:r>
    </w:p>
    <w:p w14:paraId="79CABC7C">
      <w:pPr>
        <w:tabs>
          <w:tab w:val="left" w:pos="945"/>
        </w:tabs>
        <w:spacing w:line="360" w:lineRule="auto"/>
        <w:ind w:firstLine="480"/>
        <w:rPr>
          <w:rFonts w:hint="eastAsia" w:ascii="宋体" w:hAnsi="宋体" w:eastAsia="宋体" w:cs="宋体"/>
          <w:sz w:val="24"/>
          <w:highlight w:val="none"/>
          <w:lang w:eastAsia="zh-CN"/>
        </w:rPr>
      </w:pPr>
      <w:r>
        <w:rPr>
          <w:rFonts w:hint="eastAsia" w:ascii="宋体" w:hAnsi="宋体" w:cs="宋体"/>
          <w:sz w:val="24"/>
          <w:highlight w:val="none"/>
        </w:rPr>
        <w:t>①驾驶员：拟投入人员具有内河船舶船员适任证书（船长或驾驶员）的，每配备符合上述要求的人员1人得2分，本项最高得4分</w:t>
      </w:r>
      <w:r>
        <w:rPr>
          <w:rFonts w:hint="eastAsia" w:ascii="宋体" w:hAnsi="宋体" w:cs="宋体"/>
          <w:sz w:val="24"/>
          <w:highlight w:val="none"/>
          <w:lang w:eastAsia="zh-CN"/>
        </w:rPr>
        <w:t>；</w:t>
      </w:r>
    </w:p>
    <w:p w14:paraId="6D6A91D4">
      <w:pPr>
        <w:tabs>
          <w:tab w:val="left" w:pos="945"/>
        </w:tabs>
        <w:spacing w:line="360" w:lineRule="auto"/>
        <w:ind w:firstLine="480"/>
        <w:rPr>
          <w:rFonts w:hint="eastAsia" w:ascii="宋体" w:hAnsi="宋体" w:eastAsia="宋体" w:cs="宋体"/>
          <w:sz w:val="24"/>
          <w:highlight w:val="none"/>
          <w:lang w:eastAsia="zh-CN"/>
        </w:rPr>
      </w:pPr>
      <w:r>
        <w:rPr>
          <w:rFonts w:hint="eastAsia" w:ascii="宋体" w:hAnsi="宋体" w:cs="宋体"/>
          <w:sz w:val="24"/>
          <w:highlight w:val="none"/>
        </w:rPr>
        <w:t>②轮机员：拟投入人员具有内河船舶船员适任证书（轮机长或轮机员）的，每配备符合上述要求的人员1人得2分，本项最高得4分</w:t>
      </w:r>
      <w:r>
        <w:rPr>
          <w:rFonts w:hint="eastAsia" w:ascii="宋体" w:hAnsi="宋体" w:cs="宋体"/>
          <w:sz w:val="24"/>
          <w:highlight w:val="none"/>
          <w:lang w:eastAsia="zh-CN"/>
        </w:rPr>
        <w:t>；</w:t>
      </w:r>
    </w:p>
    <w:p w14:paraId="39CBB43A">
      <w:pPr>
        <w:tabs>
          <w:tab w:val="left" w:pos="945"/>
        </w:tabs>
        <w:spacing w:line="360" w:lineRule="auto"/>
        <w:ind w:firstLine="480"/>
        <w:rPr>
          <w:rFonts w:hint="eastAsia" w:ascii="Times New Roman" w:hAnsi="Times New Roman" w:eastAsia="宋体" w:cs="Times New Roman"/>
          <w:sz w:val="24"/>
          <w:highlight w:val="none"/>
          <w:lang w:eastAsia="zh-CN"/>
        </w:rPr>
      </w:pPr>
      <w:r>
        <w:rPr>
          <w:rFonts w:hint="eastAsia" w:ascii="宋体" w:hAnsi="宋体" w:cs="宋体"/>
          <w:sz w:val="24"/>
          <w:highlight w:val="none"/>
        </w:rPr>
        <w:t>③船员：拟投入人员具有内河船舶船员适任证书（普通船员）的，每配备符合上述要求的人员1人得2分，本项最高得4分。</w:t>
      </w:r>
    </w:p>
    <w:p w14:paraId="2FEE2240">
      <w:pPr>
        <w:tabs>
          <w:tab w:val="left" w:pos="945"/>
        </w:tabs>
        <w:spacing w:line="360" w:lineRule="auto"/>
        <w:ind w:firstLine="480"/>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提供相应人员证书及投标供应商为其缴纳的</w:t>
      </w:r>
      <w:r>
        <w:rPr>
          <w:rFonts w:hint="eastAsia" w:ascii="Times New Roman" w:hAnsi="Times New Roman" w:eastAsia="宋体" w:cs="Times New Roman"/>
          <w:b/>
          <w:bCs/>
          <w:sz w:val="24"/>
          <w:highlight w:val="none"/>
          <w:lang w:val="en-US" w:eastAsia="zh-CN"/>
        </w:rPr>
        <w:t>近一年</w:t>
      </w:r>
      <w:r>
        <w:rPr>
          <w:rFonts w:hint="eastAsia" w:ascii="Times New Roman" w:hAnsi="Times New Roman" w:eastAsia="宋体" w:cs="Times New Roman"/>
          <w:b/>
          <w:bCs/>
          <w:sz w:val="24"/>
          <w:highlight w:val="none"/>
        </w:rPr>
        <w:t>（不含</w:t>
      </w:r>
      <w:r>
        <w:rPr>
          <w:rFonts w:hint="eastAsia" w:ascii="Times New Roman" w:hAnsi="Times New Roman" w:eastAsia="宋体" w:cs="Times New Roman"/>
          <w:b/>
          <w:bCs/>
          <w:sz w:val="24"/>
          <w:highlight w:val="none"/>
          <w:lang w:val="en-US" w:eastAsia="zh-CN"/>
        </w:rPr>
        <w:t>开标</w:t>
      </w:r>
      <w:r>
        <w:rPr>
          <w:rFonts w:hint="eastAsia" w:ascii="Times New Roman" w:hAnsi="Times New Roman" w:eastAsia="宋体" w:cs="Times New Roman"/>
          <w:b/>
          <w:bCs/>
          <w:sz w:val="24"/>
          <w:highlight w:val="none"/>
        </w:rPr>
        <w:t>当月）任意一个月的社保缴费证明，复印件</w:t>
      </w:r>
      <w:r>
        <w:rPr>
          <w:rFonts w:hint="eastAsia" w:ascii="Times New Roman" w:hAnsi="Times New Roman" w:eastAsia="宋体" w:cs="Times New Roman"/>
          <w:b/>
          <w:bCs/>
          <w:sz w:val="24"/>
          <w:highlight w:val="none"/>
          <w:lang w:val="en-US" w:eastAsia="zh-CN"/>
        </w:rPr>
        <w:t>加盖公章</w:t>
      </w:r>
      <w:r>
        <w:rPr>
          <w:rFonts w:hint="eastAsia" w:ascii="Times New Roman" w:hAnsi="Times New Roman" w:eastAsia="宋体" w:cs="Times New Roman"/>
          <w:b/>
          <w:bCs/>
          <w:sz w:val="24"/>
          <w:highlight w:val="none"/>
        </w:rPr>
        <w:t>装订进入投标文件中，投标时</w:t>
      </w:r>
      <w:r>
        <w:rPr>
          <w:rFonts w:hint="eastAsia" w:ascii="Times New Roman" w:hAnsi="Times New Roman" w:eastAsia="宋体" w:cs="Times New Roman"/>
          <w:b/>
          <w:bCs/>
          <w:sz w:val="24"/>
          <w:highlight w:val="none"/>
          <w:lang w:val="en-US" w:eastAsia="zh-CN"/>
        </w:rPr>
        <w:t>另</w:t>
      </w:r>
      <w:r>
        <w:rPr>
          <w:rFonts w:hint="eastAsia" w:ascii="Times New Roman" w:hAnsi="Times New Roman" w:eastAsia="宋体" w:cs="Times New Roman"/>
          <w:b/>
          <w:bCs/>
          <w:sz w:val="24"/>
          <w:highlight w:val="none"/>
        </w:rPr>
        <w:t>提供</w:t>
      </w:r>
      <w:r>
        <w:rPr>
          <w:rFonts w:hint="eastAsia" w:ascii="Times New Roman" w:hAnsi="Times New Roman" w:eastAsia="宋体" w:cs="Times New Roman"/>
          <w:b/>
          <w:bCs/>
          <w:sz w:val="24"/>
          <w:highlight w:val="none"/>
          <w:lang w:val="en-US" w:eastAsia="zh-CN"/>
        </w:rPr>
        <w:t>原件，</w:t>
      </w:r>
      <w:r>
        <w:rPr>
          <w:rFonts w:hint="eastAsia" w:ascii="Times New Roman" w:hAnsi="Times New Roman" w:eastAsia="宋体" w:cs="Times New Roman"/>
          <w:b/>
          <w:bCs/>
          <w:sz w:val="24"/>
          <w:highlight w:val="none"/>
        </w:rPr>
        <w:t>未提供或提供不全不得分</w:t>
      </w:r>
      <w:r>
        <w:rPr>
          <w:rFonts w:hint="eastAsia" w:ascii="Times New Roman" w:hAnsi="Times New Roman" w:eastAsia="宋体" w:cs="Times New Roman"/>
          <w:b/>
          <w:bCs/>
          <w:sz w:val="24"/>
          <w:highlight w:val="none"/>
          <w:lang w:eastAsia="zh-CN"/>
        </w:rPr>
        <w:t>。</w:t>
      </w:r>
    </w:p>
    <w:p w14:paraId="4D3070A2">
      <w:pPr>
        <w:tabs>
          <w:tab w:val="left" w:pos="704"/>
          <w:tab w:val="left" w:pos="945"/>
          <w:tab w:val="left" w:pos="1155"/>
        </w:tabs>
        <w:spacing w:line="360" w:lineRule="auto"/>
        <w:ind w:left="630"/>
        <w:rPr>
          <w:rFonts w:ascii="宋体" w:hAnsi="宋体"/>
          <w:b/>
          <w:sz w:val="24"/>
          <w:highlight w:val="none"/>
        </w:rPr>
      </w:pPr>
      <w:r>
        <w:rPr>
          <w:rFonts w:hint="eastAsia" w:ascii="宋体" w:hAnsi="宋体"/>
          <w:b/>
          <w:sz w:val="24"/>
          <w:highlight w:val="none"/>
        </w:rPr>
        <w:t xml:space="preserve">（3）技术文件（54分）            </w:t>
      </w:r>
    </w:p>
    <w:p w14:paraId="37BF362A">
      <w:pPr>
        <w:tabs>
          <w:tab w:val="left" w:pos="945"/>
        </w:tabs>
        <w:spacing w:line="360" w:lineRule="auto"/>
        <w:ind w:firstLine="480"/>
        <w:rPr>
          <w:rFonts w:hint="eastAsia" w:ascii="宋体" w:hAnsi="宋体" w:eastAsia="宋体" w:cs="宋体"/>
          <w:sz w:val="24"/>
          <w:highlight w:val="none"/>
          <w:lang w:eastAsia="zh-CN"/>
        </w:rPr>
      </w:pPr>
      <w:r>
        <w:rPr>
          <w:rFonts w:hint="eastAsia" w:ascii="宋体" w:hAnsi="宋体" w:cs="宋体"/>
          <w:sz w:val="24"/>
          <w:highlight w:val="none"/>
        </w:rPr>
        <w:t>1）管理方案</w:t>
      </w:r>
      <w:r>
        <w:rPr>
          <w:rFonts w:hint="eastAsia" w:ascii="宋体" w:hAnsi="宋体" w:cs="宋体"/>
          <w:sz w:val="24"/>
          <w:highlight w:val="none"/>
          <w:lang w:eastAsia="zh-CN"/>
        </w:rPr>
        <w:t>（</w:t>
      </w:r>
      <w:r>
        <w:rPr>
          <w:rFonts w:hint="eastAsia" w:ascii="宋体" w:hAnsi="宋体" w:cs="宋体"/>
          <w:sz w:val="24"/>
          <w:highlight w:val="none"/>
          <w:lang w:val="en-US" w:eastAsia="zh-CN"/>
        </w:rPr>
        <w:t>9分</w:t>
      </w:r>
      <w:r>
        <w:rPr>
          <w:rFonts w:hint="eastAsia" w:ascii="宋体" w:hAnsi="宋体" w:cs="宋体"/>
          <w:sz w:val="24"/>
          <w:highlight w:val="none"/>
          <w:lang w:eastAsia="zh-CN"/>
        </w:rPr>
        <w:t>）</w:t>
      </w:r>
    </w:p>
    <w:p w14:paraId="6125434F">
      <w:pPr>
        <w:tabs>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包括①企业的管理制度与企业能力评估体系②台账管理方案③船员专业知识与技能的培训方案。</w:t>
      </w:r>
      <w:r>
        <w:rPr>
          <w:rFonts w:hint="eastAsia" w:ascii="宋体" w:hAnsi="宋体" w:cs="宋体"/>
          <w:color w:val="000000"/>
          <w:sz w:val="24"/>
          <w:highlight w:val="none"/>
        </w:rPr>
        <w:t>投标人</w:t>
      </w:r>
      <w:r>
        <w:rPr>
          <w:rFonts w:hint="eastAsia" w:ascii="宋体" w:hAnsi="宋体" w:cs="宋体"/>
          <w:sz w:val="24"/>
          <w:highlight w:val="none"/>
        </w:rPr>
        <w:t>须针对每条内容进行阐述，阐述内容须满足采购需求。内容详实、需求贴合度高且条理清晰的该条得3分；内容较为简单、可行、细节待完善的该条得2分；本项最高得9分，每缺少一条内容或内容存在不能满足采购需求，或存在逻辑错误、前后矛盾，或存在违反现行相关规范的，该条不得分。</w:t>
      </w:r>
    </w:p>
    <w:p w14:paraId="2EEB6AF1">
      <w:pPr>
        <w:tabs>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2）运行方案</w:t>
      </w:r>
      <w:r>
        <w:rPr>
          <w:rFonts w:hint="eastAsia" w:ascii="宋体" w:hAnsi="宋体" w:cs="宋体"/>
          <w:sz w:val="24"/>
          <w:highlight w:val="none"/>
          <w:lang w:eastAsia="zh-CN"/>
        </w:rPr>
        <w:t>（</w:t>
      </w:r>
      <w:r>
        <w:rPr>
          <w:rFonts w:hint="eastAsia" w:ascii="宋体" w:hAnsi="宋体" w:cs="宋体"/>
          <w:sz w:val="24"/>
          <w:highlight w:val="none"/>
          <w:lang w:val="en-US" w:eastAsia="zh-CN"/>
        </w:rPr>
        <w:t>20分</w:t>
      </w:r>
      <w:r>
        <w:rPr>
          <w:rFonts w:hint="eastAsia" w:ascii="宋体" w:hAnsi="宋体" w:cs="宋体"/>
          <w:sz w:val="24"/>
          <w:highlight w:val="none"/>
          <w:lang w:eastAsia="zh-CN"/>
        </w:rPr>
        <w:t>）</w:t>
      </w:r>
      <w:r>
        <w:rPr>
          <w:rFonts w:hint="eastAsia" w:ascii="宋体" w:hAnsi="宋体" w:cs="宋体"/>
          <w:sz w:val="24"/>
          <w:highlight w:val="none"/>
        </w:rPr>
        <w:t xml:space="preserve"> </w:t>
      </w:r>
    </w:p>
    <w:p w14:paraId="7909541A">
      <w:pPr>
        <w:tabs>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包括①运行服务总体设想②主要工艺及药剂投入方案③藻泥含水率保障措施④设备设施维护与保养方案。</w:t>
      </w:r>
      <w:r>
        <w:rPr>
          <w:rFonts w:hint="eastAsia" w:ascii="宋体" w:hAnsi="宋体" w:cs="宋体"/>
          <w:color w:val="000000"/>
          <w:sz w:val="24"/>
          <w:highlight w:val="none"/>
        </w:rPr>
        <w:t>投标人</w:t>
      </w:r>
      <w:r>
        <w:rPr>
          <w:rFonts w:hint="eastAsia" w:ascii="宋体" w:hAnsi="宋体" w:cs="宋体"/>
          <w:sz w:val="24"/>
          <w:highlight w:val="none"/>
        </w:rPr>
        <w:t>须针对每条内容进行阐述，阐述内容须满足采购需求。内容详实、需求贴合度高且条理清晰的该条得5分；内容较为简单、可行、细节待完善的该条得2分；本项最高得20分，每缺少一条内容或内容存在不能满足采购需求，或存在逻辑错误、前后矛盾，或存在违反现行相关规范的，该条不得分。</w:t>
      </w:r>
    </w:p>
    <w:p w14:paraId="1745003F">
      <w:pPr>
        <w:tabs>
          <w:tab w:val="left" w:pos="945"/>
        </w:tabs>
        <w:spacing w:line="360" w:lineRule="auto"/>
        <w:ind w:firstLine="480"/>
        <w:rPr>
          <w:rFonts w:hint="eastAsia" w:ascii="宋体" w:hAnsi="宋体" w:eastAsia="宋体" w:cs="宋体"/>
          <w:sz w:val="24"/>
          <w:highlight w:val="none"/>
          <w:lang w:eastAsia="zh-CN"/>
        </w:rPr>
      </w:pPr>
      <w:r>
        <w:rPr>
          <w:rFonts w:hint="eastAsia" w:ascii="宋体" w:hAnsi="宋体" w:cs="宋体"/>
          <w:sz w:val="24"/>
          <w:highlight w:val="none"/>
        </w:rPr>
        <w:t>3）应急措施</w:t>
      </w:r>
      <w:r>
        <w:rPr>
          <w:rFonts w:hint="eastAsia" w:ascii="宋体" w:hAnsi="宋体" w:cs="宋体"/>
          <w:sz w:val="24"/>
          <w:highlight w:val="none"/>
          <w:lang w:eastAsia="zh-CN"/>
        </w:rPr>
        <w:t>（</w:t>
      </w:r>
      <w:r>
        <w:rPr>
          <w:rFonts w:hint="eastAsia" w:ascii="宋体" w:hAnsi="宋体" w:cs="宋体"/>
          <w:sz w:val="24"/>
          <w:highlight w:val="none"/>
          <w:lang w:val="en-US" w:eastAsia="zh-CN"/>
        </w:rPr>
        <w:t>8分</w:t>
      </w:r>
      <w:r>
        <w:rPr>
          <w:rFonts w:hint="eastAsia" w:ascii="宋体" w:hAnsi="宋体" w:cs="宋体"/>
          <w:sz w:val="24"/>
          <w:highlight w:val="none"/>
          <w:lang w:eastAsia="zh-CN"/>
        </w:rPr>
        <w:t>）</w:t>
      </w:r>
    </w:p>
    <w:p w14:paraId="22B5D28F">
      <w:pPr>
        <w:tabs>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包括①编制风险控制方案②应急预案和应急演习计划。</w:t>
      </w:r>
      <w:r>
        <w:rPr>
          <w:rFonts w:hint="eastAsia" w:ascii="宋体" w:hAnsi="宋体" w:cs="宋体"/>
          <w:color w:val="000000"/>
          <w:sz w:val="24"/>
          <w:highlight w:val="none"/>
        </w:rPr>
        <w:t>投标人</w:t>
      </w:r>
      <w:r>
        <w:rPr>
          <w:rFonts w:hint="eastAsia" w:ascii="宋体" w:hAnsi="宋体" w:cs="宋体"/>
          <w:sz w:val="24"/>
          <w:highlight w:val="none"/>
        </w:rPr>
        <w:t>须针对每条内容进行阐述，阐述内容须满足采购需求。内容详实、需求贴合度高且条理清晰的该条得4分；内容较为简单、可行、细节待完善的该条得2分；本项最高得8分，每缺少一条内容或内容存在不能满足采购需求，或存在逻辑错误、前后矛盾，或存在违反现行相关规范的，该条不得分。</w:t>
      </w:r>
    </w:p>
    <w:p w14:paraId="41A9D5C2">
      <w:pPr>
        <w:tabs>
          <w:tab w:val="left" w:pos="945"/>
        </w:tabs>
        <w:spacing w:line="360" w:lineRule="auto"/>
        <w:ind w:firstLine="480"/>
        <w:rPr>
          <w:rFonts w:hint="eastAsia" w:ascii="宋体" w:hAnsi="宋体" w:eastAsia="宋体" w:cs="宋体"/>
          <w:sz w:val="24"/>
          <w:highlight w:val="none"/>
          <w:lang w:eastAsia="zh-CN"/>
        </w:rPr>
      </w:pPr>
      <w:r>
        <w:rPr>
          <w:rFonts w:hint="eastAsia" w:ascii="宋体" w:hAnsi="宋体" w:cs="宋体"/>
          <w:sz w:val="24"/>
          <w:highlight w:val="none"/>
        </w:rPr>
        <w:t>4）安全保障措施</w:t>
      </w:r>
      <w:r>
        <w:rPr>
          <w:rFonts w:hint="eastAsia" w:ascii="宋体" w:hAnsi="宋体" w:cs="宋体"/>
          <w:sz w:val="24"/>
          <w:highlight w:val="none"/>
          <w:lang w:eastAsia="zh-CN"/>
        </w:rPr>
        <w:t>（</w:t>
      </w:r>
      <w:r>
        <w:rPr>
          <w:rFonts w:hint="eastAsia" w:ascii="宋体" w:hAnsi="宋体" w:cs="宋体"/>
          <w:sz w:val="24"/>
          <w:highlight w:val="none"/>
          <w:lang w:val="en-US" w:eastAsia="zh-CN"/>
        </w:rPr>
        <w:t>12分</w:t>
      </w:r>
      <w:r>
        <w:rPr>
          <w:rFonts w:hint="eastAsia" w:ascii="宋体" w:hAnsi="宋体" w:cs="宋体"/>
          <w:sz w:val="24"/>
          <w:highlight w:val="none"/>
          <w:lang w:eastAsia="zh-CN"/>
        </w:rPr>
        <w:t>）</w:t>
      </w:r>
    </w:p>
    <w:p w14:paraId="7B0BE57A">
      <w:pPr>
        <w:tabs>
          <w:tab w:val="left" w:pos="945"/>
        </w:tabs>
        <w:spacing w:line="360" w:lineRule="auto"/>
        <w:ind w:firstLine="480"/>
        <w:rPr>
          <w:rFonts w:hint="eastAsia" w:ascii="宋体" w:hAnsi="宋体" w:cs="宋体"/>
          <w:sz w:val="24"/>
          <w:highlight w:val="none"/>
        </w:rPr>
      </w:pPr>
      <w:r>
        <w:rPr>
          <w:rFonts w:hint="eastAsia" w:ascii="宋体" w:hAnsi="宋体" w:cs="宋体"/>
          <w:sz w:val="24"/>
          <w:highlight w:val="none"/>
        </w:rPr>
        <w:t>包括①涉水作业人员安全保障措施②重点是发生安全事故及善后处理实施方案③其他安全保障措施。</w:t>
      </w:r>
      <w:r>
        <w:rPr>
          <w:rFonts w:hint="eastAsia" w:ascii="宋体" w:hAnsi="宋体" w:cs="宋体"/>
          <w:color w:val="000000"/>
          <w:sz w:val="24"/>
          <w:highlight w:val="none"/>
        </w:rPr>
        <w:t>投标人</w:t>
      </w:r>
      <w:r>
        <w:rPr>
          <w:rFonts w:hint="eastAsia" w:ascii="宋体" w:hAnsi="宋体" w:cs="宋体"/>
          <w:sz w:val="24"/>
          <w:highlight w:val="none"/>
        </w:rPr>
        <w:t>须针对每条内容进行阐述，阐述内容须满足采购需求。内容详实、需求贴合度高且条理清晰的该条得4分；内容较为简单、可行、细节待完善的该条得2分；本项最高得12分，每缺少一条内容或内容存在不能满足采购需求，或存在逻辑错误、前后矛盾，或存在违反现行相关规范的，该条不得分。</w:t>
      </w:r>
    </w:p>
    <w:p w14:paraId="0A36632D">
      <w:pPr>
        <w:tabs>
          <w:tab w:val="left" w:pos="945"/>
        </w:tabs>
        <w:spacing w:line="360" w:lineRule="auto"/>
        <w:ind w:firstLine="480"/>
        <w:rPr>
          <w:rFonts w:hint="eastAsia" w:ascii="宋体" w:hAnsi="宋体" w:eastAsia="宋体" w:cs="宋体"/>
          <w:sz w:val="24"/>
          <w:highlight w:val="none"/>
          <w:lang w:eastAsia="zh-CN"/>
        </w:rPr>
      </w:pPr>
      <w:r>
        <w:rPr>
          <w:rFonts w:hint="eastAsia" w:ascii="宋体" w:hAnsi="宋体" w:cs="宋体"/>
          <w:sz w:val="24"/>
          <w:highlight w:val="none"/>
        </w:rPr>
        <w:t>5）后续服务的安排及保证措施</w:t>
      </w:r>
      <w:r>
        <w:rPr>
          <w:rFonts w:hint="eastAsia" w:ascii="宋体" w:hAnsi="宋体" w:cs="宋体"/>
          <w:sz w:val="24"/>
          <w:highlight w:val="none"/>
        </w:rPr>
        <w:tab/>
      </w:r>
      <w:r>
        <w:rPr>
          <w:rFonts w:hint="eastAsia" w:ascii="宋体" w:hAnsi="宋体" w:cs="宋体"/>
          <w:sz w:val="24"/>
          <w:highlight w:val="none"/>
          <w:lang w:eastAsia="zh-CN"/>
        </w:rPr>
        <w:t>（</w:t>
      </w:r>
      <w:r>
        <w:rPr>
          <w:rFonts w:hint="eastAsia" w:ascii="宋体" w:hAnsi="宋体" w:cs="宋体"/>
          <w:sz w:val="24"/>
          <w:highlight w:val="none"/>
          <w:lang w:val="en-US" w:eastAsia="zh-CN"/>
        </w:rPr>
        <w:t>5分</w:t>
      </w:r>
      <w:r>
        <w:rPr>
          <w:rFonts w:hint="eastAsia" w:ascii="宋体" w:hAnsi="宋体" w:cs="宋体"/>
          <w:sz w:val="24"/>
          <w:highlight w:val="none"/>
          <w:lang w:eastAsia="zh-CN"/>
        </w:rPr>
        <w:t>）</w:t>
      </w:r>
    </w:p>
    <w:p w14:paraId="21BD4AC5">
      <w:pPr>
        <w:tabs>
          <w:tab w:val="left" w:pos="945"/>
        </w:tabs>
        <w:spacing w:line="360" w:lineRule="auto"/>
        <w:ind w:firstLine="480"/>
        <w:rPr>
          <w:rFonts w:ascii="宋体" w:hAnsi="宋体" w:cs="宋体"/>
          <w:sz w:val="24"/>
          <w:highlight w:val="none"/>
        </w:rPr>
      </w:pPr>
      <w:r>
        <w:rPr>
          <w:rFonts w:hint="eastAsia" w:ascii="宋体" w:hAnsi="宋体" w:cs="宋体"/>
          <w:sz w:val="24"/>
          <w:highlight w:val="none"/>
        </w:rPr>
        <w:t>包括①投入的后续服务人员②后续服务的内容③后续服务承诺及保证措施。投标供应商须针对每条内容进行阐述，阐述内容须满足采购需求。内容详实、需求贴合度高且条理清晰的该条得2.5分；内容较为简单、可行、细节待完善的该条得1分；本项最高得5分，每缺少一条内容或内容存在不能满足采购需求，或存在逻辑错误、前后矛盾，或存在违反现行相关规范的，该条不得分。</w:t>
      </w:r>
    </w:p>
    <w:p w14:paraId="41DF2E63">
      <w:pPr>
        <w:spacing w:line="360" w:lineRule="auto"/>
        <w:ind w:left="710"/>
        <w:rPr>
          <w:rFonts w:ascii="宋体" w:hAnsi="宋体"/>
          <w:bCs/>
          <w:color w:val="000000"/>
          <w:sz w:val="24"/>
          <w:highlight w:val="none"/>
        </w:rPr>
      </w:pPr>
      <w:r>
        <w:rPr>
          <w:rFonts w:hint="eastAsia" w:ascii="宋体" w:hAnsi="宋体"/>
          <w:color w:val="000000"/>
          <w:sz w:val="24"/>
          <w:highlight w:val="none"/>
        </w:rPr>
        <w:t>（十）</w:t>
      </w:r>
      <w:r>
        <w:rPr>
          <w:rFonts w:hint="eastAsia" w:ascii="宋体" w:hAnsi="宋体"/>
          <w:bCs/>
          <w:color w:val="000000"/>
          <w:sz w:val="24"/>
          <w:highlight w:val="none"/>
        </w:rPr>
        <w:t>定标：</w:t>
      </w:r>
    </w:p>
    <w:p w14:paraId="46BA0836">
      <w:pPr>
        <w:numPr>
          <w:ilvl w:val="0"/>
          <w:numId w:val="15"/>
        </w:numPr>
        <w:tabs>
          <w:tab w:val="left" w:pos="525"/>
          <w:tab w:val="left" w:pos="1155"/>
        </w:tabs>
        <w:spacing w:line="360" w:lineRule="auto"/>
        <w:ind w:left="0" w:firstLine="630"/>
        <w:rPr>
          <w:rFonts w:ascii="宋体" w:hAnsi="宋体"/>
          <w:bCs/>
          <w:color w:val="000000"/>
          <w:sz w:val="24"/>
          <w:highlight w:val="none"/>
        </w:rPr>
      </w:pPr>
      <w:r>
        <w:rPr>
          <w:rFonts w:hint="eastAsia" w:ascii="宋体" w:hAnsi="宋体"/>
          <w:bCs/>
          <w:color w:val="000000"/>
          <w:sz w:val="24"/>
          <w:highlight w:val="none"/>
        </w:rPr>
        <w:t>评标委员会根据招标文件规定的评标方法和评标标准进行评审，按本次招标的定标规则确定中标候选人，自评审结束之日起2个工作日内将评审报告送交采购人。采购人自收到评审报告之日起5个工作日内按招标文件的要求，在评审报告推荐的中标候选单位中，依法确定中标投标人。江苏嘉加诚工程投资咨询有限公司自中标投标人确定之日起2个工作日内，在财政部门指定的政府采购信息发布媒体上发布中标结果公告。</w:t>
      </w:r>
      <w:r>
        <w:rPr>
          <w:rFonts w:hint="eastAsia" w:ascii="宋体" w:hAnsi="宋体"/>
          <w:bCs/>
          <w:sz w:val="24"/>
          <w:highlight w:val="none"/>
        </w:rPr>
        <w:t>江苏嘉加诚工程投资咨询有限公司和</w:t>
      </w:r>
      <w:r>
        <w:rPr>
          <w:rFonts w:hint="eastAsia" w:ascii="宋体" w:hAnsi="宋体"/>
          <w:bCs/>
          <w:color w:val="000000"/>
          <w:sz w:val="24"/>
          <w:highlight w:val="none"/>
        </w:rPr>
        <w:t>评标委员会</w:t>
      </w:r>
      <w:r>
        <w:rPr>
          <w:rFonts w:hint="eastAsia" w:ascii="宋体" w:hAnsi="宋体"/>
          <w:bCs/>
          <w:sz w:val="24"/>
          <w:highlight w:val="none"/>
        </w:rPr>
        <w:t>对未成交原因不作解释。如有质疑，应在法定质疑期限内，即中标结果公告期限届满之日起7个工作日内，以书面形式（原件）送达江苏嘉加诚工程投资咨询有限公司，并且针对同一采购程序环节的质疑，须在法定质疑期内一次性提出。质疑函的质疑事项应具体、明确，并有必要的事实依据和法律依据（格式详见中国政府采购网《政府采购供应商质疑函范本》）。江苏嘉加诚工程投资咨询有限公司将在收到符合上述要求的书面质疑后七个工作日内，对质疑内容作出答复。投标供应商在法定质疑期限外送达的质疑函或法定质疑期限内送达的质疑函不符合上述要求的均为无效质疑，江苏嘉加诚工程投资咨询有限公司对无效质疑不予受理。如质疑查无实据或投标供应商捏造事实，提供虚假材料进行恶意举报，不配合或采用不正当手段干扰政府采购质疑的，将记入供应商在江苏省和无锡市的政府采购“供应商诚信记录”，并按相关规定处理</w:t>
      </w:r>
      <w:r>
        <w:rPr>
          <w:rFonts w:hint="eastAsia" w:ascii="宋体" w:hAnsi="宋体"/>
          <w:bCs/>
          <w:color w:val="000000"/>
          <w:sz w:val="24"/>
          <w:highlight w:val="none"/>
        </w:rPr>
        <w:t>。</w:t>
      </w:r>
    </w:p>
    <w:p w14:paraId="05A6A324">
      <w:pPr>
        <w:numPr>
          <w:ilvl w:val="0"/>
          <w:numId w:val="15"/>
        </w:numPr>
        <w:tabs>
          <w:tab w:val="left" w:pos="525"/>
          <w:tab w:val="left" w:pos="1155"/>
        </w:tabs>
        <w:spacing w:line="360" w:lineRule="auto"/>
        <w:ind w:left="0" w:firstLine="630"/>
        <w:rPr>
          <w:rFonts w:ascii="宋体" w:hAnsi="宋体"/>
          <w:bCs/>
          <w:color w:val="000000"/>
          <w:sz w:val="24"/>
          <w:highlight w:val="none"/>
        </w:rPr>
      </w:pPr>
      <w:r>
        <w:rPr>
          <w:rFonts w:hint="eastAsia" w:ascii="宋体" w:hAnsi="宋体"/>
          <w:bCs/>
          <w:color w:val="000000"/>
          <w:sz w:val="24"/>
          <w:highlight w:val="none"/>
        </w:rPr>
        <w:t>投标、开标及定标的整个过程均由相关监管部门的监督。</w:t>
      </w:r>
    </w:p>
    <w:p w14:paraId="5C124D41">
      <w:pPr>
        <w:numPr>
          <w:ilvl w:val="0"/>
          <w:numId w:val="15"/>
        </w:numPr>
        <w:tabs>
          <w:tab w:val="left" w:pos="525"/>
          <w:tab w:val="left" w:pos="1155"/>
        </w:tabs>
        <w:spacing w:line="360" w:lineRule="auto"/>
        <w:ind w:left="0" w:firstLine="630"/>
        <w:rPr>
          <w:rFonts w:ascii="宋体" w:hAnsi="宋体"/>
          <w:color w:val="000000"/>
          <w:sz w:val="24"/>
          <w:highlight w:val="none"/>
        </w:rPr>
      </w:pPr>
      <w:r>
        <w:rPr>
          <w:rFonts w:hint="eastAsia" w:ascii="宋体" w:hAnsi="宋体"/>
          <w:bCs/>
          <w:color w:val="000000"/>
          <w:sz w:val="24"/>
          <w:highlight w:val="none"/>
        </w:rPr>
        <w:t>在发布中标公告的同时，江苏嘉加诚工程投资咨询有限公司将向中标投标人发出中标通知书。</w:t>
      </w:r>
    </w:p>
    <w:p w14:paraId="5D7CBED3">
      <w:pPr>
        <w:spacing w:line="360" w:lineRule="auto"/>
        <w:ind w:left="-2" w:firstLine="420"/>
        <w:outlineLvl w:val="0"/>
        <w:rPr>
          <w:rFonts w:ascii="宋体" w:hAnsi="宋体"/>
          <w:bCs/>
          <w:color w:val="000000"/>
          <w:sz w:val="24"/>
          <w:highlight w:val="none"/>
        </w:rPr>
      </w:pPr>
      <w:r>
        <w:rPr>
          <w:rFonts w:hint="eastAsia" w:ascii="宋体" w:hAnsi="宋体"/>
          <w:bCs/>
          <w:color w:val="000000"/>
          <w:sz w:val="24"/>
          <w:highlight w:val="none"/>
        </w:rPr>
        <w:t>（十一） 废标的确认：</w:t>
      </w:r>
    </w:p>
    <w:p w14:paraId="75C0542E">
      <w:pPr>
        <w:spacing w:line="360" w:lineRule="auto"/>
        <w:ind w:firstLine="480"/>
        <w:rPr>
          <w:rFonts w:ascii="宋体" w:hAnsi="宋体"/>
          <w:bCs/>
          <w:color w:val="000000"/>
          <w:sz w:val="24"/>
          <w:highlight w:val="none"/>
        </w:rPr>
      </w:pPr>
      <w:r>
        <w:rPr>
          <w:rFonts w:hint="eastAsia" w:ascii="宋体" w:hAnsi="宋体"/>
          <w:bCs/>
          <w:color w:val="000000"/>
          <w:sz w:val="24"/>
          <w:highlight w:val="none"/>
        </w:rPr>
        <w:t>在招标采购中，出现下列情况之一的，应予废标：</w:t>
      </w:r>
    </w:p>
    <w:p w14:paraId="2E189327">
      <w:pPr>
        <w:numPr>
          <w:ilvl w:val="0"/>
          <w:numId w:val="16"/>
        </w:numPr>
        <w:tabs>
          <w:tab w:val="left" w:pos="525"/>
          <w:tab w:val="left" w:pos="1155"/>
          <w:tab w:val="left" w:pos="1260"/>
        </w:tabs>
        <w:spacing w:line="360" w:lineRule="auto"/>
        <w:ind w:left="0" w:firstLine="630"/>
        <w:rPr>
          <w:rFonts w:ascii="宋体" w:hAnsi="宋体"/>
          <w:bCs/>
          <w:color w:val="000000"/>
          <w:sz w:val="24"/>
          <w:highlight w:val="none"/>
        </w:rPr>
      </w:pPr>
      <w:r>
        <w:rPr>
          <w:rFonts w:hint="eastAsia" w:ascii="宋体" w:hAnsi="宋体"/>
          <w:bCs/>
          <w:color w:val="000000"/>
          <w:sz w:val="24"/>
          <w:highlight w:val="none"/>
        </w:rPr>
        <w:t>符合专业条件的投标人或者对招标文件作出实质性响应的投标人不足三家；</w:t>
      </w:r>
    </w:p>
    <w:p w14:paraId="159D8284">
      <w:pPr>
        <w:numPr>
          <w:ilvl w:val="0"/>
          <w:numId w:val="16"/>
        </w:numPr>
        <w:tabs>
          <w:tab w:val="left" w:pos="525"/>
          <w:tab w:val="left" w:pos="1155"/>
          <w:tab w:val="left" w:pos="1260"/>
        </w:tabs>
        <w:spacing w:line="360" w:lineRule="auto"/>
        <w:ind w:left="0" w:firstLine="630"/>
        <w:rPr>
          <w:rFonts w:ascii="宋体" w:hAnsi="宋体"/>
          <w:bCs/>
          <w:color w:val="000000"/>
          <w:sz w:val="24"/>
          <w:highlight w:val="none"/>
        </w:rPr>
      </w:pPr>
      <w:r>
        <w:rPr>
          <w:rFonts w:hint="eastAsia" w:ascii="宋体" w:hAnsi="宋体"/>
          <w:bCs/>
          <w:color w:val="000000"/>
          <w:sz w:val="24"/>
          <w:highlight w:val="none"/>
        </w:rPr>
        <w:t>出现影响采购公正的违法、违规行为；</w:t>
      </w:r>
    </w:p>
    <w:p w14:paraId="30B7EF84">
      <w:pPr>
        <w:numPr>
          <w:ilvl w:val="0"/>
          <w:numId w:val="16"/>
        </w:numPr>
        <w:tabs>
          <w:tab w:val="left" w:pos="525"/>
          <w:tab w:val="left" w:pos="1155"/>
          <w:tab w:val="left" w:pos="1260"/>
        </w:tabs>
        <w:spacing w:line="360" w:lineRule="auto"/>
        <w:ind w:left="0" w:firstLine="630"/>
        <w:rPr>
          <w:rFonts w:ascii="宋体" w:hAnsi="宋体"/>
          <w:bCs/>
          <w:color w:val="000000"/>
          <w:sz w:val="24"/>
          <w:highlight w:val="none"/>
        </w:rPr>
      </w:pPr>
      <w:r>
        <w:rPr>
          <w:rFonts w:hint="eastAsia" w:ascii="宋体" w:hAnsi="宋体"/>
          <w:bCs/>
          <w:color w:val="000000"/>
          <w:sz w:val="24"/>
          <w:highlight w:val="none"/>
        </w:rPr>
        <w:t>投标人的报价均超过采购预算，采购人不能支付的；</w:t>
      </w:r>
    </w:p>
    <w:p w14:paraId="3725F43F">
      <w:pPr>
        <w:numPr>
          <w:ilvl w:val="0"/>
          <w:numId w:val="16"/>
        </w:numPr>
        <w:tabs>
          <w:tab w:val="right" w:pos="180"/>
          <w:tab w:val="left" w:pos="525"/>
          <w:tab w:val="left" w:pos="1155"/>
          <w:tab w:val="left" w:pos="1260"/>
        </w:tabs>
        <w:spacing w:line="360" w:lineRule="auto"/>
        <w:ind w:left="0" w:firstLine="630"/>
        <w:rPr>
          <w:rFonts w:ascii="宋体" w:hAnsi="宋体"/>
          <w:bCs/>
          <w:color w:val="000000"/>
          <w:sz w:val="24"/>
          <w:highlight w:val="none"/>
        </w:rPr>
      </w:pPr>
      <w:r>
        <w:rPr>
          <w:rFonts w:hint="eastAsia" w:ascii="宋体" w:hAnsi="宋体"/>
          <w:bCs/>
          <w:color w:val="000000"/>
          <w:sz w:val="24"/>
          <w:highlight w:val="none"/>
        </w:rPr>
        <w:t>因重大变故，采购任务取消。</w:t>
      </w:r>
    </w:p>
    <w:p w14:paraId="76DBEBE4">
      <w:pPr>
        <w:spacing w:line="360" w:lineRule="auto"/>
        <w:ind w:left="-2" w:firstLine="420"/>
        <w:outlineLvl w:val="0"/>
        <w:rPr>
          <w:rFonts w:ascii="宋体" w:hAnsi="宋体"/>
          <w:bCs/>
          <w:color w:val="000000"/>
          <w:sz w:val="24"/>
          <w:highlight w:val="none"/>
        </w:rPr>
      </w:pPr>
      <w:r>
        <w:rPr>
          <w:rFonts w:hint="eastAsia" w:ascii="宋体" w:hAnsi="宋体"/>
          <w:bCs/>
          <w:color w:val="000000"/>
          <w:sz w:val="24"/>
          <w:highlight w:val="none"/>
        </w:rPr>
        <w:t>（十二）处罚：</w:t>
      </w:r>
    </w:p>
    <w:p w14:paraId="6ADC42B5">
      <w:pPr>
        <w:tabs>
          <w:tab w:val="right" w:pos="525"/>
          <w:tab w:val="left" w:pos="1155"/>
        </w:tabs>
        <w:spacing w:line="360" w:lineRule="auto"/>
        <w:ind w:left="-4" w:firstLine="480"/>
        <w:rPr>
          <w:rFonts w:ascii="宋体" w:hAnsi="宋体"/>
          <w:bCs/>
          <w:color w:val="000000"/>
          <w:sz w:val="24"/>
          <w:highlight w:val="none"/>
        </w:rPr>
      </w:pPr>
      <w:r>
        <w:rPr>
          <w:rFonts w:hint="eastAsia" w:ascii="宋体" w:hAnsi="宋体"/>
          <w:bCs/>
          <w:color w:val="000000"/>
          <w:sz w:val="24"/>
          <w:highlight w:val="none"/>
        </w:rPr>
        <w:t>中标投标人有下列情形之一且情节严重的，由财政部门将其列入不良行为记录名单，在一至三年内禁止参加政府采购活动，并予以通报：</w:t>
      </w:r>
    </w:p>
    <w:p w14:paraId="757ED525">
      <w:pPr>
        <w:tabs>
          <w:tab w:val="left" w:pos="735"/>
          <w:tab w:val="left" w:pos="1365"/>
        </w:tabs>
        <w:spacing w:line="360" w:lineRule="auto"/>
        <w:ind w:firstLine="480"/>
        <w:rPr>
          <w:rFonts w:ascii="宋体" w:hAnsi="宋体"/>
          <w:bCs/>
          <w:color w:val="000000"/>
          <w:sz w:val="24"/>
          <w:highlight w:val="none"/>
        </w:rPr>
      </w:pPr>
      <w:r>
        <w:rPr>
          <w:rFonts w:hint="eastAsia" w:ascii="宋体" w:hAnsi="宋体"/>
          <w:bCs/>
          <w:color w:val="000000"/>
          <w:sz w:val="24"/>
          <w:highlight w:val="none"/>
        </w:rPr>
        <w:t>（1）中标后无正当理由不与采购人签订合同的；</w:t>
      </w:r>
    </w:p>
    <w:p w14:paraId="66721A5D">
      <w:pPr>
        <w:tabs>
          <w:tab w:val="left" w:pos="735"/>
          <w:tab w:val="left" w:pos="1365"/>
        </w:tabs>
        <w:spacing w:line="360" w:lineRule="auto"/>
        <w:ind w:firstLine="480"/>
        <w:rPr>
          <w:rFonts w:ascii="宋体" w:hAnsi="宋体"/>
          <w:bCs/>
          <w:color w:val="000000"/>
          <w:sz w:val="24"/>
          <w:highlight w:val="none"/>
        </w:rPr>
      </w:pPr>
      <w:r>
        <w:rPr>
          <w:rFonts w:ascii="宋体" w:hAnsi="宋体"/>
          <w:bCs/>
          <w:color w:val="000000"/>
          <w:sz w:val="24"/>
          <w:highlight w:val="none"/>
        </w:rPr>
        <w:t>（</w:t>
      </w:r>
      <w:r>
        <w:rPr>
          <w:rFonts w:hint="eastAsia" w:ascii="宋体" w:hAnsi="宋体"/>
          <w:bCs/>
          <w:color w:val="000000"/>
          <w:sz w:val="24"/>
          <w:highlight w:val="none"/>
        </w:rPr>
        <w:t>2</w:t>
      </w:r>
      <w:r>
        <w:rPr>
          <w:rFonts w:ascii="宋体" w:hAnsi="宋体"/>
          <w:bCs/>
          <w:color w:val="000000"/>
          <w:sz w:val="24"/>
          <w:highlight w:val="none"/>
        </w:rPr>
        <w:t>）</w:t>
      </w:r>
      <w:r>
        <w:rPr>
          <w:rFonts w:hint="eastAsia" w:ascii="宋体" w:hAnsi="宋体"/>
          <w:bCs/>
          <w:color w:val="000000"/>
          <w:sz w:val="24"/>
          <w:highlight w:val="none"/>
        </w:rPr>
        <w:t>将中标项目转让给他人，或者在投标文件中未说明，且未经过采购人同意，将中标项目分包给他人的；</w:t>
      </w:r>
    </w:p>
    <w:p w14:paraId="5925A10D">
      <w:pPr>
        <w:tabs>
          <w:tab w:val="left" w:pos="735"/>
          <w:tab w:val="left" w:pos="1365"/>
        </w:tabs>
        <w:spacing w:line="360" w:lineRule="auto"/>
        <w:ind w:firstLine="480"/>
        <w:rPr>
          <w:rFonts w:ascii="宋体" w:hAnsi="宋体"/>
          <w:bCs/>
          <w:color w:val="000000"/>
          <w:sz w:val="24"/>
          <w:highlight w:val="none"/>
        </w:rPr>
      </w:pPr>
      <w:r>
        <w:rPr>
          <w:rFonts w:ascii="宋体" w:hAnsi="宋体"/>
          <w:bCs/>
          <w:color w:val="000000"/>
          <w:sz w:val="24"/>
          <w:highlight w:val="none"/>
        </w:rPr>
        <w:t>（</w:t>
      </w:r>
      <w:r>
        <w:rPr>
          <w:rFonts w:hint="eastAsia" w:ascii="宋体" w:hAnsi="宋体"/>
          <w:bCs/>
          <w:color w:val="000000"/>
          <w:sz w:val="24"/>
          <w:highlight w:val="none"/>
        </w:rPr>
        <w:t>3</w:t>
      </w:r>
      <w:r>
        <w:rPr>
          <w:rFonts w:ascii="宋体" w:hAnsi="宋体"/>
          <w:bCs/>
          <w:color w:val="000000"/>
          <w:sz w:val="24"/>
          <w:highlight w:val="none"/>
        </w:rPr>
        <w:t>）</w:t>
      </w:r>
      <w:r>
        <w:rPr>
          <w:rFonts w:hint="eastAsia" w:ascii="宋体" w:hAnsi="宋体"/>
          <w:bCs/>
          <w:color w:val="000000"/>
          <w:sz w:val="24"/>
          <w:highlight w:val="none"/>
        </w:rPr>
        <w:t>拒绝履行合同义务的。</w:t>
      </w:r>
    </w:p>
    <w:p w14:paraId="08698C3B">
      <w:pPr>
        <w:spacing w:line="360" w:lineRule="auto"/>
        <w:ind w:left="-2" w:firstLine="420"/>
        <w:outlineLvl w:val="0"/>
        <w:rPr>
          <w:rFonts w:ascii="宋体" w:hAnsi="宋体"/>
          <w:bCs/>
          <w:color w:val="000000"/>
          <w:sz w:val="24"/>
          <w:highlight w:val="none"/>
        </w:rPr>
      </w:pPr>
      <w:r>
        <w:rPr>
          <w:rFonts w:hint="eastAsia" w:ascii="宋体" w:hAnsi="宋体"/>
          <w:bCs/>
          <w:color w:val="000000"/>
          <w:sz w:val="24"/>
          <w:highlight w:val="none"/>
        </w:rPr>
        <w:t>（十三）中标无效的确认：</w:t>
      </w:r>
    </w:p>
    <w:p w14:paraId="0ED46777">
      <w:pPr>
        <w:numPr>
          <w:ilvl w:val="0"/>
          <w:numId w:val="17"/>
        </w:numPr>
        <w:tabs>
          <w:tab w:val="left" w:pos="420"/>
        </w:tabs>
        <w:spacing w:line="360" w:lineRule="auto"/>
        <w:ind w:left="0" w:firstLine="628"/>
        <w:rPr>
          <w:rFonts w:ascii="宋体" w:hAnsi="宋体"/>
          <w:bCs/>
          <w:color w:val="000000"/>
          <w:sz w:val="24"/>
          <w:highlight w:val="none"/>
        </w:rPr>
      </w:pPr>
      <w:r>
        <w:rPr>
          <w:rFonts w:hint="eastAsia" w:ascii="宋体" w:hAnsi="宋体"/>
          <w:bCs/>
          <w:color w:val="000000"/>
          <w:sz w:val="24"/>
          <w:highlight w:val="none"/>
        </w:rPr>
        <w:t>提供虚假材料谋取中标的；</w:t>
      </w:r>
    </w:p>
    <w:p w14:paraId="19F7D7FD">
      <w:pPr>
        <w:numPr>
          <w:ilvl w:val="0"/>
          <w:numId w:val="17"/>
        </w:numPr>
        <w:tabs>
          <w:tab w:val="left" w:pos="420"/>
        </w:tabs>
        <w:spacing w:line="360" w:lineRule="auto"/>
        <w:ind w:left="0" w:firstLine="628"/>
        <w:rPr>
          <w:rFonts w:ascii="宋体" w:hAnsi="宋体"/>
          <w:bCs/>
          <w:color w:val="000000"/>
          <w:sz w:val="24"/>
          <w:highlight w:val="none"/>
        </w:rPr>
      </w:pPr>
      <w:r>
        <w:rPr>
          <w:rFonts w:hint="eastAsia" w:ascii="宋体" w:hAnsi="宋体"/>
          <w:bCs/>
          <w:color w:val="000000"/>
          <w:sz w:val="24"/>
          <w:highlight w:val="none"/>
        </w:rPr>
        <w:t>采取不正当手段诋毁、排挤其他投标人的；</w:t>
      </w:r>
    </w:p>
    <w:p w14:paraId="67E09CBD">
      <w:pPr>
        <w:numPr>
          <w:ilvl w:val="0"/>
          <w:numId w:val="17"/>
        </w:numPr>
        <w:tabs>
          <w:tab w:val="left" w:pos="420"/>
        </w:tabs>
        <w:spacing w:line="360" w:lineRule="auto"/>
        <w:ind w:left="0" w:firstLine="628"/>
        <w:rPr>
          <w:rFonts w:ascii="宋体" w:hAnsi="宋体"/>
          <w:bCs/>
          <w:color w:val="000000"/>
          <w:sz w:val="24"/>
          <w:highlight w:val="none"/>
        </w:rPr>
      </w:pPr>
      <w:r>
        <w:rPr>
          <w:rFonts w:hint="eastAsia" w:ascii="宋体" w:hAnsi="宋体"/>
          <w:bCs/>
          <w:color w:val="000000"/>
          <w:sz w:val="24"/>
          <w:highlight w:val="none"/>
        </w:rPr>
        <w:t>与招标采购单位、其他投标人恶意串通的；</w:t>
      </w:r>
    </w:p>
    <w:p w14:paraId="3D98AB78">
      <w:pPr>
        <w:tabs>
          <w:tab w:val="left" w:pos="1455"/>
        </w:tabs>
        <w:spacing w:line="360" w:lineRule="auto"/>
        <w:ind w:left="629"/>
        <w:rPr>
          <w:rFonts w:ascii="宋体" w:hAnsi="宋体"/>
          <w:bCs/>
          <w:color w:val="000000"/>
          <w:sz w:val="24"/>
          <w:highlight w:val="none"/>
        </w:rPr>
      </w:pPr>
      <w:r>
        <w:rPr>
          <w:rFonts w:hint="eastAsia" w:ascii="宋体" w:hAnsi="宋体"/>
          <w:bCs/>
          <w:color w:val="000000"/>
          <w:sz w:val="24"/>
          <w:highlight w:val="none"/>
        </w:rPr>
        <w:t>（4）向采购人行贿或者提供其他不正当利益的；</w:t>
      </w:r>
    </w:p>
    <w:p w14:paraId="2CE712BB">
      <w:pPr>
        <w:tabs>
          <w:tab w:val="left" w:pos="1455"/>
        </w:tabs>
        <w:spacing w:line="360" w:lineRule="auto"/>
        <w:ind w:firstLine="628"/>
        <w:rPr>
          <w:rFonts w:ascii="宋体" w:hAnsi="宋体"/>
          <w:bCs/>
          <w:color w:val="000000"/>
          <w:sz w:val="24"/>
          <w:highlight w:val="none"/>
        </w:rPr>
      </w:pPr>
      <w:r>
        <w:rPr>
          <w:rFonts w:hint="eastAsia" w:ascii="宋体" w:hAnsi="宋体"/>
          <w:bCs/>
          <w:color w:val="000000"/>
          <w:sz w:val="24"/>
          <w:highlight w:val="none"/>
        </w:rPr>
        <w:t>（5）在招标过程中与采购人进行协商谈判、不按照招标文件和中标投标人的投标文件订立合同，或者与采购人另行订立背离合同实质性内容的协议的；</w:t>
      </w:r>
    </w:p>
    <w:p w14:paraId="74D62317">
      <w:pPr>
        <w:tabs>
          <w:tab w:val="left" w:pos="1455"/>
        </w:tabs>
        <w:spacing w:line="360" w:lineRule="auto"/>
        <w:ind w:left="629"/>
        <w:rPr>
          <w:rFonts w:ascii="宋体" w:hAnsi="宋体"/>
          <w:bCs/>
          <w:color w:val="000000"/>
          <w:sz w:val="24"/>
          <w:highlight w:val="none"/>
        </w:rPr>
      </w:pPr>
      <w:r>
        <w:rPr>
          <w:rFonts w:hint="eastAsia" w:ascii="宋体" w:hAnsi="宋体"/>
          <w:bCs/>
          <w:color w:val="000000"/>
          <w:sz w:val="24"/>
          <w:highlight w:val="none"/>
        </w:rPr>
        <w:t>（6）拒绝有关部门监督检查或者提供虚假情况的。</w:t>
      </w:r>
    </w:p>
    <w:p w14:paraId="16BD5DDB">
      <w:pPr>
        <w:spacing w:line="360" w:lineRule="auto"/>
        <w:rPr>
          <w:rFonts w:ascii="宋体" w:hAnsi="宋体"/>
          <w:bCs/>
          <w:color w:val="000000"/>
          <w:sz w:val="24"/>
          <w:highlight w:val="none"/>
        </w:rPr>
      </w:pPr>
      <w:r>
        <w:rPr>
          <w:rFonts w:hint="eastAsia" w:ascii="宋体" w:hAnsi="宋体"/>
          <w:bCs/>
          <w:color w:val="000000"/>
          <w:sz w:val="24"/>
          <w:highlight w:val="none"/>
        </w:rPr>
        <w:t xml:space="preserve">    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0E876BBD">
      <w:pPr>
        <w:spacing w:line="360" w:lineRule="auto"/>
        <w:ind w:left="-2" w:firstLine="420"/>
        <w:outlineLvl w:val="0"/>
        <w:rPr>
          <w:rFonts w:ascii="宋体" w:hAnsi="宋体"/>
          <w:bCs/>
          <w:color w:val="000000"/>
          <w:sz w:val="24"/>
          <w:highlight w:val="none"/>
        </w:rPr>
      </w:pPr>
      <w:r>
        <w:rPr>
          <w:rFonts w:hint="eastAsia" w:ascii="宋体" w:hAnsi="宋体"/>
          <w:bCs/>
          <w:color w:val="000000"/>
          <w:sz w:val="24"/>
          <w:highlight w:val="none"/>
        </w:rPr>
        <w:t>（十四）签订</w:t>
      </w:r>
      <w:r>
        <w:rPr>
          <w:rFonts w:hint="eastAsia" w:ascii="宋体" w:hAnsi="宋体"/>
          <w:color w:val="000000"/>
          <w:sz w:val="24"/>
          <w:highlight w:val="none"/>
        </w:rPr>
        <w:t>、履行</w:t>
      </w:r>
      <w:r>
        <w:rPr>
          <w:rFonts w:hint="eastAsia" w:ascii="宋体" w:hAnsi="宋体"/>
          <w:bCs/>
          <w:color w:val="000000"/>
          <w:sz w:val="24"/>
          <w:highlight w:val="none"/>
        </w:rPr>
        <w:t>合同：</w:t>
      </w:r>
    </w:p>
    <w:p w14:paraId="30E9C114">
      <w:pPr>
        <w:numPr>
          <w:ilvl w:val="0"/>
          <w:numId w:val="18"/>
        </w:numPr>
        <w:tabs>
          <w:tab w:val="left" w:pos="525"/>
          <w:tab w:val="left" w:pos="1050"/>
        </w:tabs>
        <w:spacing w:line="360" w:lineRule="auto"/>
        <w:ind w:left="0" w:firstLine="630"/>
        <w:rPr>
          <w:rFonts w:ascii="宋体"/>
          <w:bCs/>
          <w:sz w:val="24"/>
          <w:highlight w:val="none"/>
        </w:rPr>
      </w:pPr>
      <w:r>
        <w:rPr>
          <w:rFonts w:hint="eastAsia" w:ascii="宋体"/>
          <w:bCs/>
          <w:sz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bCs/>
          <w:color w:val="000000"/>
          <w:sz w:val="24"/>
          <w:highlight w:val="none"/>
        </w:rPr>
        <w:t>合同经江苏嘉加诚工程投资咨询有限公司见证后生效。</w:t>
      </w:r>
    </w:p>
    <w:p w14:paraId="4CA32572">
      <w:pPr>
        <w:tabs>
          <w:tab w:val="left" w:pos="525"/>
          <w:tab w:val="left" w:pos="630"/>
          <w:tab w:val="left" w:pos="735"/>
          <w:tab w:val="left" w:pos="945"/>
          <w:tab w:val="left" w:pos="1080"/>
        </w:tabs>
        <w:spacing w:line="360" w:lineRule="auto"/>
        <w:ind w:firstLine="480"/>
        <w:rPr>
          <w:rFonts w:ascii="宋体"/>
          <w:bCs/>
          <w:sz w:val="24"/>
          <w:highlight w:val="none"/>
        </w:rPr>
      </w:pPr>
      <w:r>
        <w:rPr>
          <w:rFonts w:hint="eastAsia" w:ascii="宋体"/>
          <w:bCs/>
          <w:sz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8BA9C4C">
      <w:pPr>
        <w:numPr>
          <w:ilvl w:val="0"/>
          <w:numId w:val="18"/>
        </w:numPr>
        <w:tabs>
          <w:tab w:val="left" w:pos="525"/>
          <w:tab w:val="left" w:pos="1050"/>
        </w:tabs>
        <w:spacing w:line="360" w:lineRule="auto"/>
        <w:ind w:left="0" w:firstLine="630"/>
        <w:rPr>
          <w:rFonts w:ascii="宋体" w:hAnsi="宋体"/>
          <w:bCs/>
          <w:color w:val="000000"/>
          <w:sz w:val="24"/>
          <w:highlight w:val="none"/>
        </w:rPr>
      </w:pPr>
      <w:r>
        <w:rPr>
          <w:rFonts w:hint="eastAsia" w:ascii="宋体" w:hAnsi="宋体"/>
          <w:bCs/>
          <w:color w:val="000000"/>
          <w:sz w:val="24"/>
          <w:highlight w:val="none"/>
        </w:rPr>
        <w:t>江苏嘉加诚工程投资咨询有限公司监督合同的履行。中标方非因不可抗力未履行招、投标文件和合同规定的义务，一经查实，采购代理机构将根据具体情况提请政府采购管理部门作出相应处理。</w:t>
      </w:r>
    </w:p>
    <w:p w14:paraId="31467A79">
      <w:pPr>
        <w:spacing w:line="360" w:lineRule="auto"/>
        <w:ind w:firstLine="480"/>
        <w:rPr>
          <w:rFonts w:ascii="宋体" w:hAnsi="宋体"/>
          <w:color w:val="000000"/>
          <w:sz w:val="24"/>
          <w:highlight w:val="none"/>
        </w:rPr>
      </w:pPr>
      <w:r>
        <w:rPr>
          <w:rFonts w:hint="eastAsia" w:ascii="宋体" w:hAnsi="宋体"/>
          <w:color w:val="000000"/>
          <w:sz w:val="24"/>
          <w:highlight w:val="none"/>
        </w:rPr>
        <w:t>（十五）政府采购信用担保</w:t>
      </w:r>
    </w:p>
    <w:p w14:paraId="4F326F9A">
      <w:pPr>
        <w:tabs>
          <w:tab w:val="left" w:pos="525"/>
          <w:tab w:val="left" w:pos="630"/>
          <w:tab w:val="left" w:pos="735"/>
          <w:tab w:val="left" w:pos="945"/>
          <w:tab w:val="left" w:pos="1080"/>
        </w:tabs>
        <w:spacing w:line="360" w:lineRule="auto"/>
        <w:ind w:firstLine="480"/>
        <w:rPr>
          <w:rFonts w:ascii="宋体" w:hAnsi="宋体" w:cs="宋体"/>
          <w:sz w:val="24"/>
          <w:highlight w:val="none"/>
        </w:rPr>
      </w:pPr>
      <w:r>
        <w:rPr>
          <w:rFonts w:hint="eastAsia" w:ascii="宋体"/>
          <w:bCs/>
          <w:sz w:val="24"/>
          <w:highlight w:val="none"/>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502A0C10">
      <w:pPr>
        <w:tabs>
          <w:tab w:val="left" w:pos="525"/>
          <w:tab w:val="left" w:pos="630"/>
          <w:tab w:val="left" w:pos="735"/>
          <w:tab w:val="left" w:pos="945"/>
          <w:tab w:val="left" w:pos="1080"/>
        </w:tabs>
        <w:spacing w:line="360" w:lineRule="auto"/>
        <w:ind w:firstLine="480"/>
        <w:rPr>
          <w:rFonts w:ascii="宋体" w:hAnsi="宋体"/>
          <w:color w:val="000000"/>
          <w:sz w:val="24"/>
          <w:highlight w:val="none"/>
        </w:rPr>
      </w:pPr>
      <w:r>
        <w:rPr>
          <w:rFonts w:hint="eastAsia" w:ascii="宋体"/>
          <w:bCs/>
          <w:sz w:val="24"/>
          <w:highlight w:val="none"/>
        </w:rPr>
        <w:t>中标、成交供应商可以采用电子履约保函形式，具体操作可登录江苏政府采购网的保险保函模块进行办理，也可通过</w:t>
      </w:r>
      <w:r>
        <w:rPr>
          <w:rFonts w:ascii="宋体"/>
          <w:bCs/>
          <w:sz w:val="24"/>
          <w:highlight w:val="none"/>
        </w:rPr>
        <w:t>无锡市政府采购网</w:t>
      </w:r>
      <w:r>
        <w:rPr>
          <w:rFonts w:hint="eastAsia" w:ascii="宋体"/>
          <w:bCs/>
          <w:sz w:val="24"/>
          <w:highlight w:val="none"/>
        </w:rPr>
        <w:t>、“</w:t>
      </w:r>
      <w:r>
        <w:rPr>
          <w:rFonts w:ascii="宋体"/>
          <w:bCs/>
          <w:sz w:val="24"/>
          <w:highlight w:val="none"/>
        </w:rPr>
        <w:t>苏采云</w:t>
      </w:r>
      <w:r>
        <w:rPr>
          <w:rFonts w:hint="eastAsia" w:ascii="宋体"/>
          <w:bCs/>
          <w:sz w:val="24"/>
          <w:highlight w:val="none"/>
        </w:rPr>
        <w:t>”</w:t>
      </w:r>
      <w:r>
        <w:rPr>
          <w:rFonts w:ascii="宋体"/>
          <w:bCs/>
          <w:sz w:val="24"/>
          <w:highlight w:val="none"/>
        </w:rPr>
        <w:t>系统链接访问（首次使用需注册）。</w:t>
      </w:r>
    </w:p>
    <w:p w14:paraId="773BD670">
      <w:pPr>
        <w:spacing w:line="360" w:lineRule="auto"/>
        <w:ind w:firstLine="480"/>
        <w:rPr>
          <w:rFonts w:ascii="宋体" w:hAnsi="宋体"/>
          <w:color w:val="000000"/>
          <w:sz w:val="24"/>
          <w:highlight w:val="none"/>
        </w:rPr>
      </w:pPr>
      <w:r>
        <w:rPr>
          <w:rFonts w:hint="eastAsia" w:ascii="宋体" w:hAnsi="宋体"/>
          <w:color w:val="000000"/>
          <w:sz w:val="24"/>
          <w:highlight w:val="none"/>
        </w:rPr>
        <w:t>（十六）政府采购合同融资</w:t>
      </w:r>
    </w:p>
    <w:p w14:paraId="79403231">
      <w:pPr>
        <w:spacing w:line="360" w:lineRule="auto"/>
        <w:ind w:firstLine="480"/>
        <w:rPr>
          <w:rFonts w:ascii="宋体" w:hAnsi="宋体"/>
          <w:color w:val="000000"/>
          <w:sz w:val="24"/>
          <w:highlight w:val="none"/>
        </w:rPr>
      </w:pPr>
      <w:r>
        <w:rPr>
          <w:rFonts w:hint="eastAsia" w:ascii="宋体" w:hAnsi="宋体"/>
          <w:color w:val="000000"/>
          <w:sz w:val="24"/>
          <w:highlight w:val="none"/>
        </w:rPr>
        <w:t>合同融资，是指参与政府采购的投标人，凭借中标、成交通知书或政府采购合同向金融机构申请融资，金融机构以投标人信用审查和政府采购信誉为基础，按便捷贷款程序和优惠利率，为其发放无财产抵押贷款的一种融资模式。投标人与金融机构按照“银企自愿，风险共担”的原则开展融资活动，有融资需求的中标、成交投标人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D4552A3">
      <w:pPr>
        <w:spacing w:line="360" w:lineRule="auto"/>
        <w:ind w:firstLine="360"/>
        <w:outlineLvl w:val="0"/>
        <w:rPr>
          <w:rFonts w:ascii="宋体" w:hAnsi="宋体"/>
          <w:color w:val="000000"/>
          <w:sz w:val="24"/>
          <w:highlight w:val="none"/>
        </w:rPr>
      </w:pPr>
      <w:r>
        <w:rPr>
          <w:rFonts w:hint="eastAsia" w:ascii="宋体" w:hAnsi="宋体"/>
          <w:color w:val="000000"/>
          <w:sz w:val="24"/>
          <w:highlight w:val="none"/>
        </w:rPr>
        <w:t>中标、成交供应商可采用合同融资形式，中标人可凭政府采购合同办理融资贷款，详见无锡市政府采购网“政采贷”专栏。</w:t>
      </w:r>
    </w:p>
    <w:p w14:paraId="1D6ECBD5">
      <w:pPr>
        <w:spacing w:line="360" w:lineRule="auto"/>
        <w:ind w:firstLine="360"/>
        <w:outlineLvl w:val="0"/>
        <w:rPr>
          <w:rFonts w:ascii="宋体" w:hAnsi="宋体"/>
          <w:color w:val="000000"/>
          <w:sz w:val="24"/>
          <w:highlight w:val="none"/>
        </w:rPr>
      </w:pPr>
      <w:r>
        <w:rPr>
          <w:rFonts w:hint="eastAsia" w:ascii="宋体" w:hAnsi="宋体"/>
          <w:color w:val="000000"/>
          <w:sz w:val="24"/>
          <w:highlight w:val="none"/>
        </w:rPr>
        <w:t>（十七）代理服务费：</w:t>
      </w:r>
    </w:p>
    <w:p w14:paraId="5F986F87">
      <w:pPr>
        <w:spacing w:line="360" w:lineRule="auto"/>
        <w:ind w:firstLine="480"/>
        <w:rPr>
          <w:rFonts w:ascii="宋体" w:hAnsi="宋体"/>
          <w:color w:val="000000"/>
          <w:sz w:val="24"/>
          <w:highlight w:val="none"/>
        </w:rPr>
      </w:pPr>
      <w:r>
        <w:rPr>
          <w:rFonts w:hint="eastAsia" w:ascii="宋体" w:hAnsi="宋体"/>
          <w:color w:val="000000"/>
          <w:sz w:val="24"/>
          <w:highlight w:val="none"/>
        </w:rPr>
        <w:t>本项目招标代理费由采购人支付，招标代理服务费以中标金额为计算基数，采用差额定率累进计费方式，按下列费率的70%计取：100万元以下费率为1.5%，100万元-500万元费率为0.8%。</w:t>
      </w:r>
    </w:p>
    <w:p w14:paraId="411ED254">
      <w:pPr>
        <w:spacing w:line="360" w:lineRule="auto"/>
        <w:ind w:firstLine="480"/>
        <w:rPr>
          <w:rFonts w:ascii="宋体" w:hAnsi="宋体"/>
          <w:color w:val="000000"/>
          <w:sz w:val="24"/>
          <w:highlight w:val="none"/>
        </w:rPr>
      </w:pPr>
      <w:r>
        <w:rPr>
          <w:rFonts w:hint="eastAsia" w:ascii="宋体" w:hAnsi="宋体"/>
          <w:color w:val="000000"/>
          <w:sz w:val="24"/>
          <w:highlight w:val="none"/>
        </w:rPr>
        <w:t>（十八）其他：</w:t>
      </w:r>
    </w:p>
    <w:p w14:paraId="3038EE5D">
      <w:pPr>
        <w:spacing w:line="360" w:lineRule="auto"/>
        <w:ind w:firstLine="480"/>
        <w:jc w:val="left"/>
        <w:rPr>
          <w:rFonts w:ascii="宋体" w:hAnsi="宋体"/>
          <w:bCs/>
          <w:color w:val="000000"/>
          <w:sz w:val="24"/>
          <w:highlight w:val="none"/>
        </w:rPr>
      </w:pPr>
      <w:r>
        <w:rPr>
          <w:rFonts w:hint="eastAsia" w:ascii="宋体" w:hAnsi="宋体"/>
          <w:bCs/>
          <w:color w:val="000000"/>
          <w:sz w:val="24"/>
          <w:highlight w:val="none"/>
        </w:rPr>
        <w:t>招标文件的条款必须认真审阅，投标人应自行检查招标文件页数是否齐全。若有遗漏、重复或不清楚，需立刻通知采购人予以更正；凡属对条款的误解所造成的投标价格失误，由投标人负责。</w:t>
      </w:r>
    </w:p>
    <w:p w14:paraId="0E33B89B">
      <w:pPr>
        <w:spacing w:line="360" w:lineRule="auto"/>
        <w:ind w:firstLine="883"/>
        <w:jc w:val="center"/>
        <w:rPr>
          <w:rFonts w:ascii="黑体" w:eastAsia="黑体"/>
          <w:b/>
          <w:color w:val="000000"/>
          <w:sz w:val="44"/>
          <w:szCs w:val="44"/>
          <w:highlight w:val="none"/>
        </w:rPr>
      </w:pPr>
      <w:r>
        <w:rPr>
          <w:rFonts w:hint="eastAsia" w:ascii="黑体" w:eastAsia="黑体"/>
          <w:b/>
          <w:color w:val="000000"/>
          <w:sz w:val="44"/>
          <w:szCs w:val="44"/>
          <w:highlight w:val="none"/>
        </w:rPr>
        <w:br w:type="page" w:clear="all"/>
      </w:r>
      <w:r>
        <w:rPr>
          <w:rFonts w:hint="eastAsia" w:ascii="黑体" w:eastAsia="黑体"/>
          <w:b/>
          <w:color w:val="000000"/>
          <w:sz w:val="44"/>
          <w:szCs w:val="44"/>
          <w:highlight w:val="none"/>
        </w:rPr>
        <w:t>第三部分．采购需求</w:t>
      </w:r>
    </w:p>
    <w:p w14:paraId="727C5604">
      <w:pPr>
        <w:spacing w:line="360" w:lineRule="auto"/>
        <w:ind w:firstLine="480" w:firstLineChars="200"/>
        <w:rPr>
          <w:rFonts w:ascii="宋体" w:hAnsi="宋体" w:cs="宋体"/>
          <w:b/>
          <w:bCs/>
          <w:sz w:val="24"/>
          <w:highlight w:val="none"/>
        </w:rPr>
      </w:pPr>
      <w:r>
        <w:rPr>
          <w:rFonts w:hint="eastAsia" w:ascii="宋体" w:hAnsi="宋体" w:cs="宋体"/>
          <w:color w:val="000000"/>
          <w:sz w:val="24"/>
          <w:highlight w:val="none"/>
        </w:rPr>
        <w:t>本项目不接受负偏离，否则按无效标处理。</w:t>
      </w:r>
    </w:p>
    <w:p w14:paraId="7C56511A">
      <w:pPr>
        <w:tabs>
          <w:tab w:val="left" w:pos="945"/>
          <w:tab w:val="left" w:pos="1155"/>
        </w:tabs>
        <w:spacing w:line="360" w:lineRule="auto"/>
        <w:rPr>
          <w:rFonts w:ascii="宋体" w:hAnsi="宋体"/>
          <w:b/>
          <w:bCs/>
          <w:kern w:val="2"/>
          <w:sz w:val="24"/>
          <w:highlight w:val="none"/>
        </w:rPr>
      </w:pPr>
      <w:r>
        <w:rPr>
          <w:rFonts w:ascii="宋体" w:hAnsi="宋体"/>
          <w:b/>
          <w:bCs/>
          <w:kern w:val="2"/>
          <w:sz w:val="24"/>
          <w:highlight w:val="none"/>
        </w:rPr>
        <w:t>（一）采购标的需实现的功能或者目标，以及为落实政府采购政策需满足的要求</w:t>
      </w:r>
    </w:p>
    <w:p w14:paraId="3451F18B">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1.采购标的需实现的功能或者目标：</w:t>
      </w:r>
    </w:p>
    <w:p w14:paraId="701ECA52">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本项目为两艘移动藻水分离船运行项目，主要服务内容包括：对2艘移动式藻水分离船运行管理、根据每次杯试结果投加药剂、藻泥运输及无害化处置。</w:t>
      </w:r>
    </w:p>
    <w:p w14:paraId="209C3AD5">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本项目需实现船只及藻水分离运行平稳，打捞蓝藻满足采购人要求，藻泥处理满足移动藻水分离船技术要求（藻泥含水率≤90%），藻泥运输及无害化处置满足环保要求。</w:t>
      </w:r>
    </w:p>
    <w:p w14:paraId="0CF93305">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2.</w:t>
      </w:r>
      <w:r>
        <w:rPr>
          <w:rFonts w:ascii="宋体" w:hAnsi="宋体"/>
          <w:bCs/>
          <w:kern w:val="2"/>
          <w:sz w:val="24"/>
          <w:szCs w:val="20"/>
          <w:highlight w:val="none"/>
        </w:rPr>
        <w:t>落实政府采购政策需满足的要求</w:t>
      </w:r>
    </w:p>
    <w:p w14:paraId="7611515B">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1）按照《政府采购促进中小企业发展管理办法》（财库〔2020〕46号）的规定，对小型和微型企业给予扶持，本项目专门面向中小企业，监狱企业、残疾人福利性单位视同为小微企业。</w:t>
      </w:r>
    </w:p>
    <w:p w14:paraId="55C33B54">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2）优先和强制采购节能产品。属于财政部、国家发展改革委《节能产品政府采购清单》有效期内产品的优先采购，属于节能产品清单中强制采购的产品强制采购。优先采购环保产品。属于财政部、生态环境部《环境标志产品政府采购清单》有效期内产品的优先采购。</w:t>
      </w:r>
    </w:p>
    <w:p w14:paraId="41D83EBD">
      <w:pPr>
        <w:tabs>
          <w:tab w:val="left" w:pos="945"/>
          <w:tab w:val="left" w:pos="1155"/>
        </w:tabs>
        <w:spacing w:line="360" w:lineRule="auto"/>
        <w:rPr>
          <w:rFonts w:ascii="宋体" w:hAnsi="宋体"/>
          <w:b/>
          <w:bCs/>
          <w:kern w:val="2"/>
          <w:sz w:val="24"/>
          <w:highlight w:val="none"/>
        </w:rPr>
      </w:pPr>
      <w:r>
        <w:rPr>
          <w:rFonts w:ascii="宋体" w:hAnsi="宋体"/>
          <w:b/>
          <w:bCs/>
          <w:kern w:val="2"/>
          <w:sz w:val="24"/>
          <w:highlight w:val="none"/>
        </w:rPr>
        <w:t>（二）采购标的需执行的国家相关标准、行业标准、地方标准或者其他标准、规范：</w:t>
      </w:r>
    </w:p>
    <w:p w14:paraId="21104C32">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1.《蓝藻藻泥处理技术规范》CJJ184-2012</w:t>
      </w:r>
    </w:p>
    <w:p w14:paraId="66CFB40E">
      <w:pPr>
        <w:spacing w:line="360" w:lineRule="auto"/>
        <w:ind w:firstLine="480" w:firstLineChars="200"/>
        <w:rPr>
          <w:rFonts w:ascii="宋体" w:hAnsi="宋体"/>
          <w:bCs/>
          <w:kern w:val="2"/>
          <w:sz w:val="24"/>
          <w:szCs w:val="20"/>
          <w:highlight w:val="none"/>
        </w:rPr>
      </w:pPr>
      <w:r>
        <w:rPr>
          <w:rFonts w:ascii="宋体" w:hAnsi="宋体"/>
          <w:bCs/>
          <w:kern w:val="2"/>
          <w:sz w:val="24"/>
          <w:szCs w:val="20"/>
          <w:highlight w:val="none"/>
        </w:rPr>
        <w:t>2</w:t>
      </w:r>
      <w:r>
        <w:rPr>
          <w:rFonts w:hint="eastAsia" w:ascii="宋体" w:hAnsi="宋体"/>
          <w:bCs/>
          <w:kern w:val="2"/>
          <w:sz w:val="24"/>
          <w:szCs w:val="20"/>
          <w:highlight w:val="none"/>
        </w:rPr>
        <w:t>.《污水排入城镇下水道水质标准》(GB/T 31962-2015)</w:t>
      </w:r>
    </w:p>
    <w:p w14:paraId="141B1E4F">
      <w:pPr>
        <w:spacing w:line="360" w:lineRule="auto"/>
        <w:ind w:firstLine="480" w:firstLineChars="200"/>
        <w:rPr>
          <w:rFonts w:ascii="宋体" w:hAnsi="宋体"/>
          <w:bCs/>
          <w:kern w:val="2"/>
          <w:sz w:val="24"/>
          <w:szCs w:val="20"/>
          <w:highlight w:val="none"/>
        </w:rPr>
      </w:pPr>
      <w:r>
        <w:rPr>
          <w:rFonts w:ascii="宋体" w:hAnsi="宋体"/>
          <w:bCs/>
          <w:kern w:val="2"/>
          <w:sz w:val="24"/>
          <w:szCs w:val="20"/>
          <w:highlight w:val="none"/>
        </w:rPr>
        <w:t>3</w:t>
      </w:r>
      <w:r>
        <w:rPr>
          <w:rFonts w:hint="eastAsia" w:ascii="宋体" w:hAnsi="宋体"/>
          <w:bCs/>
          <w:kern w:val="2"/>
          <w:sz w:val="24"/>
          <w:szCs w:val="20"/>
          <w:highlight w:val="none"/>
        </w:rPr>
        <w:t>.《城镇污水处理厂污染物排放标准》GB18918-2002</w:t>
      </w:r>
    </w:p>
    <w:p w14:paraId="6B38B187">
      <w:pPr>
        <w:spacing w:line="360" w:lineRule="auto"/>
        <w:ind w:firstLine="480" w:firstLineChars="200"/>
        <w:rPr>
          <w:rFonts w:ascii="宋体" w:hAnsi="宋体"/>
          <w:bCs/>
          <w:kern w:val="2"/>
          <w:sz w:val="24"/>
          <w:szCs w:val="20"/>
          <w:highlight w:val="none"/>
        </w:rPr>
      </w:pPr>
      <w:r>
        <w:rPr>
          <w:rFonts w:ascii="宋体" w:hAnsi="宋体"/>
          <w:bCs/>
          <w:kern w:val="2"/>
          <w:sz w:val="24"/>
          <w:szCs w:val="20"/>
          <w:highlight w:val="none"/>
        </w:rPr>
        <w:t>4</w:t>
      </w:r>
      <w:r>
        <w:rPr>
          <w:rFonts w:hint="eastAsia" w:ascii="宋体" w:hAnsi="宋体"/>
          <w:bCs/>
          <w:kern w:val="2"/>
          <w:sz w:val="24"/>
          <w:szCs w:val="20"/>
          <w:highlight w:val="none"/>
        </w:rPr>
        <w:t xml:space="preserve">.《恶臭（异味）污染物排放标准》(DB311025-2016) </w:t>
      </w:r>
    </w:p>
    <w:p w14:paraId="497D2ED5">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 xml:space="preserve">5. </w:t>
      </w:r>
      <w:r>
        <w:rPr>
          <w:rFonts w:ascii="宋体" w:hAnsi="宋体"/>
          <w:bCs/>
          <w:kern w:val="2"/>
          <w:sz w:val="24"/>
          <w:szCs w:val="20"/>
          <w:highlight w:val="none"/>
        </w:rPr>
        <w:t>其他有关法规、规范和标准</w:t>
      </w:r>
    </w:p>
    <w:p w14:paraId="234BC6A9">
      <w:pPr>
        <w:tabs>
          <w:tab w:val="left" w:pos="945"/>
          <w:tab w:val="left" w:pos="1155"/>
        </w:tabs>
        <w:spacing w:line="360" w:lineRule="auto"/>
        <w:rPr>
          <w:rFonts w:ascii="宋体" w:hAnsi="宋体"/>
          <w:b/>
          <w:bCs/>
          <w:kern w:val="2"/>
          <w:sz w:val="24"/>
          <w:highlight w:val="none"/>
        </w:rPr>
      </w:pPr>
      <w:r>
        <w:rPr>
          <w:rFonts w:hint="eastAsia" w:ascii="宋体" w:hAnsi="宋体"/>
          <w:b/>
          <w:bCs/>
          <w:kern w:val="2"/>
          <w:sz w:val="24"/>
          <w:highlight w:val="none"/>
        </w:rPr>
        <w:t>（三）采购标的需满足的质量、安全、技术规格、物理特性等要求：</w:t>
      </w:r>
    </w:p>
    <w:p w14:paraId="31C9E0F4">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1.服务质量：满足采购人要求</w:t>
      </w:r>
    </w:p>
    <w:p w14:paraId="576E97E1">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2.安全要求：遵守政府有关安全法律法规，有相应的安全保障措施，并对其现场的人员、设备的安全负责。</w:t>
      </w:r>
    </w:p>
    <w:p w14:paraId="783082CE">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3．技术要求：投标供应商应满足招标文件中技术要求，确保服务质量。</w:t>
      </w:r>
    </w:p>
    <w:p w14:paraId="5B264CC0">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4. 单艘船舶藻水分离设备主要作业指标数据：</w:t>
      </w:r>
    </w:p>
    <w:p w14:paraId="23D2F5D3">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蓝藻去除率≥95%；尾水SS≤50mg/L（外观无色、透明）；产出藻泥≥3吨/小时；藻泥最大生产能力达到6吨/小时；藻泥含水率≤90%。</w:t>
      </w:r>
    </w:p>
    <w:p w14:paraId="72C12E15">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5.药剂指导说明：</w:t>
      </w:r>
    </w:p>
    <w:p w14:paraId="2EE23164">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移动藻水分离船的蓝藻无害化处理工艺流程中需在3个工艺环节投加化学药剂，即：蓝藻进入沉降分离池（水分离环节）；一体化二级强化分离池（气浮阶段）；藻渣脱水系统（脱水环节）。</w:t>
      </w:r>
    </w:p>
    <w:p w14:paraId="6A39B282">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移动藻水分离船运行使用</w:t>
      </w:r>
      <w:r>
        <w:rPr>
          <w:rFonts w:hint="eastAsia" w:ascii="宋体" w:hAnsi="宋体"/>
          <w:bCs/>
          <w:kern w:val="2"/>
          <w:sz w:val="24"/>
          <w:szCs w:val="20"/>
          <w:highlight w:val="none"/>
          <w:lang w:eastAsia="zh-CN"/>
        </w:rPr>
        <w:t>两种</w:t>
      </w:r>
      <w:r>
        <w:rPr>
          <w:rFonts w:hint="eastAsia" w:ascii="宋体" w:hAnsi="宋体"/>
          <w:bCs/>
          <w:kern w:val="2"/>
          <w:sz w:val="24"/>
          <w:szCs w:val="20"/>
          <w:highlight w:val="none"/>
        </w:rPr>
        <w:t>药剂，其中：1号药剂属于生物型混凝剂、饮水级，针对蓝藻处理时，可与其充分迅速反应并快速释放电荷让蓝藻进行快速分离，具有快速、高效、环保无污染；2号药剂属于蓝藻脱水剂，考虑到蓝藻囊团的包裹性，在常规的脱水剂成分基础上进一步研发使其高度融合蓝藻处理技术，产品的离子度指标高达80%以上。</w:t>
      </w:r>
    </w:p>
    <w:p w14:paraId="3B1C662E">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1号、2号药剂成分主要构成及理论指导投放量</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6"/>
        <w:gridCol w:w="2366"/>
        <w:gridCol w:w="2366"/>
        <w:gridCol w:w="2366"/>
      </w:tblGrid>
      <w:tr w14:paraId="40B84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32" w:type="dxa"/>
            <w:gridSpan w:val="2"/>
            <w:vAlign w:val="center"/>
          </w:tcPr>
          <w:p w14:paraId="2CA693BC">
            <w:pPr>
              <w:spacing w:line="360" w:lineRule="auto"/>
              <w:jc w:val="center"/>
              <w:rPr>
                <w:rFonts w:cs="Cambria" w:asciiTheme="minorEastAsia" w:hAnsiTheme="minorEastAsia" w:eastAsiaTheme="minorEastAsia"/>
                <w:bCs/>
                <w:kern w:val="2"/>
                <w:sz w:val="24"/>
                <w:szCs w:val="20"/>
                <w:highlight w:val="none"/>
              </w:rPr>
            </w:pPr>
            <w:r>
              <w:rPr>
                <w:rFonts w:hint="eastAsia" w:cs="Cambria" w:asciiTheme="minorEastAsia" w:hAnsiTheme="minorEastAsia" w:eastAsiaTheme="minorEastAsia"/>
                <w:bCs/>
                <w:kern w:val="2"/>
                <w:sz w:val="24"/>
                <w:szCs w:val="20"/>
                <w:highlight w:val="none"/>
              </w:rPr>
              <w:t>1号药剂（DLH-1）</w:t>
            </w:r>
          </w:p>
        </w:tc>
        <w:tc>
          <w:tcPr>
            <w:tcW w:w="4732" w:type="dxa"/>
            <w:gridSpan w:val="2"/>
            <w:vAlign w:val="center"/>
          </w:tcPr>
          <w:p w14:paraId="0C6A1385">
            <w:pPr>
              <w:spacing w:line="360" w:lineRule="auto"/>
              <w:jc w:val="center"/>
              <w:rPr>
                <w:rFonts w:cs="Cambria" w:asciiTheme="minorEastAsia" w:hAnsiTheme="minorEastAsia" w:eastAsiaTheme="minorEastAsia"/>
                <w:bCs/>
                <w:kern w:val="2"/>
                <w:sz w:val="24"/>
                <w:szCs w:val="20"/>
                <w:highlight w:val="none"/>
              </w:rPr>
            </w:pPr>
            <w:r>
              <w:rPr>
                <w:rFonts w:hint="eastAsia" w:cs="Cambria" w:asciiTheme="minorEastAsia" w:hAnsiTheme="minorEastAsia" w:eastAsiaTheme="minorEastAsia"/>
                <w:bCs/>
                <w:kern w:val="2"/>
                <w:sz w:val="24"/>
                <w:szCs w:val="20"/>
                <w:highlight w:val="none"/>
              </w:rPr>
              <w:t>2号药剂（DLH-2）</w:t>
            </w:r>
          </w:p>
        </w:tc>
      </w:tr>
      <w:tr w14:paraId="3515F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6" w:type="dxa"/>
            <w:vAlign w:val="center"/>
          </w:tcPr>
          <w:p w14:paraId="2626A36F">
            <w:pPr>
              <w:spacing w:line="360" w:lineRule="auto"/>
              <w:jc w:val="center"/>
              <w:rPr>
                <w:rFonts w:cs="Cambria" w:asciiTheme="minorEastAsia" w:hAnsiTheme="minorEastAsia" w:eastAsiaTheme="minorEastAsia"/>
                <w:bCs/>
                <w:kern w:val="2"/>
                <w:sz w:val="24"/>
                <w:szCs w:val="20"/>
                <w:highlight w:val="none"/>
              </w:rPr>
            </w:pPr>
            <w:r>
              <w:rPr>
                <w:rFonts w:hint="eastAsia" w:cs="宋体" w:asciiTheme="minorEastAsia" w:hAnsiTheme="minorEastAsia" w:eastAsiaTheme="minorEastAsia"/>
                <w:bCs/>
                <w:kern w:val="2"/>
                <w:sz w:val="24"/>
                <w:szCs w:val="20"/>
                <w:highlight w:val="none"/>
              </w:rPr>
              <w:t>成分名称</w:t>
            </w:r>
          </w:p>
        </w:tc>
        <w:tc>
          <w:tcPr>
            <w:tcW w:w="2366" w:type="dxa"/>
            <w:vAlign w:val="center"/>
          </w:tcPr>
          <w:p w14:paraId="492936F7">
            <w:pPr>
              <w:spacing w:line="360" w:lineRule="auto"/>
              <w:jc w:val="center"/>
              <w:rPr>
                <w:rFonts w:cs="Cambria" w:asciiTheme="minorEastAsia" w:hAnsiTheme="minorEastAsia" w:eastAsiaTheme="minorEastAsia"/>
                <w:bCs/>
                <w:kern w:val="2"/>
                <w:sz w:val="24"/>
                <w:szCs w:val="20"/>
                <w:highlight w:val="none"/>
              </w:rPr>
            </w:pPr>
            <w:r>
              <w:rPr>
                <w:rFonts w:hint="eastAsia" w:asciiTheme="minorEastAsia" w:hAnsiTheme="minorEastAsia" w:eastAsiaTheme="minorEastAsia"/>
                <w:bCs/>
                <w:kern w:val="2"/>
                <w:sz w:val="24"/>
                <w:szCs w:val="20"/>
                <w:highlight w:val="none"/>
              </w:rPr>
              <w:t>占比</w:t>
            </w:r>
          </w:p>
        </w:tc>
        <w:tc>
          <w:tcPr>
            <w:tcW w:w="2366" w:type="dxa"/>
            <w:vAlign w:val="center"/>
          </w:tcPr>
          <w:p w14:paraId="707C5E2E">
            <w:pPr>
              <w:spacing w:line="360" w:lineRule="auto"/>
              <w:jc w:val="center"/>
              <w:rPr>
                <w:rFonts w:cs="Cambria" w:asciiTheme="minorEastAsia" w:hAnsiTheme="minorEastAsia" w:eastAsiaTheme="minorEastAsia"/>
                <w:bCs/>
                <w:kern w:val="2"/>
                <w:sz w:val="24"/>
                <w:szCs w:val="20"/>
                <w:highlight w:val="none"/>
              </w:rPr>
            </w:pPr>
            <w:r>
              <w:rPr>
                <w:rFonts w:hint="eastAsia" w:cs="宋体" w:asciiTheme="minorEastAsia" w:hAnsiTheme="minorEastAsia" w:eastAsiaTheme="minorEastAsia"/>
                <w:bCs/>
                <w:kern w:val="2"/>
                <w:sz w:val="24"/>
                <w:szCs w:val="20"/>
                <w:highlight w:val="none"/>
              </w:rPr>
              <w:t>成分名称</w:t>
            </w:r>
          </w:p>
        </w:tc>
        <w:tc>
          <w:tcPr>
            <w:tcW w:w="2366" w:type="dxa"/>
            <w:vAlign w:val="center"/>
          </w:tcPr>
          <w:p w14:paraId="10CB4A52">
            <w:pPr>
              <w:spacing w:line="360" w:lineRule="auto"/>
              <w:jc w:val="center"/>
              <w:rPr>
                <w:rFonts w:cs="Cambria" w:asciiTheme="minorEastAsia" w:hAnsiTheme="minorEastAsia" w:eastAsiaTheme="minorEastAsia"/>
                <w:bCs/>
                <w:kern w:val="2"/>
                <w:sz w:val="24"/>
                <w:szCs w:val="20"/>
                <w:highlight w:val="none"/>
              </w:rPr>
            </w:pPr>
            <w:r>
              <w:rPr>
                <w:rFonts w:hint="eastAsia" w:asciiTheme="minorEastAsia" w:hAnsiTheme="minorEastAsia" w:eastAsiaTheme="minorEastAsia"/>
                <w:bCs/>
                <w:kern w:val="2"/>
                <w:sz w:val="24"/>
                <w:szCs w:val="20"/>
                <w:highlight w:val="none"/>
              </w:rPr>
              <w:t>占比</w:t>
            </w:r>
          </w:p>
        </w:tc>
      </w:tr>
      <w:tr w14:paraId="26DE9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6" w:type="dxa"/>
            <w:vAlign w:val="center"/>
          </w:tcPr>
          <w:p w14:paraId="58B6FB9B">
            <w:pPr>
              <w:spacing w:line="360" w:lineRule="auto"/>
              <w:jc w:val="center"/>
              <w:rPr>
                <w:rFonts w:cs="Cambria" w:asciiTheme="minorEastAsia" w:hAnsiTheme="minorEastAsia" w:eastAsiaTheme="minorEastAsia"/>
                <w:bCs/>
                <w:kern w:val="2"/>
                <w:sz w:val="24"/>
                <w:szCs w:val="20"/>
                <w:highlight w:val="none"/>
              </w:rPr>
            </w:pPr>
            <w:r>
              <w:rPr>
                <w:rFonts w:hint="eastAsia" w:asciiTheme="minorEastAsia" w:hAnsiTheme="minorEastAsia" w:eastAsiaTheme="minorEastAsia"/>
                <w:bCs/>
                <w:kern w:val="2"/>
                <w:sz w:val="24"/>
                <w:szCs w:val="20"/>
                <w:highlight w:val="none"/>
              </w:rPr>
              <w:t>高效聚合氯化铝</w:t>
            </w:r>
          </w:p>
        </w:tc>
        <w:tc>
          <w:tcPr>
            <w:tcW w:w="2366" w:type="dxa"/>
            <w:vAlign w:val="center"/>
          </w:tcPr>
          <w:p w14:paraId="065E1B40">
            <w:pPr>
              <w:spacing w:line="360" w:lineRule="auto"/>
              <w:jc w:val="center"/>
              <w:rPr>
                <w:rFonts w:cs="Cambria" w:asciiTheme="minorEastAsia" w:hAnsiTheme="minorEastAsia" w:eastAsiaTheme="minorEastAsia"/>
                <w:bCs/>
                <w:kern w:val="2"/>
                <w:sz w:val="24"/>
                <w:szCs w:val="20"/>
                <w:highlight w:val="none"/>
              </w:rPr>
            </w:pPr>
            <w:r>
              <w:rPr>
                <w:rFonts w:cs="Cambria" w:asciiTheme="minorEastAsia" w:hAnsiTheme="minorEastAsia" w:eastAsiaTheme="minorEastAsia"/>
                <w:bCs/>
                <w:kern w:val="2"/>
                <w:sz w:val="24"/>
                <w:szCs w:val="20"/>
                <w:highlight w:val="none"/>
              </w:rPr>
              <w:t>80%</w:t>
            </w:r>
          </w:p>
        </w:tc>
        <w:tc>
          <w:tcPr>
            <w:tcW w:w="2366" w:type="dxa"/>
            <w:vAlign w:val="center"/>
          </w:tcPr>
          <w:p w14:paraId="0F5A9665">
            <w:pPr>
              <w:spacing w:line="360" w:lineRule="auto"/>
              <w:jc w:val="center"/>
              <w:rPr>
                <w:rFonts w:cs="Cambria" w:asciiTheme="minorEastAsia" w:hAnsiTheme="minorEastAsia" w:eastAsiaTheme="minorEastAsia"/>
                <w:bCs/>
                <w:kern w:val="2"/>
                <w:sz w:val="24"/>
                <w:szCs w:val="20"/>
                <w:highlight w:val="none"/>
              </w:rPr>
            </w:pPr>
            <w:r>
              <w:rPr>
                <w:rFonts w:hint="eastAsia" w:asciiTheme="minorEastAsia" w:hAnsiTheme="minorEastAsia" w:eastAsiaTheme="minorEastAsia"/>
                <w:bCs/>
                <w:kern w:val="2"/>
                <w:sz w:val="24"/>
                <w:szCs w:val="20"/>
                <w:highlight w:val="none"/>
              </w:rPr>
              <w:t>聚丙烯酰胺</w:t>
            </w:r>
          </w:p>
        </w:tc>
        <w:tc>
          <w:tcPr>
            <w:tcW w:w="2366" w:type="dxa"/>
            <w:vAlign w:val="center"/>
          </w:tcPr>
          <w:p w14:paraId="58AE6141">
            <w:pPr>
              <w:spacing w:line="360" w:lineRule="auto"/>
              <w:jc w:val="center"/>
              <w:rPr>
                <w:rFonts w:cs="Cambria" w:asciiTheme="minorEastAsia" w:hAnsiTheme="minorEastAsia" w:eastAsiaTheme="minorEastAsia"/>
                <w:bCs/>
                <w:kern w:val="2"/>
                <w:sz w:val="24"/>
                <w:szCs w:val="20"/>
                <w:highlight w:val="none"/>
              </w:rPr>
            </w:pPr>
            <w:r>
              <w:rPr>
                <w:rFonts w:cs="Cambria" w:asciiTheme="minorEastAsia" w:hAnsiTheme="minorEastAsia" w:eastAsiaTheme="minorEastAsia"/>
                <w:bCs/>
                <w:kern w:val="2"/>
                <w:sz w:val="24"/>
                <w:szCs w:val="20"/>
                <w:highlight w:val="none"/>
              </w:rPr>
              <w:t>90%</w:t>
            </w:r>
          </w:p>
        </w:tc>
      </w:tr>
      <w:tr w14:paraId="4454B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6" w:type="dxa"/>
            <w:vAlign w:val="center"/>
          </w:tcPr>
          <w:p w14:paraId="71F7AAFE">
            <w:pPr>
              <w:spacing w:line="360" w:lineRule="auto"/>
              <w:jc w:val="center"/>
              <w:rPr>
                <w:rFonts w:cs="Cambria" w:asciiTheme="minorEastAsia" w:hAnsiTheme="minorEastAsia" w:eastAsiaTheme="minorEastAsia"/>
                <w:bCs/>
                <w:kern w:val="2"/>
                <w:sz w:val="24"/>
                <w:szCs w:val="20"/>
                <w:highlight w:val="none"/>
              </w:rPr>
            </w:pPr>
            <w:r>
              <w:rPr>
                <w:rFonts w:hint="eastAsia" w:asciiTheme="minorEastAsia" w:hAnsiTheme="minorEastAsia" w:eastAsiaTheme="minorEastAsia"/>
                <w:bCs/>
                <w:kern w:val="2"/>
                <w:sz w:val="24"/>
                <w:szCs w:val="20"/>
                <w:highlight w:val="none"/>
              </w:rPr>
              <w:t>生物增强剂</w:t>
            </w:r>
          </w:p>
        </w:tc>
        <w:tc>
          <w:tcPr>
            <w:tcW w:w="2366" w:type="dxa"/>
            <w:vAlign w:val="center"/>
          </w:tcPr>
          <w:p w14:paraId="3869C33D">
            <w:pPr>
              <w:spacing w:line="360" w:lineRule="auto"/>
              <w:jc w:val="center"/>
              <w:rPr>
                <w:rFonts w:cs="Cambria" w:asciiTheme="minorEastAsia" w:hAnsiTheme="minorEastAsia" w:eastAsiaTheme="minorEastAsia"/>
                <w:bCs/>
                <w:kern w:val="2"/>
                <w:sz w:val="24"/>
                <w:szCs w:val="20"/>
                <w:highlight w:val="none"/>
              </w:rPr>
            </w:pPr>
            <w:r>
              <w:rPr>
                <w:rFonts w:cs="Cambria" w:asciiTheme="minorEastAsia" w:hAnsiTheme="minorEastAsia" w:eastAsiaTheme="minorEastAsia"/>
                <w:bCs/>
                <w:kern w:val="2"/>
                <w:sz w:val="24"/>
                <w:szCs w:val="20"/>
                <w:highlight w:val="none"/>
              </w:rPr>
              <w:t>12%</w:t>
            </w:r>
          </w:p>
        </w:tc>
        <w:tc>
          <w:tcPr>
            <w:tcW w:w="2366" w:type="dxa"/>
            <w:vAlign w:val="center"/>
          </w:tcPr>
          <w:p w14:paraId="753AEAC8">
            <w:pPr>
              <w:spacing w:line="360" w:lineRule="auto"/>
              <w:jc w:val="center"/>
              <w:rPr>
                <w:rFonts w:cs="Cambria" w:asciiTheme="minorEastAsia" w:hAnsiTheme="minorEastAsia" w:eastAsiaTheme="minorEastAsia"/>
                <w:bCs/>
                <w:kern w:val="2"/>
                <w:sz w:val="24"/>
                <w:szCs w:val="20"/>
                <w:highlight w:val="none"/>
              </w:rPr>
            </w:pPr>
            <w:r>
              <w:rPr>
                <w:rFonts w:hint="eastAsia" w:cs="Cambria" w:asciiTheme="minorEastAsia" w:hAnsiTheme="minorEastAsia" w:eastAsiaTheme="minorEastAsia"/>
                <w:bCs/>
                <w:kern w:val="2"/>
                <w:sz w:val="24"/>
                <w:szCs w:val="20"/>
                <w:highlight w:val="none"/>
              </w:rPr>
              <w:t>生物增强剂</w:t>
            </w:r>
          </w:p>
        </w:tc>
        <w:tc>
          <w:tcPr>
            <w:tcW w:w="2366" w:type="dxa"/>
            <w:vAlign w:val="center"/>
          </w:tcPr>
          <w:p w14:paraId="3A83D560">
            <w:pPr>
              <w:spacing w:line="360" w:lineRule="auto"/>
              <w:jc w:val="center"/>
              <w:rPr>
                <w:rFonts w:cs="Cambria" w:asciiTheme="minorEastAsia" w:hAnsiTheme="minorEastAsia" w:eastAsiaTheme="minorEastAsia"/>
                <w:bCs/>
                <w:kern w:val="2"/>
                <w:sz w:val="24"/>
                <w:szCs w:val="20"/>
                <w:highlight w:val="none"/>
              </w:rPr>
            </w:pPr>
            <w:r>
              <w:rPr>
                <w:rFonts w:cs="Cambria" w:asciiTheme="minorEastAsia" w:hAnsiTheme="minorEastAsia" w:eastAsiaTheme="minorEastAsia"/>
                <w:bCs/>
                <w:kern w:val="2"/>
                <w:sz w:val="24"/>
                <w:szCs w:val="20"/>
                <w:highlight w:val="none"/>
              </w:rPr>
              <w:t>6%</w:t>
            </w:r>
          </w:p>
        </w:tc>
      </w:tr>
      <w:tr w14:paraId="745BC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6" w:type="dxa"/>
            <w:vAlign w:val="center"/>
          </w:tcPr>
          <w:p w14:paraId="53113B51">
            <w:pPr>
              <w:spacing w:line="360" w:lineRule="auto"/>
              <w:jc w:val="center"/>
              <w:rPr>
                <w:rFonts w:cs="Cambria" w:asciiTheme="minorEastAsia" w:hAnsiTheme="minorEastAsia" w:eastAsiaTheme="minorEastAsia"/>
                <w:bCs/>
                <w:kern w:val="2"/>
                <w:sz w:val="24"/>
                <w:szCs w:val="20"/>
                <w:highlight w:val="none"/>
              </w:rPr>
            </w:pPr>
            <w:r>
              <w:rPr>
                <w:rFonts w:hint="eastAsia" w:asciiTheme="minorEastAsia" w:hAnsiTheme="minorEastAsia" w:eastAsiaTheme="minorEastAsia"/>
                <w:bCs/>
                <w:kern w:val="2"/>
                <w:sz w:val="24"/>
                <w:szCs w:val="20"/>
                <w:highlight w:val="none"/>
              </w:rPr>
              <w:t>吸附剂</w:t>
            </w:r>
          </w:p>
        </w:tc>
        <w:tc>
          <w:tcPr>
            <w:tcW w:w="2366" w:type="dxa"/>
            <w:vAlign w:val="center"/>
          </w:tcPr>
          <w:p w14:paraId="68281886">
            <w:pPr>
              <w:spacing w:line="360" w:lineRule="auto"/>
              <w:jc w:val="center"/>
              <w:rPr>
                <w:rFonts w:cs="Cambria" w:asciiTheme="minorEastAsia" w:hAnsiTheme="minorEastAsia" w:eastAsiaTheme="minorEastAsia"/>
                <w:bCs/>
                <w:kern w:val="2"/>
                <w:sz w:val="24"/>
                <w:szCs w:val="20"/>
                <w:highlight w:val="none"/>
              </w:rPr>
            </w:pPr>
            <w:r>
              <w:rPr>
                <w:rFonts w:cs="Cambria" w:asciiTheme="minorEastAsia" w:hAnsiTheme="minorEastAsia" w:eastAsiaTheme="minorEastAsia"/>
                <w:bCs/>
                <w:kern w:val="2"/>
                <w:sz w:val="24"/>
                <w:szCs w:val="20"/>
                <w:highlight w:val="none"/>
              </w:rPr>
              <w:t>8%</w:t>
            </w:r>
          </w:p>
        </w:tc>
        <w:tc>
          <w:tcPr>
            <w:tcW w:w="2366" w:type="dxa"/>
            <w:vAlign w:val="center"/>
          </w:tcPr>
          <w:p w14:paraId="5CC067C1">
            <w:pPr>
              <w:spacing w:line="360" w:lineRule="auto"/>
              <w:jc w:val="center"/>
              <w:rPr>
                <w:rFonts w:cs="Cambria" w:asciiTheme="minorEastAsia" w:hAnsiTheme="minorEastAsia" w:eastAsiaTheme="minorEastAsia"/>
                <w:bCs/>
                <w:kern w:val="2"/>
                <w:sz w:val="24"/>
                <w:szCs w:val="20"/>
                <w:highlight w:val="none"/>
              </w:rPr>
            </w:pPr>
            <w:r>
              <w:rPr>
                <w:rFonts w:hint="eastAsia" w:cs="Cambria" w:asciiTheme="minorEastAsia" w:hAnsiTheme="minorEastAsia" w:eastAsiaTheme="minorEastAsia"/>
                <w:bCs/>
                <w:kern w:val="2"/>
                <w:sz w:val="24"/>
                <w:szCs w:val="20"/>
                <w:highlight w:val="none"/>
              </w:rPr>
              <w:t>改良剂</w:t>
            </w:r>
          </w:p>
        </w:tc>
        <w:tc>
          <w:tcPr>
            <w:tcW w:w="2366" w:type="dxa"/>
            <w:vAlign w:val="center"/>
          </w:tcPr>
          <w:p w14:paraId="17599288">
            <w:pPr>
              <w:spacing w:line="360" w:lineRule="auto"/>
              <w:jc w:val="center"/>
              <w:rPr>
                <w:rFonts w:cs="Cambria" w:asciiTheme="minorEastAsia" w:hAnsiTheme="minorEastAsia" w:eastAsiaTheme="minorEastAsia"/>
                <w:bCs/>
                <w:kern w:val="2"/>
                <w:sz w:val="24"/>
                <w:szCs w:val="20"/>
                <w:highlight w:val="none"/>
              </w:rPr>
            </w:pPr>
            <w:r>
              <w:rPr>
                <w:rFonts w:cs="Cambria" w:asciiTheme="minorEastAsia" w:hAnsiTheme="minorEastAsia" w:eastAsiaTheme="minorEastAsia"/>
                <w:bCs/>
                <w:kern w:val="2"/>
                <w:sz w:val="24"/>
                <w:szCs w:val="20"/>
                <w:highlight w:val="none"/>
              </w:rPr>
              <w:t>4%</w:t>
            </w:r>
          </w:p>
        </w:tc>
      </w:tr>
    </w:tbl>
    <w:p w14:paraId="6ABC1815">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每吨藻泥产出其药剂理论使用量为：1#药剂：14kg/吨湿藻泥；2#药剂：1.6kg/吨湿藻泥。</w:t>
      </w:r>
    </w:p>
    <w:p w14:paraId="7F4CAF17">
      <w:pPr>
        <w:tabs>
          <w:tab w:val="left" w:pos="945"/>
          <w:tab w:val="left" w:pos="1155"/>
        </w:tabs>
        <w:spacing w:line="360" w:lineRule="auto"/>
        <w:rPr>
          <w:rFonts w:ascii="宋体" w:hAnsi="宋体"/>
          <w:b/>
          <w:bCs/>
          <w:kern w:val="2"/>
          <w:sz w:val="24"/>
          <w:highlight w:val="none"/>
        </w:rPr>
      </w:pPr>
      <w:r>
        <w:rPr>
          <w:rFonts w:hint="eastAsia" w:ascii="宋体" w:hAnsi="宋体"/>
          <w:b/>
          <w:bCs/>
          <w:kern w:val="2"/>
          <w:sz w:val="24"/>
          <w:highlight w:val="none"/>
        </w:rPr>
        <w:t>（四）采购标的的数量、采购项目交付或者实施的时间和地点：</w:t>
      </w:r>
    </w:p>
    <w:p w14:paraId="629762E2">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1．移动藻水分离船运行范围主要包括犊山闸至五里湖节制闸口，锦园，五孔桥，省干疗养院，直湖港区域，其他区域以采购人指令单为准。</w:t>
      </w:r>
    </w:p>
    <w:p w14:paraId="50B579CD">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2．采购标的数量：两艘移动藻水分离船运行项目，共1个标段；</w:t>
      </w:r>
    </w:p>
    <w:p w14:paraId="1CA998BE">
      <w:pPr>
        <w:spacing w:line="360" w:lineRule="auto"/>
        <w:jc w:val="center"/>
        <w:rPr>
          <w:rFonts w:ascii="宋体" w:hAnsi="宋体" w:cs="宋体"/>
          <w:sz w:val="24"/>
          <w:highlight w:val="none"/>
        </w:rPr>
      </w:pPr>
      <w:r>
        <w:rPr>
          <w:rFonts w:hint="eastAsia" w:ascii="宋体" w:hAnsi="宋体" w:cs="宋体"/>
          <w:sz w:val="24"/>
          <w:highlight w:val="none"/>
        </w:rPr>
        <w:t>两艘移动藻水分离船运行项目清单</w:t>
      </w:r>
    </w:p>
    <w:tbl>
      <w:tblPr>
        <w:tblStyle w:val="38"/>
        <w:tblW w:w="101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1032"/>
        <w:gridCol w:w="457"/>
        <w:gridCol w:w="1314"/>
        <w:gridCol w:w="3444"/>
        <w:gridCol w:w="3429"/>
      </w:tblGrid>
      <w:tr w14:paraId="0E342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4351A9F7">
            <w:pPr>
              <w:spacing w:line="360" w:lineRule="auto"/>
              <w:jc w:val="center"/>
              <w:rPr>
                <w:rFonts w:asciiTheme="minorEastAsia" w:hAnsiTheme="minorEastAsia" w:eastAsiaTheme="minorEastAsia"/>
                <w:b/>
                <w:bCs/>
                <w:kern w:val="2"/>
                <w:sz w:val="24"/>
                <w:szCs w:val="20"/>
                <w:highlight w:val="none"/>
              </w:rPr>
            </w:pPr>
            <w:r>
              <w:rPr>
                <w:rFonts w:hint="eastAsia" w:asciiTheme="minorEastAsia" w:hAnsiTheme="minorEastAsia" w:eastAsiaTheme="minorEastAsia"/>
                <w:b/>
                <w:bCs/>
                <w:kern w:val="2"/>
                <w:sz w:val="24"/>
                <w:szCs w:val="20"/>
                <w:highlight w:val="none"/>
              </w:rPr>
              <w:t>序号</w:t>
            </w:r>
          </w:p>
        </w:tc>
        <w:tc>
          <w:tcPr>
            <w:tcW w:w="1032" w:type="dxa"/>
            <w:vAlign w:val="center"/>
          </w:tcPr>
          <w:p w14:paraId="7A0B1259">
            <w:pPr>
              <w:spacing w:line="360" w:lineRule="auto"/>
              <w:jc w:val="center"/>
              <w:rPr>
                <w:rFonts w:asciiTheme="minorEastAsia" w:hAnsiTheme="minorEastAsia" w:eastAsiaTheme="minorEastAsia"/>
                <w:b/>
                <w:bCs/>
                <w:kern w:val="2"/>
                <w:sz w:val="24"/>
                <w:szCs w:val="20"/>
                <w:highlight w:val="none"/>
              </w:rPr>
            </w:pPr>
            <w:r>
              <w:rPr>
                <w:rFonts w:hint="eastAsia" w:asciiTheme="minorEastAsia" w:hAnsiTheme="minorEastAsia" w:eastAsiaTheme="minorEastAsia"/>
                <w:b/>
                <w:bCs/>
                <w:kern w:val="2"/>
                <w:sz w:val="24"/>
                <w:szCs w:val="20"/>
                <w:highlight w:val="none"/>
              </w:rPr>
              <w:t>报价项目</w:t>
            </w:r>
          </w:p>
        </w:tc>
        <w:tc>
          <w:tcPr>
            <w:tcW w:w="457" w:type="dxa"/>
            <w:vAlign w:val="center"/>
          </w:tcPr>
          <w:p w14:paraId="29C27732">
            <w:pPr>
              <w:spacing w:line="360" w:lineRule="auto"/>
              <w:jc w:val="center"/>
              <w:rPr>
                <w:rFonts w:asciiTheme="minorEastAsia" w:hAnsiTheme="minorEastAsia" w:eastAsiaTheme="minorEastAsia"/>
                <w:b/>
                <w:bCs/>
                <w:kern w:val="2"/>
                <w:sz w:val="24"/>
                <w:szCs w:val="20"/>
                <w:highlight w:val="none"/>
              </w:rPr>
            </w:pPr>
            <w:r>
              <w:rPr>
                <w:rFonts w:hint="eastAsia" w:asciiTheme="minorEastAsia" w:hAnsiTheme="minorEastAsia" w:eastAsiaTheme="minorEastAsia"/>
                <w:b/>
                <w:bCs/>
                <w:kern w:val="2"/>
                <w:sz w:val="24"/>
                <w:szCs w:val="20"/>
                <w:highlight w:val="none"/>
              </w:rPr>
              <w:t>单位</w:t>
            </w:r>
          </w:p>
        </w:tc>
        <w:tc>
          <w:tcPr>
            <w:tcW w:w="1314" w:type="dxa"/>
            <w:vAlign w:val="center"/>
          </w:tcPr>
          <w:p w14:paraId="05CA92CC">
            <w:pPr>
              <w:spacing w:line="360" w:lineRule="auto"/>
              <w:jc w:val="center"/>
              <w:rPr>
                <w:rFonts w:asciiTheme="minorEastAsia" w:hAnsiTheme="minorEastAsia" w:eastAsiaTheme="minorEastAsia"/>
                <w:b/>
                <w:bCs/>
                <w:kern w:val="2"/>
                <w:sz w:val="24"/>
                <w:szCs w:val="20"/>
                <w:highlight w:val="none"/>
              </w:rPr>
            </w:pPr>
            <w:r>
              <w:rPr>
                <w:rFonts w:hint="eastAsia" w:asciiTheme="minorEastAsia" w:hAnsiTheme="minorEastAsia" w:eastAsiaTheme="minorEastAsia"/>
                <w:b/>
                <w:bCs/>
                <w:kern w:val="2"/>
                <w:sz w:val="24"/>
                <w:szCs w:val="20"/>
                <w:highlight w:val="none"/>
              </w:rPr>
              <w:t>数量</w:t>
            </w:r>
          </w:p>
        </w:tc>
        <w:tc>
          <w:tcPr>
            <w:tcW w:w="3444" w:type="dxa"/>
            <w:vAlign w:val="center"/>
          </w:tcPr>
          <w:p w14:paraId="7F496D89">
            <w:pPr>
              <w:spacing w:line="360" w:lineRule="auto"/>
              <w:jc w:val="center"/>
              <w:rPr>
                <w:rFonts w:asciiTheme="minorEastAsia" w:hAnsiTheme="minorEastAsia" w:eastAsiaTheme="minorEastAsia"/>
                <w:b/>
                <w:bCs/>
                <w:kern w:val="2"/>
                <w:sz w:val="24"/>
                <w:szCs w:val="20"/>
                <w:highlight w:val="none"/>
              </w:rPr>
            </w:pPr>
            <w:r>
              <w:rPr>
                <w:rFonts w:hint="eastAsia" w:asciiTheme="minorEastAsia" w:hAnsiTheme="minorEastAsia" w:eastAsiaTheme="minorEastAsia"/>
                <w:b/>
                <w:bCs/>
                <w:kern w:val="2"/>
                <w:sz w:val="24"/>
                <w:szCs w:val="20"/>
                <w:highlight w:val="none"/>
              </w:rPr>
              <w:t>说明</w:t>
            </w:r>
          </w:p>
        </w:tc>
        <w:tc>
          <w:tcPr>
            <w:tcW w:w="3429" w:type="dxa"/>
            <w:vAlign w:val="center"/>
          </w:tcPr>
          <w:p w14:paraId="5D6EE227">
            <w:pPr>
              <w:spacing w:line="360" w:lineRule="auto"/>
              <w:jc w:val="center"/>
              <w:rPr>
                <w:rFonts w:asciiTheme="minorEastAsia" w:hAnsiTheme="minorEastAsia" w:eastAsiaTheme="minorEastAsia"/>
                <w:b/>
                <w:bCs/>
                <w:kern w:val="2"/>
                <w:sz w:val="24"/>
                <w:szCs w:val="20"/>
                <w:highlight w:val="none"/>
              </w:rPr>
            </w:pPr>
            <w:r>
              <w:rPr>
                <w:rFonts w:hint="eastAsia" w:asciiTheme="minorEastAsia" w:hAnsiTheme="minorEastAsia" w:eastAsiaTheme="minorEastAsia"/>
                <w:b/>
                <w:bCs/>
                <w:kern w:val="2"/>
                <w:sz w:val="24"/>
                <w:szCs w:val="20"/>
                <w:highlight w:val="none"/>
              </w:rPr>
              <w:t>备注</w:t>
            </w:r>
          </w:p>
        </w:tc>
      </w:tr>
      <w:tr w14:paraId="1A421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0E2B4A43">
            <w:pPr>
              <w:spacing w:line="360" w:lineRule="auto"/>
              <w:jc w:val="center"/>
              <w:rPr>
                <w:rFonts w:asciiTheme="minorEastAsia" w:hAnsiTheme="minorEastAsia" w:eastAsiaTheme="minorEastAsia"/>
                <w:bCs/>
                <w:kern w:val="2"/>
                <w:sz w:val="24"/>
                <w:szCs w:val="20"/>
                <w:highlight w:val="none"/>
              </w:rPr>
            </w:pPr>
            <w:r>
              <w:rPr>
                <w:rFonts w:hint="eastAsia" w:asciiTheme="minorEastAsia" w:hAnsiTheme="minorEastAsia" w:eastAsiaTheme="minorEastAsia"/>
                <w:bCs/>
                <w:kern w:val="2"/>
                <w:sz w:val="24"/>
                <w:szCs w:val="20"/>
                <w:highlight w:val="none"/>
              </w:rPr>
              <w:t>1</w:t>
            </w:r>
          </w:p>
        </w:tc>
        <w:tc>
          <w:tcPr>
            <w:tcW w:w="1032" w:type="dxa"/>
            <w:vAlign w:val="center"/>
          </w:tcPr>
          <w:p w14:paraId="06F1D1DB">
            <w:pPr>
              <w:spacing w:line="360" w:lineRule="auto"/>
              <w:jc w:val="center"/>
              <w:rPr>
                <w:rFonts w:asciiTheme="minorEastAsia" w:hAnsiTheme="minorEastAsia" w:eastAsiaTheme="minorEastAsia"/>
                <w:bCs/>
                <w:kern w:val="2"/>
                <w:sz w:val="24"/>
                <w:szCs w:val="20"/>
                <w:highlight w:val="none"/>
              </w:rPr>
            </w:pPr>
            <w:r>
              <w:rPr>
                <w:rFonts w:hint="eastAsia" w:asciiTheme="minorEastAsia" w:hAnsiTheme="minorEastAsia" w:eastAsiaTheme="minorEastAsia"/>
                <w:bCs/>
                <w:kern w:val="2"/>
                <w:sz w:val="24"/>
                <w:szCs w:val="20"/>
                <w:highlight w:val="none"/>
              </w:rPr>
              <w:t>2艘移动式藻水分离船运行管理</w:t>
            </w:r>
          </w:p>
        </w:tc>
        <w:tc>
          <w:tcPr>
            <w:tcW w:w="457" w:type="dxa"/>
            <w:vAlign w:val="center"/>
          </w:tcPr>
          <w:p w14:paraId="53D352BB">
            <w:pPr>
              <w:spacing w:line="360" w:lineRule="auto"/>
              <w:jc w:val="center"/>
              <w:rPr>
                <w:rFonts w:asciiTheme="minorEastAsia" w:hAnsiTheme="minorEastAsia" w:eastAsiaTheme="minorEastAsia"/>
                <w:bCs/>
                <w:kern w:val="2"/>
                <w:sz w:val="24"/>
                <w:szCs w:val="20"/>
                <w:highlight w:val="none"/>
              </w:rPr>
            </w:pPr>
            <w:r>
              <w:rPr>
                <w:rFonts w:hint="eastAsia" w:asciiTheme="minorEastAsia" w:hAnsiTheme="minorEastAsia" w:eastAsiaTheme="minorEastAsia"/>
                <w:bCs/>
                <w:kern w:val="2"/>
                <w:sz w:val="24"/>
                <w:szCs w:val="20"/>
                <w:highlight w:val="none"/>
              </w:rPr>
              <w:t>项</w:t>
            </w:r>
          </w:p>
        </w:tc>
        <w:tc>
          <w:tcPr>
            <w:tcW w:w="1314" w:type="dxa"/>
            <w:vAlign w:val="center"/>
          </w:tcPr>
          <w:p w14:paraId="3F042817">
            <w:pPr>
              <w:spacing w:line="360" w:lineRule="auto"/>
              <w:jc w:val="center"/>
              <w:rPr>
                <w:rFonts w:asciiTheme="minorEastAsia" w:hAnsiTheme="minorEastAsia" w:eastAsiaTheme="minorEastAsia"/>
                <w:bCs/>
                <w:kern w:val="2"/>
                <w:sz w:val="24"/>
                <w:szCs w:val="20"/>
                <w:highlight w:val="none"/>
              </w:rPr>
            </w:pPr>
            <w:r>
              <w:rPr>
                <w:rFonts w:hint="eastAsia" w:asciiTheme="minorEastAsia" w:hAnsiTheme="minorEastAsia" w:eastAsiaTheme="minorEastAsia"/>
                <w:bCs/>
                <w:kern w:val="2"/>
                <w:sz w:val="24"/>
                <w:szCs w:val="20"/>
                <w:highlight w:val="none"/>
              </w:rPr>
              <w:t>1</w:t>
            </w:r>
          </w:p>
        </w:tc>
        <w:tc>
          <w:tcPr>
            <w:tcW w:w="3444" w:type="dxa"/>
            <w:vAlign w:val="center"/>
          </w:tcPr>
          <w:p w14:paraId="1035747F">
            <w:pPr>
              <w:spacing w:line="360" w:lineRule="auto"/>
              <w:rPr>
                <w:rFonts w:asciiTheme="minorEastAsia" w:hAnsiTheme="minorEastAsia" w:eastAsiaTheme="minorEastAsia"/>
                <w:bCs/>
                <w:kern w:val="2"/>
                <w:sz w:val="24"/>
                <w:szCs w:val="20"/>
                <w:highlight w:val="none"/>
              </w:rPr>
            </w:pPr>
            <w:r>
              <w:rPr>
                <w:rFonts w:hint="eastAsia" w:asciiTheme="minorEastAsia" w:hAnsiTheme="minorEastAsia" w:eastAsiaTheme="minorEastAsia"/>
                <w:b/>
                <w:kern w:val="2"/>
                <w:sz w:val="24"/>
                <w:szCs w:val="20"/>
                <w:highlight w:val="none"/>
              </w:rPr>
              <w:t>固定成本：</w:t>
            </w:r>
            <w:r>
              <w:rPr>
                <w:rFonts w:hint="eastAsia" w:asciiTheme="minorEastAsia" w:hAnsiTheme="minorEastAsia" w:eastAsiaTheme="minorEastAsia"/>
                <w:bCs/>
                <w:kern w:val="2"/>
                <w:sz w:val="24"/>
                <w:szCs w:val="20"/>
                <w:highlight w:val="none"/>
              </w:rPr>
              <w:t>该项总价包干，包括服务期1年内在岗职工工资、社保、福利、人身商业保险、劳动保护、日常运行管理、船只运行服务及税金等费用。</w:t>
            </w:r>
          </w:p>
        </w:tc>
        <w:tc>
          <w:tcPr>
            <w:tcW w:w="3429" w:type="dxa"/>
            <w:vAlign w:val="center"/>
          </w:tcPr>
          <w:p w14:paraId="2627072D">
            <w:pPr>
              <w:spacing w:line="360" w:lineRule="auto"/>
              <w:rPr>
                <w:rFonts w:asciiTheme="minorEastAsia" w:hAnsiTheme="minorEastAsia" w:eastAsiaTheme="minorEastAsia"/>
                <w:bCs/>
                <w:kern w:val="2"/>
                <w:sz w:val="24"/>
                <w:szCs w:val="20"/>
                <w:highlight w:val="none"/>
              </w:rPr>
            </w:pPr>
          </w:p>
        </w:tc>
      </w:tr>
      <w:tr w14:paraId="25A0C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5C05DAB4">
            <w:pPr>
              <w:spacing w:line="360" w:lineRule="auto"/>
              <w:jc w:val="center"/>
              <w:rPr>
                <w:rFonts w:asciiTheme="minorEastAsia" w:hAnsiTheme="minorEastAsia" w:eastAsiaTheme="minorEastAsia"/>
                <w:bCs/>
                <w:kern w:val="2"/>
                <w:sz w:val="24"/>
                <w:szCs w:val="20"/>
                <w:highlight w:val="none"/>
              </w:rPr>
            </w:pPr>
            <w:r>
              <w:rPr>
                <w:rFonts w:hint="eastAsia" w:asciiTheme="minorEastAsia" w:hAnsiTheme="minorEastAsia" w:eastAsiaTheme="minorEastAsia"/>
                <w:bCs/>
                <w:kern w:val="2"/>
                <w:sz w:val="24"/>
                <w:szCs w:val="20"/>
                <w:highlight w:val="none"/>
              </w:rPr>
              <w:t>2</w:t>
            </w:r>
          </w:p>
        </w:tc>
        <w:tc>
          <w:tcPr>
            <w:tcW w:w="1032" w:type="dxa"/>
            <w:vAlign w:val="center"/>
          </w:tcPr>
          <w:p w14:paraId="250F71B1">
            <w:pPr>
              <w:spacing w:line="360" w:lineRule="auto"/>
              <w:jc w:val="center"/>
              <w:rPr>
                <w:rFonts w:asciiTheme="minorEastAsia" w:hAnsiTheme="minorEastAsia" w:eastAsiaTheme="minorEastAsia"/>
                <w:bCs/>
                <w:kern w:val="2"/>
                <w:sz w:val="24"/>
                <w:szCs w:val="20"/>
                <w:highlight w:val="none"/>
              </w:rPr>
            </w:pPr>
            <w:r>
              <w:rPr>
                <w:rFonts w:hint="eastAsia" w:cs="Cambria" w:asciiTheme="minorEastAsia" w:hAnsiTheme="minorEastAsia" w:eastAsiaTheme="minorEastAsia"/>
                <w:bCs/>
                <w:kern w:val="2"/>
                <w:sz w:val="24"/>
                <w:szCs w:val="20"/>
                <w:highlight w:val="none"/>
              </w:rPr>
              <w:t>藻泥产出</w:t>
            </w:r>
          </w:p>
        </w:tc>
        <w:tc>
          <w:tcPr>
            <w:tcW w:w="457" w:type="dxa"/>
            <w:vAlign w:val="center"/>
          </w:tcPr>
          <w:p w14:paraId="3FFBF3A4">
            <w:pPr>
              <w:spacing w:line="360" w:lineRule="auto"/>
              <w:jc w:val="center"/>
              <w:rPr>
                <w:rFonts w:asciiTheme="minorEastAsia" w:hAnsiTheme="minorEastAsia" w:eastAsiaTheme="minorEastAsia"/>
                <w:bCs/>
                <w:kern w:val="2"/>
                <w:sz w:val="24"/>
                <w:szCs w:val="20"/>
                <w:highlight w:val="none"/>
              </w:rPr>
            </w:pPr>
            <w:r>
              <w:rPr>
                <w:rFonts w:hint="eastAsia" w:asciiTheme="minorEastAsia" w:hAnsiTheme="minorEastAsia" w:eastAsiaTheme="minorEastAsia"/>
                <w:bCs/>
                <w:kern w:val="2"/>
                <w:sz w:val="24"/>
                <w:szCs w:val="20"/>
                <w:highlight w:val="none"/>
              </w:rPr>
              <w:t>t</w:t>
            </w:r>
          </w:p>
        </w:tc>
        <w:tc>
          <w:tcPr>
            <w:tcW w:w="1314" w:type="dxa"/>
            <w:vAlign w:val="center"/>
          </w:tcPr>
          <w:p w14:paraId="08FE7911">
            <w:pPr>
              <w:spacing w:line="360" w:lineRule="auto"/>
              <w:jc w:val="center"/>
              <w:rPr>
                <w:rFonts w:asciiTheme="minorEastAsia" w:hAnsiTheme="minorEastAsia" w:eastAsiaTheme="minorEastAsia"/>
                <w:bCs/>
                <w:kern w:val="2"/>
                <w:sz w:val="24"/>
                <w:szCs w:val="20"/>
                <w:highlight w:val="none"/>
              </w:rPr>
            </w:pPr>
            <w:bookmarkStart w:id="1" w:name="_GoBack"/>
            <w:r>
              <w:rPr>
                <w:rFonts w:hint="eastAsia" w:asciiTheme="minorEastAsia" w:hAnsiTheme="minorEastAsia" w:eastAsiaTheme="minorEastAsia"/>
                <w:bCs/>
                <w:color w:val="auto"/>
                <w:kern w:val="2"/>
                <w:sz w:val="24"/>
                <w:szCs w:val="20"/>
                <w:highlight w:val="none"/>
              </w:rPr>
              <w:t>500</w:t>
            </w:r>
            <w:bookmarkEnd w:id="1"/>
          </w:p>
        </w:tc>
        <w:tc>
          <w:tcPr>
            <w:tcW w:w="3444" w:type="dxa"/>
            <w:vAlign w:val="center"/>
          </w:tcPr>
          <w:p w14:paraId="4A4A0CC7">
            <w:pPr>
              <w:spacing w:line="360" w:lineRule="auto"/>
              <w:rPr>
                <w:rFonts w:asciiTheme="minorEastAsia" w:hAnsiTheme="minorEastAsia" w:eastAsiaTheme="minorEastAsia"/>
                <w:bCs/>
                <w:kern w:val="2"/>
                <w:sz w:val="24"/>
                <w:szCs w:val="20"/>
                <w:highlight w:val="none"/>
              </w:rPr>
            </w:pPr>
            <w:r>
              <w:rPr>
                <w:rFonts w:hint="eastAsia" w:asciiTheme="minorEastAsia" w:hAnsiTheme="minorEastAsia" w:eastAsiaTheme="minorEastAsia"/>
                <w:b/>
                <w:kern w:val="2"/>
                <w:sz w:val="24"/>
                <w:szCs w:val="20"/>
                <w:highlight w:val="none"/>
              </w:rPr>
              <w:t>可变成本：</w:t>
            </w:r>
            <w:r>
              <w:rPr>
                <w:rFonts w:hint="eastAsia" w:asciiTheme="minorEastAsia" w:hAnsiTheme="minorEastAsia" w:eastAsiaTheme="minorEastAsia"/>
                <w:bCs/>
                <w:kern w:val="2"/>
                <w:sz w:val="24"/>
                <w:szCs w:val="20"/>
                <w:highlight w:val="none"/>
              </w:rPr>
              <w:t>包括</w:t>
            </w:r>
            <w:r>
              <w:rPr>
                <w:rFonts w:hint="eastAsia" w:cs="Cambria" w:asciiTheme="minorEastAsia" w:hAnsiTheme="minorEastAsia" w:eastAsiaTheme="minorEastAsia"/>
                <w:bCs/>
                <w:kern w:val="2"/>
                <w:sz w:val="24"/>
                <w:szCs w:val="20"/>
                <w:highlight w:val="none"/>
              </w:rPr>
              <w:t>藻泥产出中</w:t>
            </w:r>
            <w:r>
              <w:rPr>
                <w:rFonts w:hint="eastAsia" w:asciiTheme="minorEastAsia" w:hAnsiTheme="minorEastAsia" w:eastAsiaTheme="minorEastAsia"/>
                <w:bCs/>
                <w:kern w:val="2"/>
                <w:sz w:val="24"/>
                <w:szCs w:val="20"/>
                <w:highlight w:val="none"/>
              </w:rPr>
              <w:t>加压破壁、絮凝沉降、溶气气浮、藻渣调节、藻渣脱水等工艺所需的藻泥设备运行服务人工、添加药剂、更换零星耗材等费用及税金。投标供应商需参考药剂指导说明及企业自身技术综合考虑药剂成分及投放量，确保藻泥满足规范要求（藻泥含水率≤90%）。</w:t>
            </w:r>
            <w:r>
              <w:rPr>
                <w:rFonts w:hint="eastAsia" w:cs="Cambria" w:asciiTheme="minorEastAsia" w:hAnsiTheme="minorEastAsia" w:eastAsiaTheme="minorEastAsia"/>
                <w:bCs/>
                <w:kern w:val="2"/>
                <w:sz w:val="24"/>
                <w:szCs w:val="20"/>
                <w:highlight w:val="none"/>
              </w:rPr>
              <w:t>藻泥产出</w:t>
            </w:r>
            <w:r>
              <w:rPr>
                <w:rFonts w:hint="eastAsia" w:asciiTheme="minorEastAsia" w:hAnsiTheme="minorEastAsia" w:eastAsiaTheme="minorEastAsia"/>
                <w:bCs/>
                <w:kern w:val="2"/>
                <w:sz w:val="24"/>
                <w:szCs w:val="20"/>
                <w:highlight w:val="none"/>
              </w:rPr>
              <w:t>数量按藻泥重量考虑。</w:t>
            </w:r>
          </w:p>
        </w:tc>
        <w:tc>
          <w:tcPr>
            <w:tcW w:w="3429" w:type="dxa"/>
            <w:vMerge w:val="restart"/>
            <w:vAlign w:val="center"/>
          </w:tcPr>
          <w:p w14:paraId="46FE5F7C">
            <w:pPr>
              <w:spacing w:line="360" w:lineRule="auto"/>
              <w:rPr>
                <w:rFonts w:ascii="宋体" w:hAnsi="宋体"/>
                <w:b/>
                <w:sz w:val="24"/>
                <w:highlight w:val="none"/>
              </w:rPr>
            </w:pPr>
            <w:r>
              <w:rPr>
                <w:rFonts w:ascii="宋体" w:hAnsi="宋体"/>
                <w:b/>
                <w:sz w:val="24"/>
                <w:highlight w:val="none"/>
              </w:rPr>
              <w:t>年度移动藻水分离船的应急打捞处置藻泥量不为零，其运行服务价格可采取“固定成本+可变成本</w:t>
            </w:r>
            <w:r>
              <w:rPr>
                <w:rFonts w:hint="eastAsia" w:ascii="宋体" w:hAnsi="宋体"/>
                <w:b/>
                <w:sz w:val="24"/>
                <w:highlight w:val="none"/>
              </w:rPr>
              <w:t>+运行服务费用</w:t>
            </w:r>
            <w:r>
              <w:rPr>
                <w:rFonts w:ascii="宋体" w:hAnsi="宋体"/>
                <w:b/>
                <w:sz w:val="24"/>
                <w:highlight w:val="none"/>
              </w:rPr>
              <w:t>”模式计算</w:t>
            </w:r>
            <w:r>
              <w:rPr>
                <w:rFonts w:hint="eastAsia" w:ascii="宋体" w:hAnsi="宋体"/>
                <w:b/>
                <w:sz w:val="24"/>
                <w:highlight w:val="none"/>
              </w:rPr>
              <w:t>，运行服务费用按可变成本的10%测算；</w:t>
            </w:r>
            <w:r>
              <w:rPr>
                <w:rFonts w:ascii="宋体" w:hAnsi="宋体"/>
                <w:b/>
                <w:sz w:val="24"/>
                <w:highlight w:val="none"/>
              </w:rPr>
              <w:t>年度移动藻水分离船的应急打捞处置藻泥量为零</w:t>
            </w:r>
            <w:r>
              <w:rPr>
                <w:rFonts w:hint="eastAsia" w:ascii="宋体" w:hAnsi="宋体"/>
                <w:b/>
                <w:sz w:val="24"/>
                <w:highlight w:val="none"/>
              </w:rPr>
              <w:t>时</w:t>
            </w:r>
            <w:r>
              <w:rPr>
                <w:rFonts w:ascii="宋体" w:hAnsi="宋体"/>
                <w:b/>
                <w:sz w:val="24"/>
                <w:highlight w:val="none"/>
              </w:rPr>
              <w:t>，其运行服务价格可采取“固定成本+</w:t>
            </w:r>
            <w:r>
              <w:rPr>
                <w:rFonts w:hint="eastAsia" w:ascii="宋体" w:hAnsi="宋体"/>
                <w:b/>
                <w:sz w:val="24"/>
                <w:highlight w:val="none"/>
              </w:rPr>
              <w:t>运行服务费用</w:t>
            </w:r>
            <w:r>
              <w:rPr>
                <w:rFonts w:ascii="宋体" w:hAnsi="宋体"/>
                <w:b/>
                <w:sz w:val="24"/>
                <w:highlight w:val="none"/>
              </w:rPr>
              <w:t>”模式计算</w:t>
            </w:r>
            <w:r>
              <w:rPr>
                <w:rFonts w:hint="eastAsia" w:ascii="宋体" w:hAnsi="宋体"/>
                <w:b/>
                <w:sz w:val="24"/>
                <w:highlight w:val="none"/>
              </w:rPr>
              <w:t>，运行服务费用按固定成本的10%测算。</w:t>
            </w:r>
          </w:p>
          <w:p w14:paraId="4678077A">
            <w:pPr>
              <w:spacing w:line="360" w:lineRule="auto"/>
              <w:rPr>
                <w:rFonts w:ascii="宋体" w:hAnsi="宋体"/>
                <w:b/>
                <w:sz w:val="24"/>
                <w:highlight w:val="none"/>
              </w:rPr>
            </w:pPr>
          </w:p>
          <w:p w14:paraId="2D7902DF">
            <w:pPr>
              <w:spacing w:line="360" w:lineRule="auto"/>
              <w:rPr>
                <w:rFonts w:asciiTheme="minorEastAsia" w:hAnsiTheme="minorEastAsia" w:eastAsiaTheme="minorEastAsia"/>
                <w:bCs/>
                <w:kern w:val="2"/>
                <w:sz w:val="24"/>
                <w:szCs w:val="20"/>
                <w:highlight w:val="none"/>
              </w:rPr>
            </w:pPr>
          </w:p>
        </w:tc>
      </w:tr>
      <w:tr w14:paraId="0B435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6F3D08BE">
            <w:pPr>
              <w:spacing w:line="360" w:lineRule="auto"/>
              <w:jc w:val="center"/>
              <w:rPr>
                <w:rFonts w:cs="Cambria" w:asciiTheme="minorEastAsia" w:hAnsiTheme="minorEastAsia" w:eastAsiaTheme="minorEastAsia"/>
                <w:bCs/>
                <w:kern w:val="2"/>
                <w:sz w:val="24"/>
                <w:szCs w:val="20"/>
                <w:highlight w:val="none"/>
              </w:rPr>
            </w:pPr>
            <w:r>
              <w:rPr>
                <w:rFonts w:hint="eastAsia" w:cs="Cambria" w:asciiTheme="minorEastAsia" w:hAnsiTheme="minorEastAsia" w:eastAsiaTheme="minorEastAsia"/>
                <w:bCs/>
                <w:kern w:val="2"/>
                <w:sz w:val="24"/>
                <w:szCs w:val="20"/>
                <w:highlight w:val="none"/>
              </w:rPr>
              <w:t>3</w:t>
            </w:r>
          </w:p>
        </w:tc>
        <w:tc>
          <w:tcPr>
            <w:tcW w:w="1032" w:type="dxa"/>
            <w:vAlign w:val="center"/>
          </w:tcPr>
          <w:p w14:paraId="7E975CC0">
            <w:pPr>
              <w:spacing w:line="360" w:lineRule="auto"/>
              <w:jc w:val="center"/>
              <w:rPr>
                <w:rFonts w:cs="Cambria" w:asciiTheme="minorEastAsia" w:hAnsiTheme="minorEastAsia" w:eastAsiaTheme="minorEastAsia"/>
                <w:bCs/>
                <w:kern w:val="2"/>
                <w:sz w:val="24"/>
                <w:szCs w:val="20"/>
                <w:highlight w:val="none"/>
              </w:rPr>
            </w:pPr>
            <w:r>
              <w:rPr>
                <w:rFonts w:hint="eastAsia" w:cs="Cambria" w:asciiTheme="minorEastAsia" w:hAnsiTheme="minorEastAsia" w:eastAsiaTheme="minorEastAsia"/>
                <w:bCs/>
                <w:kern w:val="2"/>
                <w:sz w:val="24"/>
                <w:szCs w:val="20"/>
                <w:highlight w:val="none"/>
              </w:rPr>
              <w:t>藻泥运输处置</w:t>
            </w:r>
          </w:p>
        </w:tc>
        <w:tc>
          <w:tcPr>
            <w:tcW w:w="457" w:type="dxa"/>
            <w:vAlign w:val="center"/>
          </w:tcPr>
          <w:p w14:paraId="06C83F76">
            <w:pPr>
              <w:spacing w:line="360" w:lineRule="auto"/>
              <w:jc w:val="center"/>
              <w:rPr>
                <w:rFonts w:cs="Cambria" w:asciiTheme="minorEastAsia" w:hAnsiTheme="minorEastAsia" w:eastAsiaTheme="minorEastAsia"/>
                <w:bCs/>
                <w:kern w:val="2"/>
                <w:sz w:val="24"/>
                <w:szCs w:val="20"/>
                <w:highlight w:val="none"/>
              </w:rPr>
            </w:pPr>
            <w:r>
              <w:rPr>
                <w:rFonts w:hint="eastAsia" w:cs="Cambria" w:asciiTheme="minorEastAsia" w:hAnsiTheme="minorEastAsia" w:eastAsiaTheme="minorEastAsia"/>
                <w:bCs/>
                <w:kern w:val="2"/>
                <w:sz w:val="24"/>
                <w:szCs w:val="20"/>
                <w:highlight w:val="none"/>
              </w:rPr>
              <w:t>t</w:t>
            </w:r>
          </w:p>
        </w:tc>
        <w:tc>
          <w:tcPr>
            <w:tcW w:w="1314" w:type="dxa"/>
            <w:vAlign w:val="center"/>
          </w:tcPr>
          <w:p w14:paraId="1ED1F084">
            <w:pPr>
              <w:spacing w:line="360" w:lineRule="auto"/>
              <w:jc w:val="center"/>
              <w:rPr>
                <w:rFonts w:cs="Cambria" w:asciiTheme="minorEastAsia" w:hAnsiTheme="minorEastAsia" w:eastAsiaTheme="minorEastAsia"/>
                <w:bCs/>
                <w:color w:val="4F81BD" w:themeColor="accent1"/>
                <w:kern w:val="2"/>
                <w:sz w:val="24"/>
                <w:szCs w:val="20"/>
                <w:highlight w:val="none"/>
                <w14:textFill>
                  <w14:solidFill>
                    <w14:schemeClr w14:val="accent1"/>
                  </w14:solidFill>
                </w14:textFill>
              </w:rPr>
            </w:pPr>
            <w:r>
              <w:rPr>
                <w:rFonts w:hint="eastAsia" w:cs="Cambria" w:asciiTheme="minorEastAsia" w:hAnsiTheme="minorEastAsia" w:eastAsiaTheme="minorEastAsia"/>
                <w:bCs/>
                <w:color w:val="auto"/>
                <w:kern w:val="2"/>
                <w:sz w:val="24"/>
                <w:szCs w:val="20"/>
                <w:highlight w:val="none"/>
              </w:rPr>
              <w:t>500</w:t>
            </w:r>
          </w:p>
        </w:tc>
        <w:tc>
          <w:tcPr>
            <w:tcW w:w="3444" w:type="dxa"/>
            <w:vAlign w:val="center"/>
          </w:tcPr>
          <w:p w14:paraId="560EB0A4">
            <w:pPr>
              <w:spacing w:line="360" w:lineRule="auto"/>
              <w:rPr>
                <w:rFonts w:cs="Cambria" w:asciiTheme="minorEastAsia" w:hAnsiTheme="minorEastAsia" w:eastAsiaTheme="minorEastAsia"/>
                <w:bCs/>
                <w:kern w:val="2"/>
                <w:sz w:val="24"/>
                <w:szCs w:val="20"/>
                <w:highlight w:val="none"/>
              </w:rPr>
            </w:pPr>
            <w:r>
              <w:rPr>
                <w:rFonts w:hint="eastAsia" w:asciiTheme="minorEastAsia" w:hAnsiTheme="minorEastAsia" w:eastAsiaTheme="minorEastAsia"/>
                <w:b/>
                <w:kern w:val="2"/>
                <w:sz w:val="24"/>
                <w:szCs w:val="20"/>
                <w:highlight w:val="none"/>
              </w:rPr>
              <w:t>可变成本：</w:t>
            </w:r>
            <w:r>
              <w:rPr>
                <w:rFonts w:hint="eastAsia" w:cs="Cambria" w:asciiTheme="minorEastAsia" w:hAnsiTheme="minorEastAsia" w:eastAsiaTheme="minorEastAsia"/>
                <w:bCs/>
                <w:kern w:val="2"/>
                <w:sz w:val="24"/>
                <w:szCs w:val="20"/>
                <w:highlight w:val="none"/>
              </w:rPr>
              <w:t>运输处置费包括藻泥外运输、无害化处置及税金等，运输方式、设备、处置方式地点投标供应商自行考虑，满足环保要求。藻泥产出</w:t>
            </w:r>
            <w:r>
              <w:rPr>
                <w:rFonts w:hint="eastAsia" w:asciiTheme="minorEastAsia" w:hAnsiTheme="minorEastAsia" w:eastAsiaTheme="minorEastAsia"/>
                <w:bCs/>
                <w:kern w:val="2"/>
                <w:sz w:val="24"/>
                <w:szCs w:val="20"/>
                <w:highlight w:val="none"/>
              </w:rPr>
              <w:t>数量按藻泥重量考虑。</w:t>
            </w:r>
          </w:p>
        </w:tc>
        <w:tc>
          <w:tcPr>
            <w:tcW w:w="3429" w:type="dxa"/>
            <w:vMerge w:val="continue"/>
            <w:vAlign w:val="center"/>
          </w:tcPr>
          <w:p w14:paraId="00FF3C41">
            <w:pPr>
              <w:spacing w:line="360" w:lineRule="auto"/>
              <w:rPr>
                <w:rFonts w:cs="Cambria" w:asciiTheme="minorEastAsia" w:hAnsiTheme="minorEastAsia" w:eastAsiaTheme="minorEastAsia"/>
                <w:bCs/>
                <w:kern w:val="2"/>
                <w:sz w:val="24"/>
                <w:szCs w:val="20"/>
                <w:highlight w:val="none"/>
              </w:rPr>
            </w:pPr>
          </w:p>
        </w:tc>
      </w:tr>
    </w:tbl>
    <w:p w14:paraId="347BE667">
      <w:pPr>
        <w:spacing w:line="360" w:lineRule="auto"/>
        <w:ind w:firstLine="480" w:firstLineChars="200"/>
        <w:rPr>
          <w:rFonts w:asciiTheme="minorEastAsia" w:hAnsiTheme="minorEastAsia" w:eastAsiaTheme="minorEastAsia"/>
          <w:bCs/>
          <w:kern w:val="2"/>
          <w:sz w:val="24"/>
          <w:szCs w:val="20"/>
          <w:highlight w:val="none"/>
        </w:rPr>
      </w:pPr>
      <w:r>
        <w:rPr>
          <w:rFonts w:hint="eastAsia" w:asciiTheme="minorEastAsia" w:hAnsiTheme="minorEastAsia" w:eastAsiaTheme="minorEastAsia"/>
          <w:bCs/>
          <w:kern w:val="2"/>
          <w:sz w:val="24"/>
          <w:szCs w:val="20"/>
          <w:highlight w:val="none"/>
        </w:rPr>
        <w:t>注：结算时藻泥含水率及工程量以第三方确认的工程量为准。</w:t>
      </w:r>
    </w:p>
    <w:p w14:paraId="2E29CE34">
      <w:pPr>
        <w:spacing w:line="360" w:lineRule="auto"/>
        <w:ind w:firstLine="480" w:firstLineChars="200"/>
        <w:rPr>
          <w:rFonts w:ascii="宋体" w:hAnsi="宋体"/>
          <w:bCs/>
          <w:kern w:val="2"/>
          <w:sz w:val="24"/>
          <w:szCs w:val="20"/>
          <w:highlight w:val="none"/>
        </w:rPr>
      </w:pPr>
      <w:r>
        <w:rPr>
          <w:rFonts w:hint="eastAsia" w:asciiTheme="minorEastAsia" w:hAnsiTheme="minorEastAsia" w:eastAsiaTheme="minorEastAsia"/>
          <w:bCs/>
          <w:kern w:val="2"/>
          <w:sz w:val="24"/>
          <w:szCs w:val="20"/>
          <w:highlight w:val="none"/>
        </w:rPr>
        <w:t>3.报价</w:t>
      </w:r>
      <w:r>
        <w:rPr>
          <w:rFonts w:hint="eastAsia" w:ascii="宋体" w:hAnsi="宋体"/>
          <w:bCs/>
          <w:kern w:val="2"/>
          <w:sz w:val="24"/>
          <w:szCs w:val="20"/>
          <w:highlight w:val="none"/>
        </w:rPr>
        <w:t>说明</w:t>
      </w:r>
    </w:p>
    <w:p w14:paraId="6360CA0E">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1）项目总报价应包括完成藻水分离船运行项目的所有内容（包括完成本合同所需劳务、管理、利润、税金、政策性文件规定合同包含的所有风险、责任等各项应有费用）。</w:t>
      </w:r>
    </w:p>
    <w:p w14:paraId="16E067BB">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2）运行2艘移动式藻水分离船周期性保养及藻水分离船所需的燃料、电力等能源均由采购人提供，不在本次招标范围内。</w:t>
      </w:r>
    </w:p>
    <w:p w14:paraId="60149862">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3）藻泥含水率</w:t>
      </w:r>
      <w:r>
        <w:rPr>
          <w:rFonts w:hint="eastAsia" w:asciiTheme="minorEastAsia" w:hAnsiTheme="minorEastAsia" w:eastAsiaTheme="minorEastAsia"/>
          <w:bCs/>
          <w:kern w:val="2"/>
          <w:sz w:val="24"/>
          <w:szCs w:val="20"/>
          <w:highlight w:val="none"/>
        </w:rPr>
        <w:t>由</w:t>
      </w:r>
      <w:r>
        <w:rPr>
          <w:rFonts w:hint="eastAsia" w:ascii="宋体" w:hAnsi="宋体"/>
          <w:bCs/>
          <w:kern w:val="2"/>
          <w:sz w:val="24"/>
          <w:szCs w:val="20"/>
          <w:highlight w:val="none"/>
        </w:rPr>
        <w:t>供应商在</w:t>
      </w:r>
      <w:r>
        <w:rPr>
          <w:rFonts w:hint="eastAsia" w:asciiTheme="minorEastAsia" w:hAnsiTheme="minorEastAsia" w:eastAsiaTheme="minorEastAsia"/>
          <w:bCs/>
          <w:kern w:val="2"/>
          <w:sz w:val="24"/>
          <w:szCs w:val="20"/>
          <w:highlight w:val="none"/>
        </w:rPr>
        <w:t>采购人见证下在藻泥离开</w:t>
      </w:r>
      <w:r>
        <w:rPr>
          <w:rFonts w:hint="eastAsia" w:ascii="宋体" w:hAnsi="宋体"/>
          <w:bCs/>
          <w:kern w:val="2"/>
          <w:sz w:val="24"/>
          <w:szCs w:val="20"/>
          <w:highlight w:val="none"/>
        </w:rPr>
        <w:t>分离船前测定，经双方签字后作为合同价款支付依据。</w:t>
      </w:r>
    </w:p>
    <w:p w14:paraId="2BB9D1ED">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4）</w:t>
      </w:r>
      <w:r>
        <w:rPr>
          <w:rFonts w:hint="eastAsia" w:asciiTheme="minorEastAsia" w:hAnsiTheme="minorEastAsia" w:eastAsiaTheme="minorEastAsia"/>
          <w:bCs/>
          <w:kern w:val="2"/>
          <w:sz w:val="24"/>
          <w:szCs w:val="20"/>
          <w:highlight w:val="none"/>
        </w:rPr>
        <w:t>藻泥重量由采购人考核认定，在藻泥离开</w:t>
      </w:r>
      <w:r>
        <w:rPr>
          <w:rFonts w:hint="eastAsia" w:ascii="宋体" w:hAnsi="宋体"/>
          <w:bCs/>
          <w:kern w:val="2"/>
          <w:sz w:val="24"/>
          <w:szCs w:val="20"/>
          <w:highlight w:val="none"/>
        </w:rPr>
        <w:t>分离船及抵达处置场分别称重，以重量轻的作为</w:t>
      </w:r>
      <w:r>
        <w:rPr>
          <w:rFonts w:hint="eastAsia" w:asciiTheme="minorEastAsia" w:hAnsiTheme="minorEastAsia" w:eastAsiaTheme="minorEastAsia"/>
          <w:bCs/>
          <w:kern w:val="2"/>
          <w:sz w:val="24"/>
          <w:szCs w:val="20"/>
          <w:highlight w:val="none"/>
        </w:rPr>
        <w:t>藻泥考核重量。</w:t>
      </w:r>
    </w:p>
    <w:p w14:paraId="5B991929">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4.采购预算价（人民币）：684630元；</w:t>
      </w:r>
    </w:p>
    <w:p w14:paraId="697336D0">
      <w:pPr>
        <w:spacing w:line="360" w:lineRule="auto"/>
        <w:ind w:firstLine="720" w:firstLineChars="300"/>
        <w:rPr>
          <w:rFonts w:ascii="宋体" w:hAnsi="宋体"/>
          <w:b/>
          <w:sz w:val="24"/>
          <w:highlight w:val="none"/>
        </w:rPr>
      </w:pPr>
      <w:r>
        <w:rPr>
          <w:rFonts w:hint="eastAsia" w:ascii="宋体" w:hAnsi="宋体"/>
          <w:bCs/>
          <w:kern w:val="2"/>
          <w:sz w:val="24"/>
          <w:szCs w:val="20"/>
          <w:highlight w:val="none"/>
        </w:rPr>
        <w:t>最高限价（人民币）：684630</w:t>
      </w:r>
      <w:r>
        <w:rPr>
          <w:rFonts w:hint="eastAsia" w:ascii="宋体" w:hAnsi="宋体" w:cs="宋体"/>
          <w:sz w:val="24"/>
          <w:highlight w:val="none"/>
        </w:rPr>
        <w:t>元（其中单项限价：</w:t>
      </w:r>
      <w:r>
        <w:rPr>
          <w:rFonts w:hint="eastAsia" w:asciiTheme="minorEastAsia" w:hAnsiTheme="minorEastAsia" w:eastAsiaTheme="minorEastAsia"/>
          <w:bCs/>
          <w:kern w:val="2"/>
          <w:sz w:val="24"/>
          <w:szCs w:val="20"/>
          <w:highlight w:val="none"/>
        </w:rPr>
        <w:t>2艘移动式藻水分离船运行管理</w:t>
      </w:r>
      <w:r>
        <w:rPr>
          <w:rFonts w:hint="eastAsia" w:asciiTheme="minorEastAsia" w:hAnsiTheme="minorEastAsia" w:eastAsiaTheme="minorEastAsia"/>
          <w:bCs/>
          <w:kern w:val="2"/>
          <w:sz w:val="24"/>
          <w:szCs w:val="20"/>
          <w:highlight w:val="none"/>
          <w:lang w:eastAsia="zh-CN"/>
        </w:rPr>
        <w:t>（</w:t>
      </w:r>
      <w:r>
        <w:rPr>
          <w:rFonts w:hint="eastAsia" w:asciiTheme="minorEastAsia" w:hAnsiTheme="minorEastAsia" w:eastAsiaTheme="minorEastAsia"/>
          <w:bCs/>
          <w:kern w:val="2"/>
          <w:sz w:val="24"/>
          <w:szCs w:val="20"/>
          <w:highlight w:val="none"/>
          <w:lang w:val="en-US" w:eastAsia="zh-CN"/>
        </w:rPr>
        <w:t>含税</w:t>
      </w:r>
      <w:r>
        <w:rPr>
          <w:rFonts w:hint="eastAsia" w:asciiTheme="minorEastAsia" w:hAnsiTheme="minorEastAsia" w:eastAsiaTheme="minorEastAsia"/>
          <w:bCs/>
          <w:kern w:val="2"/>
          <w:sz w:val="24"/>
          <w:szCs w:val="20"/>
          <w:highlight w:val="none"/>
          <w:lang w:eastAsia="zh-CN"/>
        </w:rPr>
        <w:t>）</w:t>
      </w:r>
      <w:r>
        <w:rPr>
          <w:rFonts w:hint="eastAsia" w:asciiTheme="minorEastAsia" w:hAnsiTheme="minorEastAsia" w:eastAsiaTheme="minorEastAsia"/>
          <w:bCs/>
          <w:kern w:val="2"/>
          <w:sz w:val="24"/>
          <w:szCs w:val="20"/>
          <w:highlight w:val="none"/>
        </w:rPr>
        <w:t>322264元，</w:t>
      </w:r>
      <w:r>
        <w:rPr>
          <w:rFonts w:hint="eastAsia" w:cs="Cambria" w:asciiTheme="minorEastAsia" w:hAnsiTheme="minorEastAsia" w:eastAsiaTheme="minorEastAsia"/>
          <w:bCs/>
          <w:kern w:val="2"/>
          <w:sz w:val="24"/>
          <w:szCs w:val="20"/>
          <w:highlight w:val="none"/>
        </w:rPr>
        <w:t>藻泥产出</w:t>
      </w:r>
      <w:r>
        <w:rPr>
          <w:rFonts w:hint="eastAsia" w:cs="Cambria" w:asciiTheme="minorEastAsia" w:hAnsiTheme="minorEastAsia" w:eastAsiaTheme="minorEastAsia"/>
          <w:bCs/>
          <w:kern w:val="2"/>
          <w:sz w:val="24"/>
          <w:szCs w:val="20"/>
          <w:highlight w:val="none"/>
          <w:lang w:eastAsia="zh-CN"/>
        </w:rPr>
        <w:t>（</w:t>
      </w:r>
      <w:r>
        <w:rPr>
          <w:rFonts w:hint="eastAsia" w:cs="Cambria" w:asciiTheme="minorEastAsia" w:hAnsiTheme="minorEastAsia" w:eastAsiaTheme="minorEastAsia"/>
          <w:bCs/>
          <w:kern w:val="2"/>
          <w:sz w:val="24"/>
          <w:szCs w:val="20"/>
          <w:highlight w:val="none"/>
          <w:lang w:val="en-US" w:eastAsia="zh-CN"/>
        </w:rPr>
        <w:t>不含税</w:t>
      </w:r>
      <w:r>
        <w:rPr>
          <w:rFonts w:hint="eastAsia" w:cs="Cambria" w:asciiTheme="minorEastAsia" w:hAnsiTheme="minorEastAsia" w:eastAsiaTheme="minorEastAsia"/>
          <w:bCs/>
          <w:kern w:val="2"/>
          <w:sz w:val="24"/>
          <w:szCs w:val="20"/>
          <w:highlight w:val="none"/>
          <w:lang w:eastAsia="zh-CN"/>
        </w:rPr>
        <w:t>）</w:t>
      </w:r>
      <w:r>
        <w:rPr>
          <w:rFonts w:hint="eastAsia" w:cs="Cambria" w:asciiTheme="minorEastAsia" w:hAnsiTheme="minorEastAsia" w:eastAsiaTheme="minorEastAsia"/>
          <w:bCs/>
          <w:kern w:val="2"/>
          <w:sz w:val="24"/>
          <w:szCs w:val="20"/>
          <w:highlight w:val="none"/>
        </w:rPr>
        <w:t>66.89元/t,藻泥运输处置</w:t>
      </w:r>
      <w:r>
        <w:rPr>
          <w:rFonts w:hint="eastAsia" w:cs="Cambria" w:asciiTheme="minorEastAsia" w:hAnsiTheme="minorEastAsia" w:eastAsiaTheme="minorEastAsia"/>
          <w:bCs/>
          <w:kern w:val="2"/>
          <w:sz w:val="24"/>
          <w:szCs w:val="20"/>
          <w:highlight w:val="none"/>
          <w:lang w:eastAsia="zh-CN"/>
        </w:rPr>
        <w:t>（</w:t>
      </w:r>
      <w:r>
        <w:rPr>
          <w:rFonts w:hint="eastAsia" w:cs="Cambria" w:asciiTheme="minorEastAsia" w:hAnsiTheme="minorEastAsia" w:eastAsiaTheme="minorEastAsia"/>
          <w:bCs/>
          <w:kern w:val="2"/>
          <w:sz w:val="24"/>
          <w:szCs w:val="20"/>
          <w:highlight w:val="none"/>
          <w:lang w:val="en-US" w:eastAsia="zh-CN"/>
        </w:rPr>
        <w:t>不含税</w:t>
      </w:r>
      <w:r>
        <w:rPr>
          <w:rFonts w:hint="eastAsia" w:cs="Cambria" w:asciiTheme="minorEastAsia" w:hAnsiTheme="minorEastAsia" w:eastAsiaTheme="minorEastAsia"/>
          <w:bCs/>
          <w:kern w:val="2"/>
          <w:sz w:val="24"/>
          <w:szCs w:val="20"/>
          <w:highlight w:val="none"/>
          <w:lang w:eastAsia="zh-CN"/>
        </w:rPr>
        <w:t>）</w:t>
      </w:r>
      <w:r>
        <w:rPr>
          <w:rFonts w:hint="eastAsia" w:cs="Cambria" w:asciiTheme="minorEastAsia" w:hAnsiTheme="minorEastAsia" w:eastAsiaTheme="minorEastAsia"/>
          <w:bCs/>
          <w:kern w:val="2"/>
          <w:sz w:val="24"/>
          <w:szCs w:val="20"/>
          <w:highlight w:val="none"/>
        </w:rPr>
        <w:t>550.46元/t</w:t>
      </w:r>
      <w:r>
        <w:rPr>
          <w:rFonts w:hint="eastAsia" w:ascii="宋体" w:hAnsi="宋体" w:cs="宋体"/>
          <w:sz w:val="24"/>
          <w:highlight w:val="none"/>
        </w:rPr>
        <w:t>）。</w:t>
      </w:r>
      <w:r>
        <w:rPr>
          <w:rFonts w:hint="eastAsia" w:ascii="宋体" w:hAnsi="宋体"/>
          <w:b/>
          <w:sz w:val="24"/>
          <w:highlight w:val="none"/>
        </w:rPr>
        <w:t>超过最高限价的按无效投标文件处理。</w:t>
      </w:r>
    </w:p>
    <w:p w14:paraId="10D5424B">
      <w:pPr>
        <w:tabs>
          <w:tab w:val="left" w:pos="945"/>
          <w:tab w:val="left" w:pos="1155"/>
        </w:tabs>
        <w:spacing w:line="360" w:lineRule="auto"/>
        <w:rPr>
          <w:rFonts w:ascii="宋体" w:hAnsi="宋体"/>
          <w:b/>
          <w:bCs/>
          <w:kern w:val="2"/>
          <w:sz w:val="24"/>
          <w:highlight w:val="none"/>
        </w:rPr>
      </w:pPr>
      <w:r>
        <w:rPr>
          <w:rFonts w:ascii="宋体" w:hAnsi="宋体"/>
          <w:b/>
          <w:bCs/>
          <w:kern w:val="2"/>
          <w:sz w:val="24"/>
          <w:highlight w:val="none"/>
        </w:rPr>
        <w:t>（五）采购标的需满足的服务标准、期限、效率等要求</w:t>
      </w:r>
    </w:p>
    <w:p w14:paraId="20ED7CA3">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1. 藻水分离船运行分为运行期、冬歇期。运行期为3月-11月，根据蓝藻发生的实际情况分为主运行期和非主运行期；冬歇期为12月-2月；具体根据蓝藻发生的实际情况进行调整，并以采购人通知为准，蓝藻暴发高峰期，确保满负荷运行，确保藻浆日产日清。</w:t>
      </w:r>
    </w:p>
    <w:p w14:paraId="3048C08B">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2.船只人员要求：拟投入人员应具有船员服务簿</w:t>
      </w:r>
    </w:p>
    <w:p w14:paraId="05D5670A">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1）主运行期：2藻水分离船岗位配置人数不少于11人；</w:t>
      </w:r>
    </w:p>
    <w:p w14:paraId="394F3C91">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2）非主运行期：2藻水分离船岗位配置人数不少于4人；</w:t>
      </w:r>
    </w:p>
    <w:p w14:paraId="7D361E97">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3）冬歇期：2藻水分离船岗位配置人数不少于2人；</w:t>
      </w:r>
    </w:p>
    <w:p w14:paraId="08F3EA67">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4）运行期内采购人会对2艘移动藻水分离船在岗运维服务人数进行核查，若人员不满足要求将按500元/天*人对供应商处罚。</w:t>
      </w:r>
    </w:p>
    <w:p w14:paraId="5514416F">
      <w:pPr>
        <w:spacing w:line="360" w:lineRule="auto"/>
        <w:ind w:firstLine="480" w:firstLineChars="200"/>
        <w:rPr>
          <w:rFonts w:ascii="宋体" w:hAnsi="宋体" w:cs="宋体"/>
          <w:bCs/>
          <w:color w:val="000000"/>
          <w:sz w:val="24"/>
          <w:szCs w:val="22"/>
          <w:highlight w:val="none"/>
        </w:rPr>
      </w:pPr>
      <w:r>
        <w:rPr>
          <w:rFonts w:hint="eastAsia" w:ascii="宋体" w:hAnsi="宋体"/>
          <w:bCs/>
          <w:kern w:val="2"/>
          <w:sz w:val="24"/>
          <w:szCs w:val="20"/>
          <w:highlight w:val="none"/>
        </w:rPr>
        <w:t>3．</w:t>
      </w:r>
      <w:r>
        <w:rPr>
          <w:rFonts w:hint="eastAsia" w:ascii="宋体" w:hAnsi="宋体" w:cs="宋体"/>
          <w:bCs/>
          <w:color w:val="000000"/>
          <w:sz w:val="24"/>
          <w:highlight w:val="none"/>
        </w:rPr>
        <w:t>服务期：1年，以合同约定时间为准</w:t>
      </w:r>
      <w:r>
        <w:rPr>
          <w:rFonts w:hint="eastAsia" w:ascii="宋体" w:hAnsi="宋体" w:cs="宋体"/>
          <w:bCs/>
          <w:color w:val="000000"/>
          <w:sz w:val="24"/>
          <w:szCs w:val="22"/>
          <w:highlight w:val="none"/>
        </w:rPr>
        <w:t>；</w:t>
      </w:r>
    </w:p>
    <w:p w14:paraId="209A7D5A">
      <w:pPr>
        <w:spacing w:line="360" w:lineRule="auto"/>
        <w:ind w:firstLine="480" w:firstLineChars="200"/>
        <w:rPr>
          <w:rFonts w:ascii="宋体" w:hAnsi="宋体" w:cs="宋体"/>
          <w:bCs/>
          <w:color w:val="000000"/>
          <w:sz w:val="24"/>
          <w:szCs w:val="22"/>
          <w:highlight w:val="none"/>
        </w:rPr>
      </w:pPr>
      <w:r>
        <w:rPr>
          <w:rFonts w:hint="eastAsia" w:ascii="宋体" w:hAnsi="宋体" w:cs="宋体"/>
          <w:bCs/>
          <w:color w:val="000000"/>
          <w:sz w:val="24"/>
          <w:szCs w:val="22"/>
          <w:highlight w:val="none"/>
        </w:rPr>
        <w:t>4、</w:t>
      </w:r>
      <w:r>
        <w:rPr>
          <w:rStyle w:val="539"/>
          <w:rFonts w:hint="eastAsia" w:ascii="宋体"/>
          <w:sz w:val="24"/>
          <w:highlight w:val="none"/>
        </w:rPr>
        <w:t>验收标准：满足采购人要求，一次性验收合格。</w:t>
      </w:r>
    </w:p>
    <w:p w14:paraId="0F7D7A8F">
      <w:pPr>
        <w:tabs>
          <w:tab w:val="left" w:pos="945"/>
          <w:tab w:val="left" w:pos="1155"/>
        </w:tabs>
        <w:spacing w:line="360" w:lineRule="auto"/>
        <w:rPr>
          <w:rFonts w:ascii="宋体" w:hAnsi="宋体"/>
          <w:bCs/>
          <w:kern w:val="2"/>
          <w:sz w:val="24"/>
          <w:szCs w:val="20"/>
          <w:highlight w:val="none"/>
        </w:rPr>
      </w:pPr>
      <w:r>
        <w:rPr>
          <w:rFonts w:ascii="宋体" w:hAnsi="宋体"/>
          <w:b/>
          <w:bCs/>
          <w:kern w:val="2"/>
          <w:sz w:val="24"/>
          <w:highlight w:val="none"/>
        </w:rPr>
        <w:t>（六）采购标的的其他技术、服务等要求：</w:t>
      </w:r>
    </w:p>
    <w:p w14:paraId="6026C681">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1.付款方式：</w:t>
      </w:r>
    </w:p>
    <w:p w14:paraId="42880832">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1）分离船运行管理价款支付在合同服务期结束且履约验收完成后一次性付清</w:t>
      </w:r>
    </w:p>
    <w:p w14:paraId="0B47724C">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2）藻泥产出及运输处置价款支付分2次支付，包括第一年运行期结束及合同服务期结束。</w:t>
      </w:r>
    </w:p>
    <w:p w14:paraId="24DFE355">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3）价款支付满足上述条件后由供应商上报运行情况，进行费用申报。采购人根据检测结果进行考核结算。其中藻泥产出及运输处置价款若供应商当次所产藻泥平均含水率高于90%，则根据超标的百分比于当次支付藻泥产出及运输处置价款费用内同比例进行核减。</w:t>
      </w:r>
    </w:p>
    <w:p w14:paraId="3DC09B6C">
      <w:pPr>
        <w:tabs>
          <w:tab w:val="left" w:pos="945"/>
          <w:tab w:val="left" w:pos="1155"/>
        </w:tabs>
        <w:spacing w:line="360" w:lineRule="auto"/>
        <w:rPr>
          <w:rFonts w:ascii="宋体" w:hAnsi="宋体"/>
          <w:b/>
          <w:bCs/>
          <w:kern w:val="2"/>
          <w:sz w:val="24"/>
          <w:highlight w:val="none"/>
        </w:rPr>
      </w:pPr>
      <w:r>
        <w:rPr>
          <w:rFonts w:hint="eastAsia" w:ascii="宋体" w:hAnsi="宋体"/>
          <w:b/>
          <w:bCs/>
          <w:kern w:val="2"/>
          <w:sz w:val="24"/>
          <w:highlight w:val="none"/>
        </w:rPr>
        <w:t>（七）有关说明</w:t>
      </w:r>
    </w:p>
    <w:p w14:paraId="7E692CFC">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1.投标供应商的报价的总额应是投标供应商在报价文件中提出的各项支付金额的总和。</w:t>
      </w:r>
    </w:p>
    <w:p w14:paraId="52B22371">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2.投标供应商必须在满足招标文件要求的基础上进行报价，如有技术偏离请于报价偏离表中说明。</w:t>
      </w:r>
    </w:p>
    <w:p w14:paraId="21232391">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3.投标供应商可先到现场踏勘以充分了解工地位置、船只情况及任何其他足以影响承包价的情况，任何因忽视或误解情况而导致的索赔将不被批准。</w:t>
      </w:r>
    </w:p>
    <w:p w14:paraId="5E4EB957">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4.投标供应商法定代表人或法定代表人授权代表为外籍、港、澳、台地区人士的，其身份证明须提供有效的护照或港澳同胞来往内地通行证、台湾同胞来往大陆通行证，或其他可在中国大陆有效居留的许可证明。</w:t>
      </w:r>
    </w:p>
    <w:p w14:paraId="57C8AE5D">
      <w:pPr>
        <w:spacing w:line="360" w:lineRule="auto"/>
        <w:ind w:firstLine="480" w:firstLineChars="200"/>
        <w:rPr>
          <w:rFonts w:ascii="宋体" w:hAnsi="宋体"/>
          <w:bCs/>
          <w:kern w:val="2"/>
          <w:sz w:val="24"/>
          <w:szCs w:val="20"/>
          <w:highlight w:val="none"/>
        </w:rPr>
      </w:pPr>
      <w:r>
        <w:rPr>
          <w:rFonts w:hint="eastAsia" w:ascii="宋体" w:hAnsi="宋体"/>
          <w:bCs/>
          <w:kern w:val="2"/>
          <w:sz w:val="24"/>
          <w:szCs w:val="20"/>
          <w:highlight w:val="none"/>
        </w:rPr>
        <w:t>5.根据国家扶持中小企业的有关政策，在组织的采购项目中标的供应商，如需要政府采购信用担保融资，请按锡财购【2013】5号文件执行。</w:t>
      </w:r>
    </w:p>
    <w:p w14:paraId="4BEA2879">
      <w:pPr>
        <w:spacing w:line="540" w:lineRule="exact"/>
        <w:ind w:firstLine="480"/>
        <w:rPr>
          <w:rFonts w:ascii="宋体" w:hAnsi="宋体"/>
          <w:color w:val="000000"/>
          <w:sz w:val="24"/>
          <w:highlight w:val="none"/>
        </w:rPr>
      </w:pPr>
      <w:r>
        <w:rPr>
          <w:rFonts w:hint="eastAsia" w:ascii="宋体" w:hAnsi="宋体"/>
          <w:color w:val="000000"/>
          <w:sz w:val="24"/>
          <w:highlight w:val="none"/>
        </w:rPr>
        <w:t xml:space="preserve">                   </w:t>
      </w:r>
    </w:p>
    <w:p w14:paraId="643B7A40">
      <w:pPr>
        <w:spacing w:line="540" w:lineRule="exact"/>
        <w:ind w:firstLine="480"/>
        <w:rPr>
          <w:rFonts w:ascii="宋体" w:hAnsi="宋体"/>
          <w:color w:val="000000"/>
          <w:sz w:val="24"/>
          <w:highlight w:val="none"/>
        </w:rPr>
      </w:pPr>
    </w:p>
    <w:p w14:paraId="3ECCD3CD">
      <w:pPr>
        <w:spacing w:line="540" w:lineRule="exact"/>
        <w:ind w:firstLine="480"/>
        <w:rPr>
          <w:rFonts w:ascii="宋体" w:hAnsi="宋体"/>
          <w:color w:val="000000"/>
          <w:sz w:val="24"/>
          <w:highlight w:val="none"/>
        </w:rPr>
      </w:pPr>
    </w:p>
    <w:p w14:paraId="26D342E6">
      <w:pPr>
        <w:spacing w:line="540" w:lineRule="exact"/>
        <w:ind w:firstLine="480"/>
        <w:rPr>
          <w:rFonts w:ascii="宋体" w:hAnsi="宋体"/>
          <w:color w:val="000000"/>
          <w:sz w:val="24"/>
          <w:highlight w:val="none"/>
        </w:rPr>
      </w:pPr>
    </w:p>
    <w:p w14:paraId="35038E48">
      <w:pPr>
        <w:spacing w:line="540" w:lineRule="exact"/>
        <w:ind w:firstLine="480"/>
        <w:rPr>
          <w:rFonts w:ascii="宋体" w:hAnsi="宋体"/>
          <w:color w:val="000000"/>
          <w:sz w:val="24"/>
          <w:highlight w:val="none"/>
        </w:rPr>
      </w:pPr>
    </w:p>
    <w:p w14:paraId="557F5D59">
      <w:pPr>
        <w:rPr>
          <w:rFonts w:ascii="黑体" w:eastAsia="黑体"/>
          <w:b/>
          <w:color w:val="000000"/>
          <w:sz w:val="44"/>
          <w:szCs w:val="44"/>
          <w:highlight w:val="none"/>
        </w:rPr>
      </w:pPr>
    </w:p>
    <w:p w14:paraId="2C049A20">
      <w:pPr>
        <w:spacing w:line="540" w:lineRule="exact"/>
        <w:ind w:firstLine="480"/>
        <w:jc w:val="center"/>
        <w:rPr>
          <w:rFonts w:ascii="黑体" w:eastAsia="黑体"/>
          <w:b/>
          <w:color w:val="000000"/>
          <w:sz w:val="44"/>
          <w:szCs w:val="44"/>
          <w:highlight w:val="none"/>
        </w:rPr>
      </w:pPr>
      <w:r>
        <w:rPr>
          <w:rFonts w:hint="eastAsia" w:ascii="黑体" w:eastAsia="黑体"/>
          <w:b/>
          <w:color w:val="000000"/>
          <w:sz w:val="44"/>
          <w:szCs w:val="44"/>
          <w:highlight w:val="none"/>
        </w:rPr>
        <w:t>第四部分．合同书</w:t>
      </w:r>
    </w:p>
    <w:p w14:paraId="1B705890">
      <w:pPr>
        <w:jc w:val="center"/>
        <w:rPr>
          <w:rFonts w:eastAsia="方正大黑简体"/>
          <w:b/>
          <w:bCs/>
          <w:sz w:val="58"/>
          <w:highlight w:val="none"/>
        </w:rPr>
      </w:pPr>
    </w:p>
    <w:p w14:paraId="749F995B">
      <w:pPr>
        <w:spacing w:line="160" w:lineRule="atLeast"/>
        <w:jc w:val="center"/>
        <w:rPr>
          <w:rFonts w:ascii="宋体" w:cs="宋体"/>
          <w:b/>
          <w:sz w:val="32"/>
          <w:szCs w:val="32"/>
          <w:highlight w:val="none"/>
        </w:rPr>
      </w:pPr>
      <w:r>
        <w:rPr>
          <w:rFonts w:hint="eastAsia" w:ascii="宋体" w:cs="宋体"/>
          <w:b/>
          <w:sz w:val="32"/>
          <w:szCs w:val="32"/>
          <w:highlight w:val="none"/>
        </w:rPr>
        <w:t>两艘移动藻水分离船运行项目合同</w:t>
      </w:r>
    </w:p>
    <w:p w14:paraId="51BF1A6C">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委托人：无锡市河湖治理和水资源管理中心</w:t>
      </w:r>
    </w:p>
    <w:p w14:paraId="258E806D">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受托人：</w:t>
      </w:r>
    </w:p>
    <w:p w14:paraId="343346A6">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根据《中华人民共和国民法典》及有关法律规定，遵循平等、自愿、公平和诚实信用的原则，双方就两艘移动藻水分离船运行项目及有关事项协商一致，共同达成如下协议：</w:t>
      </w:r>
    </w:p>
    <w:p w14:paraId="33CD6DBB">
      <w:pPr>
        <w:spacing w:line="336" w:lineRule="auto"/>
        <w:ind w:firstLine="482" w:firstLineChars="200"/>
        <w:jc w:val="left"/>
        <w:rPr>
          <w:rFonts w:ascii="宋体" w:hAnsi="宋体"/>
          <w:b/>
          <w:bCs/>
          <w:sz w:val="24"/>
          <w:szCs w:val="20"/>
          <w:highlight w:val="none"/>
        </w:rPr>
      </w:pPr>
      <w:r>
        <w:rPr>
          <w:rFonts w:hint="eastAsia" w:ascii="宋体" w:hAnsi="宋体"/>
          <w:b/>
          <w:bCs/>
          <w:sz w:val="24"/>
          <w:szCs w:val="20"/>
          <w:highlight w:val="none"/>
        </w:rPr>
        <w:t>一、服务概况</w:t>
      </w:r>
    </w:p>
    <w:p w14:paraId="5F1C43D5">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1、项目名称：</w:t>
      </w:r>
      <w:r>
        <w:rPr>
          <w:rFonts w:hint="eastAsia" w:ascii="宋体" w:hAnsi="宋体"/>
          <w:bCs/>
          <w:sz w:val="24"/>
          <w:szCs w:val="20"/>
          <w:highlight w:val="none"/>
          <w:u w:val="single"/>
        </w:rPr>
        <w:t>两艘移动藻水分离船运行项目</w:t>
      </w:r>
    </w:p>
    <w:p w14:paraId="46F19FCC">
      <w:pPr>
        <w:spacing w:line="336" w:lineRule="auto"/>
        <w:ind w:firstLine="480" w:firstLineChars="200"/>
        <w:jc w:val="left"/>
        <w:rPr>
          <w:rFonts w:ascii="宋体" w:hAnsi="宋体"/>
          <w:bCs/>
          <w:sz w:val="24"/>
          <w:szCs w:val="20"/>
          <w:highlight w:val="none"/>
          <w:u w:val="single"/>
        </w:rPr>
      </w:pPr>
      <w:r>
        <w:rPr>
          <w:rFonts w:hint="eastAsia" w:ascii="宋体" w:hAnsi="宋体"/>
          <w:bCs/>
          <w:sz w:val="24"/>
          <w:szCs w:val="20"/>
          <w:highlight w:val="none"/>
        </w:rPr>
        <w:t>2、服务内容：</w:t>
      </w:r>
      <w:r>
        <w:rPr>
          <w:rFonts w:hint="eastAsia" w:ascii="宋体" w:hAnsi="宋体"/>
          <w:bCs/>
          <w:sz w:val="24"/>
          <w:szCs w:val="20"/>
          <w:highlight w:val="none"/>
          <w:u w:val="single"/>
        </w:rPr>
        <w:t>对2艘移动式藻水分离船运行管理、根据每次杯试结果投加药剂、藻泥运输及无害化处置。</w:t>
      </w:r>
    </w:p>
    <w:p w14:paraId="0F66D75C">
      <w:pPr>
        <w:spacing w:line="336" w:lineRule="auto"/>
        <w:ind w:firstLine="480" w:firstLineChars="200"/>
        <w:jc w:val="left"/>
        <w:rPr>
          <w:rFonts w:ascii="宋体" w:hAnsi="宋体"/>
          <w:bCs/>
          <w:sz w:val="24"/>
          <w:szCs w:val="20"/>
          <w:highlight w:val="none"/>
          <w:u w:val="single"/>
        </w:rPr>
      </w:pPr>
      <w:r>
        <w:rPr>
          <w:rFonts w:hint="eastAsia" w:ascii="宋体" w:hAnsi="宋体"/>
          <w:bCs/>
          <w:sz w:val="24"/>
          <w:szCs w:val="20"/>
          <w:highlight w:val="none"/>
        </w:rPr>
        <w:t>3、服务期：</w:t>
      </w:r>
      <w:r>
        <w:rPr>
          <w:rFonts w:hint="eastAsia" w:ascii="宋体" w:hAnsi="宋体"/>
          <w:bCs/>
          <w:sz w:val="24"/>
          <w:szCs w:val="20"/>
          <w:highlight w:val="none"/>
          <w:u w:val="single"/>
        </w:rPr>
        <w:t>1年；自  年  月  日起至  年  月  日止。</w:t>
      </w:r>
    </w:p>
    <w:p w14:paraId="4E766DC0">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4、服务质量：</w:t>
      </w:r>
      <w:r>
        <w:rPr>
          <w:rFonts w:hint="eastAsia" w:ascii="宋体" w:hAnsi="宋体"/>
          <w:bCs/>
          <w:sz w:val="24"/>
          <w:szCs w:val="20"/>
          <w:highlight w:val="none"/>
          <w:u w:val="single"/>
        </w:rPr>
        <w:t>满足委托人要求；</w:t>
      </w:r>
    </w:p>
    <w:p w14:paraId="3828E30A">
      <w:pPr>
        <w:spacing w:line="336" w:lineRule="auto"/>
        <w:ind w:firstLine="482" w:firstLineChars="200"/>
        <w:jc w:val="left"/>
        <w:rPr>
          <w:rFonts w:ascii="宋体" w:hAnsi="宋体"/>
          <w:b/>
          <w:bCs/>
          <w:sz w:val="24"/>
          <w:szCs w:val="20"/>
          <w:highlight w:val="none"/>
        </w:rPr>
      </w:pPr>
      <w:r>
        <w:rPr>
          <w:rFonts w:hint="eastAsia" w:ascii="宋体" w:hAnsi="宋体"/>
          <w:b/>
          <w:bCs/>
          <w:sz w:val="24"/>
          <w:szCs w:val="20"/>
          <w:highlight w:val="none"/>
        </w:rPr>
        <w:t>二、双方的责任</w:t>
      </w:r>
    </w:p>
    <w:p w14:paraId="62E53F0A">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1、委托人的责任</w:t>
      </w:r>
    </w:p>
    <w:p w14:paraId="4968AFA2">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 xml:space="preserve">(a) </w:t>
      </w:r>
      <w:r>
        <w:rPr>
          <w:rFonts w:hint="eastAsia" w:ascii="宋体" w:cs="宋体"/>
          <w:color w:val="000000" w:themeColor="text1"/>
          <w:sz w:val="24"/>
          <w:highlight w:val="none"/>
          <w14:textFill>
            <w14:solidFill>
              <w14:schemeClr w14:val="tx1"/>
            </w14:solidFill>
          </w14:textFill>
        </w:rPr>
        <w:t>组织蓝藻打捞、藻浆运输上</w:t>
      </w:r>
      <w:r>
        <w:rPr>
          <w:rFonts w:hint="eastAsia" w:ascii="宋体" w:hAnsi="宋体"/>
          <w:bCs/>
          <w:sz w:val="24"/>
          <w:szCs w:val="20"/>
          <w:highlight w:val="none"/>
        </w:rPr>
        <w:t>藻水分离船</w:t>
      </w:r>
      <w:r>
        <w:rPr>
          <w:rFonts w:hint="eastAsia" w:ascii="宋体" w:cs="宋体"/>
          <w:color w:val="000000" w:themeColor="text1"/>
          <w:sz w:val="24"/>
          <w:highlight w:val="none"/>
          <w14:textFill>
            <w14:solidFill>
              <w14:schemeClr w14:val="tx1"/>
            </w14:solidFill>
          </w14:textFill>
        </w:rPr>
        <w:t>工作</w:t>
      </w:r>
      <w:r>
        <w:rPr>
          <w:rFonts w:hint="eastAsia" w:ascii="宋体" w:hAnsi="宋体"/>
          <w:bCs/>
          <w:sz w:val="24"/>
          <w:szCs w:val="20"/>
          <w:highlight w:val="none"/>
        </w:rPr>
        <w:t>。</w:t>
      </w:r>
    </w:p>
    <w:p w14:paraId="365BAC59">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(b) 对运行管理情况进行监督、考核。负责藻泥计量、检测设备安装，并对藻泥产量及藻泥含水率等质量指标进行实时监测和定期抽检，并按月出具监测报告。</w:t>
      </w:r>
    </w:p>
    <w:p w14:paraId="3A76525A">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(c) 提供移动式藻水分离船周期性保养、日常维修及所需的燃料、电力等能源。</w:t>
      </w:r>
    </w:p>
    <w:p w14:paraId="04501198">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(d) 及时向受托人支付运行费用。</w:t>
      </w:r>
    </w:p>
    <w:p w14:paraId="48E482FA">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2、受托人的责任</w:t>
      </w:r>
    </w:p>
    <w:p w14:paraId="140588EA">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(a) 负责2艘移动式藻水分离船的运行管理工作，同时维护好藻水分离设备，确保在整个运行期内，始终贯彻“能力保证、质量控制和安全生产”的原则来完成藻水分离任务；</w:t>
      </w:r>
    </w:p>
    <w:p w14:paraId="7B4AE320">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(b) 确保藻水分离船始终处于良好的运行状态，并能随时安全稳定地处理藻浆；</w:t>
      </w:r>
    </w:p>
    <w:p w14:paraId="599774F8">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(c)</w:t>
      </w:r>
      <w:r>
        <w:rPr>
          <w:rFonts w:hint="eastAsia" w:ascii="宋体" w:cs="宋体"/>
          <w:color w:val="000000" w:themeColor="text1"/>
          <w:sz w:val="24"/>
          <w:highlight w:val="none"/>
          <w14:textFill>
            <w14:solidFill>
              <w14:schemeClr w14:val="tx1"/>
            </w14:solidFill>
          </w14:textFill>
        </w:rPr>
        <w:t xml:space="preserve"> 配合好前端蓝藻打捞工作；</w:t>
      </w:r>
    </w:p>
    <w:p w14:paraId="1707F3DE">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(d) 负责藻水分离船的看护，如发生设备和物资被盗的现象，受托人负责赔偿等一切法律责任；</w:t>
      </w:r>
    </w:p>
    <w:p w14:paraId="5BE11C3D">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(e) 负责藻水分离船工艺技术的正常发挥；</w:t>
      </w:r>
    </w:p>
    <w:p w14:paraId="3BDBB1C0">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(f) 负责蓝藻处置工作，包括藻泥运输及无害化处置；</w:t>
      </w:r>
    </w:p>
    <w:p w14:paraId="27A5CCC2">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(g) 建立完整的统计日报、日常管理报表、安全生产制度报表、工作台账；</w:t>
      </w:r>
    </w:p>
    <w:p w14:paraId="70399698">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(h) 负责船只日常保洁，并积极配合委托人做好相关参观接待工作。</w:t>
      </w:r>
    </w:p>
    <w:p w14:paraId="00A3C5F4">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(i) 严格按照安全生产制度进行作业生产；</w:t>
      </w:r>
    </w:p>
    <w:p w14:paraId="15EE4839">
      <w:pPr>
        <w:spacing w:line="336" w:lineRule="auto"/>
        <w:ind w:firstLine="482" w:firstLineChars="200"/>
        <w:jc w:val="left"/>
        <w:rPr>
          <w:rFonts w:ascii="宋体" w:hAnsi="宋体"/>
          <w:b/>
          <w:bCs/>
          <w:sz w:val="24"/>
          <w:szCs w:val="20"/>
          <w:highlight w:val="none"/>
        </w:rPr>
      </w:pPr>
      <w:r>
        <w:rPr>
          <w:rFonts w:hint="eastAsia" w:ascii="宋体" w:hAnsi="宋体"/>
          <w:b/>
          <w:bCs/>
          <w:sz w:val="24"/>
          <w:szCs w:val="20"/>
          <w:highlight w:val="none"/>
        </w:rPr>
        <w:t xml:space="preserve">三、运行要求 </w:t>
      </w:r>
    </w:p>
    <w:p w14:paraId="4E809605">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1、运行时间</w:t>
      </w:r>
    </w:p>
    <w:p w14:paraId="2ECE43A0">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藻水分离船运行分为运行期、冬歇期。运行期为3月-11月，根据蓝藻发生的实际情况分为主运行期和非主运行期；冬歇期为12月-2月；具体根据蓝藻发生的实际情况进行调整，并以委托人通知为准，蓝藻暴发高峰期，确保满负荷运行，确保藻浆日产日清。</w:t>
      </w:r>
    </w:p>
    <w:p w14:paraId="34C0392D">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2、运行地点</w:t>
      </w:r>
    </w:p>
    <w:p w14:paraId="269799F5">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移动藻水分离船运行范围主要包括犊山闸至五里湖节制闸口，锦园，五孔桥，省干疗养院，直湖港区域，其他区域以委托人指令单为准。</w:t>
      </w:r>
    </w:p>
    <w:p w14:paraId="5CBABFB5">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3、质量指标</w:t>
      </w:r>
    </w:p>
    <w:p w14:paraId="7C88A605">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本项目需实现船只及藻水分离运行平稳，打捞蓝藻满足委托人要求，藻泥处理满足移动藻水分离船技术要求</w:t>
      </w:r>
      <w:r>
        <w:rPr>
          <w:rFonts w:hint="eastAsia" w:asciiTheme="minorEastAsia" w:hAnsiTheme="minorEastAsia" w:eastAsiaTheme="minorEastAsia"/>
          <w:bCs/>
          <w:sz w:val="24"/>
          <w:szCs w:val="20"/>
          <w:highlight w:val="none"/>
        </w:rPr>
        <w:t>（藻泥含水率≤90%）</w:t>
      </w:r>
      <w:r>
        <w:rPr>
          <w:rFonts w:hint="eastAsia" w:ascii="宋体" w:hAnsi="宋体"/>
          <w:bCs/>
          <w:sz w:val="24"/>
          <w:szCs w:val="20"/>
          <w:highlight w:val="none"/>
        </w:rPr>
        <w:t>，藻泥运输及无害化处置满足环保要求。</w:t>
      </w:r>
    </w:p>
    <w:p w14:paraId="418A3472">
      <w:pPr>
        <w:spacing w:line="336" w:lineRule="auto"/>
        <w:ind w:firstLine="482" w:firstLineChars="200"/>
        <w:jc w:val="left"/>
        <w:rPr>
          <w:rFonts w:ascii="宋体" w:hAnsi="宋体"/>
          <w:b/>
          <w:bCs/>
          <w:sz w:val="24"/>
          <w:szCs w:val="20"/>
          <w:highlight w:val="none"/>
        </w:rPr>
      </w:pPr>
      <w:r>
        <w:rPr>
          <w:rFonts w:hint="eastAsia" w:ascii="宋体" w:hAnsi="宋体"/>
          <w:b/>
          <w:bCs/>
          <w:sz w:val="24"/>
          <w:szCs w:val="20"/>
          <w:highlight w:val="none"/>
        </w:rPr>
        <w:t>四、考核与付款</w:t>
      </w:r>
    </w:p>
    <w:p w14:paraId="6357E468">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1、本项目为固定价格合同</w:t>
      </w:r>
    </w:p>
    <w:p w14:paraId="5F7B2BFE">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 xml:space="preserve">签约合同总价为暂估人民币（大写） </w:t>
      </w:r>
      <w:r>
        <w:rPr>
          <w:rFonts w:hint="eastAsia" w:ascii="宋体" w:hAnsi="宋体"/>
          <w:bCs/>
          <w:sz w:val="24"/>
          <w:szCs w:val="20"/>
          <w:highlight w:val="none"/>
          <w:u w:val="single"/>
        </w:rPr>
        <w:t xml:space="preserve">            </w:t>
      </w:r>
      <w:r>
        <w:rPr>
          <w:rFonts w:hint="eastAsia" w:ascii="宋体" w:hAnsi="宋体"/>
          <w:bCs/>
          <w:sz w:val="24"/>
          <w:szCs w:val="20"/>
          <w:highlight w:val="none"/>
        </w:rPr>
        <w:t>元整（RMB：</w:t>
      </w:r>
      <w:r>
        <w:rPr>
          <w:rFonts w:hint="eastAsia" w:ascii="宋体" w:hAnsi="宋体"/>
          <w:bCs/>
          <w:sz w:val="24"/>
          <w:szCs w:val="20"/>
          <w:highlight w:val="none"/>
          <w:u w:val="single"/>
        </w:rPr>
        <w:t xml:space="preserve">     </w:t>
      </w:r>
      <w:r>
        <w:rPr>
          <w:rFonts w:hint="eastAsia" w:ascii="宋体" w:hAnsi="宋体"/>
          <w:bCs/>
          <w:sz w:val="24"/>
          <w:szCs w:val="20"/>
          <w:highlight w:val="none"/>
        </w:rPr>
        <w:t>）</w:t>
      </w:r>
    </w:p>
    <w:p w14:paraId="0281CAE4">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其中：</w:t>
      </w:r>
    </w:p>
    <w:p w14:paraId="56F8B99B">
      <w:pPr>
        <w:spacing w:line="336" w:lineRule="auto"/>
        <w:ind w:firstLine="480" w:firstLineChars="200"/>
        <w:jc w:val="left"/>
        <w:rPr>
          <w:rFonts w:asciiTheme="minorEastAsia" w:hAnsiTheme="minorEastAsia" w:eastAsiaTheme="minorEastAsia"/>
          <w:bCs/>
          <w:sz w:val="24"/>
          <w:szCs w:val="20"/>
          <w:highlight w:val="none"/>
        </w:rPr>
      </w:pPr>
      <w:r>
        <w:rPr>
          <w:rFonts w:hint="eastAsia" w:asciiTheme="minorEastAsia" w:hAnsiTheme="minorEastAsia" w:eastAsiaTheme="minorEastAsia"/>
          <w:bCs/>
          <w:sz w:val="24"/>
          <w:szCs w:val="20"/>
          <w:highlight w:val="none"/>
          <w:lang w:val="en-US" w:eastAsia="zh-CN"/>
        </w:rPr>
        <w:t>①</w:t>
      </w:r>
      <w:r>
        <w:rPr>
          <w:rFonts w:hint="eastAsia" w:asciiTheme="minorEastAsia" w:hAnsiTheme="minorEastAsia" w:eastAsiaTheme="minorEastAsia"/>
          <w:bCs/>
          <w:sz w:val="24"/>
          <w:szCs w:val="20"/>
          <w:highlight w:val="none"/>
        </w:rPr>
        <w:t>2艘移动式藻水分离船运行管理</w:t>
      </w:r>
      <w:r>
        <w:rPr>
          <w:rFonts w:hint="eastAsia" w:ascii="宋体" w:hAnsi="宋体"/>
          <w:bCs/>
          <w:sz w:val="24"/>
          <w:szCs w:val="20"/>
          <w:highlight w:val="none"/>
        </w:rPr>
        <w:t>为人民币</w:t>
      </w:r>
      <w:r>
        <w:rPr>
          <w:rFonts w:hint="eastAsia" w:ascii="宋体" w:hAnsi="宋体"/>
          <w:bCs/>
          <w:sz w:val="24"/>
          <w:szCs w:val="20"/>
          <w:highlight w:val="none"/>
          <w:lang w:eastAsia="zh-CN"/>
        </w:rPr>
        <w:t>（</w:t>
      </w:r>
      <w:r>
        <w:rPr>
          <w:rFonts w:hint="eastAsia" w:ascii="宋体" w:hAnsi="宋体"/>
          <w:bCs/>
          <w:sz w:val="24"/>
          <w:szCs w:val="20"/>
          <w:highlight w:val="none"/>
          <w:lang w:val="en-US" w:eastAsia="zh-CN"/>
        </w:rPr>
        <w:t>含税</w:t>
      </w:r>
      <w:r>
        <w:rPr>
          <w:rFonts w:hint="eastAsia" w:ascii="宋体" w:hAnsi="宋体"/>
          <w:bCs/>
          <w:sz w:val="24"/>
          <w:szCs w:val="20"/>
          <w:highlight w:val="none"/>
          <w:lang w:eastAsia="zh-CN"/>
        </w:rPr>
        <w:t>）</w:t>
      </w:r>
      <w:r>
        <w:rPr>
          <w:rFonts w:hint="eastAsia" w:ascii="宋体" w:hAnsi="宋体"/>
          <w:bCs/>
          <w:sz w:val="24"/>
          <w:szCs w:val="20"/>
          <w:highlight w:val="none"/>
        </w:rPr>
        <w:t>（大写）</w:t>
      </w:r>
      <w:r>
        <w:rPr>
          <w:rFonts w:hint="eastAsia" w:ascii="宋体" w:hAnsi="宋体"/>
          <w:bCs/>
          <w:sz w:val="24"/>
          <w:szCs w:val="20"/>
          <w:highlight w:val="none"/>
          <w:u w:val="single"/>
        </w:rPr>
        <w:t xml:space="preserve">             </w:t>
      </w:r>
      <w:r>
        <w:rPr>
          <w:rFonts w:hint="eastAsia" w:ascii="宋体" w:hAnsi="宋体"/>
          <w:bCs/>
          <w:sz w:val="24"/>
          <w:szCs w:val="20"/>
          <w:highlight w:val="none"/>
        </w:rPr>
        <w:t>元整（RMB：</w:t>
      </w:r>
      <w:r>
        <w:rPr>
          <w:rFonts w:hint="eastAsia" w:ascii="宋体" w:hAnsi="宋体"/>
          <w:bCs/>
          <w:sz w:val="24"/>
          <w:szCs w:val="20"/>
          <w:highlight w:val="none"/>
          <w:u w:val="single"/>
        </w:rPr>
        <w:t xml:space="preserve">     </w:t>
      </w:r>
      <w:r>
        <w:rPr>
          <w:rFonts w:hint="eastAsia" w:ascii="宋体" w:hAnsi="宋体"/>
          <w:bCs/>
          <w:sz w:val="24"/>
          <w:szCs w:val="20"/>
          <w:highlight w:val="none"/>
        </w:rPr>
        <w:t>），总价包干。</w:t>
      </w:r>
    </w:p>
    <w:p w14:paraId="15FFFD7B">
      <w:pPr>
        <w:spacing w:line="336" w:lineRule="auto"/>
        <w:ind w:left="959" w:leftChars="228" w:hanging="480" w:hangingChars="200"/>
        <w:jc w:val="left"/>
        <w:rPr>
          <w:rFonts w:ascii="宋体" w:hAnsi="宋体"/>
          <w:bCs/>
          <w:sz w:val="24"/>
          <w:szCs w:val="20"/>
          <w:highlight w:val="none"/>
        </w:rPr>
      </w:pPr>
      <w:r>
        <w:rPr>
          <w:rFonts w:hint="eastAsia" w:asciiTheme="minorEastAsia" w:hAnsiTheme="minorEastAsia" w:eastAsiaTheme="minorEastAsia"/>
          <w:bCs/>
          <w:sz w:val="24"/>
          <w:szCs w:val="20"/>
          <w:highlight w:val="none"/>
          <w:lang w:val="en-US" w:eastAsia="zh-CN"/>
        </w:rPr>
        <w:t>②</w:t>
      </w:r>
      <w:r>
        <w:rPr>
          <w:rFonts w:hint="eastAsia" w:asciiTheme="minorEastAsia" w:hAnsiTheme="minorEastAsia" w:eastAsiaTheme="minorEastAsia"/>
          <w:bCs/>
          <w:sz w:val="24"/>
          <w:szCs w:val="20"/>
          <w:highlight w:val="none"/>
        </w:rPr>
        <w:t>藻泥产出</w:t>
      </w:r>
      <w:r>
        <w:rPr>
          <w:rFonts w:hint="eastAsia" w:ascii="宋体" w:hAnsi="宋体"/>
          <w:bCs/>
          <w:sz w:val="24"/>
          <w:szCs w:val="20"/>
          <w:highlight w:val="none"/>
        </w:rPr>
        <w:t xml:space="preserve">为人民币（大写） </w:t>
      </w:r>
      <w:r>
        <w:rPr>
          <w:rFonts w:hint="eastAsia" w:ascii="宋体" w:hAnsi="宋体"/>
          <w:bCs/>
          <w:sz w:val="24"/>
          <w:szCs w:val="20"/>
          <w:highlight w:val="none"/>
          <w:u w:val="single"/>
        </w:rPr>
        <w:t xml:space="preserve">            </w:t>
      </w:r>
      <w:r>
        <w:rPr>
          <w:rFonts w:hint="eastAsia" w:ascii="宋体" w:hAnsi="宋体"/>
          <w:bCs/>
          <w:sz w:val="24"/>
          <w:szCs w:val="20"/>
          <w:highlight w:val="none"/>
        </w:rPr>
        <w:t>元整（RMB：</w:t>
      </w:r>
      <w:r>
        <w:rPr>
          <w:rFonts w:hint="eastAsia" w:ascii="宋体" w:hAnsi="宋体"/>
          <w:bCs/>
          <w:sz w:val="24"/>
          <w:szCs w:val="20"/>
          <w:highlight w:val="none"/>
          <w:u w:val="single"/>
        </w:rPr>
        <w:t xml:space="preserve">     </w:t>
      </w:r>
      <w:r>
        <w:rPr>
          <w:rFonts w:hint="eastAsia" w:ascii="宋体" w:hAnsi="宋体"/>
          <w:bCs/>
          <w:sz w:val="24"/>
          <w:szCs w:val="20"/>
          <w:highlight w:val="none"/>
        </w:rPr>
        <w:t>），固定单价，单价</w:t>
      </w:r>
      <w:r>
        <w:rPr>
          <w:rFonts w:hint="eastAsia" w:ascii="宋体" w:hAnsi="宋体"/>
          <w:bCs/>
          <w:sz w:val="24"/>
          <w:szCs w:val="20"/>
          <w:highlight w:val="none"/>
          <w:u w:val="single"/>
        </w:rPr>
        <w:t xml:space="preserve">        </w:t>
      </w:r>
      <w:r>
        <w:rPr>
          <w:rFonts w:hint="eastAsia" w:ascii="宋体" w:hAnsi="宋体"/>
          <w:bCs/>
          <w:sz w:val="24"/>
          <w:szCs w:val="20"/>
          <w:highlight w:val="none"/>
        </w:rPr>
        <w:t>元/吨</w:t>
      </w:r>
      <w:r>
        <w:rPr>
          <w:rFonts w:hint="eastAsia" w:ascii="宋体" w:hAnsi="宋体"/>
          <w:bCs/>
          <w:sz w:val="24"/>
          <w:szCs w:val="20"/>
          <w:highlight w:val="none"/>
          <w:lang w:eastAsia="zh-CN"/>
        </w:rPr>
        <w:t>，</w:t>
      </w:r>
      <w:r>
        <w:rPr>
          <w:rFonts w:hint="eastAsia" w:ascii="宋体" w:hAnsi="宋体"/>
          <w:bCs/>
          <w:sz w:val="24"/>
          <w:szCs w:val="20"/>
          <w:highlight w:val="none"/>
          <w:lang w:val="en-US" w:eastAsia="zh-CN"/>
        </w:rPr>
        <w:t>税金</w:t>
      </w:r>
      <w:r>
        <w:rPr>
          <w:rFonts w:hint="eastAsia" w:ascii="宋体" w:hAnsi="宋体"/>
          <w:bCs/>
          <w:sz w:val="24"/>
          <w:szCs w:val="20"/>
          <w:highlight w:val="none"/>
        </w:rPr>
        <w:t xml:space="preserve"> </w:t>
      </w:r>
      <w:r>
        <w:rPr>
          <w:rFonts w:hint="eastAsia" w:ascii="宋体" w:hAnsi="宋体"/>
          <w:bCs/>
          <w:sz w:val="24"/>
          <w:szCs w:val="20"/>
          <w:highlight w:val="none"/>
          <w:u w:val="single"/>
        </w:rPr>
        <w:t xml:space="preserve">          </w:t>
      </w:r>
      <w:r>
        <w:rPr>
          <w:rFonts w:hint="eastAsia" w:ascii="宋体" w:hAnsi="宋体"/>
          <w:bCs/>
          <w:sz w:val="24"/>
          <w:szCs w:val="20"/>
          <w:highlight w:val="none"/>
          <w:u w:val="single"/>
          <w:lang w:val="en-US" w:eastAsia="zh-CN"/>
        </w:rPr>
        <w:t>%</w:t>
      </w:r>
      <w:r>
        <w:rPr>
          <w:rFonts w:hint="eastAsia" w:ascii="宋体" w:hAnsi="宋体"/>
          <w:bCs/>
          <w:sz w:val="24"/>
          <w:szCs w:val="20"/>
          <w:highlight w:val="none"/>
        </w:rPr>
        <w:t>。</w:t>
      </w:r>
    </w:p>
    <w:p w14:paraId="71F82274">
      <w:pPr>
        <w:spacing w:line="336" w:lineRule="auto"/>
        <w:ind w:firstLine="480" w:firstLineChars="200"/>
        <w:jc w:val="left"/>
        <w:rPr>
          <w:rFonts w:ascii="宋体" w:hAnsi="宋体"/>
          <w:bCs/>
          <w:sz w:val="24"/>
          <w:szCs w:val="20"/>
          <w:highlight w:val="none"/>
        </w:rPr>
      </w:pPr>
      <w:r>
        <w:rPr>
          <w:rFonts w:hint="eastAsia" w:asciiTheme="minorEastAsia" w:hAnsiTheme="minorEastAsia" w:eastAsiaTheme="minorEastAsia"/>
          <w:bCs/>
          <w:sz w:val="24"/>
          <w:szCs w:val="20"/>
          <w:highlight w:val="none"/>
          <w:lang w:val="en-US" w:eastAsia="zh-CN"/>
        </w:rPr>
        <w:t>③</w:t>
      </w:r>
      <w:r>
        <w:rPr>
          <w:rFonts w:hint="eastAsia" w:asciiTheme="minorEastAsia" w:hAnsiTheme="minorEastAsia" w:eastAsiaTheme="minorEastAsia"/>
          <w:bCs/>
          <w:sz w:val="24"/>
          <w:szCs w:val="20"/>
          <w:highlight w:val="none"/>
        </w:rPr>
        <w:t>藻泥运输处置</w:t>
      </w:r>
      <w:r>
        <w:rPr>
          <w:rFonts w:hint="eastAsia" w:ascii="宋体" w:hAnsi="宋体"/>
          <w:bCs/>
          <w:sz w:val="24"/>
          <w:szCs w:val="20"/>
          <w:highlight w:val="none"/>
        </w:rPr>
        <w:t xml:space="preserve">为人民币（大写） </w:t>
      </w:r>
      <w:r>
        <w:rPr>
          <w:rFonts w:hint="eastAsia" w:ascii="宋体" w:hAnsi="宋体"/>
          <w:bCs/>
          <w:sz w:val="24"/>
          <w:szCs w:val="20"/>
          <w:highlight w:val="none"/>
          <w:u w:val="single"/>
        </w:rPr>
        <w:t xml:space="preserve">            </w:t>
      </w:r>
      <w:r>
        <w:rPr>
          <w:rFonts w:hint="eastAsia" w:ascii="宋体" w:hAnsi="宋体"/>
          <w:bCs/>
          <w:sz w:val="24"/>
          <w:szCs w:val="20"/>
          <w:highlight w:val="none"/>
        </w:rPr>
        <w:t>元整（RMB：</w:t>
      </w:r>
      <w:r>
        <w:rPr>
          <w:rFonts w:hint="eastAsia" w:ascii="宋体" w:hAnsi="宋体"/>
          <w:bCs/>
          <w:sz w:val="24"/>
          <w:szCs w:val="20"/>
          <w:highlight w:val="none"/>
          <w:u w:val="single"/>
        </w:rPr>
        <w:t xml:space="preserve">     </w:t>
      </w:r>
      <w:r>
        <w:rPr>
          <w:rFonts w:hint="eastAsia" w:ascii="宋体" w:hAnsi="宋体"/>
          <w:bCs/>
          <w:sz w:val="24"/>
          <w:szCs w:val="20"/>
          <w:highlight w:val="none"/>
        </w:rPr>
        <w:t>），固定单价，单价</w:t>
      </w:r>
      <w:r>
        <w:rPr>
          <w:rFonts w:hint="eastAsia" w:ascii="宋体" w:hAnsi="宋体"/>
          <w:bCs/>
          <w:sz w:val="24"/>
          <w:szCs w:val="20"/>
          <w:highlight w:val="none"/>
          <w:u w:val="single"/>
        </w:rPr>
        <w:t xml:space="preserve">       </w:t>
      </w:r>
      <w:r>
        <w:rPr>
          <w:rFonts w:hint="eastAsia" w:ascii="宋体" w:hAnsi="宋体"/>
          <w:bCs/>
          <w:sz w:val="24"/>
          <w:szCs w:val="20"/>
          <w:highlight w:val="none"/>
        </w:rPr>
        <w:t>元/吨</w:t>
      </w:r>
      <w:r>
        <w:rPr>
          <w:rFonts w:hint="eastAsia" w:ascii="宋体" w:hAnsi="宋体"/>
          <w:bCs/>
          <w:sz w:val="24"/>
          <w:szCs w:val="20"/>
          <w:highlight w:val="none"/>
          <w:lang w:eastAsia="zh-CN"/>
        </w:rPr>
        <w:t>，</w:t>
      </w:r>
      <w:r>
        <w:rPr>
          <w:rFonts w:hint="eastAsia" w:ascii="宋体" w:hAnsi="宋体"/>
          <w:bCs/>
          <w:sz w:val="24"/>
          <w:szCs w:val="20"/>
          <w:highlight w:val="none"/>
          <w:lang w:val="en-US" w:eastAsia="zh-CN"/>
        </w:rPr>
        <w:t>税金</w:t>
      </w:r>
      <w:r>
        <w:rPr>
          <w:rFonts w:hint="eastAsia" w:ascii="宋体" w:hAnsi="宋体"/>
          <w:bCs/>
          <w:sz w:val="24"/>
          <w:szCs w:val="20"/>
          <w:highlight w:val="none"/>
        </w:rPr>
        <w:t xml:space="preserve"> </w:t>
      </w:r>
      <w:r>
        <w:rPr>
          <w:rFonts w:hint="eastAsia" w:ascii="宋体" w:hAnsi="宋体"/>
          <w:bCs/>
          <w:sz w:val="24"/>
          <w:szCs w:val="20"/>
          <w:highlight w:val="none"/>
          <w:u w:val="single"/>
        </w:rPr>
        <w:t xml:space="preserve">          </w:t>
      </w:r>
      <w:r>
        <w:rPr>
          <w:rFonts w:hint="eastAsia" w:ascii="宋体" w:hAnsi="宋体"/>
          <w:bCs/>
          <w:sz w:val="24"/>
          <w:szCs w:val="20"/>
          <w:highlight w:val="none"/>
          <w:u w:val="single"/>
          <w:lang w:val="en-US" w:eastAsia="zh-CN"/>
        </w:rPr>
        <w:t>%</w:t>
      </w:r>
      <w:r>
        <w:rPr>
          <w:rFonts w:hint="eastAsia" w:ascii="宋体" w:hAnsi="宋体"/>
          <w:bCs/>
          <w:sz w:val="24"/>
          <w:szCs w:val="20"/>
          <w:highlight w:val="none"/>
        </w:rPr>
        <w:t>。</w:t>
      </w:r>
    </w:p>
    <w:p w14:paraId="65EF9725">
      <w:pPr>
        <w:spacing w:line="336" w:lineRule="auto"/>
        <w:ind w:firstLine="480" w:firstLineChars="200"/>
        <w:jc w:val="left"/>
        <w:rPr>
          <w:rFonts w:asciiTheme="minorEastAsia" w:hAnsiTheme="minorEastAsia" w:eastAsiaTheme="minorEastAsia"/>
          <w:bCs/>
          <w:sz w:val="24"/>
          <w:szCs w:val="20"/>
          <w:highlight w:val="none"/>
        </w:rPr>
      </w:pPr>
      <w:r>
        <w:rPr>
          <w:rFonts w:hint="eastAsia" w:ascii="宋体" w:hAnsi="宋体"/>
          <w:bCs/>
          <w:sz w:val="24"/>
          <w:szCs w:val="20"/>
          <w:highlight w:val="none"/>
        </w:rPr>
        <w:t>上述合同总价应包括完成藻水分离船运行项目的所有内容（包括完成本合同所需劳务、管理、利润</w:t>
      </w:r>
      <w:r>
        <w:rPr>
          <w:rFonts w:hint="eastAsia" w:asciiTheme="minorEastAsia" w:hAnsiTheme="minorEastAsia" w:eastAsiaTheme="minorEastAsia"/>
          <w:bCs/>
          <w:sz w:val="24"/>
          <w:szCs w:val="20"/>
          <w:highlight w:val="none"/>
        </w:rPr>
        <w:t>、税金、政策性文件规定合同包含的所有风险、责任等各项应有费用）。结算时，固定价格不作任何调整，单价详见投标文件</w:t>
      </w:r>
    </w:p>
    <w:p w14:paraId="45AB71C8">
      <w:pPr>
        <w:spacing w:line="336" w:lineRule="auto"/>
        <w:ind w:firstLine="480" w:firstLineChars="200"/>
        <w:jc w:val="left"/>
        <w:rPr>
          <w:rFonts w:asciiTheme="minorEastAsia" w:hAnsiTheme="minorEastAsia" w:eastAsiaTheme="minorEastAsia"/>
          <w:bCs/>
          <w:sz w:val="24"/>
          <w:szCs w:val="20"/>
          <w:highlight w:val="none"/>
        </w:rPr>
      </w:pPr>
      <w:r>
        <w:rPr>
          <w:rFonts w:hint="eastAsia" w:asciiTheme="minorEastAsia" w:hAnsiTheme="minorEastAsia" w:eastAsiaTheme="minorEastAsia"/>
          <w:bCs/>
          <w:sz w:val="24"/>
          <w:szCs w:val="20"/>
          <w:highlight w:val="none"/>
        </w:rPr>
        <w:t>2、付款方式：</w:t>
      </w:r>
    </w:p>
    <w:p w14:paraId="65F96CFB">
      <w:pPr>
        <w:spacing w:line="336" w:lineRule="auto"/>
        <w:ind w:firstLine="480" w:firstLineChars="200"/>
        <w:jc w:val="left"/>
        <w:rPr>
          <w:rFonts w:asciiTheme="minorEastAsia" w:hAnsiTheme="minorEastAsia" w:eastAsiaTheme="minorEastAsia"/>
          <w:bCs/>
          <w:sz w:val="24"/>
          <w:szCs w:val="20"/>
          <w:highlight w:val="none"/>
        </w:rPr>
      </w:pPr>
      <w:r>
        <w:rPr>
          <w:rFonts w:hint="eastAsia" w:asciiTheme="minorEastAsia" w:hAnsiTheme="minorEastAsia" w:eastAsiaTheme="minorEastAsia"/>
          <w:bCs/>
          <w:sz w:val="24"/>
          <w:szCs w:val="20"/>
          <w:highlight w:val="none"/>
        </w:rPr>
        <w:t>1）分离船运行管理价款支付在合同服务期结束后一次性付清</w:t>
      </w:r>
    </w:p>
    <w:p w14:paraId="3383A05E">
      <w:pPr>
        <w:spacing w:line="336" w:lineRule="auto"/>
        <w:ind w:firstLine="480" w:firstLineChars="200"/>
        <w:jc w:val="left"/>
        <w:rPr>
          <w:rFonts w:asciiTheme="minorEastAsia" w:hAnsiTheme="minorEastAsia" w:eastAsiaTheme="minorEastAsia"/>
          <w:bCs/>
          <w:sz w:val="24"/>
          <w:szCs w:val="20"/>
          <w:highlight w:val="none"/>
        </w:rPr>
      </w:pPr>
      <w:r>
        <w:rPr>
          <w:rFonts w:hint="eastAsia" w:asciiTheme="minorEastAsia" w:hAnsiTheme="minorEastAsia" w:eastAsiaTheme="minorEastAsia"/>
          <w:bCs/>
          <w:sz w:val="24"/>
          <w:szCs w:val="20"/>
          <w:highlight w:val="none"/>
        </w:rPr>
        <w:t>2）藻泥产出及运输处置价款支付分2次支付，包括第一年运行期结束及合同服务期结束。</w:t>
      </w:r>
    </w:p>
    <w:p w14:paraId="2F177353">
      <w:pPr>
        <w:spacing w:line="336" w:lineRule="auto"/>
        <w:ind w:firstLine="480" w:firstLineChars="200"/>
        <w:jc w:val="left"/>
        <w:rPr>
          <w:rFonts w:asciiTheme="minorEastAsia" w:hAnsiTheme="minorEastAsia" w:eastAsiaTheme="minorEastAsia"/>
          <w:bCs/>
          <w:sz w:val="24"/>
          <w:szCs w:val="20"/>
          <w:highlight w:val="none"/>
        </w:rPr>
      </w:pPr>
      <w:r>
        <w:rPr>
          <w:rFonts w:hint="eastAsia" w:asciiTheme="minorEastAsia" w:hAnsiTheme="minorEastAsia" w:eastAsiaTheme="minorEastAsia"/>
          <w:bCs/>
          <w:sz w:val="24"/>
          <w:szCs w:val="20"/>
          <w:highlight w:val="none"/>
        </w:rPr>
        <w:t>3）价款支付满足上述条件后由受托人上报运行情况，进行费用申报。委托人根据检测结果进行考核结算。其中藻泥产出及运输处置价款若受托人当次所产藻泥平均含水率高于90%，则根据超标的百分比于当次支付藻泥产出及运输处置价款费用内同比例进行核减。</w:t>
      </w:r>
    </w:p>
    <w:p w14:paraId="05540F3F">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3、人员要求</w:t>
      </w:r>
    </w:p>
    <w:p w14:paraId="25309300">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1）主运行期：2藻水分离船岗位配置人数不少于11人；</w:t>
      </w:r>
    </w:p>
    <w:p w14:paraId="7421E17D">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2）非主运行期：2藻水分离船岗位配置人数不少于4人；</w:t>
      </w:r>
    </w:p>
    <w:p w14:paraId="10A7F8E1">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3）冬歇期：2藻水分离船岗位配置人数不少于2人；</w:t>
      </w:r>
    </w:p>
    <w:p w14:paraId="0B287CBB">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4）运行期内委托人会对2艘移动藻水分离船在岗运维服务人数进行核查，若人员不满足要求将按500元/天*人对受托人处罚。</w:t>
      </w:r>
    </w:p>
    <w:p w14:paraId="2E8CE13F">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4、本合同范围内合格</w:t>
      </w:r>
      <w:r>
        <w:rPr>
          <w:rFonts w:hint="eastAsia" w:asciiTheme="minorEastAsia" w:hAnsiTheme="minorEastAsia" w:eastAsiaTheme="minorEastAsia"/>
          <w:bCs/>
          <w:sz w:val="24"/>
          <w:szCs w:val="20"/>
          <w:highlight w:val="none"/>
        </w:rPr>
        <w:t>藻泥产出及运输处置为5000t，若藻泥产量超出</w:t>
      </w:r>
      <w:r>
        <w:rPr>
          <w:rFonts w:hint="eastAsia" w:ascii="宋体" w:hAnsi="宋体"/>
          <w:bCs/>
          <w:sz w:val="24"/>
          <w:szCs w:val="20"/>
          <w:highlight w:val="none"/>
        </w:rPr>
        <w:t>合同范围，</w:t>
      </w:r>
      <w:r>
        <w:rPr>
          <w:rFonts w:hint="eastAsia" w:asciiTheme="minorEastAsia" w:hAnsiTheme="minorEastAsia" w:eastAsiaTheme="minorEastAsia"/>
          <w:bCs/>
          <w:sz w:val="24"/>
          <w:szCs w:val="20"/>
          <w:highlight w:val="none"/>
        </w:rPr>
        <w:t>超出部分需</w:t>
      </w:r>
      <w:r>
        <w:rPr>
          <w:rFonts w:hint="eastAsia" w:ascii="宋体" w:hAnsi="宋体"/>
          <w:sz w:val="24"/>
          <w:highlight w:val="none"/>
        </w:rPr>
        <w:t>双方协商另行订立补充协议。</w:t>
      </w:r>
    </w:p>
    <w:p w14:paraId="10C9F29F">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5、如受托人因安全生产、质量管理、财务管理等问题发生被省、市职能部门通报现象的，受托人应承担相应法律责任。</w:t>
      </w:r>
    </w:p>
    <w:p w14:paraId="6437DC18">
      <w:pPr>
        <w:pStyle w:val="277"/>
        <w:spacing w:line="400" w:lineRule="exact"/>
        <w:ind w:firstLine="482"/>
        <w:rPr>
          <w:rFonts w:hAnsi="宋体" w:cs="宋体"/>
          <w:b/>
          <w:sz w:val="24"/>
          <w:szCs w:val="24"/>
          <w:highlight w:val="none"/>
        </w:rPr>
      </w:pPr>
      <w:r>
        <w:rPr>
          <w:rFonts w:hint="eastAsia" w:hAnsi="宋体"/>
          <w:b/>
          <w:bCs/>
          <w:sz w:val="24"/>
          <w:szCs w:val="20"/>
          <w:highlight w:val="none"/>
        </w:rPr>
        <w:t>五、</w:t>
      </w:r>
      <w:r>
        <w:rPr>
          <w:rFonts w:hint="eastAsia" w:hAnsi="宋体" w:cs="宋体"/>
          <w:b/>
          <w:sz w:val="24"/>
          <w:szCs w:val="24"/>
          <w:highlight w:val="none"/>
        </w:rPr>
        <w:t>项目验收</w:t>
      </w:r>
    </w:p>
    <w:p w14:paraId="53CDDE29">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10.1 甲方依法组织履约验收工作。</w:t>
      </w:r>
    </w:p>
    <w:p w14:paraId="5A4F36A6">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06BCB1B">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10.3 对于实际使用人和甲方分离的项目，甲方邀请实际使用人参与验收。</w:t>
      </w:r>
    </w:p>
    <w:p w14:paraId="6D48FA95">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10.4如有必要，甲方邀请参加本项目的其他供应商或第三方专业机构及专家参与验收，相关意见将作为验收书的参考资料。</w:t>
      </w:r>
    </w:p>
    <w:p w14:paraId="7B95E81F">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365A852">
      <w:pPr>
        <w:spacing w:line="336" w:lineRule="auto"/>
        <w:ind w:firstLine="480" w:firstLineChars="200"/>
        <w:jc w:val="left"/>
        <w:rPr>
          <w:rFonts w:ascii="宋体" w:hAnsi="宋体"/>
          <w:b/>
          <w:bCs/>
          <w:sz w:val="24"/>
          <w:szCs w:val="20"/>
          <w:highlight w:val="none"/>
        </w:rPr>
      </w:pPr>
      <w:r>
        <w:rPr>
          <w:rFonts w:hint="eastAsia" w:ascii="宋体" w:hAnsi="宋体"/>
          <w:bCs/>
          <w:sz w:val="24"/>
          <w:szCs w:val="20"/>
          <w:highlight w:val="none"/>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2CC9FA75">
      <w:pPr>
        <w:spacing w:line="336" w:lineRule="auto"/>
        <w:ind w:firstLine="482" w:firstLineChars="200"/>
        <w:jc w:val="left"/>
        <w:rPr>
          <w:rFonts w:ascii="宋体" w:hAnsi="宋体"/>
          <w:b/>
          <w:bCs/>
          <w:sz w:val="24"/>
          <w:szCs w:val="20"/>
          <w:highlight w:val="none"/>
        </w:rPr>
      </w:pPr>
      <w:r>
        <w:rPr>
          <w:rFonts w:hint="eastAsia" w:ascii="宋体" w:hAnsi="宋体"/>
          <w:b/>
          <w:bCs/>
          <w:sz w:val="24"/>
          <w:szCs w:val="20"/>
          <w:highlight w:val="none"/>
        </w:rPr>
        <w:t>六、违约和争议的解决</w:t>
      </w:r>
    </w:p>
    <w:p w14:paraId="71784914">
      <w:pPr>
        <w:spacing w:line="336" w:lineRule="auto"/>
        <w:ind w:firstLine="480" w:firstLineChars="200"/>
        <w:rPr>
          <w:rFonts w:ascii="宋体" w:hAnsi="宋体"/>
          <w:sz w:val="24"/>
          <w:highlight w:val="none"/>
        </w:rPr>
      </w:pPr>
      <w:r>
        <w:rPr>
          <w:rFonts w:hint="eastAsia" w:ascii="宋体" w:hAnsi="宋体"/>
          <w:sz w:val="24"/>
          <w:highlight w:val="none"/>
        </w:rPr>
        <w:t>1、由于一方违约造成的损失，由违约方承担赔偿责任，另一方要求违约方继续履行合同时，违约方承担上述违约责任后仍应继续履行合同。</w:t>
      </w:r>
    </w:p>
    <w:p w14:paraId="7ED8A5DE">
      <w:pPr>
        <w:spacing w:line="336" w:lineRule="auto"/>
        <w:rPr>
          <w:rFonts w:ascii="宋体" w:hAnsi="宋体"/>
          <w:sz w:val="24"/>
          <w:highlight w:val="none"/>
        </w:rPr>
      </w:pPr>
      <w:r>
        <w:rPr>
          <w:rFonts w:hint="eastAsia" w:ascii="宋体" w:hAnsi="宋体"/>
          <w:sz w:val="24"/>
          <w:highlight w:val="none"/>
        </w:rPr>
        <w:t>2、由于违约造成第三方损失的，相关赔偿责任均由违约方承担。</w:t>
      </w:r>
    </w:p>
    <w:p w14:paraId="19ECBBCF">
      <w:pPr>
        <w:spacing w:line="336" w:lineRule="auto"/>
        <w:ind w:firstLine="480" w:firstLineChars="200"/>
        <w:rPr>
          <w:rFonts w:ascii="宋体" w:hAnsi="宋体"/>
          <w:sz w:val="24"/>
          <w:highlight w:val="none"/>
        </w:rPr>
      </w:pPr>
      <w:r>
        <w:rPr>
          <w:rFonts w:hint="eastAsia" w:ascii="宋体" w:hAnsi="宋体"/>
          <w:sz w:val="24"/>
          <w:highlight w:val="none"/>
        </w:rPr>
        <w:t>3、合同双方在合同履行期间发生争议时，可以和解或者要求有关主管部门调解。一方不愿和解、调解或者和解、调解不成的，双方可以选择（□向无锡仲裁委员会申请仲裁/</w:t>
      </w:r>
      <w:r>
        <w:rPr>
          <w:rFonts w:hint="eastAsia" w:ascii="MS Mincho" w:hAnsi="MS Mincho" w:eastAsia="MS Mincho" w:cs="MS Mincho"/>
          <w:sz w:val="24"/>
          <w:highlight w:val="none"/>
        </w:rPr>
        <w:t>☑</w:t>
      </w:r>
      <w:r>
        <w:rPr>
          <w:rFonts w:hint="eastAsia" w:ascii="宋体" w:hAnsi="宋体"/>
          <w:sz w:val="24"/>
          <w:highlight w:val="none"/>
        </w:rPr>
        <w:t>向委托人所在地的人民法院起诉）方式解决争议：</w:t>
      </w:r>
    </w:p>
    <w:p w14:paraId="469DE463">
      <w:pPr>
        <w:spacing w:line="336" w:lineRule="auto"/>
        <w:ind w:firstLine="482" w:firstLineChars="200"/>
        <w:jc w:val="left"/>
        <w:rPr>
          <w:rFonts w:ascii="宋体" w:hAnsi="宋体"/>
          <w:b/>
          <w:bCs/>
          <w:sz w:val="24"/>
          <w:szCs w:val="20"/>
          <w:highlight w:val="none"/>
        </w:rPr>
      </w:pPr>
      <w:r>
        <w:rPr>
          <w:rFonts w:hint="eastAsia" w:ascii="宋体" w:hAnsi="宋体"/>
          <w:b/>
          <w:bCs/>
          <w:sz w:val="24"/>
          <w:szCs w:val="20"/>
          <w:highlight w:val="none"/>
        </w:rPr>
        <w:t>七、合同生效</w:t>
      </w:r>
    </w:p>
    <w:p w14:paraId="11BF19F4">
      <w:pPr>
        <w:spacing w:line="336" w:lineRule="auto"/>
        <w:ind w:firstLine="480" w:firstLineChars="200"/>
        <w:jc w:val="left"/>
        <w:rPr>
          <w:rFonts w:ascii="宋体" w:hAnsi="宋体"/>
          <w:bCs/>
          <w:sz w:val="24"/>
          <w:szCs w:val="20"/>
          <w:highlight w:val="none"/>
        </w:rPr>
      </w:pPr>
      <w:r>
        <w:rPr>
          <w:rFonts w:hint="eastAsia" w:ascii="宋体" w:hAnsi="宋体"/>
          <w:bCs/>
          <w:sz w:val="24"/>
          <w:highlight w:val="none"/>
        </w:rPr>
        <w:t>本合同自</w:t>
      </w:r>
      <w:r>
        <w:rPr>
          <w:rFonts w:hint="eastAsia" w:ascii="宋体" w:hAnsi="宋体"/>
          <w:bCs/>
          <w:sz w:val="24"/>
          <w:szCs w:val="20"/>
          <w:highlight w:val="none"/>
        </w:rPr>
        <w:t>鉴证单位见证后</w:t>
      </w:r>
      <w:r>
        <w:rPr>
          <w:rFonts w:hint="eastAsia" w:ascii="宋体" w:hAnsi="宋体"/>
          <w:bCs/>
          <w:sz w:val="24"/>
          <w:highlight w:val="none"/>
        </w:rPr>
        <w:t>生效</w:t>
      </w:r>
    </w:p>
    <w:p w14:paraId="55BB4802">
      <w:pPr>
        <w:spacing w:line="336" w:lineRule="auto"/>
        <w:ind w:firstLine="482" w:firstLineChars="200"/>
        <w:jc w:val="left"/>
        <w:rPr>
          <w:rFonts w:ascii="宋体" w:hAnsi="宋体"/>
          <w:b/>
          <w:bCs/>
          <w:sz w:val="24"/>
          <w:szCs w:val="20"/>
          <w:highlight w:val="none"/>
        </w:rPr>
      </w:pPr>
      <w:r>
        <w:rPr>
          <w:rFonts w:hint="eastAsia" w:ascii="宋体" w:hAnsi="宋体"/>
          <w:b/>
          <w:bCs/>
          <w:sz w:val="24"/>
          <w:szCs w:val="20"/>
          <w:highlight w:val="none"/>
        </w:rPr>
        <w:t>八、</w:t>
      </w:r>
      <w:r>
        <w:rPr>
          <w:rFonts w:hint="eastAsia" w:ascii="宋体" w:hAnsi="宋体"/>
          <w:b/>
          <w:bCs/>
          <w:sz w:val="24"/>
          <w:highlight w:val="none"/>
        </w:rPr>
        <w:t>合同份数</w:t>
      </w:r>
    </w:p>
    <w:p w14:paraId="0FAD76E4">
      <w:pPr>
        <w:spacing w:line="336" w:lineRule="auto"/>
        <w:ind w:firstLine="480" w:firstLineChars="200"/>
        <w:jc w:val="left"/>
        <w:rPr>
          <w:rFonts w:ascii="宋体" w:hAnsi="宋体"/>
          <w:bCs/>
          <w:sz w:val="24"/>
          <w:szCs w:val="20"/>
          <w:highlight w:val="none"/>
        </w:rPr>
      </w:pPr>
      <w:r>
        <w:rPr>
          <w:rFonts w:hint="eastAsia" w:ascii="宋体" w:hAnsi="宋体"/>
          <w:bCs/>
          <w:sz w:val="24"/>
          <w:highlight w:val="none"/>
        </w:rPr>
        <w:t>本合同一式伍份，均具有同等法律效力，委托人执贰份，受托人执贰份，</w:t>
      </w:r>
      <w:r>
        <w:rPr>
          <w:rFonts w:hint="eastAsia" w:ascii="宋体" w:hAnsi="宋体"/>
          <w:bCs/>
          <w:sz w:val="24"/>
          <w:szCs w:val="20"/>
          <w:highlight w:val="none"/>
        </w:rPr>
        <w:t>见证单位</w:t>
      </w:r>
      <w:r>
        <w:rPr>
          <w:rFonts w:hint="eastAsia" w:ascii="宋体" w:hAnsi="宋体"/>
          <w:bCs/>
          <w:sz w:val="24"/>
          <w:highlight w:val="none"/>
        </w:rPr>
        <w:t>执壹份。</w:t>
      </w:r>
    </w:p>
    <w:p w14:paraId="6F46B433">
      <w:pPr>
        <w:spacing w:line="336" w:lineRule="auto"/>
        <w:ind w:firstLine="480" w:firstLineChars="200"/>
        <w:jc w:val="left"/>
        <w:rPr>
          <w:rFonts w:ascii="宋体" w:hAnsi="宋体"/>
          <w:bCs/>
          <w:sz w:val="24"/>
          <w:szCs w:val="20"/>
          <w:highlight w:val="none"/>
        </w:rPr>
      </w:pPr>
    </w:p>
    <w:p w14:paraId="0EA95AF9">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 xml:space="preserve">委托人：                 受托人： </w:t>
      </w:r>
    </w:p>
    <w:p w14:paraId="2C4C6106">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 xml:space="preserve">法人或授权代表签字：   法人或授权代表签字： </w:t>
      </w:r>
    </w:p>
    <w:p w14:paraId="55CAEBFA">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 xml:space="preserve">  年   月    日            年   月    日</w:t>
      </w:r>
    </w:p>
    <w:p w14:paraId="619C224C">
      <w:pPr>
        <w:spacing w:line="336" w:lineRule="auto"/>
        <w:ind w:firstLine="480" w:firstLineChars="200"/>
        <w:jc w:val="left"/>
        <w:rPr>
          <w:rFonts w:ascii="宋体" w:hAnsi="宋体"/>
          <w:bCs/>
          <w:sz w:val="24"/>
          <w:szCs w:val="20"/>
          <w:highlight w:val="none"/>
        </w:rPr>
      </w:pPr>
    </w:p>
    <w:p w14:paraId="7E5BB0E7">
      <w:pPr>
        <w:spacing w:line="336" w:lineRule="auto"/>
        <w:ind w:firstLine="480" w:firstLineChars="200"/>
        <w:jc w:val="left"/>
        <w:rPr>
          <w:rFonts w:ascii="宋体" w:hAnsi="宋体"/>
          <w:bCs/>
          <w:sz w:val="24"/>
          <w:szCs w:val="20"/>
          <w:highlight w:val="none"/>
        </w:rPr>
      </w:pPr>
      <w:r>
        <w:rPr>
          <w:rFonts w:hint="eastAsia" w:ascii="宋体" w:hAnsi="宋体"/>
          <w:bCs/>
          <w:sz w:val="24"/>
          <w:szCs w:val="20"/>
          <w:highlight w:val="none"/>
        </w:rPr>
        <w:t>见证单位：</w:t>
      </w:r>
    </w:p>
    <w:p w14:paraId="43CA7DD5">
      <w:pPr>
        <w:pStyle w:val="15"/>
        <w:ind w:firstLine="480" w:firstLineChars="200"/>
        <w:rPr>
          <w:highlight w:val="none"/>
        </w:rPr>
      </w:pPr>
      <w:r>
        <w:rPr>
          <w:rFonts w:hint="eastAsia" w:ascii="宋体" w:hAnsi="宋体"/>
          <w:bCs/>
          <w:sz w:val="24"/>
          <w:szCs w:val="20"/>
          <w:highlight w:val="none"/>
        </w:rPr>
        <w:t>年   月    日</w:t>
      </w:r>
    </w:p>
    <w:p w14:paraId="65BB3215">
      <w:pPr>
        <w:rPr>
          <w:highlight w:val="none"/>
        </w:rPr>
      </w:pPr>
    </w:p>
    <w:p w14:paraId="78DF99D2">
      <w:pPr>
        <w:spacing w:line="360" w:lineRule="auto"/>
        <w:ind w:firstLine="480" w:firstLineChars="200"/>
        <w:jc w:val="left"/>
        <w:rPr>
          <w:rFonts w:ascii="宋体" w:hAnsi="宋体"/>
          <w:bCs/>
          <w:kern w:val="2"/>
          <w:sz w:val="24"/>
          <w:szCs w:val="20"/>
          <w:highlight w:val="none"/>
        </w:rPr>
      </w:pPr>
    </w:p>
    <w:p w14:paraId="7BD55CCB">
      <w:pPr>
        <w:rPr>
          <w:rFonts w:ascii="黑体" w:hAnsi="宋体" w:eastAsia="黑体"/>
          <w:b/>
          <w:bCs/>
          <w:sz w:val="28"/>
          <w:szCs w:val="28"/>
          <w:highlight w:val="none"/>
        </w:rPr>
      </w:pPr>
      <w:r>
        <w:rPr>
          <w:rFonts w:hint="eastAsia" w:ascii="黑体" w:hAnsi="宋体" w:eastAsia="黑体"/>
          <w:b/>
          <w:bCs/>
          <w:sz w:val="28"/>
          <w:szCs w:val="28"/>
          <w:highlight w:val="none"/>
        </w:rPr>
        <w:br w:type="page"/>
      </w:r>
    </w:p>
    <w:p w14:paraId="0902B4C1">
      <w:pPr>
        <w:spacing w:line="360" w:lineRule="auto"/>
        <w:ind w:firstLine="482"/>
        <w:jc w:val="center"/>
        <w:rPr>
          <w:rFonts w:ascii="黑体" w:hAnsi="宋体" w:eastAsia="黑体"/>
          <w:b/>
          <w:bCs/>
          <w:sz w:val="28"/>
          <w:szCs w:val="28"/>
          <w:highlight w:val="none"/>
        </w:rPr>
      </w:pPr>
      <w:r>
        <w:rPr>
          <w:rFonts w:hint="eastAsia" w:ascii="黑体" w:hAnsi="宋体" w:eastAsia="黑体"/>
          <w:b/>
          <w:bCs/>
          <w:sz w:val="28"/>
          <w:szCs w:val="28"/>
          <w:highlight w:val="none"/>
        </w:rPr>
        <w:t>安全生产协议</w:t>
      </w:r>
    </w:p>
    <w:p w14:paraId="4F3D50EC">
      <w:pPr>
        <w:spacing w:line="360" w:lineRule="auto"/>
        <w:rPr>
          <w:rFonts w:ascii="宋体" w:hAnsi="宋体"/>
          <w:bCs/>
          <w:sz w:val="24"/>
          <w:highlight w:val="none"/>
        </w:rPr>
      </w:pPr>
    </w:p>
    <w:p w14:paraId="59142254">
      <w:pPr>
        <w:spacing w:line="360" w:lineRule="auto"/>
        <w:rPr>
          <w:rFonts w:ascii="宋体" w:hAnsi="宋体"/>
          <w:bCs/>
          <w:sz w:val="24"/>
          <w:highlight w:val="none"/>
        </w:rPr>
      </w:pPr>
      <w:r>
        <w:rPr>
          <w:rFonts w:hint="eastAsia" w:ascii="宋体" w:hAnsi="宋体"/>
          <w:bCs/>
          <w:sz w:val="24"/>
          <w:highlight w:val="none"/>
        </w:rPr>
        <w:t>甲方：无锡市河湖治理和水资源管理中心</w:t>
      </w:r>
    </w:p>
    <w:p w14:paraId="1C73AA48">
      <w:pPr>
        <w:tabs>
          <w:tab w:val="left" w:pos="2500"/>
        </w:tabs>
        <w:spacing w:line="360" w:lineRule="auto"/>
        <w:rPr>
          <w:rFonts w:ascii="宋体" w:hAnsi="宋体"/>
          <w:bCs/>
          <w:sz w:val="24"/>
          <w:highlight w:val="none"/>
        </w:rPr>
      </w:pPr>
      <w:r>
        <w:rPr>
          <w:rFonts w:hint="eastAsia" w:ascii="宋体" w:hAnsi="宋体"/>
          <w:bCs/>
          <w:sz w:val="24"/>
          <w:highlight w:val="none"/>
        </w:rPr>
        <w:t xml:space="preserve">乙方： </w:t>
      </w:r>
    </w:p>
    <w:p w14:paraId="56EFF7B9">
      <w:pPr>
        <w:spacing w:line="360" w:lineRule="auto"/>
        <w:ind w:firstLine="480" w:firstLineChars="200"/>
        <w:rPr>
          <w:rFonts w:ascii="宋体" w:hAnsi="宋体" w:cs="宋体"/>
          <w:bCs/>
          <w:sz w:val="24"/>
          <w:highlight w:val="none"/>
        </w:rPr>
      </w:pPr>
      <w:r>
        <w:rPr>
          <w:rFonts w:hint="eastAsia" w:ascii="宋体" w:hAnsi="宋体" w:cs="宋体"/>
          <w:bCs/>
          <w:sz w:val="24"/>
          <w:highlight w:val="none"/>
        </w:rPr>
        <w:t>为认真贯彻“安全第一，预防为主”的方针，加强建设项目施工现场安全生产管理，确保不发生伤亡事故及双方的利益不受损害，依照《中华人民共和国安全生产法》、《中华人民共和国劳动法》、《建设工程安全生产管理条例》、《江苏省建设工程施工现场管理办法》等有关规定，双方本着平等、自愿的原则，签订本协议。</w:t>
      </w:r>
    </w:p>
    <w:p w14:paraId="61943B22">
      <w:pPr>
        <w:pStyle w:val="272"/>
        <w:spacing w:line="360" w:lineRule="auto"/>
        <w:ind w:left="0"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为确保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顺利完成，</w:t>
      </w:r>
      <w:r>
        <w:rPr>
          <w:rFonts w:hint="eastAsia" w:ascii="宋体" w:hAnsi="宋体" w:eastAsia="宋体" w:cs="宋体"/>
          <w:sz w:val="24"/>
          <w:szCs w:val="24"/>
          <w:highlight w:val="none"/>
          <w:u w:val="single"/>
        </w:rPr>
        <w:t xml:space="preserve"> 无锡市河湖治理和水资源管理中心 </w:t>
      </w:r>
      <w:r>
        <w:rPr>
          <w:rFonts w:hint="eastAsia" w:ascii="宋体" w:hAnsi="宋体" w:eastAsia="宋体" w:cs="宋体"/>
          <w:sz w:val="24"/>
          <w:szCs w:val="24"/>
          <w:highlight w:val="none"/>
        </w:rPr>
        <w:t>（业主）特与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（承包人）签订安全生产责任状：</w:t>
      </w:r>
    </w:p>
    <w:p w14:paraId="133C43A6">
      <w:pPr>
        <w:spacing w:line="360" w:lineRule="auto"/>
        <w:ind w:firstLine="480" w:firstLineChars="200"/>
        <w:rPr>
          <w:rFonts w:ascii="宋体" w:hAnsi="宋体" w:cs="宋体"/>
          <w:sz w:val="24"/>
          <w:highlight w:val="none"/>
        </w:rPr>
      </w:pPr>
      <w:r>
        <w:rPr>
          <w:rFonts w:hint="eastAsia" w:ascii="宋体" w:hAnsi="宋体" w:cs="宋体"/>
          <w:sz w:val="24"/>
          <w:highlight w:val="none"/>
        </w:rPr>
        <w:t>一、承包人必须依法依规组织生产经营，严格落实企业安全生产主体责任，建立覆盖全员的安全生产责任制。</w:t>
      </w:r>
    </w:p>
    <w:p w14:paraId="0CE89605">
      <w:pPr>
        <w:spacing w:line="360" w:lineRule="auto"/>
        <w:ind w:firstLine="480" w:firstLineChars="200"/>
        <w:rPr>
          <w:rFonts w:ascii="宋体" w:hAnsi="宋体" w:cs="宋体"/>
          <w:sz w:val="24"/>
          <w:highlight w:val="none"/>
        </w:rPr>
      </w:pPr>
      <w:r>
        <w:rPr>
          <w:rFonts w:hint="eastAsia" w:ascii="宋体" w:hAnsi="宋体" w:cs="宋体"/>
          <w:sz w:val="24"/>
          <w:highlight w:val="none"/>
        </w:rPr>
        <w:t>二、承包人必须坚决落实安全生产培训制度，现场必须配备专职安全员，项目经理、安全管理人员、特种作业人员一律经严格考核、持证上岗；施工人员必须全部经培训合格后上岗。</w:t>
      </w:r>
    </w:p>
    <w:p w14:paraId="5E41C416">
      <w:pPr>
        <w:spacing w:line="360" w:lineRule="auto"/>
        <w:ind w:firstLine="480" w:firstLineChars="200"/>
        <w:rPr>
          <w:rFonts w:ascii="宋体" w:hAnsi="宋体" w:cs="宋体"/>
          <w:sz w:val="24"/>
          <w:highlight w:val="none"/>
        </w:rPr>
      </w:pPr>
      <w:r>
        <w:rPr>
          <w:rFonts w:hint="eastAsia" w:ascii="宋体" w:hAnsi="宋体" w:cs="宋体"/>
          <w:sz w:val="24"/>
          <w:highlight w:val="none"/>
        </w:rPr>
        <w:t>三、承包人必须全面认知风险，辨识危险源，提高风险控制和应急处置能力。</w:t>
      </w:r>
    </w:p>
    <w:p w14:paraId="085DCCDC">
      <w:pPr>
        <w:spacing w:line="360" w:lineRule="auto"/>
        <w:ind w:firstLine="480" w:firstLineChars="200"/>
        <w:rPr>
          <w:rFonts w:ascii="宋体" w:hAnsi="宋体" w:cs="宋体"/>
          <w:sz w:val="24"/>
          <w:highlight w:val="none"/>
        </w:rPr>
      </w:pPr>
      <w:r>
        <w:rPr>
          <w:rFonts w:hint="eastAsia" w:ascii="宋体" w:hAnsi="宋体" w:cs="宋体"/>
          <w:sz w:val="24"/>
          <w:highlight w:val="none"/>
        </w:rPr>
        <w:t>四、承包人必须加强生产经营场所设备设施的安全设计、施工和安全防护，安全防范措施至少包括以下内容：</w:t>
      </w:r>
    </w:p>
    <w:p w14:paraId="7BA8260D">
      <w:pPr>
        <w:spacing w:line="360" w:lineRule="auto"/>
        <w:ind w:firstLine="480" w:firstLineChars="200"/>
        <w:rPr>
          <w:rFonts w:ascii="宋体" w:hAnsi="宋体" w:cs="宋体"/>
          <w:sz w:val="24"/>
          <w:highlight w:val="none"/>
        </w:rPr>
      </w:pPr>
      <w:r>
        <w:rPr>
          <w:rFonts w:hint="eastAsia" w:ascii="宋体" w:hAnsi="宋体" w:cs="宋体"/>
          <w:sz w:val="24"/>
          <w:highlight w:val="none"/>
        </w:rPr>
        <w:t>1、现场安全负责人应对施工机械、电气设备等定期进行安全检查，每周不少于一次，发现隐患及时处理。</w:t>
      </w:r>
    </w:p>
    <w:p w14:paraId="7D98F933">
      <w:pPr>
        <w:spacing w:line="360" w:lineRule="auto"/>
        <w:ind w:firstLine="480" w:firstLineChars="200"/>
        <w:rPr>
          <w:rFonts w:ascii="宋体" w:hAnsi="宋体" w:cs="宋体"/>
          <w:sz w:val="24"/>
          <w:highlight w:val="none"/>
        </w:rPr>
      </w:pPr>
      <w:r>
        <w:rPr>
          <w:rFonts w:hint="eastAsia" w:ascii="宋体" w:hAnsi="宋体" w:cs="宋体"/>
          <w:sz w:val="24"/>
          <w:highlight w:val="none"/>
        </w:rPr>
        <w:t>2、施工场地内必须配备消防器材等安全防护设备。</w:t>
      </w:r>
    </w:p>
    <w:p w14:paraId="5855FA5C">
      <w:pPr>
        <w:spacing w:line="360" w:lineRule="auto"/>
        <w:ind w:firstLine="480" w:firstLineChars="200"/>
        <w:rPr>
          <w:rFonts w:ascii="宋体" w:hAnsi="宋体" w:cs="宋体"/>
          <w:sz w:val="24"/>
          <w:highlight w:val="none"/>
        </w:rPr>
      </w:pPr>
      <w:r>
        <w:rPr>
          <w:rFonts w:hint="eastAsia" w:ascii="宋体" w:hAnsi="宋体" w:cs="宋体"/>
          <w:sz w:val="24"/>
          <w:highlight w:val="none"/>
        </w:rPr>
        <w:t>3、进入施工现场必须戴安全帽，不得赤膊、穿拖鞋，严禁酒后作业。</w:t>
      </w:r>
    </w:p>
    <w:p w14:paraId="29D09E88">
      <w:pPr>
        <w:spacing w:line="360" w:lineRule="auto"/>
        <w:ind w:firstLine="480" w:firstLineChars="200"/>
        <w:rPr>
          <w:rFonts w:ascii="宋体" w:hAnsi="宋体" w:cs="宋体"/>
          <w:sz w:val="24"/>
          <w:highlight w:val="none"/>
        </w:rPr>
      </w:pPr>
      <w:r>
        <w:rPr>
          <w:rFonts w:hint="eastAsia" w:ascii="宋体" w:hAnsi="宋体" w:cs="宋体"/>
          <w:sz w:val="24"/>
          <w:highlight w:val="none"/>
        </w:rPr>
        <w:t>4、严禁操作工无证上岗，操作工在作业时间内不准擅自离开工作岗位，严格执行操作规程。</w:t>
      </w:r>
    </w:p>
    <w:p w14:paraId="412E7AE2">
      <w:pPr>
        <w:spacing w:line="360" w:lineRule="auto"/>
        <w:ind w:firstLine="480" w:firstLineChars="200"/>
        <w:rPr>
          <w:rFonts w:ascii="宋体" w:hAnsi="宋体" w:cs="宋体"/>
          <w:sz w:val="24"/>
          <w:szCs w:val="22"/>
          <w:highlight w:val="none"/>
        </w:rPr>
      </w:pPr>
      <w:r>
        <w:rPr>
          <w:rFonts w:hint="eastAsia" w:ascii="宋体" w:hAnsi="宋体" w:cs="宋体"/>
          <w:sz w:val="24"/>
          <w:szCs w:val="22"/>
          <w:highlight w:val="none"/>
        </w:rPr>
        <w:t>5、承包人应注重用电安全，配备必要的漏电保护装置，严禁乱拉乱接，电气设备及架设的电线（缆）应有电力标记。雨天施工要加强防护措施，出现短期雷阵雨时应立即停工。</w:t>
      </w:r>
    </w:p>
    <w:p w14:paraId="3D241FB9">
      <w:pPr>
        <w:spacing w:line="360" w:lineRule="auto"/>
        <w:ind w:firstLine="480" w:firstLineChars="200"/>
        <w:rPr>
          <w:rFonts w:ascii="宋体" w:hAnsi="宋体" w:cs="宋体"/>
          <w:sz w:val="24"/>
          <w:szCs w:val="22"/>
          <w:highlight w:val="none"/>
        </w:rPr>
      </w:pPr>
      <w:r>
        <w:rPr>
          <w:rFonts w:hint="eastAsia" w:ascii="宋体" w:hAnsi="宋体" w:cs="宋体"/>
          <w:sz w:val="24"/>
          <w:szCs w:val="22"/>
          <w:highlight w:val="none"/>
        </w:rPr>
        <w:t>6、水上作业必须做好安全防护，否则，不得进行施工作业。</w:t>
      </w:r>
    </w:p>
    <w:p w14:paraId="2F7B1A65">
      <w:pPr>
        <w:spacing w:line="360" w:lineRule="auto"/>
        <w:ind w:firstLine="480" w:firstLineChars="200"/>
        <w:rPr>
          <w:rFonts w:ascii="宋体" w:hAnsi="宋体" w:cs="宋体"/>
          <w:sz w:val="24"/>
          <w:szCs w:val="22"/>
          <w:highlight w:val="none"/>
        </w:rPr>
      </w:pPr>
      <w:r>
        <w:rPr>
          <w:rFonts w:hint="eastAsia" w:ascii="宋体" w:hAnsi="宋体" w:cs="宋体"/>
          <w:sz w:val="24"/>
          <w:szCs w:val="22"/>
          <w:highlight w:val="none"/>
        </w:rPr>
        <w:t>五、承包人必须提供符合职业卫生条件的工作场所，为员工配备符合要求的劳动防护用品。</w:t>
      </w:r>
    </w:p>
    <w:p w14:paraId="5FBF73B0">
      <w:pPr>
        <w:spacing w:line="360" w:lineRule="auto"/>
        <w:ind w:firstLine="480" w:firstLineChars="200"/>
        <w:rPr>
          <w:rFonts w:ascii="宋体" w:hAnsi="宋体" w:cs="宋体"/>
          <w:sz w:val="24"/>
          <w:szCs w:val="22"/>
          <w:highlight w:val="none"/>
        </w:rPr>
      </w:pPr>
      <w:r>
        <w:rPr>
          <w:rFonts w:hint="eastAsia" w:ascii="宋体" w:hAnsi="宋体" w:cs="宋体"/>
          <w:sz w:val="24"/>
          <w:szCs w:val="22"/>
          <w:highlight w:val="none"/>
        </w:rPr>
        <w:t>六、承包人必须严格安全生产现场管理，执行岗位操作规程，坚决杜绝违章指挥、违规作业和违反劳动纪律行为。作业过程中发生的一切安全事故均由承包人承担责任和费用，并按相关程序规定上报。</w:t>
      </w:r>
    </w:p>
    <w:p w14:paraId="30F271B7">
      <w:pPr>
        <w:spacing w:line="360" w:lineRule="auto"/>
        <w:ind w:firstLine="480" w:firstLineChars="200"/>
        <w:rPr>
          <w:rFonts w:ascii="宋体" w:hAnsi="宋体" w:cs="宋体"/>
          <w:sz w:val="24"/>
          <w:highlight w:val="none"/>
        </w:rPr>
      </w:pPr>
      <w:r>
        <w:rPr>
          <w:rFonts w:hint="eastAsia" w:ascii="宋体" w:hAnsi="宋体" w:cs="宋体"/>
          <w:sz w:val="24"/>
          <w:highlight w:val="none"/>
        </w:rPr>
        <w:t>七、项目负责人、专职安全员必须坚守岗位，因故离开工地应报请业主同意，且指定好专人负责。</w:t>
      </w:r>
    </w:p>
    <w:p w14:paraId="2DA7516D">
      <w:pPr>
        <w:spacing w:line="360" w:lineRule="auto"/>
        <w:ind w:firstLine="480" w:firstLineChars="200"/>
        <w:rPr>
          <w:rFonts w:ascii="宋体" w:hAnsi="宋体" w:cs="宋体"/>
          <w:sz w:val="24"/>
          <w:highlight w:val="none"/>
        </w:rPr>
      </w:pPr>
      <w:r>
        <w:rPr>
          <w:rFonts w:hint="eastAsia" w:ascii="宋体" w:hAnsi="宋体" w:cs="宋体"/>
          <w:sz w:val="24"/>
          <w:highlight w:val="none"/>
        </w:rPr>
        <w:t>八、业主不定期进行安全检查，如发现承包人违反安全要求、存在事故隐患，将及时通知承包人整改，承包人应在规定的时间完成整改要求，并报请业主验收合格后方可复工。</w:t>
      </w:r>
    </w:p>
    <w:p w14:paraId="3F4A2575">
      <w:pPr>
        <w:spacing w:line="360" w:lineRule="auto"/>
        <w:ind w:firstLine="480" w:firstLineChars="200"/>
        <w:rPr>
          <w:rFonts w:ascii="宋体" w:hAnsi="宋体" w:cs="宋体"/>
          <w:sz w:val="24"/>
          <w:highlight w:val="none"/>
        </w:rPr>
      </w:pPr>
      <w:r>
        <w:rPr>
          <w:rFonts w:hint="eastAsia" w:ascii="宋体" w:hAnsi="宋体" w:cs="宋体"/>
          <w:sz w:val="24"/>
          <w:highlight w:val="none"/>
        </w:rPr>
        <w:t>九、如发现由于项目负责人、安全员玩忽职守，安全责任不到位，发生安全事故或多次出现事故苗头者，业主单位有权通知承包人停工整改，或调换项目负责人、安全员。</w:t>
      </w:r>
    </w:p>
    <w:p w14:paraId="35474C44">
      <w:pPr>
        <w:spacing w:line="360" w:lineRule="auto"/>
        <w:ind w:firstLine="480"/>
        <w:rPr>
          <w:rFonts w:ascii="宋体" w:hAnsi="宋体"/>
          <w:sz w:val="24"/>
          <w:highlight w:val="none"/>
        </w:rPr>
      </w:pPr>
      <w:r>
        <w:rPr>
          <w:rFonts w:hint="eastAsia" w:ascii="宋体" w:hAnsi="宋体"/>
          <w:sz w:val="24"/>
          <w:highlight w:val="none"/>
        </w:rPr>
        <w:t>甲方单位：                                 乙方单位：</w:t>
      </w:r>
    </w:p>
    <w:p w14:paraId="01EE2C66">
      <w:pPr>
        <w:spacing w:line="360" w:lineRule="auto"/>
        <w:ind w:firstLine="480"/>
        <w:rPr>
          <w:rFonts w:ascii="宋体" w:hAnsi="宋体"/>
          <w:sz w:val="24"/>
          <w:highlight w:val="none"/>
        </w:rPr>
      </w:pPr>
      <w:r>
        <w:rPr>
          <w:rFonts w:hint="eastAsia" w:ascii="宋体" w:hAnsi="宋体"/>
          <w:sz w:val="24"/>
          <w:highlight w:val="none"/>
        </w:rPr>
        <w:t>（盖章）                                  （盖章）</w:t>
      </w:r>
    </w:p>
    <w:p w14:paraId="23717042">
      <w:pPr>
        <w:spacing w:line="360" w:lineRule="auto"/>
        <w:ind w:firstLine="480"/>
        <w:rPr>
          <w:rFonts w:ascii="宋体" w:hAnsi="宋体"/>
          <w:sz w:val="24"/>
          <w:highlight w:val="none"/>
        </w:rPr>
      </w:pPr>
      <w:r>
        <w:rPr>
          <w:rFonts w:hint="eastAsia" w:ascii="宋体" w:hAnsi="宋体"/>
          <w:sz w:val="24"/>
          <w:highlight w:val="none"/>
        </w:rPr>
        <w:t>法定代表人：                               法定代表人：</w:t>
      </w:r>
    </w:p>
    <w:p w14:paraId="05E34DE3">
      <w:pPr>
        <w:spacing w:line="360" w:lineRule="auto"/>
        <w:ind w:firstLine="480"/>
        <w:rPr>
          <w:rFonts w:ascii="宋体" w:hAnsi="宋体"/>
          <w:sz w:val="24"/>
          <w:highlight w:val="none"/>
        </w:rPr>
      </w:pPr>
      <w:r>
        <w:rPr>
          <w:rFonts w:hint="eastAsia" w:ascii="宋体" w:hAnsi="宋体"/>
          <w:sz w:val="24"/>
          <w:highlight w:val="none"/>
        </w:rPr>
        <w:t xml:space="preserve">地址：                                     地址：   </w:t>
      </w:r>
    </w:p>
    <w:p w14:paraId="41323BA9">
      <w:pPr>
        <w:spacing w:line="360" w:lineRule="auto"/>
        <w:ind w:firstLine="480"/>
        <w:rPr>
          <w:rFonts w:ascii="宋体" w:hAnsi="宋体"/>
          <w:sz w:val="24"/>
          <w:highlight w:val="none"/>
        </w:rPr>
      </w:pPr>
      <w:r>
        <w:rPr>
          <w:rFonts w:hint="eastAsia" w:ascii="宋体" w:hAnsi="宋体"/>
          <w:sz w:val="24"/>
          <w:highlight w:val="none"/>
        </w:rPr>
        <w:t>年  月   日                                年   月   日</w:t>
      </w:r>
    </w:p>
    <w:p w14:paraId="28DA840B">
      <w:pPr>
        <w:rPr>
          <w:rFonts w:ascii="宋体" w:hAnsi="宋体" w:cs="宋体"/>
          <w:highlight w:val="none"/>
        </w:rPr>
      </w:pPr>
    </w:p>
    <w:p w14:paraId="4140ED29">
      <w:pPr>
        <w:rPr>
          <w:highlight w:val="none"/>
        </w:rPr>
      </w:pPr>
    </w:p>
    <w:p w14:paraId="010F5E9C">
      <w:pPr>
        <w:spacing w:line="360" w:lineRule="auto"/>
        <w:jc w:val="center"/>
        <w:outlineLvl w:val="0"/>
        <w:rPr>
          <w:rFonts w:ascii="宋体" w:hAnsi="宋体"/>
          <w:b/>
          <w:color w:val="000000"/>
          <w:sz w:val="44"/>
          <w:szCs w:val="44"/>
          <w:highlight w:val="none"/>
        </w:rPr>
      </w:pPr>
      <w:r>
        <w:rPr>
          <w:rFonts w:hint="eastAsia" w:ascii="黑体" w:eastAsia="黑体"/>
          <w:b/>
          <w:color w:val="000000"/>
          <w:sz w:val="44"/>
          <w:szCs w:val="44"/>
          <w:highlight w:val="none"/>
        </w:rPr>
        <w:br w:type="page" w:clear="all"/>
      </w:r>
      <w:r>
        <w:rPr>
          <w:rFonts w:hint="eastAsia" w:ascii="黑体" w:eastAsia="黑体"/>
          <w:b/>
          <w:color w:val="000000"/>
          <w:sz w:val="44"/>
          <w:szCs w:val="44"/>
          <w:highlight w:val="none"/>
        </w:rPr>
        <w:t>第五部分．附件</w:t>
      </w:r>
      <w:r>
        <w:rPr>
          <w:rFonts w:hint="eastAsia" w:ascii="宋体" w:hAnsi="宋体"/>
          <w:b/>
          <w:color w:val="000000"/>
          <w:sz w:val="44"/>
          <w:szCs w:val="44"/>
          <w:highlight w:val="none"/>
        </w:rPr>
        <w:t>（投标文件格式）</w:t>
      </w:r>
    </w:p>
    <w:p w14:paraId="009D440E">
      <w:pPr>
        <w:rPr>
          <w:rFonts w:ascii="黑体" w:eastAsia="黑体"/>
          <w:bCs/>
          <w:color w:val="000000"/>
          <w:sz w:val="32"/>
          <w:highlight w:val="none"/>
        </w:rPr>
      </w:pPr>
    </w:p>
    <w:p w14:paraId="3851B162">
      <w:pPr>
        <w:rPr>
          <w:rFonts w:ascii="黑体" w:eastAsia="黑体"/>
          <w:bCs/>
          <w:color w:val="000000"/>
          <w:sz w:val="32"/>
          <w:highlight w:val="none"/>
        </w:rPr>
      </w:pPr>
    </w:p>
    <w:p w14:paraId="25556DBE">
      <w:pPr>
        <w:rPr>
          <w:rFonts w:ascii="黑体" w:eastAsia="黑体"/>
          <w:bCs/>
          <w:color w:val="000000"/>
          <w:sz w:val="32"/>
          <w:highlight w:val="none"/>
        </w:rPr>
      </w:pPr>
    </w:p>
    <w:p w14:paraId="5252C3F8">
      <w:pPr>
        <w:rPr>
          <w:rFonts w:ascii="黑体" w:eastAsia="黑体"/>
          <w:bCs/>
          <w:color w:val="000000"/>
          <w:sz w:val="32"/>
          <w:highlight w:val="none"/>
        </w:rPr>
      </w:pPr>
    </w:p>
    <w:p w14:paraId="44508D36">
      <w:pPr>
        <w:jc w:val="center"/>
        <w:rPr>
          <w:rFonts w:ascii="黑体" w:eastAsia="黑体"/>
          <w:bCs/>
          <w:color w:val="000000"/>
          <w:sz w:val="52"/>
          <w:szCs w:val="52"/>
          <w:highlight w:val="none"/>
        </w:rPr>
      </w:pPr>
      <w:r>
        <w:rPr>
          <w:rFonts w:hint="eastAsia" w:ascii="黑体" w:eastAsia="黑体"/>
          <w:bCs/>
          <w:color w:val="000000"/>
          <w:sz w:val="52"/>
          <w:szCs w:val="52"/>
          <w:highlight w:val="none"/>
        </w:rPr>
        <w:t>投</w:t>
      </w:r>
    </w:p>
    <w:p w14:paraId="6F4D283D">
      <w:pPr>
        <w:jc w:val="center"/>
        <w:rPr>
          <w:rFonts w:ascii="黑体" w:eastAsia="黑体"/>
          <w:bCs/>
          <w:color w:val="000000"/>
          <w:sz w:val="72"/>
          <w:highlight w:val="none"/>
        </w:rPr>
      </w:pPr>
    </w:p>
    <w:p w14:paraId="65CCB904">
      <w:pPr>
        <w:jc w:val="center"/>
        <w:rPr>
          <w:rFonts w:ascii="黑体" w:eastAsia="黑体"/>
          <w:bCs/>
          <w:color w:val="000000"/>
          <w:sz w:val="52"/>
          <w:szCs w:val="52"/>
          <w:highlight w:val="none"/>
        </w:rPr>
      </w:pPr>
      <w:r>
        <w:rPr>
          <w:rFonts w:hint="eastAsia" w:ascii="黑体" w:eastAsia="黑体"/>
          <w:bCs/>
          <w:color w:val="000000"/>
          <w:sz w:val="52"/>
          <w:szCs w:val="52"/>
          <w:highlight w:val="none"/>
        </w:rPr>
        <w:t>标</w:t>
      </w:r>
    </w:p>
    <w:p w14:paraId="75DE06F4">
      <w:pPr>
        <w:jc w:val="center"/>
        <w:rPr>
          <w:rFonts w:ascii="黑体" w:eastAsia="黑体"/>
          <w:bCs/>
          <w:color w:val="000000"/>
          <w:sz w:val="72"/>
          <w:highlight w:val="none"/>
        </w:rPr>
      </w:pPr>
    </w:p>
    <w:p w14:paraId="29D9B6BA">
      <w:pPr>
        <w:jc w:val="center"/>
        <w:rPr>
          <w:rFonts w:ascii="黑体" w:eastAsia="黑体"/>
          <w:bCs/>
          <w:color w:val="000000"/>
          <w:sz w:val="52"/>
          <w:szCs w:val="52"/>
          <w:highlight w:val="none"/>
        </w:rPr>
      </w:pPr>
      <w:r>
        <w:rPr>
          <w:rFonts w:hint="eastAsia" w:ascii="黑体" w:eastAsia="黑体"/>
          <w:bCs/>
          <w:color w:val="000000"/>
          <w:sz w:val="52"/>
          <w:szCs w:val="52"/>
          <w:highlight w:val="none"/>
        </w:rPr>
        <w:t>文</w:t>
      </w:r>
    </w:p>
    <w:p w14:paraId="51C10C8A">
      <w:pPr>
        <w:jc w:val="center"/>
        <w:rPr>
          <w:rFonts w:ascii="黑体" w:eastAsia="黑体"/>
          <w:bCs/>
          <w:color w:val="000000"/>
          <w:sz w:val="52"/>
          <w:szCs w:val="52"/>
          <w:highlight w:val="none"/>
        </w:rPr>
      </w:pPr>
    </w:p>
    <w:p w14:paraId="755D389D">
      <w:pPr>
        <w:ind w:firstLine="4674"/>
        <w:rPr>
          <w:rFonts w:ascii="黑体" w:eastAsia="黑体"/>
          <w:bCs/>
          <w:color w:val="000000"/>
          <w:sz w:val="52"/>
          <w:szCs w:val="52"/>
          <w:highlight w:val="none"/>
        </w:rPr>
      </w:pPr>
      <w:r>
        <w:rPr>
          <w:rFonts w:hint="eastAsia" w:ascii="黑体" w:eastAsia="黑体"/>
          <w:bCs/>
          <w:color w:val="000000"/>
          <w:sz w:val="52"/>
          <w:szCs w:val="52"/>
          <w:highlight w:val="none"/>
        </w:rPr>
        <w:t>件</w:t>
      </w:r>
    </w:p>
    <w:p w14:paraId="2674FE4B">
      <w:pPr>
        <w:ind w:firstLine="4248"/>
        <w:rPr>
          <w:rFonts w:ascii="黑体" w:eastAsia="黑体"/>
          <w:bCs/>
          <w:color w:val="000000"/>
          <w:sz w:val="52"/>
          <w:szCs w:val="52"/>
          <w:highlight w:val="none"/>
        </w:rPr>
      </w:pPr>
    </w:p>
    <w:p w14:paraId="35E69820">
      <w:pPr>
        <w:ind w:firstLine="2703"/>
        <w:rPr>
          <w:rFonts w:ascii="黑体" w:eastAsia="黑体"/>
          <w:bCs/>
          <w:color w:val="000000"/>
          <w:sz w:val="28"/>
          <w:szCs w:val="28"/>
          <w:highlight w:val="none"/>
        </w:rPr>
      </w:pPr>
    </w:p>
    <w:p w14:paraId="02B3103E">
      <w:pPr>
        <w:ind w:firstLine="2703"/>
        <w:rPr>
          <w:rFonts w:ascii="黑体" w:eastAsia="黑体"/>
          <w:bCs/>
          <w:color w:val="000000"/>
          <w:sz w:val="28"/>
          <w:szCs w:val="28"/>
          <w:highlight w:val="none"/>
        </w:rPr>
      </w:pPr>
      <w:r>
        <w:rPr>
          <w:rFonts w:hint="eastAsia" w:ascii="黑体" w:eastAsia="黑体"/>
          <w:bCs/>
          <w:color w:val="000000"/>
          <w:sz w:val="28"/>
          <w:szCs w:val="28"/>
          <w:highlight w:val="none"/>
        </w:rPr>
        <w:t>采购项目名称：</w:t>
      </w:r>
    </w:p>
    <w:p w14:paraId="43F9E1C4">
      <w:pPr>
        <w:ind w:firstLine="2703"/>
        <w:rPr>
          <w:rFonts w:ascii="黑体" w:eastAsia="黑体"/>
          <w:bCs/>
          <w:color w:val="000000"/>
          <w:sz w:val="28"/>
          <w:szCs w:val="28"/>
          <w:highlight w:val="none"/>
        </w:rPr>
      </w:pPr>
      <w:r>
        <w:rPr>
          <w:rFonts w:hint="eastAsia" w:ascii="黑体" w:eastAsia="黑体"/>
          <w:bCs/>
          <w:color w:val="000000"/>
          <w:sz w:val="28"/>
          <w:szCs w:val="28"/>
          <w:highlight w:val="none"/>
        </w:rPr>
        <w:t>投标人：</w:t>
      </w:r>
    </w:p>
    <w:p w14:paraId="446D4B09">
      <w:pPr>
        <w:rPr>
          <w:rFonts w:ascii="黑体" w:eastAsia="黑体"/>
          <w:bCs/>
          <w:color w:val="000000"/>
          <w:sz w:val="32"/>
          <w:highlight w:val="none"/>
        </w:rPr>
      </w:pPr>
    </w:p>
    <w:p w14:paraId="652DF15E">
      <w:pPr>
        <w:rPr>
          <w:rFonts w:ascii="黑体" w:eastAsia="黑体"/>
          <w:bCs/>
          <w:color w:val="000000"/>
          <w:sz w:val="32"/>
          <w:highlight w:val="none"/>
        </w:rPr>
      </w:pPr>
    </w:p>
    <w:p w14:paraId="7D4042FD">
      <w:pPr>
        <w:jc w:val="center"/>
        <w:rPr>
          <w:rFonts w:ascii="黑体" w:eastAsia="黑体"/>
          <w:bCs/>
          <w:color w:val="000000"/>
          <w:sz w:val="36"/>
          <w:szCs w:val="36"/>
          <w:highlight w:val="none"/>
        </w:rPr>
      </w:pPr>
      <w:r>
        <w:rPr>
          <w:rFonts w:hint="eastAsia" w:ascii="黑体" w:eastAsia="黑体"/>
          <w:bCs/>
          <w:color w:val="000000"/>
          <w:sz w:val="36"/>
          <w:szCs w:val="36"/>
          <w:highlight w:val="none"/>
          <w:lang w:eastAsia="zh-CN"/>
        </w:rPr>
        <w:t>二〇</w:t>
      </w:r>
      <w:r>
        <w:rPr>
          <w:rFonts w:hint="eastAsia" w:ascii="黑体" w:eastAsia="黑体"/>
          <w:bCs/>
          <w:color w:val="000000"/>
          <w:sz w:val="36"/>
          <w:szCs w:val="36"/>
          <w:highlight w:val="none"/>
        </w:rPr>
        <w:t>二五年  月  日</w:t>
      </w:r>
    </w:p>
    <w:p w14:paraId="5CB25A22">
      <w:pPr>
        <w:rPr>
          <w:rFonts w:ascii="黑体" w:eastAsia="黑体"/>
          <w:b/>
          <w:color w:val="000000"/>
          <w:sz w:val="30"/>
          <w:szCs w:val="30"/>
          <w:highlight w:val="none"/>
        </w:rPr>
      </w:pPr>
      <w:r>
        <w:rPr>
          <w:rFonts w:hint="eastAsia" w:ascii="黑体" w:eastAsia="黑体"/>
          <w:b/>
          <w:color w:val="000000"/>
          <w:sz w:val="30"/>
          <w:szCs w:val="30"/>
          <w:highlight w:val="none"/>
        </w:rPr>
        <w:br w:type="page" w:clear="all"/>
      </w:r>
    </w:p>
    <w:p w14:paraId="7779F5DB">
      <w:pPr>
        <w:spacing w:line="360" w:lineRule="auto"/>
        <w:jc w:val="center"/>
        <w:outlineLvl w:val="0"/>
        <w:rPr>
          <w:rFonts w:ascii="黑体" w:eastAsia="黑体"/>
          <w:b/>
          <w:color w:val="000000"/>
          <w:sz w:val="30"/>
          <w:szCs w:val="30"/>
          <w:highlight w:val="none"/>
        </w:rPr>
      </w:pPr>
      <w:r>
        <w:rPr>
          <w:rFonts w:hint="eastAsia" w:ascii="黑体" w:eastAsia="黑体"/>
          <w:b/>
          <w:color w:val="000000"/>
          <w:sz w:val="30"/>
          <w:szCs w:val="30"/>
          <w:highlight w:val="none"/>
        </w:rPr>
        <w:t>（一）投标函（格式）</w:t>
      </w:r>
    </w:p>
    <w:p w14:paraId="602DF7B5">
      <w:pPr>
        <w:widowControl/>
        <w:spacing w:before="4" w:line="360" w:lineRule="auto"/>
        <w:rPr>
          <w:rFonts w:ascii="宋体" w:hAnsi="宋体"/>
          <w:color w:val="000000"/>
          <w:sz w:val="24"/>
          <w:highlight w:val="none"/>
        </w:rPr>
      </w:pPr>
      <w:r>
        <w:rPr>
          <w:rFonts w:hint="eastAsia" w:ascii="宋体" w:hAnsi="宋体"/>
          <w:color w:val="000000"/>
          <w:sz w:val="24"/>
          <w:highlight w:val="none"/>
        </w:rPr>
        <w:t>致：江苏嘉加诚工程投资咨询有限公司</w:t>
      </w:r>
    </w:p>
    <w:p w14:paraId="45893CEF">
      <w:pPr>
        <w:spacing w:line="360" w:lineRule="auto"/>
        <w:ind w:firstLine="480"/>
        <w:rPr>
          <w:rFonts w:ascii="宋体" w:hAnsi="宋体"/>
          <w:b/>
          <w:color w:val="000000"/>
          <w:sz w:val="24"/>
          <w:highlight w:val="none"/>
        </w:rPr>
      </w:pPr>
      <w:r>
        <w:rPr>
          <w:rFonts w:hint="eastAsia" w:ascii="宋体" w:hAnsi="宋体"/>
          <w:color w:val="000000"/>
          <w:sz w:val="24"/>
          <w:highlight w:val="none"/>
        </w:rPr>
        <w:t>一、根据已收到的采购编号为</w:t>
      </w:r>
      <w:r>
        <w:rPr>
          <w:rFonts w:hint="eastAsia" w:ascii="宋体" w:hAnsi="宋体"/>
          <w:color w:val="000000"/>
          <w:sz w:val="24"/>
          <w:highlight w:val="none"/>
          <w:u w:val="single"/>
        </w:rPr>
        <w:t xml:space="preserve">             </w:t>
      </w:r>
      <w:r>
        <w:rPr>
          <w:rFonts w:hint="eastAsia" w:ascii="宋体" w:hAnsi="宋体"/>
          <w:color w:val="000000"/>
          <w:sz w:val="24"/>
          <w:highlight w:val="none"/>
        </w:rPr>
        <w:t>的</w:t>
      </w:r>
      <w:r>
        <w:rPr>
          <w:rFonts w:hint="eastAsia" w:ascii="宋体" w:hAnsi="宋体"/>
          <w:b/>
          <w:color w:val="000000"/>
          <w:sz w:val="24"/>
          <w:highlight w:val="none"/>
          <w:u w:val="single"/>
        </w:rPr>
        <w:t xml:space="preserve">    （采购项目名称 ）   </w:t>
      </w:r>
      <w:r>
        <w:rPr>
          <w:rFonts w:hint="eastAsia" w:ascii="宋体" w:hAnsi="宋体"/>
          <w:color w:val="000000"/>
          <w:sz w:val="24"/>
          <w:highlight w:val="none"/>
        </w:rPr>
        <w:t>的公开招标文件，</w:t>
      </w:r>
      <w:r>
        <w:rPr>
          <w:rFonts w:hint="eastAsia" w:ascii="宋体" w:hAnsi="宋体"/>
          <w:sz w:val="24"/>
          <w:highlight w:val="none"/>
        </w:rPr>
        <w:t>遵照国家法律法规和规章的有关规定，我方经过踏勘现场和对招标文件等所有文件的研究后，我方响应招标公告及招标文件的所有条款，并兹以</w:t>
      </w:r>
      <w:r>
        <w:rPr>
          <w:rFonts w:hint="eastAsia" w:ascii="宋体" w:hAnsi="宋体"/>
          <w:sz w:val="24"/>
          <w:highlight w:val="none"/>
          <w:u w:val="single"/>
        </w:rPr>
        <w:t xml:space="preserve">大写：        ，小写：       </w:t>
      </w:r>
      <w:r>
        <w:rPr>
          <w:rFonts w:hint="eastAsia" w:ascii="宋体" w:hAnsi="宋体"/>
          <w:sz w:val="24"/>
          <w:highlight w:val="none"/>
        </w:rPr>
        <w:t>的报价，</w:t>
      </w:r>
      <w:r>
        <w:rPr>
          <w:rFonts w:hint="eastAsia" w:ascii="宋体" w:hAnsi="宋体"/>
          <w:color w:val="000000"/>
          <w:sz w:val="24"/>
          <w:highlight w:val="none"/>
        </w:rPr>
        <w:t>按招标文件中的要求、技术规范的条件完成本采购项目的编制工作。</w:t>
      </w:r>
    </w:p>
    <w:p w14:paraId="48095995">
      <w:pPr>
        <w:tabs>
          <w:tab w:val="left" w:pos="525"/>
          <w:tab w:val="left" w:pos="945"/>
        </w:tabs>
        <w:spacing w:line="360" w:lineRule="auto"/>
        <w:ind w:firstLine="480"/>
        <w:rPr>
          <w:rFonts w:ascii="宋体" w:hAnsi="宋体"/>
          <w:bCs/>
          <w:color w:val="000000"/>
          <w:sz w:val="24"/>
          <w:highlight w:val="none"/>
        </w:rPr>
      </w:pPr>
      <w:r>
        <w:rPr>
          <w:rFonts w:hint="eastAsia" w:ascii="宋体" w:hAnsi="宋体"/>
          <w:color w:val="000000"/>
          <w:sz w:val="24"/>
          <w:highlight w:val="none"/>
        </w:rPr>
        <w:t>二、我方愿意提供江苏嘉加诚工程投资咨询有限公司在招标文件中要求的文件、资料。</w:t>
      </w:r>
    </w:p>
    <w:p w14:paraId="21B85E39">
      <w:pPr>
        <w:tabs>
          <w:tab w:val="left" w:pos="525"/>
          <w:tab w:val="left" w:pos="945"/>
        </w:tabs>
        <w:spacing w:line="360" w:lineRule="auto"/>
        <w:ind w:firstLine="480"/>
        <w:rPr>
          <w:rFonts w:ascii="宋体" w:hAnsi="宋体"/>
          <w:bCs/>
          <w:color w:val="000000"/>
          <w:sz w:val="24"/>
          <w:highlight w:val="none"/>
        </w:rPr>
      </w:pPr>
      <w:r>
        <w:rPr>
          <w:rFonts w:hint="eastAsia" w:ascii="宋体" w:hAnsi="宋体"/>
          <w:color w:val="000000"/>
          <w:sz w:val="24"/>
          <w:highlight w:val="none"/>
        </w:rPr>
        <w:t>三、我方同意按招标文件中的规定，本投标文件报价的有效期限为投标之日起180天。</w:t>
      </w:r>
    </w:p>
    <w:p w14:paraId="2678ABA2">
      <w:pPr>
        <w:spacing w:line="360" w:lineRule="auto"/>
        <w:ind w:firstLine="480"/>
        <w:rPr>
          <w:rFonts w:ascii="宋体" w:hAnsi="宋体"/>
          <w:color w:val="000000"/>
          <w:sz w:val="24"/>
          <w:highlight w:val="none"/>
        </w:rPr>
      </w:pPr>
      <w:r>
        <w:rPr>
          <w:rFonts w:hint="eastAsia" w:ascii="宋体" w:hAnsi="宋体"/>
          <w:color w:val="000000"/>
          <w:sz w:val="24"/>
          <w:highlight w:val="none"/>
        </w:rPr>
        <w:t>四、如果我方的投标文件被接受，我方将履行招标公告及招标文件中规定的每一项要求，按期、按质、按量，完成交货任务。</w:t>
      </w:r>
    </w:p>
    <w:p w14:paraId="2EDB1BB3">
      <w:pPr>
        <w:spacing w:line="360" w:lineRule="auto"/>
        <w:ind w:firstLine="480"/>
        <w:rPr>
          <w:rFonts w:ascii="宋体" w:hAnsi="宋体"/>
          <w:color w:val="000000"/>
          <w:sz w:val="24"/>
          <w:highlight w:val="none"/>
        </w:rPr>
      </w:pPr>
      <w:r>
        <w:rPr>
          <w:rFonts w:hint="eastAsia" w:ascii="宋体" w:hAnsi="宋体"/>
          <w:color w:val="000000"/>
          <w:sz w:val="24"/>
          <w:highlight w:val="none"/>
        </w:rPr>
        <w:t>五、我方认为你们有权决定中标投标人。</w:t>
      </w:r>
    </w:p>
    <w:p w14:paraId="58C6D131">
      <w:pPr>
        <w:spacing w:line="360" w:lineRule="auto"/>
        <w:ind w:firstLine="480"/>
        <w:rPr>
          <w:rFonts w:ascii="宋体" w:hAnsi="宋体"/>
          <w:color w:val="000000"/>
          <w:sz w:val="24"/>
          <w:highlight w:val="none"/>
        </w:rPr>
      </w:pPr>
      <w:r>
        <w:rPr>
          <w:rFonts w:hint="eastAsia" w:ascii="宋体" w:hAnsi="宋体"/>
          <w:color w:val="000000"/>
          <w:sz w:val="24"/>
          <w:highlight w:val="none"/>
        </w:rPr>
        <w:t>六、我方愿意遵守《中华人民共和国政府采购法》，并按《中华人民共和国民法典》和合同条款履行自己的全部责任。在合同履行过程中，双方如有争议，由双方协调解决。如协商不能解决，双方可向无锡仲裁委员会按其仲裁规则申请仲裁或向项目所在地人民法院起诉。</w:t>
      </w:r>
    </w:p>
    <w:p w14:paraId="7D8775F1">
      <w:pPr>
        <w:spacing w:line="360" w:lineRule="auto"/>
        <w:ind w:firstLine="480"/>
        <w:rPr>
          <w:rFonts w:ascii="宋体" w:hAnsi="宋体"/>
          <w:color w:val="000000"/>
          <w:sz w:val="24"/>
          <w:highlight w:val="none"/>
        </w:rPr>
      </w:pPr>
      <w:r>
        <w:rPr>
          <w:rFonts w:hint="eastAsia" w:ascii="宋体" w:hAnsi="宋体"/>
          <w:color w:val="000000"/>
          <w:sz w:val="24"/>
          <w:highlight w:val="none"/>
        </w:rPr>
        <w:t>七、我方认可并保证遵守招标文件的所有规定，放弃对招标文件提出质疑的权利。</w:t>
      </w:r>
    </w:p>
    <w:p w14:paraId="42870A59">
      <w:pPr>
        <w:spacing w:line="360" w:lineRule="auto"/>
        <w:ind w:firstLine="480"/>
        <w:rPr>
          <w:rFonts w:ascii="宋体" w:hAnsi="宋体"/>
          <w:color w:val="000000"/>
          <w:sz w:val="24"/>
          <w:highlight w:val="none"/>
        </w:rPr>
      </w:pPr>
      <w:r>
        <w:rPr>
          <w:rFonts w:hint="eastAsia" w:ascii="宋体" w:hAnsi="宋体"/>
          <w:color w:val="000000"/>
          <w:sz w:val="24"/>
          <w:highlight w:val="none"/>
        </w:rPr>
        <w:t>八、如果我方被确定为中标投标人并签订合同后，如无不可抗力，又未履行招标文件、投标文件合同条款的，一经查实，我方愿意赔偿由此而造成的一切损失，并同意接受按招标文件的相关要求对我方进行的处理。</w:t>
      </w:r>
    </w:p>
    <w:p w14:paraId="3A36443E">
      <w:pPr>
        <w:widowControl/>
        <w:spacing w:before="4" w:line="360" w:lineRule="auto"/>
        <w:rPr>
          <w:rFonts w:ascii="宋体" w:hAnsi="宋体"/>
          <w:color w:val="000000"/>
          <w:sz w:val="24"/>
          <w:highlight w:val="none"/>
        </w:rPr>
      </w:pPr>
      <w:r>
        <w:rPr>
          <w:rFonts w:hint="eastAsia" w:ascii="宋体" w:hAnsi="宋体"/>
          <w:color w:val="000000"/>
          <w:sz w:val="24"/>
          <w:highlight w:val="none"/>
        </w:rPr>
        <w:t>投标人：（盖章）</w:t>
      </w:r>
    </w:p>
    <w:p w14:paraId="5DB42192">
      <w:pPr>
        <w:widowControl/>
        <w:spacing w:before="4" w:line="360" w:lineRule="auto"/>
        <w:rPr>
          <w:rFonts w:ascii="宋体" w:hAnsi="宋体"/>
          <w:color w:val="000000"/>
          <w:sz w:val="24"/>
          <w:highlight w:val="none"/>
        </w:rPr>
      </w:pPr>
      <w:r>
        <w:rPr>
          <w:rFonts w:hint="eastAsia" w:ascii="宋体" w:hAnsi="宋体"/>
          <w:color w:val="000000"/>
          <w:sz w:val="24"/>
          <w:highlight w:val="none"/>
        </w:rPr>
        <w:t>法定代表人或被授权委托人：（签字或盖章）</w:t>
      </w:r>
    </w:p>
    <w:p w14:paraId="7FD2C65D">
      <w:pPr>
        <w:widowControl/>
        <w:spacing w:before="4" w:line="360" w:lineRule="auto"/>
        <w:rPr>
          <w:rFonts w:ascii="宋体" w:hAnsi="宋体"/>
          <w:color w:val="000000"/>
          <w:sz w:val="24"/>
          <w:highlight w:val="none"/>
        </w:rPr>
      </w:pPr>
      <w:r>
        <w:rPr>
          <w:rFonts w:hint="eastAsia" w:ascii="宋体" w:hAnsi="宋体"/>
          <w:color w:val="000000"/>
          <w:sz w:val="24"/>
          <w:highlight w:val="none"/>
        </w:rPr>
        <w:t>电话：                   传真：               地址：                   邮编：</w:t>
      </w:r>
    </w:p>
    <w:p w14:paraId="53103188">
      <w:pPr>
        <w:widowControl/>
        <w:spacing w:before="4" w:line="360" w:lineRule="auto"/>
        <w:rPr>
          <w:rFonts w:ascii="宋体" w:hAnsi="宋体"/>
          <w:color w:val="000000"/>
          <w:sz w:val="24"/>
          <w:highlight w:val="none"/>
        </w:rPr>
      </w:pPr>
      <w:r>
        <w:rPr>
          <w:rFonts w:hint="eastAsia" w:ascii="宋体" w:hAnsi="宋体"/>
          <w:color w:val="000000"/>
          <w:sz w:val="24"/>
          <w:highlight w:val="none"/>
        </w:rPr>
        <w:t>开户名称：               开户银行：                 开户账号：</w:t>
      </w:r>
    </w:p>
    <w:p w14:paraId="418F5E88">
      <w:pPr>
        <w:jc w:val="center"/>
        <w:outlineLvl w:val="0"/>
        <w:rPr>
          <w:rFonts w:ascii="黑体" w:eastAsia="黑体"/>
          <w:b/>
          <w:color w:val="000000"/>
          <w:sz w:val="30"/>
          <w:szCs w:val="30"/>
          <w:highlight w:val="none"/>
        </w:rPr>
      </w:pPr>
    </w:p>
    <w:p w14:paraId="1A296368">
      <w:pPr>
        <w:jc w:val="center"/>
        <w:outlineLvl w:val="0"/>
        <w:rPr>
          <w:rFonts w:ascii="黑体" w:eastAsia="黑体"/>
          <w:b/>
          <w:color w:val="000000"/>
          <w:sz w:val="30"/>
          <w:szCs w:val="30"/>
          <w:highlight w:val="none"/>
        </w:rPr>
      </w:pPr>
    </w:p>
    <w:p w14:paraId="21F4BCB1">
      <w:pPr>
        <w:jc w:val="center"/>
        <w:outlineLvl w:val="0"/>
        <w:rPr>
          <w:rFonts w:ascii="黑体" w:eastAsia="黑体"/>
          <w:b/>
          <w:color w:val="000000"/>
          <w:sz w:val="30"/>
          <w:szCs w:val="30"/>
          <w:highlight w:val="none"/>
        </w:rPr>
      </w:pPr>
    </w:p>
    <w:p w14:paraId="487E50E5">
      <w:pPr>
        <w:jc w:val="center"/>
        <w:outlineLvl w:val="0"/>
        <w:rPr>
          <w:rFonts w:ascii="黑体" w:eastAsia="黑体"/>
          <w:b/>
          <w:color w:val="000000"/>
          <w:sz w:val="30"/>
          <w:szCs w:val="30"/>
          <w:highlight w:val="none"/>
        </w:rPr>
      </w:pPr>
    </w:p>
    <w:p w14:paraId="5BF09525">
      <w:pPr>
        <w:jc w:val="center"/>
        <w:outlineLvl w:val="0"/>
        <w:rPr>
          <w:rFonts w:ascii="黑体" w:eastAsia="黑体"/>
          <w:b/>
          <w:color w:val="000000"/>
          <w:sz w:val="30"/>
          <w:szCs w:val="30"/>
          <w:highlight w:val="none"/>
        </w:rPr>
      </w:pPr>
    </w:p>
    <w:p w14:paraId="074F0480">
      <w:pPr>
        <w:jc w:val="center"/>
        <w:outlineLvl w:val="0"/>
        <w:rPr>
          <w:rFonts w:ascii="黑体" w:eastAsia="黑体"/>
          <w:b/>
          <w:color w:val="000000"/>
          <w:sz w:val="30"/>
          <w:szCs w:val="30"/>
          <w:highlight w:val="none"/>
        </w:rPr>
      </w:pPr>
    </w:p>
    <w:p w14:paraId="1EFF5B77">
      <w:pPr>
        <w:rPr>
          <w:rFonts w:ascii="黑体" w:eastAsia="黑体"/>
          <w:b/>
          <w:color w:val="000000"/>
          <w:sz w:val="30"/>
          <w:szCs w:val="30"/>
          <w:highlight w:val="none"/>
        </w:rPr>
      </w:pPr>
      <w:r>
        <w:rPr>
          <w:rFonts w:hint="eastAsia" w:ascii="黑体" w:eastAsia="黑体"/>
          <w:b/>
          <w:color w:val="000000"/>
          <w:sz w:val="30"/>
          <w:szCs w:val="30"/>
          <w:highlight w:val="none"/>
        </w:rPr>
        <w:br w:type="page" w:clear="all"/>
      </w:r>
    </w:p>
    <w:p w14:paraId="11E3B319">
      <w:pPr>
        <w:jc w:val="center"/>
        <w:outlineLvl w:val="0"/>
        <w:rPr>
          <w:rFonts w:ascii="黑体" w:eastAsia="黑体"/>
          <w:b/>
          <w:color w:val="000000"/>
          <w:sz w:val="30"/>
          <w:szCs w:val="30"/>
          <w:highlight w:val="none"/>
        </w:rPr>
      </w:pPr>
      <w:r>
        <w:rPr>
          <w:rFonts w:hint="eastAsia" w:ascii="黑体" w:eastAsia="黑体"/>
          <w:b/>
          <w:color w:val="000000"/>
          <w:sz w:val="30"/>
          <w:szCs w:val="30"/>
          <w:highlight w:val="none"/>
        </w:rPr>
        <w:t>（二）关于资格的声明函（格式）</w:t>
      </w:r>
    </w:p>
    <w:p w14:paraId="4B334D28">
      <w:pPr>
        <w:jc w:val="center"/>
        <w:rPr>
          <w:rFonts w:ascii="黑体" w:eastAsia="黑体"/>
          <w:bCs/>
          <w:color w:val="000000"/>
          <w:sz w:val="32"/>
          <w:highlight w:val="none"/>
        </w:rPr>
      </w:pPr>
    </w:p>
    <w:p w14:paraId="45A9CE5E">
      <w:pPr>
        <w:spacing w:line="480" w:lineRule="auto"/>
        <w:jc w:val="center"/>
        <w:rPr>
          <w:rFonts w:ascii="宋体" w:hAnsi="宋体"/>
          <w:bCs/>
          <w:color w:val="000000"/>
          <w:sz w:val="24"/>
          <w:highlight w:val="none"/>
        </w:rPr>
      </w:pPr>
      <w:r>
        <w:rPr>
          <w:rFonts w:hint="eastAsia" w:ascii="楷体_GB2312" w:eastAsia="楷体_GB2312"/>
          <w:bCs/>
          <w:color w:val="000000"/>
          <w:sz w:val="30"/>
          <w:highlight w:val="none"/>
        </w:rPr>
        <w:t xml:space="preserve">   </w:t>
      </w:r>
      <w:r>
        <w:rPr>
          <w:rFonts w:hint="eastAsia" w:ascii="宋体" w:hAnsi="宋体"/>
          <w:bCs/>
          <w:color w:val="000000"/>
          <w:sz w:val="24"/>
          <w:highlight w:val="none"/>
        </w:rPr>
        <w:t>采购编号：</w:t>
      </w:r>
    </w:p>
    <w:p w14:paraId="3FA95724">
      <w:pPr>
        <w:tabs>
          <w:tab w:val="left" w:pos="6300"/>
        </w:tabs>
        <w:spacing w:line="480" w:lineRule="auto"/>
        <w:jc w:val="center"/>
        <w:rPr>
          <w:rFonts w:ascii="宋体" w:hAnsi="宋体"/>
          <w:bCs/>
          <w:color w:val="000000"/>
          <w:sz w:val="24"/>
          <w:highlight w:val="none"/>
        </w:rPr>
      </w:pPr>
      <w:r>
        <w:rPr>
          <w:rFonts w:hint="eastAsia" w:ascii="宋体" w:hAnsi="宋体"/>
          <w:bCs/>
          <w:color w:val="000000"/>
          <w:sz w:val="24"/>
          <w:highlight w:val="none"/>
        </w:rPr>
        <w:t xml:space="preserve">            日期：</w:t>
      </w:r>
    </w:p>
    <w:p w14:paraId="4DCB85EE">
      <w:pPr>
        <w:spacing w:line="480" w:lineRule="auto"/>
        <w:jc w:val="center"/>
        <w:rPr>
          <w:rFonts w:ascii="宋体" w:hAnsi="宋体"/>
          <w:bCs/>
          <w:color w:val="000000"/>
          <w:sz w:val="24"/>
          <w:highlight w:val="none"/>
        </w:rPr>
      </w:pPr>
    </w:p>
    <w:p w14:paraId="510C22FD">
      <w:pPr>
        <w:spacing w:line="480" w:lineRule="auto"/>
        <w:rPr>
          <w:rFonts w:ascii="宋体" w:hAnsi="宋体"/>
          <w:bCs/>
          <w:color w:val="000000"/>
          <w:sz w:val="24"/>
          <w:highlight w:val="none"/>
        </w:rPr>
      </w:pPr>
      <w:r>
        <w:rPr>
          <w:rFonts w:hint="eastAsia" w:ascii="宋体" w:hAnsi="宋体"/>
          <w:bCs/>
          <w:color w:val="000000"/>
          <w:sz w:val="24"/>
          <w:highlight w:val="none"/>
        </w:rPr>
        <w:t>江苏嘉加诚工程投资咨询有限公司：</w:t>
      </w:r>
    </w:p>
    <w:p w14:paraId="6BD661B7">
      <w:pPr>
        <w:spacing w:line="480" w:lineRule="auto"/>
        <w:rPr>
          <w:rFonts w:ascii="宋体" w:hAnsi="宋体"/>
          <w:bCs/>
          <w:color w:val="000000"/>
          <w:sz w:val="24"/>
          <w:highlight w:val="none"/>
        </w:rPr>
      </w:pPr>
      <w:r>
        <w:rPr>
          <w:rFonts w:hint="eastAsia" w:ascii="宋体" w:hAnsi="宋体"/>
          <w:bCs/>
          <w:color w:val="000000"/>
          <w:sz w:val="24"/>
          <w:highlight w:val="none"/>
        </w:rPr>
        <w:t xml:space="preserve">    我公司（单位）参加政府采购活动前三年内，在经营活动中没有重大违法记录。</w:t>
      </w:r>
    </w:p>
    <w:p w14:paraId="4A63CC91">
      <w:pPr>
        <w:spacing w:line="480" w:lineRule="auto"/>
        <w:rPr>
          <w:rFonts w:ascii="宋体" w:hAnsi="宋体"/>
          <w:bCs/>
          <w:color w:val="000000"/>
          <w:sz w:val="24"/>
          <w:highlight w:val="none"/>
        </w:rPr>
      </w:pPr>
      <w:r>
        <w:rPr>
          <w:rFonts w:hint="eastAsia" w:ascii="宋体" w:hAnsi="宋体"/>
          <w:bCs/>
          <w:color w:val="000000"/>
          <w:sz w:val="24"/>
          <w:highlight w:val="none"/>
        </w:rPr>
        <w:t xml:space="preserve">    我公司（单位）愿针对本次项目（</w:t>
      </w:r>
      <w:r>
        <w:rPr>
          <w:rFonts w:hint="eastAsia" w:ascii="宋体" w:hAnsi="宋体"/>
          <w:b/>
          <w:bCs/>
          <w:color w:val="000000"/>
          <w:sz w:val="24"/>
          <w:highlight w:val="none"/>
        </w:rPr>
        <w:t>采购编号：</w:t>
      </w:r>
      <w:r>
        <w:rPr>
          <w:rFonts w:hint="eastAsia" w:ascii="宋体" w:hAnsi="宋体"/>
          <w:b/>
          <w:bCs/>
          <w:color w:val="000000"/>
          <w:sz w:val="24"/>
          <w:highlight w:val="none"/>
          <w:lang w:eastAsia="zh-CN"/>
        </w:rPr>
        <w:t>JSZC-320200-JJJC-G2025-0012</w:t>
      </w:r>
      <w:r>
        <w:rPr>
          <w:rFonts w:hint="eastAsia" w:ascii="黑体" w:eastAsia="黑体"/>
          <w:bCs/>
          <w:color w:val="000000"/>
          <w:sz w:val="24"/>
          <w:highlight w:val="none"/>
        </w:rPr>
        <w:t>）</w:t>
      </w:r>
      <w:r>
        <w:rPr>
          <w:rFonts w:hint="eastAsia" w:ascii="宋体" w:hAnsi="宋体"/>
          <w:bCs/>
          <w:color w:val="000000"/>
          <w:sz w:val="24"/>
          <w:highlight w:val="none"/>
        </w:rPr>
        <w:t>进行投标，投标文件中所有关于投标资格的文件、证明、陈述均是真实的、准确的。若有违背，我公司（单位）愿意承担由此而产生的一切后果。</w:t>
      </w:r>
    </w:p>
    <w:p w14:paraId="571DADBC">
      <w:pPr>
        <w:spacing w:line="480" w:lineRule="auto"/>
        <w:rPr>
          <w:rFonts w:ascii="宋体" w:hAnsi="宋体"/>
          <w:bCs/>
          <w:color w:val="000000"/>
          <w:sz w:val="24"/>
          <w:highlight w:val="none"/>
        </w:rPr>
      </w:pPr>
    </w:p>
    <w:p w14:paraId="74734C4C">
      <w:pPr>
        <w:spacing w:line="480" w:lineRule="auto"/>
        <w:rPr>
          <w:rFonts w:ascii="宋体" w:hAnsi="宋体"/>
          <w:bCs/>
          <w:color w:val="000000"/>
          <w:sz w:val="24"/>
          <w:highlight w:val="none"/>
        </w:rPr>
      </w:pPr>
      <w:r>
        <w:rPr>
          <w:rFonts w:hint="eastAsia" w:ascii="宋体" w:hAnsi="宋体"/>
          <w:bCs/>
          <w:color w:val="000000"/>
          <w:sz w:val="24"/>
          <w:highlight w:val="none"/>
        </w:rPr>
        <w:t xml:space="preserve">                                     投标人（盖章）：</w:t>
      </w:r>
    </w:p>
    <w:p w14:paraId="4F624435">
      <w:pPr>
        <w:spacing w:line="480" w:lineRule="auto"/>
        <w:rPr>
          <w:rFonts w:ascii="宋体" w:hAnsi="宋体"/>
          <w:bCs/>
          <w:color w:val="000000"/>
          <w:sz w:val="24"/>
          <w:highlight w:val="none"/>
        </w:rPr>
      </w:pPr>
      <w:r>
        <w:rPr>
          <w:rFonts w:hint="eastAsia" w:ascii="宋体" w:hAnsi="宋体"/>
          <w:bCs/>
          <w:color w:val="000000"/>
          <w:sz w:val="24"/>
          <w:highlight w:val="none"/>
        </w:rPr>
        <w:t xml:space="preserve">                               法定代表人（签字或盖章）：</w:t>
      </w:r>
    </w:p>
    <w:p w14:paraId="1E29843B">
      <w:pPr>
        <w:spacing w:line="480" w:lineRule="auto"/>
        <w:ind w:firstLine="4680"/>
        <w:rPr>
          <w:rFonts w:ascii="宋体" w:hAnsi="宋体"/>
          <w:bCs/>
          <w:color w:val="000000"/>
          <w:sz w:val="24"/>
          <w:highlight w:val="none"/>
        </w:rPr>
      </w:pPr>
      <w:r>
        <w:rPr>
          <w:rFonts w:hint="eastAsia" w:ascii="宋体" w:hAnsi="宋体"/>
          <w:bCs/>
          <w:color w:val="000000"/>
          <w:sz w:val="24"/>
          <w:highlight w:val="none"/>
        </w:rPr>
        <w:t>年     月     日</w:t>
      </w:r>
    </w:p>
    <w:p w14:paraId="0FE1F7BF">
      <w:pPr>
        <w:jc w:val="center"/>
        <w:outlineLvl w:val="0"/>
        <w:rPr>
          <w:rFonts w:ascii="黑体" w:eastAsia="黑体"/>
          <w:b/>
          <w:color w:val="000000"/>
          <w:sz w:val="30"/>
          <w:szCs w:val="30"/>
          <w:highlight w:val="none"/>
        </w:rPr>
      </w:pPr>
    </w:p>
    <w:p w14:paraId="0904DD89">
      <w:pPr>
        <w:jc w:val="center"/>
        <w:outlineLvl w:val="0"/>
        <w:rPr>
          <w:rFonts w:ascii="黑体" w:eastAsia="黑体"/>
          <w:b/>
          <w:color w:val="000000"/>
          <w:sz w:val="30"/>
          <w:szCs w:val="30"/>
          <w:highlight w:val="none"/>
        </w:rPr>
      </w:pPr>
    </w:p>
    <w:p w14:paraId="7F932E27">
      <w:pPr>
        <w:pStyle w:val="316"/>
        <w:ind w:firstLine="0"/>
        <w:rPr>
          <w:highlight w:val="none"/>
        </w:rPr>
      </w:pPr>
    </w:p>
    <w:p w14:paraId="3F744413">
      <w:pPr>
        <w:spacing w:line="480" w:lineRule="auto"/>
        <w:rPr>
          <w:rFonts w:ascii="黑体" w:eastAsia="黑体"/>
          <w:b/>
          <w:color w:val="000000"/>
          <w:sz w:val="30"/>
          <w:szCs w:val="30"/>
          <w:highlight w:val="none"/>
        </w:rPr>
      </w:pPr>
      <w:r>
        <w:rPr>
          <w:rFonts w:hint="eastAsia" w:ascii="宋体" w:hAnsi="宋体"/>
          <w:bCs/>
          <w:color w:val="000000"/>
          <w:sz w:val="24"/>
          <w:highlight w:val="none"/>
        </w:rPr>
        <w:t>备注：</w:t>
      </w:r>
      <w:r>
        <w:rPr>
          <w:rFonts w:hint="eastAsia" w:ascii="宋体" w:hAnsi="宋体"/>
          <w:color w:val="000000"/>
          <w:sz w:val="24"/>
          <w:highlight w:val="none"/>
        </w:rPr>
        <w:t>根据《中华人民共和国政府采购法实施条例》第十九条第一款规定，“重大违法记录，是指供应商因违法经营受到刑事处罚或者责令停产停业、吊销许可证或者执照、较大数额罚款等行政处罚。”其中“较大数额罚款”的标准执行财库〔2022〕3号文的规定，“较大数额罚款”认定为200万元以上的罚款，法律、行政法规以及国务院有关部门明确规定相关领域“较大数额罚款”标准高于200万元的，从其规定。</w:t>
      </w:r>
    </w:p>
    <w:p w14:paraId="5D815549">
      <w:pPr>
        <w:jc w:val="center"/>
        <w:outlineLvl w:val="0"/>
        <w:rPr>
          <w:rFonts w:ascii="黑体" w:eastAsia="黑体"/>
          <w:b/>
          <w:color w:val="000000"/>
          <w:sz w:val="30"/>
          <w:szCs w:val="30"/>
          <w:highlight w:val="none"/>
        </w:rPr>
      </w:pPr>
    </w:p>
    <w:p w14:paraId="4ED27C3B">
      <w:pPr>
        <w:jc w:val="center"/>
        <w:outlineLvl w:val="0"/>
        <w:rPr>
          <w:rFonts w:ascii="黑体" w:eastAsia="黑体"/>
          <w:b/>
          <w:color w:val="000000"/>
          <w:sz w:val="30"/>
          <w:szCs w:val="30"/>
          <w:highlight w:val="none"/>
        </w:rPr>
      </w:pPr>
    </w:p>
    <w:p w14:paraId="6F6C3E1F">
      <w:pPr>
        <w:rPr>
          <w:rFonts w:ascii="黑体" w:eastAsia="黑体"/>
          <w:b/>
          <w:color w:val="000000"/>
          <w:sz w:val="30"/>
          <w:szCs w:val="30"/>
          <w:highlight w:val="none"/>
        </w:rPr>
      </w:pPr>
      <w:r>
        <w:rPr>
          <w:rFonts w:hint="eastAsia" w:ascii="黑体" w:eastAsia="黑体"/>
          <w:b/>
          <w:color w:val="000000"/>
          <w:sz w:val="30"/>
          <w:szCs w:val="30"/>
          <w:highlight w:val="none"/>
        </w:rPr>
        <w:br w:type="page" w:clear="all"/>
      </w:r>
    </w:p>
    <w:p w14:paraId="12ED93E5">
      <w:pPr>
        <w:jc w:val="center"/>
        <w:outlineLvl w:val="0"/>
        <w:rPr>
          <w:rFonts w:ascii="黑体" w:eastAsia="黑体"/>
          <w:b/>
          <w:color w:val="000000"/>
          <w:sz w:val="30"/>
          <w:szCs w:val="30"/>
          <w:highlight w:val="none"/>
        </w:rPr>
      </w:pPr>
      <w:r>
        <w:rPr>
          <w:rFonts w:hint="eastAsia" w:ascii="黑体" w:eastAsia="黑体"/>
          <w:b/>
          <w:color w:val="000000"/>
          <w:sz w:val="30"/>
          <w:szCs w:val="30"/>
          <w:highlight w:val="none"/>
        </w:rPr>
        <w:t>（三）（投标人）法定代表人授权委托书（格式）：</w:t>
      </w:r>
    </w:p>
    <w:p w14:paraId="76C6CE1D">
      <w:pPr>
        <w:outlineLvl w:val="0"/>
        <w:rPr>
          <w:rFonts w:ascii="黑体" w:eastAsia="黑体"/>
          <w:bCs/>
          <w:color w:val="000000"/>
          <w:sz w:val="28"/>
          <w:szCs w:val="28"/>
          <w:highlight w:val="none"/>
        </w:rPr>
      </w:pPr>
    </w:p>
    <w:p w14:paraId="6CCA9592">
      <w:pPr>
        <w:jc w:val="center"/>
        <w:outlineLvl w:val="0"/>
        <w:rPr>
          <w:rFonts w:ascii="黑体" w:eastAsia="黑体"/>
          <w:bCs/>
          <w:color w:val="000000"/>
          <w:sz w:val="28"/>
          <w:szCs w:val="28"/>
          <w:highlight w:val="none"/>
        </w:rPr>
      </w:pPr>
      <w:r>
        <w:rPr>
          <w:rFonts w:hint="eastAsia" w:ascii="黑体" w:eastAsia="黑体"/>
          <w:bCs/>
          <w:color w:val="000000"/>
          <w:sz w:val="28"/>
          <w:szCs w:val="28"/>
          <w:highlight w:val="none"/>
        </w:rPr>
        <w:t>法定代表人授权委托书</w:t>
      </w:r>
    </w:p>
    <w:p w14:paraId="0E729CF6">
      <w:pPr>
        <w:spacing w:line="480" w:lineRule="auto"/>
        <w:rPr>
          <w:rFonts w:hint="eastAsia" w:ascii="宋体" w:hAnsi="宋体" w:eastAsia="宋体"/>
          <w:bCs/>
          <w:color w:val="000000"/>
          <w:sz w:val="24"/>
          <w:highlight w:val="none"/>
          <w:lang w:eastAsia="zh-CN"/>
        </w:rPr>
      </w:pPr>
      <w:r>
        <w:rPr>
          <w:rFonts w:hint="eastAsia" w:ascii="楷体_GB2312" w:eastAsia="楷体_GB2312"/>
          <w:bCs/>
          <w:color w:val="000000"/>
          <w:sz w:val="30"/>
          <w:highlight w:val="none"/>
        </w:rPr>
        <w:t xml:space="preserve">                           </w:t>
      </w:r>
      <w:r>
        <w:rPr>
          <w:rFonts w:hint="eastAsia" w:ascii="宋体" w:hAnsi="宋体"/>
          <w:bCs/>
          <w:color w:val="000000"/>
          <w:sz w:val="24"/>
          <w:highlight w:val="none"/>
        </w:rPr>
        <w:t>采购编号：</w:t>
      </w:r>
      <w:r>
        <w:rPr>
          <w:rFonts w:hint="eastAsia" w:ascii="宋体" w:hAnsi="宋体"/>
          <w:b/>
          <w:bCs/>
          <w:color w:val="000000"/>
          <w:sz w:val="24"/>
          <w:highlight w:val="none"/>
          <w:lang w:eastAsia="zh-CN"/>
        </w:rPr>
        <w:t>JSZC-320200-JJJC-G2025-0012</w:t>
      </w:r>
    </w:p>
    <w:p w14:paraId="1CCD2B0C">
      <w:pPr>
        <w:spacing w:line="480" w:lineRule="auto"/>
        <w:rPr>
          <w:rFonts w:ascii="宋体" w:hAnsi="宋体"/>
          <w:bCs/>
          <w:color w:val="000000"/>
          <w:sz w:val="24"/>
          <w:highlight w:val="none"/>
        </w:rPr>
      </w:pPr>
      <w:r>
        <w:rPr>
          <w:rFonts w:hint="eastAsia" w:ascii="宋体" w:hAnsi="宋体"/>
          <w:bCs/>
          <w:color w:val="000000"/>
          <w:sz w:val="24"/>
          <w:highlight w:val="none"/>
        </w:rPr>
        <w:t xml:space="preserve">                           </w:t>
      </w:r>
      <w:r>
        <w:rPr>
          <w:rFonts w:ascii="宋体" w:hAnsi="宋体"/>
          <w:bCs/>
          <w:color w:val="000000"/>
          <w:sz w:val="24"/>
          <w:highlight w:val="none"/>
        </w:rPr>
        <w:t xml:space="preserve">   </w:t>
      </w:r>
      <w:r>
        <w:rPr>
          <w:rFonts w:hint="eastAsia" w:ascii="宋体" w:hAnsi="宋体"/>
          <w:bCs/>
          <w:color w:val="000000"/>
          <w:sz w:val="24"/>
          <w:highlight w:val="none"/>
        </w:rPr>
        <w:t xml:space="preserve">     日期：</w:t>
      </w:r>
    </w:p>
    <w:p w14:paraId="3AFE34EE">
      <w:pPr>
        <w:spacing w:line="480" w:lineRule="auto"/>
        <w:rPr>
          <w:rFonts w:ascii="宋体" w:hAnsi="宋体"/>
          <w:bCs/>
          <w:color w:val="000000"/>
          <w:sz w:val="24"/>
          <w:highlight w:val="none"/>
        </w:rPr>
      </w:pPr>
      <w:r>
        <w:rPr>
          <w:rFonts w:hint="eastAsia" w:ascii="宋体" w:hAnsi="宋体"/>
          <w:bCs/>
          <w:color w:val="000000"/>
          <w:sz w:val="24"/>
          <w:highlight w:val="none"/>
        </w:rPr>
        <w:t>江苏嘉加诚工程投资咨询有限公司：</w:t>
      </w:r>
    </w:p>
    <w:p w14:paraId="2793A559">
      <w:pPr>
        <w:spacing w:line="480" w:lineRule="auto"/>
        <w:rPr>
          <w:rFonts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u w:val="single"/>
        </w:rPr>
        <w:t xml:space="preserve">   （投标人单位名称）          </w:t>
      </w:r>
      <w:r>
        <w:rPr>
          <w:rFonts w:hint="eastAsia" w:ascii="宋体" w:hAnsi="宋体"/>
          <w:bCs/>
          <w:color w:val="000000"/>
          <w:sz w:val="24"/>
          <w:highlight w:val="none"/>
        </w:rPr>
        <w:t>系中华人民共和国合法企业，</w:t>
      </w:r>
    </w:p>
    <w:p w14:paraId="08B21157">
      <w:pPr>
        <w:spacing w:line="480" w:lineRule="auto"/>
        <w:rPr>
          <w:rFonts w:ascii="宋体" w:hAnsi="宋体"/>
          <w:bCs/>
          <w:color w:val="000000"/>
          <w:sz w:val="24"/>
          <w:highlight w:val="none"/>
        </w:rPr>
      </w:pPr>
      <w:r>
        <w:rPr>
          <w:rFonts w:hint="eastAsia" w:ascii="宋体" w:hAnsi="宋体"/>
          <w:bCs/>
          <w:color w:val="000000"/>
          <w:sz w:val="24"/>
          <w:highlight w:val="none"/>
        </w:rPr>
        <w:t>法定地址：</w:t>
      </w:r>
      <w:r>
        <w:rPr>
          <w:rFonts w:hint="eastAsia" w:ascii="宋体" w:hAnsi="宋体"/>
          <w:bCs/>
          <w:color w:val="000000"/>
          <w:sz w:val="24"/>
          <w:highlight w:val="none"/>
          <w:u w:val="single"/>
        </w:rPr>
        <w:t xml:space="preserve">                </w:t>
      </w:r>
      <w:r>
        <w:rPr>
          <w:rFonts w:hint="eastAsia" w:ascii="宋体" w:hAnsi="宋体"/>
          <w:bCs/>
          <w:color w:val="000000"/>
          <w:sz w:val="24"/>
          <w:highlight w:val="none"/>
        </w:rPr>
        <w:t>，特授权</w:t>
      </w:r>
      <w:r>
        <w:rPr>
          <w:rFonts w:hint="eastAsia" w:ascii="宋体" w:hAnsi="宋体"/>
          <w:bCs/>
          <w:color w:val="000000"/>
          <w:sz w:val="24"/>
          <w:highlight w:val="none"/>
          <w:u w:val="single"/>
        </w:rPr>
        <w:t xml:space="preserve">    （姓名）   </w:t>
      </w:r>
      <w:r>
        <w:rPr>
          <w:rFonts w:hint="eastAsia" w:ascii="宋体" w:hAnsi="宋体"/>
          <w:bCs/>
          <w:color w:val="000000"/>
          <w:sz w:val="24"/>
          <w:highlight w:val="none"/>
        </w:rPr>
        <w:t>代表我公司（单位）全权办理针对本项目（</w:t>
      </w:r>
      <w:r>
        <w:rPr>
          <w:rFonts w:hint="eastAsia" w:ascii="宋体" w:hAnsi="宋体"/>
          <w:b/>
          <w:bCs/>
          <w:color w:val="000000"/>
          <w:sz w:val="24"/>
          <w:highlight w:val="none"/>
        </w:rPr>
        <w:t>采购编号：</w:t>
      </w:r>
      <w:r>
        <w:rPr>
          <w:rFonts w:hint="eastAsia" w:ascii="宋体" w:hAnsi="宋体"/>
          <w:b/>
          <w:bCs/>
          <w:color w:val="000000"/>
          <w:sz w:val="24"/>
          <w:highlight w:val="none"/>
          <w:lang w:eastAsia="zh-CN"/>
        </w:rPr>
        <w:t>JSZC-320200-JJJC-G2025-0012</w:t>
      </w:r>
      <w:r>
        <w:rPr>
          <w:rFonts w:hint="eastAsia" w:ascii="黑体" w:eastAsia="黑体"/>
          <w:bCs/>
          <w:color w:val="000000"/>
          <w:sz w:val="24"/>
          <w:highlight w:val="none"/>
        </w:rPr>
        <w:t>）</w:t>
      </w:r>
      <w:r>
        <w:rPr>
          <w:rFonts w:hint="eastAsia" w:ascii="宋体" w:hAnsi="宋体"/>
          <w:bCs/>
          <w:color w:val="000000"/>
          <w:sz w:val="24"/>
          <w:highlight w:val="none"/>
        </w:rPr>
        <w:t>的投标，参与谈判、签约等具体工作，并签署全部有关的文件、协议及合同。</w:t>
      </w:r>
    </w:p>
    <w:p w14:paraId="1794A545">
      <w:pPr>
        <w:spacing w:line="480" w:lineRule="auto"/>
        <w:ind w:firstLine="525"/>
        <w:rPr>
          <w:rFonts w:ascii="宋体" w:hAnsi="宋体"/>
          <w:bCs/>
          <w:color w:val="000000"/>
          <w:sz w:val="24"/>
          <w:highlight w:val="none"/>
        </w:rPr>
      </w:pPr>
      <w:r>
        <w:rPr>
          <w:rFonts w:hint="eastAsia" w:ascii="宋体" w:hAnsi="宋体"/>
          <w:bCs/>
          <w:color w:val="000000"/>
          <w:sz w:val="24"/>
          <w:highlight w:val="none"/>
        </w:rPr>
        <w:t>我公司（单位）对被授权人的签名负全部责任。</w:t>
      </w:r>
    </w:p>
    <w:p w14:paraId="0A7C9DBF">
      <w:pPr>
        <w:spacing w:line="480" w:lineRule="auto"/>
        <w:ind w:firstLine="523"/>
        <w:rPr>
          <w:rFonts w:ascii="宋体" w:hAnsi="宋体"/>
          <w:bCs/>
          <w:color w:val="000000"/>
          <w:sz w:val="24"/>
          <w:highlight w:val="none"/>
        </w:rPr>
      </w:pPr>
      <w:r>
        <w:rPr>
          <w:rFonts w:hint="eastAsia" w:ascii="宋体" w:hAnsi="宋体"/>
          <w:bCs/>
          <w:color w:val="000000"/>
          <w:sz w:val="24"/>
          <w:highlight w:val="none"/>
        </w:rPr>
        <w:t>在撤销授权的书面通知送达你处以前，本授权书一直有效，被授权人签署的所有文件（在授权书有效期内签署的）不因授权的撤销而失效。被授权人无转委托权。</w:t>
      </w:r>
    </w:p>
    <w:p w14:paraId="219ED057">
      <w:pPr>
        <w:spacing w:line="480" w:lineRule="auto"/>
        <w:ind w:firstLine="525"/>
        <w:rPr>
          <w:rFonts w:ascii="宋体" w:hAnsi="宋体"/>
          <w:bCs/>
          <w:color w:val="000000"/>
          <w:sz w:val="24"/>
          <w:highlight w:val="none"/>
        </w:rPr>
      </w:pPr>
      <w:r>
        <w:rPr>
          <w:rFonts w:hint="eastAsia" w:ascii="宋体" w:hAnsi="宋体"/>
          <w:bCs/>
          <w:color w:val="000000"/>
          <w:sz w:val="24"/>
          <w:highlight w:val="none"/>
        </w:rPr>
        <w:t>被授权人情况：</w:t>
      </w:r>
    </w:p>
    <w:p w14:paraId="4DDEA36E">
      <w:pPr>
        <w:spacing w:line="480" w:lineRule="auto"/>
        <w:ind w:firstLine="525"/>
        <w:rPr>
          <w:rFonts w:ascii="宋体" w:hAnsi="宋体"/>
          <w:bCs/>
          <w:color w:val="000000"/>
          <w:sz w:val="24"/>
          <w:highlight w:val="none"/>
        </w:rPr>
      </w:pPr>
      <w:r>
        <w:rPr>
          <w:rFonts w:hint="eastAsia" w:ascii="宋体" w:hAnsi="宋体"/>
          <w:bCs/>
          <w:color w:val="000000"/>
          <w:sz w:val="24"/>
          <w:highlight w:val="none"/>
        </w:rPr>
        <w:t>姓名：         性别：       年龄：       职务：</w:t>
      </w:r>
    </w:p>
    <w:p w14:paraId="3BF565AE">
      <w:pPr>
        <w:spacing w:line="480" w:lineRule="auto"/>
        <w:ind w:firstLine="525"/>
        <w:rPr>
          <w:rFonts w:ascii="宋体" w:hAnsi="宋体"/>
          <w:bCs/>
          <w:color w:val="000000"/>
          <w:sz w:val="24"/>
          <w:highlight w:val="none"/>
        </w:rPr>
      </w:pPr>
      <w:r>
        <w:rPr>
          <w:rFonts w:hint="eastAsia" w:ascii="宋体" w:hAnsi="宋体"/>
          <w:bCs/>
          <w:color w:val="000000"/>
          <w:sz w:val="24"/>
          <w:highlight w:val="none"/>
        </w:rPr>
        <w:t>身份证号码：                电话：</w:t>
      </w:r>
    </w:p>
    <w:p w14:paraId="415CB97C">
      <w:pPr>
        <w:spacing w:line="480" w:lineRule="auto"/>
        <w:ind w:firstLine="525"/>
        <w:rPr>
          <w:rFonts w:ascii="宋体" w:hAnsi="宋体"/>
          <w:bCs/>
          <w:color w:val="000000"/>
          <w:sz w:val="24"/>
          <w:highlight w:val="none"/>
        </w:rPr>
      </w:pPr>
      <w:r>
        <w:rPr>
          <w:rFonts w:hint="eastAsia" w:ascii="宋体" w:hAnsi="宋体"/>
          <w:bCs/>
          <w:color w:val="000000"/>
          <w:sz w:val="24"/>
          <w:highlight w:val="none"/>
        </w:rPr>
        <w:t>通讯地址：</w:t>
      </w:r>
    </w:p>
    <w:p w14:paraId="7EA4A477">
      <w:pPr>
        <w:spacing w:line="480" w:lineRule="auto"/>
        <w:ind w:firstLine="525"/>
        <w:rPr>
          <w:rFonts w:ascii="宋体" w:hAnsi="宋体"/>
          <w:bCs/>
          <w:color w:val="000000"/>
          <w:sz w:val="24"/>
          <w:highlight w:val="none"/>
        </w:rPr>
      </w:pPr>
      <w:r>
        <w:rPr>
          <w:rFonts w:hint="eastAsia" w:ascii="宋体" w:hAnsi="宋体"/>
          <w:bCs/>
          <w:color w:val="000000"/>
          <w:sz w:val="24"/>
          <w:highlight w:val="none"/>
        </w:rPr>
        <w:t>被授权人签名：                单位名称（盖章）：</w:t>
      </w:r>
    </w:p>
    <w:p w14:paraId="4481E583">
      <w:pPr>
        <w:spacing w:line="480" w:lineRule="auto"/>
        <w:ind w:firstLine="420"/>
        <w:rPr>
          <w:rFonts w:ascii="宋体" w:hAnsi="宋体"/>
          <w:bCs/>
          <w:color w:val="000000"/>
          <w:sz w:val="24"/>
          <w:highlight w:val="none"/>
        </w:rPr>
      </w:pPr>
      <w:r>
        <w:rPr>
          <w:rFonts w:hint="eastAsia" w:ascii="宋体" w:hAnsi="宋体"/>
          <w:bCs/>
          <w:color w:val="000000"/>
          <w:sz w:val="24"/>
          <w:highlight w:val="none"/>
        </w:rPr>
        <w:t xml:space="preserve">                       法定代表人（签字或盖章）：</w:t>
      </w:r>
    </w:p>
    <w:p w14:paraId="1B941C1A">
      <w:pPr>
        <w:spacing w:line="480" w:lineRule="auto"/>
        <w:ind w:firstLine="420"/>
        <w:rPr>
          <w:rFonts w:ascii="宋体" w:hAnsi="宋体"/>
          <w:bCs/>
          <w:color w:val="000000"/>
          <w:sz w:val="24"/>
          <w:highlight w:val="none"/>
        </w:rPr>
      </w:pPr>
    </w:p>
    <w:p w14:paraId="3777BE39">
      <w:pPr>
        <w:spacing w:line="480" w:lineRule="auto"/>
        <w:ind w:firstLine="420"/>
        <w:rPr>
          <w:rFonts w:ascii="宋体" w:hAnsi="宋体"/>
          <w:bCs/>
          <w:color w:val="000000"/>
          <w:sz w:val="24"/>
          <w:highlight w:val="none"/>
        </w:rPr>
      </w:pPr>
      <w:r>
        <w:rPr>
          <w:rFonts w:hint="eastAsia" w:ascii="宋体" w:hAnsi="宋体"/>
          <w:bCs/>
          <w:color w:val="000000"/>
          <w:sz w:val="24"/>
          <w:highlight w:val="none"/>
        </w:rPr>
        <mc:AlternateContent>
          <mc:Choice Requires="wps">
            <w:drawing>
              <wp:anchor distT="0" distB="0" distL="114300" distR="114300" simplePos="0" relativeHeight="251660288" behindDoc="0" locked="0" layoutInCell="1" allowOverlap="1">
                <wp:simplePos x="0" y="0"/>
                <wp:positionH relativeFrom="column">
                  <wp:posOffset>3086100</wp:posOffset>
                </wp:positionH>
                <wp:positionV relativeFrom="paragraph">
                  <wp:posOffset>0</wp:posOffset>
                </wp:positionV>
                <wp:extent cx="2867025" cy="158496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5698EB74">
                            <w:pPr>
                              <w:jc w:val="center"/>
                              <w:rPr>
                                <w:rFonts w:ascii="黑体" w:eastAsia="黑体"/>
                                <w:sz w:val="32"/>
                                <w:szCs w:val="32"/>
                              </w:rPr>
                            </w:pPr>
                          </w:p>
                          <w:p w14:paraId="11190DA7">
                            <w:pPr>
                              <w:jc w:val="center"/>
                              <w:rPr>
                                <w:rFonts w:ascii="黑体" w:eastAsia="黑体"/>
                                <w:sz w:val="32"/>
                                <w:szCs w:val="32"/>
                              </w:rPr>
                            </w:pPr>
                            <w:r>
                              <w:rPr>
                                <w:rFonts w:hint="eastAsia" w:ascii="黑体" w:eastAsia="黑体"/>
                                <w:sz w:val="32"/>
                                <w:szCs w:val="32"/>
                              </w:rPr>
                              <w:t>授权代表身份证复印件</w:t>
                            </w:r>
                          </w:p>
                          <w:p w14:paraId="474CBB76"/>
                        </w:txbxContent>
                      </wps:txbx>
                      <wps:bodyPr wrap="square" upright="1"/>
                    </wps:wsp>
                  </a:graphicData>
                </a:graphic>
              </wp:anchor>
            </w:drawing>
          </mc:Choice>
          <mc:Fallback>
            <w:pict>
              <v:shape id="_x0000_s1026" o:spid="_x0000_s1026" o:spt="202" type="#_x0000_t202" style="position:absolute;left:0pt;margin-left:243pt;margin-top:0pt;height:124.8pt;width:225.75pt;z-index:251660288;mso-width-relative:page;mso-height-relative:page;" fillcolor="#FFFFFF" filled="t" stroked="t" coordsize="21600,21600" o:gfxdata="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Cn7i4NkAAAAIAQAADwAA&#10;AAAAAAABACAAAAAiAAAAZHJzL2Rvd25yZXYueG1sUEsBAhQAFAAAAAgAh07iQGcdf9XcAQAAvQMA&#10;AA4AAAAAAAAAAQAgAAAAKAEAAGRycy9lMm9Eb2MueG1sUEsFBgAAAAAGAAYAWQEAAHYFAAAAAA==&#10;">
                <v:fill on="t" focussize="0,0"/>
                <v:stroke color="#000000" joinstyle="round"/>
                <v:imagedata o:title=""/>
                <o:lock v:ext="edit" aspectratio="f"/>
                <v:textbox>
                  <w:txbxContent>
                    <w:p w14:paraId="5698EB74">
                      <w:pPr>
                        <w:jc w:val="center"/>
                        <w:rPr>
                          <w:rFonts w:ascii="黑体" w:eastAsia="黑体"/>
                          <w:sz w:val="32"/>
                          <w:szCs w:val="32"/>
                        </w:rPr>
                      </w:pPr>
                    </w:p>
                    <w:p w14:paraId="11190DA7">
                      <w:pPr>
                        <w:jc w:val="center"/>
                        <w:rPr>
                          <w:rFonts w:ascii="黑体" w:eastAsia="黑体"/>
                          <w:sz w:val="32"/>
                          <w:szCs w:val="32"/>
                        </w:rPr>
                      </w:pPr>
                      <w:r>
                        <w:rPr>
                          <w:rFonts w:hint="eastAsia" w:ascii="黑体" w:eastAsia="黑体"/>
                          <w:sz w:val="32"/>
                          <w:szCs w:val="32"/>
                        </w:rPr>
                        <w:t>授权代表身份证复印件</w:t>
                      </w:r>
                    </w:p>
                    <w:p w14:paraId="474CBB76"/>
                  </w:txbxContent>
                </v:textbox>
              </v:shape>
            </w:pict>
          </mc:Fallback>
        </mc:AlternateContent>
      </w:r>
      <w:r>
        <w:rPr>
          <w:rFonts w:hint="eastAsia" w:ascii="宋体" w:hAnsi="宋体"/>
          <w:bCs/>
          <w:color w:val="000000"/>
          <w:sz w:val="24"/>
          <w:highlight w:val="none"/>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2867025" cy="158496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0269916F">
                            <w:pPr>
                              <w:jc w:val="center"/>
                              <w:rPr>
                                <w:rFonts w:ascii="黑体" w:eastAsia="黑体"/>
                                <w:sz w:val="32"/>
                                <w:szCs w:val="32"/>
                              </w:rPr>
                            </w:pPr>
                          </w:p>
                          <w:p w14:paraId="348E7B58">
                            <w:pPr>
                              <w:jc w:val="center"/>
                              <w:rPr>
                                <w:rFonts w:ascii="黑体" w:eastAsia="黑体"/>
                                <w:sz w:val="32"/>
                                <w:szCs w:val="32"/>
                              </w:rPr>
                            </w:pPr>
                            <w:r>
                              <w:rPr>
                                <w:rFonts w:hint="eastAsia" w:ascii="黑体" w:eastAsia="黑体"/>
                                <w:sz w:val="32"/>
                                <w:szCs w:val="32"/>
                              </w:rPr>
                              <w:t>法定代表人身份证复印件</w:t>
                            </w:r>
                          </w:p>
                          <w:p w14:paraId="7BEE60BA"/>
                        </w:txbxContent>
                      </wps:txbx>
                      <wps:bodyPr wrap="square" upright="1"/>
                    </wps:wsp>
                  </a:graphicData>
                </a:graphic>
              </wp:anchor>
            </w:drawing>
          </mc:Choice>
          <mc:Fallback>
            <w:pict>
              <v:shape id="_x0000_s1026" o:spid="_x0000_s1026" o:spt="202" type="#_x0000_t202" style="position:absolute;left:0pt;margin-left:9pt;margin-top:0pt;height:124.8pt;width:225.75pt;z-index:251659264;mso-width-relative:page;mso-height-relative:page;" fillcolor="#FFFFFF" filled="t" stroked="t" coordsize="21600,21600" o:gfxdata="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NleqAPXAAAABwEAAA8AAAAA&#10;AAAAAQAgAAAAIgAAAGRycy9kb3ducmV2LnhtbFBLAQIUABQAAAAIAIdO4kC6qrMC3AEAAL0DAAAO&#10;AAAAAAAAAAEAIAAAACYBAABkcnMvZTJvRG9jLnhtbFBLBQYAAAAABgAGAFkBAAB0BQAAAAA=&#10;">
                <v:fill on="t" focussize="0,0"/>
                <v:stroke color="#000000" joinstyle="round"/>
                <v:imagedata o:title=""/>
                <o:lock v:ext="edit" aspectratio="f"/>
                <v:textbox>
                  <w:txbxContent>
                    <w:p w14:paraId="0269916F">
                      <w:pPr>
                        <w:jc w:val="center"/>
                        <w:rPr>
                          <w:rFonts w:ascii="黑体" w:eastAsia="黑体"/>
                          <w:sz w:val="32"/>
                          <w:szCs w:val="32"/>
                        </w:rPr>
                      </w:pPr>
                    </w:p>
                    <w:p w14:paraId="348E7B58">
                      <w:pPr>
                        <w:jc w:val="center"/>
                        <w:rPr>
                          <w:rFonts w:ascii="黑体" w:eastAsia="黑体"/>
                          <w:sz w:val="32"/>
                          <w:szCs w:val="32"/>
                        </w:rPr>
                      </w:pPr>
                      <w:r>
                        <w:rPr>
                          <w:rFonts w:hint="eastAsia" w:ascii="黑体" w:eastAsia="黑体"/>
                          <w:sz w:val="32"/>
                          <w:szCs w:val="32"/>
                        </w:rPr>
                        <w:t>法定代表人身份证复印件</w:t>
                      </w:r>
                    </w:p>
                    <w:p w14:paraId="7BEE60BA"/>
                  </w:txbxContent>
                </v:textbox>
              </v:shape>
            </w:pict>
          </mc:Fallback>
        </mc:AlternateContent>
      </w:r>
    </w:p>
    <w:p w14:paraId="1B057B29">
      <w:pPr>
        <w:spacing w:line="480" w:lineRule="auto"/>
        <w:ind w:firstLine="420"/>
        <w:rPr>
          <w:rFonts w:ascii="宋体" w:hAnsi="宋体"/>
          <w:bCs/>
          <w:color w:val="000000"/>
          <w:sz w:val="24"/>
          <w:highlight w:val="none"/>
        </w:rPr>
      </w:pPr>
    </w:p>
    <w:p w14:paraId="6CDCD048">
      <w:pPr>
        <w:spacing w:line="480" w:lineRule="auto"/>
        <w:ind w:firstLine="420"/>
        <w:rPr>
          <w:rFonts w:ascii="宋体" w:hAnsi="宋体"/>
          <w:bCs/>
          <w:color w:val="000000"/>
          <w:sz w:val="24"/>
          <w:highlight w:val="none"/>
        </w:rPr>
      </w:pPr>
    </w:p>
    <w:p w14:paraId="797A9E3B">
      <w:pPr>
        <w:ind w:firstLine="420"/>
        <w:outlineLvl w:val="0"/>
        <w:rPr>
          <w:rFonts w:ascii="黑体" w:hAnsi="宋体" w:eastAsia="黑体"/>
          <w:bCs/>
          <w:color w:val="000000"/>
          <w:sz w:val="24"/>
          <w:highlight w:val="none"/>
        </w:rPr>
      </w:pPr>
    </w:p>
    <w:p w14:paraId="2A0A9258">
      <w:pPr>
        <w:rPr>
          <w:rFonts w:ascii="黑体" w:eastAsia="黑体"/>
          <w:b/>
          <w:color w:val="000000"/>
          <w:sz w:val="30"/>
          <w:szCs w:val="30"/>
          <w:highlight w:val="none"/>
        </w:rPr>
      </w:pPr>
      <w:r>
        <w:rPr>
          <w:rFonts w:hint="eastAsia" w:ascii="黑体" w:eastAsia="黑体"/>
          <w:b/>
          <w:color w:val="000000"/>
          <w:sz w:val="30"/>
          <w:szCs w:val="30"/>
          <w:highlight w:val="none"/>
        </w:rPr>
        <w:br w:type="page" w:clear="all"/>
      </w:r>
    </w:p>
    <w:p w14:paraId="2F3CBD34">
      <w:pPr>
        <w:spacing w:line="360" w:lineRule="auto"/>
        <w:jc w:val="center"/>
        <w:outlineLvl w:val="0"/>
        <w:rPr>
          <w:rFonts w:ascii="黑体" w:eastAsia="黑体"/>
          <w:b/>
          <w:color w:val="000000"/>
          <w:sz w:val="30"/>
          <w:szCs w:val="30"/>
          <w:highlight w:val="none"/>
        </w:rPr>
      </w:pPr>
      <w:r>
        <w:rPr>
          <w:rFonts w:hint="eastAsia" w:ascii="黑体" w:eastAsia="黑体"/>
          <w:b/>
          <w:color w:val="000000"/>
          <w:sz w:val="30"/>
          <w:szCs w:val="30"/>
          <w:highlight w:val="none"/>
        </w:rPr>
        <w:t>（四）承诺书（格式）：</w:t>
      </w:r>
    </w:p>
    <w:p w14:paraId="306962D5">
      <w:pPr>
        <w:outlineLvl w:val="0"/>
        <w:rPr>
          <w:rFonts w:ascii="黑体" w:eastAsia="黑体"/>
          <w:bCs/>
          <w:color w:val="000000"/>
          <w:sz w:val="28"/>
          <w:szCs w:val="28"/>
          <w:highlight w:val="none"/>
        </w:rPr>
      </w:pPr>
    </w:p>
    <w:p w14:paraId="65DC9864">
      <w:pPr>
        <w:jc w:val="center"/>
        <w:rPr>
          <w:rFonts w:ascii="黑体" w:eastAsia="黑体"/>
          <w:bCs/>
          <w:color w:val="000000"/>
          <w:sz w:val="28"/>
          <w:szCs w:val="28"/>
          <w:highlight w:val="none"/>
        </w:rPr>
      </w:pPr>
    </w:p>
    <w:p w14:paraId="446C536B">
      <w:pPr>
        <w:spacing w:line="480" w:lineRule="auto"/>
        <w:rPr>
          <w:rFonts w:ascii="宋体" w:hAnsi="宋体"/>
          <w:color w:val="000000"/>
          <w:sz w:val="24"/>
          <w:highlight w:val="none"/>
        </w:rPr>
      </w:pPr>
      <w:r>
        <w:rPr>
          <w:rFonts w:hint="eastAsia" w:ascii="宋体" w:hAnsi="宋体"/>
          <w:color w:val="000000"/>
          <w:sz w:val="24"/>
          <w:highlight w:val="none"/>
          <w:u w:val="single"/>
        </w:rPr>
        <w:t xml:space="preserve">                              </w:t>
      </w:r>
      <w:r>
        <w:rPr>
          <w:rFonts w:hint="eastAsia" w:ascii="宋体" w:hAnsi="宋体"/>
          <w:color w:val="000000"/>
          <w:sz w:val="24"/>
          <w:highlight w:val="none"/>
        </w:rPr>
        <w:t>（投标人名称）在此承诺：</w:t>
      </w:r>
    </w:p>
    <w:p w14:paraId="3127AF30">
      <w:pPr>
        <w:spacing w:line="480" w:lineRule="auto"/>
        <w:rPr>
          <w:rFonts w:ascii="宋体" w:hAnsi="宋体"/>
          <w:color w:val="000000"/>
          <w:sz w:val="24"/>
          <w:highlight w:val="none"/>
        </w:rPr>
      </w:pPr>
    </w:p>
    <w:p w14:paraId="6D96DF21">
      <w:pPr>
        <w:spacing w:line="480" w:lineRule="auto"/>
        <w:rPr>
          <w:rFonts w:ascii="宋体" w:hAnsi="宋体"/>
          <w:bCs/>
          <w:color w:val="000000"/>
          <w:sz w:val="24"/>
          <w:highlight w:val="none"/>
        </w:rPr>
      </w:pPr>
      <w:r>
        <w:rPr>
          <w:rFonts w:hint="eastAsia" w:ascii="宋体" w:hAnsi="宋体"/>
          <w:bCs/>
          <w:color w:val="000000"/>
          <w:sz w:val="24"/>
          <w:highlight w:val="none"/>
        </w:rPr>
        <w:t>1．本公司（单位）对本项目（</w:t>
      </w:r>
      <w:r>
        <w:rPr>
          <w:rFonts w:hint="eastAsia" w:ascii="宋体" w:hAnsi="宋体"/>
          <w:bCs/>
          <w:color w:val="000000"/>
          <w:sz w:val="24"/>
          <w:highlight w:val="none"/>
          <w:lang w:eastAsia="zh-CN"/>
        </w:rPr>
        <w:t>JSZC-320200-JJJC-G2025-0012</w:t>
      </w:r>
      <w:r>
        <w:rPr>
          <w:rFonts w:hint="eastAsia" w:ascii="宋体" w:hAnsi="宋体"/>
          <w:bCs/>
          <w:color w:val="000000"/>
          <w:sz w:val="24"/>
          <w:highlight w:val="none"/>
        </w:rPr>
        <w:t>）提供符合招标要求的产品和服务；</w:t>
      </w:r>
    </w:p>
    <w:p w14:paraId="73D23778">
      <w:pPr>
        <w:spacing w:line="480" w:lineRule="auto"/>
        <w:rPr>
          <w:rFonts w:ascii="宋体" w:hAnsi="宋体"/>
          <w:bCs/>
          <w:color w:val="000000"/>
          <w:sz w:val="24"/>
          <w:highlight w:val="none"/>
        </w:rPr>
      </w:pPr>
      <w:r>
        <w:rPr>
          <w:rFonts w:hint="eastAsia" w:ascii="宋体" w:hAnsi="宋体"/>
          <w:bCs/>
          <w:color w:val="000000"/>
          <w:sz w:val="24"/>
          <w:highlight w:val="none"/>
        </w:rPr>
        <w:t>2．本公司（单位）具备履行合同所必需的设备和专业技术能力；</w:t>
      </w:r>
    </w:p>
    <w:p w14:paraId="21BBE924">
      <w:pPr>
        <w:spacing w:line="480" w:lineRule="auto"/>
        <w:rPr>
          <w:rFonts w:ascii="宋体" w:hAnsi="宋体"/>
          <w:bCs/>
          <w:color w:val="000000"/>
          <w:sz w:val="24"/>
          <w:highlight w:val="none"/>
        </w:rPr>
      </w:pPr>
      <w:r>
        <w:rPr>
          <w:rFonts w:hint="eastAsia" w:ascii="宋体" w:hAnsi="宋体"/>
          <w:bCs/>
          <w:color w:val="000000"/>
          <w:sz w:val="24"/>
          <w:highlight w:val="none"/>
        </w:rPr>
        <w:t>3. 本公司未被“信用中国”网站（www.creditchina.gov.cn）列入失信执行人、重大税收违法失信主体、政府采购严重违法失信行为记录名单。</w:t>
      </w:r>
    </w:p>
    <w:p w14:paraId="28E27916">
      <w:pPr>
        <w:spacing w:line="480" w:lineRule="auto"/>
        <w:rPr>
          <w:rFonts w:ascii="宋体" w:hAnsi="宋体"/>
          <w:bCs/>
          <w:color w:val="000000"/>
          <w:szCs w:val="21"/>
          <w:highlight w:val="none"/>
        </w:rPr>
      </w:pPr>
      <w:r>
        <w:rPr>
          <w:rFonts w:hint="eastAsia" w:ascii="宋体" w:hAnsi="宋体"/>
          <w:bCs/>
          <w:color w:val="000000"/>
          <w:sz w:val="24"/>
          <w:highlight w:val="none"/>
        </w:rPr>
        <w:t>4. ...</w:t>
      </w:r>
    </w:p>
    <w:p w14:paraId="011B8607">
      <w:pPr>
        <w:spacing w:line="480" w:lineRule="auto"/>
        <w:rPr>
          <w:rFonts w:ascii="宋体" w:hAnsi="宋体"/>
          <w:color w:val="000000"/>
          <w:szCs w:val="21"/>
          <w:highlight w:val="none"/>
        </w:rPr>
      </w:pPr>
      <w:r>
        <w:rPr>
          <w:rFonts w:hint="eastAsia" w:ascii="宋体" w:hAnsi="宋体"/>
          <w:bCs/>
          <w:color w:val="000000"/>
          <w:szCs w:val="21"/>
          <w:highlight w:val="none"/>
        </w:rPr>
        <w:t>如违背上述承诺，本公司（单位）将承担一切法律责任。</w:t>
      </w:r>
    </w:p>
    <w:p w14:paraId="2FFAC69E">
      <w:pPr>
        <w:spacing w:line="480" w:lineRule="auto"/>
        <w:rPr>
          <w:rFonts w:ascii="宋体" w:hAnsi="宋体"/>
          <w:color w:val="000000"/>
          <w:sz w:val="24"/>
          <w:highlight w:val="none"/>
        </w:rPr>
      </w:pPr>
    </w:p>
    <w:p w14:paraId="4405272D">
      <w:pPr>
        <w:spacing w:line="480" w:lineRule="auto"/>
        <w:ind w:firstLine="5400"/>
        <w:rPr>
          <w:rFonts w:ascii="宋体" w:hAnsi="宋体"/>
          <w:bCs/>
          <w:color w:val="000000"/>
          <w:sz w:val="24"/>
          <w:highlight w:val="none"/>
        </w:rPr>
      </w:pPr>
    </w:p>
    <w:p w14:paraId="4B1EF8B6">
      <w:pPr>
        <w:spacing w:line="480" w:lineRule="auto"/>
        <w:ind w:firstLine="3720"/>
        <w:rPr>
          <w:rFonts w:ascii="宋体" w:hAnsi="宋体"/>
          <w:bCs/>
          <w:color w:val="000000"/>
          <w:sz w:val="24"/>
          <w:highlight w:val="none"/>
        </w:rPr>
      </w:pPr>
      <w:r>
        <w:rPr>
          <w:rFonts w:hint="eastAsia" w:ascii="宋体" w:hAnsi="宋体"/>
          <w:bCs/>
          <w:color w:val="000000"/>
          <w:sz w:val="24"/>
          <w:highlight w:val="none"/>
        </w:rPr>
        <w:t>投标人（盖章）：</w:t>
      </w:r>
    </w:p>
    <w:p w14:paraId="302F808A">
      <w:pPr>
        <w:spacing w:line="480" w:lineRule="auto"/>
        <w:ind w:firstLine="480"/>
        <w:rPr>
          <w:rFonts w:ascii="宋体" w:hAnsi="宋体"/>
          <w:bCs/>
          <w:color w:val="000000"/>
          <w:sz w:val="24"/>
          <w:highlight w:val="none"/>
        </w:rPr>
      </w:pPr>
      <w:r>
        <w:rPr>
          <w:rFonts w:hint="eastAsia" w:ascii="宋体" w:hAnsi="宋体"/>
          <w:bCs/>
          <w:color w:val="000000"/>
          <w:sz w:val="24"/>
          <w:highlight w:val="none"/>
        </w:rPr>
        <w:t>法定代表人或被授权委托人签字或盖章：</w:t>
      </w:r>
    </w:p>
    <w:p w14:paraId="1F2AC1C1">
      <w:pPr>
        <w:outlineLvl w:val="0"/>
        <w:rPr>
          <w:rFonts w:ascii="黑体" w:hAnsi="宋体" w:eastAsia="黑体"/>
          <w:bCs/>
          <w:color w:val="000000"/>
          <w:sz w:val="24"/>
          <w:highlight w:val="none"/>
        </w:rPr>
      </w:pPr>
    </w:p>
    <w:p w14:paraId="18C465FD">
      <w:pPr>
        <w:outlineLvl w:val="0"/>
        <w:rPr>
          <w:rFonts w:ascii="黑体" w:hAnsi="宋体" w:eastAsia="黑体"/>
          <w:bCs/>
          <w:color w:val="000000"/>
          <w:sz w:val="24"/>
          <w:highlight w:val="none"/>
        </w:rPr>
      </w:pPr>
    </w:p>
    <w:p w14:paraId="4B413DF0">
      <w:pPr>
        <w:outlineLvl w:val="0"/>
        <w:rPr>
          <w:rFonts w:ascii="黑体" w:hAnsi="宋体" w:eastAsia="黑体"/>
          <w:bCs/>
          <w:color w:val="000000"/>
          <w:sz w:val="24"/>
          <w:highlight w:val="none"/>
        </w:rPr>
      </w:pPr>
    </w:p>
    <w:p w14:paraId="531AC01F">
      <w:pPr>
        <w:outlineLvl w:val="0"/>
        <w:rPr>
          <w:rFonts w:ascii="黑体" w:eastAsia="黑体"/>
          <w:bCs/>
          <w:color w:val="000000"/>
          <w:sz w:val="28"/>
          <w:szCs w:val="28"/>
          <w:highlight w:val="none"/>
        </w:rPr>
      </w:pPr>
    </w:p>
    <w:p w14:paraId="4039EE16">
      <w:pPr>
        <w:outlineLvl w:val="0"/>
        <w:rPr>
          <w:rFonts w:ascii="黑体" w:eastAsia="黑体"/>
          <w:bCs/>
          <w:color w:val="000000"/>
          <w:sz w:val="28"/>
          <w:szCs w:val="28"/>
          <w:highlight w:val="none"/>
        </w:rPr>
      </w:pPr>
    </w:p>
    <w:p w14:paraId="5D9F6BC8">
      <w:pPr>
        <w:outlineLvl w:val="0"/>
        <w:rPr>
          <w:rFonts w:ascii="黑体" w:eastAsia="黑体"/>
          <w:bCs/>
          <w:color w:val="000000"/>
          <w:sz w:val="28"/>
          <w:szCs w:val="28"/>
          <w:highlight w:val="none"/>
        </w:rPr>
      </w:pPr>
    </w:p>
    <w:p w14:paraId="1BEF2AFC">
      <w:pPr>
        <w:outlineLvl w:val="0"/>
        <w:rPr>
          <w:rFonts w:ascii="黑体" w:eastAsia="黑体"/>
          <w:bCs/>
          <w:color w:val="000000"/>
          <w:sz w:val="28"/>
          <w:szCs w:val="28"/>
          <w:highlight w:val="none"/>
        </w:rPr>
      </w:pPr>
    </w:p>
    <w:p w14:paraId="60419AC2">
      <w:pPr>
        <w:pStyle w:val="268"/>
        <w:rPr>
          <w:highlight w:val="none"/>
        </w:rPr>
      </w:pPr>
    </w:p>
    <w:p w14:paraId="266B55A3">
      <w:pPr>
        <w:outlineLvl w:val="0"/>
        <w:rPr>
          <w:rFonts w:ascii="黑体" w:eastAsia="黑体"/>
          <w:bCs/>
          <w:color w:val="000000"/>
          <w:sz w:val="28"/>
          <w:szCs w:val="28"/>
          <w:highlight w:val="none"/>
        </w:rPr>
      </w:pPr>
    </w:p>
    <w:p w14:paraId="1E29B84D">
      <w:pPr>
        <w:rPr>
          <w:rFonts w:ascii="黑体" w:eastAsia="黑体"/>
          <w:b/>
          <w:color w:val="000000"/>
          <w:sz w:val="30"/>
          <w:szCs w:val="30"/>
          <w:highlight w:val="none"/>
        </w:rPr>
      </w:pPr>
      <w:r>
        <w:rPr>
          <w:rFonts w:hint="eastAsia" w:ascii="黑体" w:eastAsia="黑体"/>
          <w:b/>
          <w:color w:val="000000"/>
          <w:sz w:val="30"/>
          <w:szCs w:val="30"/>
          <w:highlight w:val="none"/>
        </w:rPr>
        <w:br w:type="page" w:clear="all"/>
      </w:r>
    </w:p>
    <w:p w14:paraId="1899F4F4">
      <w:pPr>
        <w:spacing w:line="360" w:lineRule="auto"/>
        <w:jc w:val="center"/>
        <w:outlineLvl w:val="0"/>
        <w:rPr>
          <w:rFonts w:ascii="黑体" w:eastAsia="黑体"/>
          <w:b/>
          <w:color w:val="000000"/>
          <w:sz w:val="30"/>
          <w:szCs w:val="30"/>
          <w:highlight w:val="none"/>
        </w:rPr>
      </w:pPr>
      <w:r>
        <w:rPr>
          <w:rFonts w:hint="eastAsia" w:ascii="黑体" w:eastAsia="黑体"/>
          <w:b/>
          <w:color w:val="000000"/>
          <w:sz w:val="30"/>
          <w:szCs w:val="30"/>
          <w:highlight w:val="none"/>
        </w:rPr>
        <w:t>（五）开标一览表（格式）</w:t>
      </w:r>
    </w:p>
    <w:p w14:paraId="326FDDBF">
      <w:pPr>
        <w:pBdr>
          <w:top w:val="none" w:color="000000" w:sz="0" w:space="0"/>
          <w:left w:val="none" w:color="000000" w:sz="0" w:space="0"/>
          <w:bottom w:val="none" w:color="000000" w:sz="0" w:space="0"/>
          <w:right w:val="none" w:color="000000" w:sz="0" w:space="0"/>
        </w:pBdr>
        <w:spacing w:before="100" w:after="100" w:line="288" w:lineRule="atLeast"/>
        <w:ind w:firstLine="420"/>
        <w:rPr>
          <w:highlight w:val="none"/>
        </w:rPr>
      </w:pPr>
      <w:r>
        <w:rPr>
          <w:rFonts w:ascii="宋体" w:hAnsi="宋体" w:cs="宋体"/>
          <w:color w:val="000000"/>
          <w:sz w:val="24"/>
          <w:highlight w:val="none"/>
        </w:rPr>
        <w:t>项目名称： </w:t>
      </w:r>
    </w:p>
    <w:p w14:paraId="2FE7ED2E">
      <w:pPr>
        <w:pStyle w:val="308"/>
        <w:ind w:firstLine="480"/>
        <w:rPr>
          <w:highlight w:val="none"/>
        </w:rPr>
      </w:pPr>
      <w:r>
        <w:rPr>
          <w:highlight w:val="none"/>
        </w:rPr>
        <w:t>项目编号：</w:t>
      </w:r>
    </w:p>
    <w:tbl>
      <w:tblPr>
        <w:tblStyle w:val="37"/>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2853"/>
        <w:gridCol w:w="2837"/>
        <w:gridCol w:w="4411"/>
      </w:tblGrid>
      <w:tr w14:paraId="023ED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3330" w:type="dxa"/>
            <w:vAlign w:val="center"/>
          </w:tcPr>
          <w:p w14:paraId="7A69C9EC">
            <w:pPr>
              <w:pStyle w:val="308"/>
              <w:rPr>
                <w:highlight w:val="none"/>
              </w:rPr>
            </w:pPr>
            <w:r>
              <w:rPr>
                <w:highlight w:val="none"/>
              </w:rPr>
              <w:t>项目名称</w:t>
            </w:r>
          </w:p>
        </w:tc>
        <w:tc>
          <w:tcPr>
            <w:tcW w:w="3345" w:type="dxa"/>
            <w:vAlign w:val="center"/>
          </w:tcPr>
          <w:p w14:paraId="32107850">
            <w:pPr>
              <w:pStyle w:val="308"/>
              <w:rPr>
                <w:highlight w:val="none"/>
              </w:rPr>
            </w:pPr>
            <w:r>
              <w:rPr>
                <w:highlight w:val="none"/>
              </w:rPr>
              <w:t>项目内容</w:t>
            </w:r>
          </w:p>
        </w:tc>
        <w:tc>
          <w:tcPr>
            <w:tcW w:w="4980" w:type="dxa"/>
            <w:vAlign w:val="center"/>
          </w:tcPr>
          <w:p w14:paraId="2AA3EA2C">
            <w:pPr>
              <w:pStyle w:val="308"/>
              <w:rPr>
                <w:highlight w:val="none"/>
              </w:rPr>
            </w:pPr>
            <w:r>
              <w:rPr>
                <w:highlight w:val="none"/>
              </w:rPr>
              <w:t>总价（小写）</w:t>
            </w:r>
          </w:p>
        </w:tc>
      </w:tr>
      <w:tr w14:paraId="3591A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3330" w:type="dxa"/>
            <w:vAlign w:val="center"/>
          </w:tcPr>
          <w:p w14:paraId="6BF74456">
            <w:pPr>
              <w:pStyle w:val="308"/>
              <w:rPr>
                <w:highlight w:val="none"/>
              </w:rPr>
            </w:pPr>
            <w:r>
              <w:rPr>
                <w:highlight w:val="none"/>
              </w:rPr>
              <w:t>项目名称  </w:t>
            </w:r>
          </w:p>
        </w:tc>
        <w:tc>
          <w:tcPr>
            <w:tcW w:w="3345" w:type="dxa"/>
            <w:vAlign w:val="center"/>
          </w:tcPr>
          <w:p w14:paraId="724EE6AA">
            <w:pPr>
              <w:pStyle w:val="308"/>
              <w:rPr>
                <w:highlight w:val="none"/>
              </w:rPr>
            </w:pPr>
            <w:r>
              <w:rPr>
                <w:highlight w:val="none"/>
              </w:rPr>
              <w:t>详见</w:t>
            </w:r>
            <w:r>
              <w:rPr>
                <w:rFonts w:hint="eastAsia"/>
                <w:highlight w:val="none"/>
              </w:rPr>
              <w:t>投标</w:t>
            </w:r>
            <w:r>
              <w:rPr>
                <w:highlight w:val="none"/>
              </w:rPr>
              <w:t>文件</w:t>
            </w:r>
          </w:p>
        </w:tc>
        <w:tc>
          <w:tcPr>
            <w:tcW w:w="4980" w:type="dxa"/>
            <w:vAlign w:val="center"/>
          </w:tcPr>
          <w:p w14:paraId="17F01814">
            <w:pPr>
              <w:pStyle w:val="308"/>
              <w:ind w:firstLine="1680"/>
              <w:rPr>
                <w:highlight w:val="none"/>
              </w:rPr>
            </w:pPr>
            <w:r>
              <w:rPr>
                <w:highlight w:val="none"/>
              </w:rPr>
              <w:t>元</w:t>
            </w:r>
          </w:p>
        </w:tc>
      </w:tr>
      <w:tr w14:paraId="77FEA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3330" w:type="dxa"/>
            <w:vAlign w:val="center"/>
          </w:tcPr>
          <w:p w14:paraId="7F125677">
            <w:pPr>
              <w:pStyle w:val="308"/>
              <w:rPr>
                <w:highlight w:val="none"/>
              </w:rPr>
            </w:pPr>
            <w:r>
              <w:rPr>
                <w:highlight w:val="none"/>
              </w:rPr>
              <w:t>总价（大写）：</w:t>
            </w:r>
          </w:p>
        </w:tc>
        <w:tc>
          <w:tcPr>
            <w:tcW w:w="8340" w:type="dxa"/>
            <w:gridSpan w:val="2"/>
            <w:vAlign w:val="center"/>
          </w:tcPr>
          <w:p w14:paraId="496193B0">
            <w:pPr>
              <w:pStyle w:val="308"/>
              <w:rPr>
                <w:highlight w:val="none"/>
              </w:rPr>
            </w:pPr>
            <w:r>
              <w:rPr>
                <w:highlight w:val="none"/>
              </w:rPr>
              <w:t>金额大写 </w:t>
            </w:r>
          </w:p>
        </w:tc>
      </w:tr>
    </w:tbl>
    <w:p w14:paraId="60F34FD4">
      <w:pPr>
        <w:pStyle w:val="308"/>
        <w:rPr>
          <w:highlight w:val="none"/>
        </w:rPr>
      </w:pPr>
      <w:r>
        <w:rPr>
          <w:highlight w:val="none"/>
        </w:rPr>
        <w:t>报价说明：</w:t>
      </w:r>
    </w:p>
    <w:p w14:paraId="23068FBA">
      <w:pPr>
        <w:pStyle w:val="308"/>
        <w:rPr>
          <w:highlight w:val="none"/>
        </w:rPr>
      </w:pPr>
      <w:r>
        <w:rPr>
          <w:highlight w:val="none"/>
        </w:rPr>
        <w:t>1、报价包括完成项目的所有费用。采购人不再支付报价以外的任何费用。</w:t>
      </w:r>
    </w:p>
    <w:p w14:paraId="04111BEE">
      <w:pPr>
        <w:pStyle w:val="308"/>
        <w:rPr>
          <w:highlight w:val="none"/>
        </w:rPr>
      </w:pPr>
      <w:r>
        <w:rPr>
          <w:highlight w:val="none"/>
        </w:rPr>
        <w:t>2、报价以总价为准，大小写不一致以大写为准；</w:t>
      </w:r>
    </w:p>
    <w:p w14:paraId="3CCE3481">
      <w:pPr>
        <w:pStyle w:val="308"/>
        <w:rPr>
          <w:highlight w:val="none"/>
        </w:rPr>
      </w:pPr>
      <w:r>
        <w:rPr>
          <w:highlight w:val="none"/>
        </w:rPr>
        <w:t>3、偏离说明：详见《偏离表》；</w:t>
      </w:r>
    </w:p>
    <w:p w14:paraId="2BB3D4A4">
      <w:pPr>
        <w:pStyle w:val="308"/>
        <w:rPr>
          <w:highlight w:val="none"/>
        </w:rPr>
      </w:pPr>
    </w:p>
    <w:p w14:paraId="32DE09AB">
      <w:pPr>
        <w:pStyle w:val="308"/>
        <w:rPr>
          <w:highlight w:val="none"/>
        </w:rPr>
      </w:pPr>
      <w:r>
        <w:rPr>
          <w:highlight w:val="none"/>
        </w:rPr>
        <w:t>供应商（电子签章）：</w:t>
      </w:r>
    </w:p>
    <w:p w14:paraId="59B8631C">
      <w:pPr>
        <w:rPr>
          <w:rFonts w:ascii="黑体" w:eastAsia="黑体" w:cs="宋体"/>
          <w:b/>
          <w:color w:val="000000"/>
          <w:sz w:val="32"/>
          <w:szCs w:val="32"/>
          <w:highlight w:val="none"/>
        </w:rPr>
      </w:pPr>
      <w:r>
        <w:rPr>
          <w:rFonts w:hint="eastAsia" w:ascii="黑体" w:eastAsia="黑体" w:cs="宋体"/>
          <w:b/>
          <w:color w:val="000000"/>
          <w:sz w:val="32"/>
          <w:szCs w:val="32"/>
          <w:highlight w:val="none"/>
        </w:rPr>
        <w:br w:type="page" w:clear="all"/>
      </w:r>
    </w:p>
    <w:p w14:paraId="5CD35338">
      <w:pPr>
        <w:spacing w:line="360" w:lineRule="auto"/>
        <w:jc w:val="center"/>
        <w:outlineLvl w:val="0"/>
        <w:rPr>
          <w:rFonts w:ascii="宋体" w:hAnsi="宋体" w:cs="宋体"/>
          <w:b/>
          <w:bCs/>
          <w:color w:val="000000"/>
          <w:sz w:val="30"/>
          <w:szCs w:val="30"/>
          <w:highlight w:val="none"/>
        </w:rPr>
      </w:pPr>
      <w:r>
        <w:rPr>
          <w:rFonts w:hint="eastAsia" w:ascii="宋体" w:hAnsi="宋体" w:cs="宋体"/>
          <w:b/>
          <w:color w:val="000000"/>
          <w:sz w:val="30"/>
          <w:szCs w:val="30"/>
          <w:highlight w:val="none"/>
        </w:rPr>
        <w:t>（六）报价附录（格式）</w:t>
      </w:r>
    </w:p>
    <w:p w14:paraId="7BDAB8DC">
      <w:pPr>
        <w:spacing w:line="300" w:lineRule="auto"/>
        <w:jc w:val="center"/>
        <w:rPr>
          <w:rFonts w:ascii="宋体" w:hAnsi="宋体" w:cs="宋体"/>
          <w:b/>
          <w:bCs/>
          <w:color w:val="000000"/>
          <w:sz w:val="36"/>
          <w:szCs w:val="36"/>
          <w:highlight w:val="none"/>
        </w:rPr>
      </w:pPr>
    </w:p>
    <w:p w14:paraId="5BCF4289">
      <w:pPr>
        <w:spacing w:line="300" w:lineRule="auto"/>
        <w:rPr>
          <w:rFonts w:ascii="宋体" w:hAnsi="宋体" w:cs="宋体"/>
          <w:color w:val="000000"/>
          <w:highlight w:val="none"/>
        </w:rPr>
      </w:pPr>
      <w:r>
        <w:rPr>
          <w:rFonts w:hint="eastAsia" w:ascii="宋体" w:hAnsi="宋体" w:cs="宋体"/>
          <w:color w:val="000000"/>
          <w:sz w:val="24"/>
          <w:highlight w:val="none"/>
        </w:rPr>
        <w:t xml:space="preserve">供应商全称（加盖公章）：  </w:t>
      </w:r>
      <w:r>
        <w:rPr>
          <w:rFonts w:hint="eastAsia" w:ascii="宋体" w:hAnsi="宋体" w:cs="宋体"/>
          <w:color w:val="000000"/>
          <w:sz w:val="24"/>
          <w:szCs w:val="28"/>
          <w:highlight w:val="none"/>
        </w:rPr>
        <w:t xml:space="preserve">                      </w:t>
      </w:r>
      <w:r>
        <w:rPr>
          <w:rFonts w:hint="eastAsia" w:ascii="宋体" w:hAnsi="宋体" w:cs="宋体"/>
          <w:color w:val="000000"/>
          <w:sz w:val="24"/>
          <w:highlight w:val="none"/>
        </w:rPr>
        <w:t>采购编号：</w:t>
      </w:r>
      <w:r>
        <w:rPr>
          <w:rFonts w:hint="eastAsia" w:ascii="宋体" w:hAnsi="宋体" w:cs="宋体"/>
          <w:color w:val="000000"/>
          <w:highlight w:val="none"/>
        </w:rPr>
        <w:t xml:space="preserve"> </w:t>
      </w:r>
    </w:p>
    <w:tbl>
      <w:tblPr>
        <w:tblStyle w:val="37"/>
        <w:tblW w:w="99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432"/>
        <w:gridCol w:w="6495"/>
      </w:tblGrid>
      <w:tr w14:paraId="5E3D7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9" w:hRule="atLeast"/>
        </w:trPr>
        <w:tc>
          <w:tcPr>
            <w:tcW w:w="3432" w:type="dxa"/>
            <w:vAlign w:val="center"/>
          </w:tcPr>
          <w:p w14:paraId="768727B8">
            <w:pPr>
              <w:pStyle w:val="268"/>
              <w:spacing w:line="300" w:lineRule="auto"/>
              <w:jc w:val="center"/>
              <w:rPr>
                <w:rFonts w:ascii="宋体" w:hAnsi="宋体" w:eastAsia="宋体" w:cs="宋体"/>
                <w:color w:val="000000"/>
                <w:sz w:val="24"/>
                <w:highlight w:val="none"/>
              </w:rPr>
            </w:pPr>
            <w:r>
              <w:rPr>
                <w:rFonts w:hint="eastAsia" w:ascii="宋体" w:hAnsi="宋体" w:eastAsia="宋体" w:cs="宋体"/>
                <w:color w:val="000000"/>
                <w:sz w:val="24"/>
                <w:highlight w:val="none"/>
              </w:rPr>
              <w:t>项目总报价</w:t>
            </w:r>
          </w:p>
        </w:tc>
        <w:tc>
          <w:tcPr>
            <w:tcW w:w="6495" w:type="dxa"/>
            <w:vAlign w:val="center"/>
          </w:tcPr>
          <w:p w14:paraId="15E3E1D7">
            <w:pPr>
              <w:pStyle w:val="268"/>
              <w:spacing w:line="300" w:lineRule="auto"/>
              <w:rPr>
                <w:rFonts w:ascii="宋体" w:hAnsi="宋体" w:eastAsia="宋体" w:cs="宋体"/>
                <w:color w:val="000000"/>
                <w:sz w:val="24"/>
                <w:highlight w:val="none"/>
              </w:rPr>
            </w:pPr>
            <w:r>
              <w:rPr>
                <w:rFonts w:hint="eastAsia" w:ascii="宋体" w:hAnsi="宋体" w:eastAsia="宋体" w:cs="宋体"/>
                <w:color w:val="000000"/>
                <w:sz w:val="24"/>
                <w:highlight w:val="none"/>
              </w:rPr>
              <w:t>大写：</w:t>
            </w:r>
          </w:p>
          <w:p w14:paraId="5A32F72D">
            <w:pPr>
              <w:pStyle w:val="268"/>
              <w:spacing w:line="30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小写：¥                    </w:t>
            </w:r>
          </w:p>
        </w:tc>
      </w:tr>
      <w:tr w14:paraId="11C6B6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9" w:hRule="atLeast"/>
        </w:trPr>
        <w:tc>
          <w:tcPr>
            <w:tcW w:w="3432" w:type="dxa"/>
            <w:vAlign w:val="center"/>
          </w:tcPr>
          <w:p w14:paraId="56E8CEA4">
            <w:pPr>
              <w:pStyle w:val="268"/>
              <w:spacing w:line="300" w:lineRule="auto"/>
              <w:jc w:val="center"/>
              <w:rPr>
                <w:rFonts w:ascii="宋体" w:hAnsi="宋体" w:eastAsia="宋体" w:cs="宋体"/>
                <w:color w:val="000000"/>
                <w:sz w:val="24"/>
                <w:highlight w:val="none"/>
              </w:rPr>
            </w:pPr>
            <w:r>
              <w:rPr>
                <w:rFonts w:hint="eastAsia" w:asciiTheme="minorEastAsia" w:hAnsiTheme="minorEastAsia" w:eastAsiaTheme="minorEastAsia"/>
                <w:bCs/>
                <w:kern w:val="2"/>
                <w:sz w:val="24"/>
                <w:highlight w:val="none"/>
              </w:rPr>
              <w:t>2艘移动式藻水分离船运行管理</w:t>
            </w:r>
          </w:p>
        </w:tc>
        <w:tc>
          <w:tcPr>
            <w:tcW w:w="6495" w:type="dxa"/>
            <w:vAlign w:val="center"/>
          </w:tcPr>
          <w:p w14:paraId="1D329F98">
            <w:pPr>
              <w:pStyle w:val="268"/>
              <w:spacing w:line="300" w:lineRule="auto"/>
              <w:rPr>
                <w:rFonts w:ascii="宋体" w:hAnsi="宋体" w:eastAsia="宋体" w:cs="宋体"/>
                <w:color w:val="000000"/>
                <w:sz w:val="24"/>
                <w:highlight w:val="none"/>
              </w:rPr>
            </w:pPr>
            <w:r>
              <w:rPr>
                <w:rFonts w:hint="eastAsia" w:ascii="宋体" w:hAnsi="宋体" w:eastAsia="宋体" w:cs="宋体"/>
                <w:color w:val="000000"/>
                <w:sz w:val="24"/>
                <w:highlight w:val="none"/>
              </w:rPr>
              <w:t>单价：大写：</w:t>
            </w:r>
          </w:p>
          <w:p w14:paraId="58C787EA">
            <w:pPr>
              <w:pStyle w:val="268"/>
              <w:spacing w:line="300" w:lineRule="auto"/>
              <w:ind w:firstLine="720" w:firstLineChars="30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小写：¥  </w:t>
            </w:r>
          </w:p>
        </w:tc>
      </w:tr>
      <w:tr w14:paraId="0168BC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9" w:hRule="atLeast"/>
        </w:trPr>
        <w:tc>
          <w:tcPr>
            <w:tcW w:w="3432" w:type="dxa"/>
            <w:shd w:val="clear" w:color="auto" w:fill="auto"/>
            <w:vAlign w:val="center"/>
          </w:tcPr>
          <w:p w14:paraId="7B041346">
            <w:pPr>
              <w:spacing w:line="360" w:lineRule="auto"/>
              <w:jc w:val="center"/>
              <w:rPr>
                <w:rFonts w:asciiTheme="minorEastAsia" w:hAnsiTheme="minorEastAsia" w:eastAsiaTheme="minorEastAsia"/>
                <w:bCs/>
                <w:kern w:val="2"/>
                <w:sz w:val="24"/>
                <w:szCs w:val="20"/>
                <w:highlight w:val="none"/>
              </w:rPr>
            </w:pPr>
            <w:r>
              <w:rPr>
                <w:rFonts w:hint="eastAsia" w:asciiTheme="minorEastAsia" w:hAnsiTheme="minorEastAsia" w:eastAsiaTheme="minorEastAsia"/>
                <w:bCs/>
                <w:kern w:val="2"/>
                <w:sz w:val="24"/>
                <w:szCs w:val="20"/>
                <w:highlight w:val="none"/>
              </w:rPr>
              <w:t>藻泥产出</w:t>
            </w:r>
          </w:p>
        </w:tc>
        <w:tc>
          <w:tcPr>
            <w:tcW w:w="6495" w:type="dxa"/>
            <w:vAlign w:val="center"/>
          </w:tcPr>
          <w:p w14:paraId="7EDF775A">
            <w:pPr>
              <w:pStyle w:val="268"/>
              <w:spacing w:line="300" w:lineRule="auto"/>
              <w:rPr>
                <w:rFonts w:ascii="宋体" w:hAnsi="宋体" w:eastAsia="宋体" w:cs="宋体"/>
                <w:color w:val="000000"/>
                <w:sz w:val="24"/>
                <w:highlight w:val="none"/>
              </w:rPr>
            </w:pPr>
            <w:r>
              <w:rPr>
                <w:rFonts w:hint="eastAsia" w:ascii="宋体" w:hAnsi="宋体" w:eastAsia="宋体" w:cs="宋体"/>
                <w:color w:val="000000"/>
                <w:sz w:val="24"/>
                <w:highlight w:val="none"/>
              </w:rPr>
              <w:t>单价：大写：</w:t>
            </w:r>
          </w:p>
          <w:p w14:paraId="276B5082">
            <w:pPr>
              <w:pStyle w:val="268"/>
              <w:spacing w:line="300" w:lineRule="auto"/>
              <w:ind w:firstLine="720" w:firstLineChars="30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小写：¥  </w:t>
            </w:r>
          </w:p>
        </w:tc>
      </w:tr>
      <w:tr w14:paraId="146FD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9" w:hRule="atLeast"/>
        </w:trPr>
        <w:tc>
          <w:tcPr>
            <w:tcW w:w="3432" w:type="dxa"/>
            <w:shd w:val="clear" w:color="auto" w:fill="auto"/>
            <w:vAlign w:val="center"/>
          </w:tcPr>
          <w:p w14:paraId="6D655D3C">
            <w:pPr>
              <w:spacing w:line="360" w:lineRule="auto"/>
              <w:jc w:val="center"/>
              <w:rPr>
                <w:rFonts w:asciiTheme="minorEastAsia" w:hAnsiTheme="minorEastAsia" w:eastAsiaTheme="minorEastAsia"/>
                <w:bCs/>
                <w:kern w:val="2"/>
                <w:sz w:val="24"/>
                <w:szCs w:val="20"/>
                <w:highlight w:val="none"/>
              </w:rPr>
            </w:pPr>
            <w:r>
              <w:rPr>
                <w:rFonts w:hint="eastAsia" w:asciiTheme="minorEastAsia" w:hAnsiTheme="minorEastAsia" w:eastAsiaTheme="minorEastAsia"/>
                <w:bCs/>
                <w:kern w:val="2"/>
                <w:sz w:val="24"/>
                <w:szCs w:val="20"/>
                <w:highlight w:val="none"/>
              </w:rPr>
              <w:t>藻泥运输处置</w:t>
            </w:r>
          </w:p>
        </w:tc>
        <w:tc>
          <w:tcPr>
            <w:tcW w:w="6495" w:type="dxa"/>
            <w:vAlign w:val="center"/>
          </w:tcPr>
          <w:p w14:paraId="2D8BB8C0">
            <w:pPr>
              <w:pStyle w:val="268"/>
              <w:spacing w:line="300" w:lineRule="auto"/>
              <w:rPr>
                <w:rFonts w:ascii="宋体" w:hAnsi="宋体" w:eastAsia="宋体" w:cs="宋体"/>
                <w:color w:val="000000"/>
                <w:sz w:val="24"/>
                <w:highlight w:val="none"/>
              </w:rPr>
            </w:pPr>
            <w:r>
              <w:rPr>
                <w:rFonts w:hint="eastAsia" w:ascii="宋体" w:hAnsi="宋体" w:eastAsia="宋体" w:cs="宋体"/>
                <w:color w:val="000000"/>
                <w:sz w:val="24"/>
                <w:highlight w:val="none"/>
              </w:rPr>
              <w:t>单价：大写：</w:t>
            </w:r>
          </w:p>
          <w:p w14:paraId="21C9CF3E">
            <w:pPr>
              <w:pStyle w:val="268"/>
              <w:spacing w:line="300" w:lineRule="auto"/>
              <w:ind w:firstLine="720" w:firstLineChars="30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小写：¥  </w:t>
            </w:r>
          </w:p>
        </w:tc>
      </w:tr>
      <w:tr w14:paraId="3B021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9" w:hRule="atLeast"/>
        </w:trPr>
        <w:tc>
          <w:tcPr>
            <w:tcW w:w="3432" w:type="dxa"/>
            <w:vAlign w:val="center"/>
          </w:tcPr>
          <w:p w14:paraId="7D76B97A">
            <w:pPr>
              <w:pStyle w:val="268"/>
              <w:spacing w:line="300" w:lineRule="auto"/>
              <w:jc w:val="center"/>
              <w:rPr>
                <w:rFonts w:ascii="宋体" w:hAnsi="宋体" w:eastAsia="宋体" w:cs="宋体"/>
                <w:color w:val="000000"/>
                <w:sz w:val="24"/>
                <w:highlight w:val="none"/>
              </w:rPr>
            </w:pPr>
            <w:r>
              <w:rPr>
                <w:rFonts w:hint="eastAsia" w:ascii="宋体" w:hAnsi="宋体" w:eastAsia="宋体" w:cs="宋体"/>
                <w:color w:val="000000"/>
                <w:sz w:val="24"/>
                <w:highlight w:val="none"/>
              </w:rPr>
              <w:t>服务期</w:t>
            </w:r>
          </w:p>
        </w:tc>
        <w:tc>
          <w:tcPr>
            <w:tcW w:w="6495" w:type="dxa"/>
            <w:vAlign w:val="center"/>
          </w:tcPr>
          <w:p w14:paraId="347968D1">
            <w:pPr>
              <w:pStyle w:val="268"/>
              <w:spacing w:line="300" w:lineRule="auto"/>
              <w:rPr>
                <w:rFonts w:ascii="宋体" w:hAnsi="宋体" w:eastAsia="宋体" w:cs="宋体"/>
                <w:color w:val="000000"/>
                <w:sz w:val="24"/>
                <w:highlight w:val="none"/>
              </w:rPr>
            </w:pPr>
          </w:p>
        </w:tc>
      </w:tr>
      <w:tr w14:paraId="3891A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9" w:hRule="atLeast"/>
        </w:trPr>
        <w:tc>
          <w:tcPr>
            <w:tcW w:w="3432" w:type="dxa"/>
            <w:vAlign w:val="center"/>
          </w:tcPr>
          <w:p w14:paraId="7BC64F3E">
            <w:pPr>
              <w:widowControl/>
              <w:jc w:val="center"/>
              <w:rPr>
                <w:rFonts w:ascii="宋体" w:hAnsi="宋体" w:cs="宋体"/>
                <w:color w:val="000000"/>
                <w:sz w:val="24"/>
                <w:szCs w:val="20"/>
                <w:highlight w:val="none"/>
              </w:rPr>
            </w:pPr>
            <w:r>
              <w:rPr>
                <w:rFonts w:hint="eastAsia" w:ascii="宋体" w:hAnsi="宋体" w:cs="宋体"/>
                <w:color w:val="000000"/>
                <w:sz w:val="24"/>
                <w:szCs w:val="20"/>
                <w:highlight w:val="none"/>
              </w:rPr>
              <w:t>服务要求</w:t>
            </w:r>
          </w:p>
        </w:tc>
        <w:tc>
          <w:tcPr>
            <w:tcW w:w="6495" w:type="dxa"/>
            <w:vAlign w:val="center"/>
          </w:tcPr>
          <w:p w14:paraId="35D2B3FE">
            <w:pPr>
              <w:spacing w:line="300" w:lineRule="auto"/>
              <w:rPr>
                <w:rFonts w:ascii="宋体" w:hAnsi="宋体" w:cs="宋体"/>
                <w:color w:val="000000"/>
                <w:sz w:val="24"/>
                <w:szCs w:val="28"/>
                <w:highlight w:val="none"/>
              </w:rPr>
            </w:pPr>
          </w:p>
        </w:tc>
      </w:tr>
    </w:tbl>
    <w:p w14:paraId="2BF37436">
      <w:pPr>
        <w:spacing w:line="300" w:lineRule="auto"/>
        <w:rPr>
          <w:rFonts w:ascii="宋体" w:hAnsi="宋体" w:cs="宋体"/>
          <w:color w:val="000000"/>
          <w:sz w:val="24"/>
          <w:highlight w:val="none"/>
        </w:rPr>
      </w:pPr>
    </w:p>
    <w:p w14:paraId="0D1BED8F">
      <w:pPr>
        <w:spacing w:line="300" w:lineRule="auto"/>
        <w:rPr>
          <w:rFonts w:ascii="宋体" w:hAnsi="宋体" w:cs="宋体"/>
          <w:color w:val="000000"/>
          <w:sz w:val="24"/>
          <w:szCs w:val="28"/>
          <w:highlight w:val="none"/>
        </w:rPr>
      </w:pPr>
    </w:p>
    <w:p w14:paraId="4DC81E3A">
      <w:pPr>
        <w:rPr>
          <w:rFonts w:ascii="宋体" w:hAnsi="宋体" w:cs="宋体"/>
          <w:color w:val="000000"/>
          <w:sz w:val="24"/>
          <w:highlight w:val="none"/>
        </w:rPr>
      </w:pPr>
      <w:r>
        <w:rPr>
          <w:rFonts w:hint="eastAsia" w:ascii="宋体" w:hAnsi="宋体" w:cs="宋体"/>
          <w:color w:val="000000"/>
          <w:sz w:val="24"/>
          <w:highlight w:val="none"/>
        </w:rPr>
        <w:t>法定代表人或授权代表签字或盖章：                      日期：   年    月   日</w:t>
      </w:r>
    </w:p>
    <w:p w14:paraId="33D0D20C">
      <w:pPr>
        <w:spacing w:before="156"/>
        <w:rPr>
          <w:rFonts w:ascii="宋体" w:hAnsi="宋体" w:cs="宋体"/>
          <w:color w:val="000000"/>
          <w:sz w:val="24"/>
          <w:highlight w:val="none"/>
        </w:rPr>
      </w:pPr>
    </w:p>
    <w:p w14:paraId="416B8351">
      <w:pPr>
        <w:spacing w:before="156"/>
        <w:rPr>
          <w:rFonts w:ascii="宋体" w:hAnsi="宋体" w:cs="宋体"/>
          <w:color w:val="000000"/>
          <w:sz w:val="24"/>
          <w:highlight w:val="none"/>
        </w:rPr>
      </w:pPr>
    </w:p>
    <w:p w14:paraId="2A3299ED">
      <w:pPr>
        <w:rPr>
          <w:rFonts w:ascii="宋体" w:hAnsi="宋体" w:cs="宋体"/>
          <w:b/>
          <w:bCs/>
          <w:color w:val="000000"/>
          <w:spacing w:val="-2"/>
          <w:szCs w:val="21"/>
          <w:highlight w:val="none"/>
        </w:rPr>
      </w:pPr>
      <w:r>
        <w:rPr>
          <w:rFonts w:hint="eastAsia" w:ascii="宋体" w:hAnsi="宋体" w:cs="宋体"/>
          <w:b/>
          <w:bCs/>
          <w:color w:val="000000"/>
          <w:spacing w:val="-2"/>
          <w:szCs w:val="21"/>
          <w:highlight w:val="none"/>
        </w:rPr>
        <w:t>备注：报价附录中的内容应与响应函内容一致，否则评标时一律按报价附录中内容为准。</w:t>
      </w:r>
    </w:p>
    <w:p w14:paraId="5335FA16">
      <w:pPr>
        <w:widowControl/>
        <w:spacing w:before="4" w:line="360" w:lineRule="auto"/>
        <w:ind w:left="5280" w:hanging="5280"/>
        <w:rPr>
          <w:rFonts w:ascii="宋体" w:hAnsi="宋体" w:cs="宋体"/>
          <w:color w:val="000000"/>
          <w:sz w:val="24"/>
          <w:highlight w:val="none"/>
        </w:rPr>
      </w:pPr>
      <w:r>
        <w:rPr>
          <w:rFonts w:hint="eastAsia" w:ascii="宋体" w:hAnsi="宋体" w:cs="宋体"/>
          <w:color w:val="000000"/>
          <w:sz w:val="24"/>
          <w:highlight w:val="none"/>
        </w:rPr>
        <w:t xml:space="preserve">                               </w:t>
      </w:r>
    </w:p>
    <w:p w14:paraId="7C235625">
      <w:pPr>
        <w:jc w:val="center"/>
        <w:outlineLvl w:val="0"/>
        <w:rPr>
          <w:rFonts w:ascii="宋体" w:hAnsi="宋体" w:cs="宋体"/>
          <w:bCs/>
          <w:color w:val="000000"/>
          <w:sz w:val="24"/>
          <w:highlight w:val="none"/>
        </w:rPr>
      </w:pPr>
    </w:p>
    <w:p w14:paraId="2C2A416B">
      <w:pPr>
        <w:jc w:val="center"/>
        <w:outlineLvl w:val="0"/>
        <w:rPr>
          <w:rFonts w:ascii="宋体" w:hAnsi="宋体" w:cs="宋体"/>
          <w:bCs/>
          <w:color w:val="000000"/>
          <w:sz w:val="24"/>
          <w:highlight w:val="none"/>
        </w:rPr>
      </w:pPr>
    </w:p>
    <w:p w14:paraId="4FD05FB8">
      <w:pPr>
        <w:jc w:val="center"/>
        <w:outlineLvl w:val="0"/>
        <w:rPr>
          <w:rFonts w:ascii="宋体" w:hAnsi="宋体" w:cs="宋体"/>
          <w:bCs/>
          <w:color w:val="000000"/>
          <w:sz w:val="24"/>
          <w:highlight w:val="none"/>
        </w:rPr>
      </w:pPr>
    </w:p>
    <w:p w14:paraId="2FF000D4">
      <w:pPr>
        <w:jc w:val="center"/>
        <w:outlineLvl w:val="0"/>
        <w:rPr>
          <w:rFonts w:ascii="宋体" w:hAnsi="宋体" w:cs="宋体"/>
          <w:bCs/>
          <w:color w:val="000000"/>
          <w:sz w:val="24"/>
          <w:highlight w:val="none"/>
        </w:rPr>
      </w:pPr>
    </w:p>
    <w:p w14:paraId="4A0C0F77">
      <w:pPr>
        <w:jc w:val="center"/>
        <w:outlineLvl w:val="0"/>
        <w:rPr>
          <w:rFonts w:ascii="宋体" w:hAnsi="宋体" w:cs="宋体"/>
          <w:bCs/>
          <w:color w:val="000000"/>
          <w:sz w:val="24"/>
          <w:highlight w:val="none"/>
        </w:rPr>
      </w:pPr>
    </w:p>
    <w:p w14:paraId="0E152CDD">
      <w:pPr>
        <w:jc w:val="center"/>
        <w:outlineLvl w:val="0"/>
        <w:rPr>
          <w:rFonts w:ascii="宋体" w:hAnsi="宋体" w:cs="宋体"/>
          <w:bCs/>
          <w:color w:val="000000"/>
          <w:sz w:val="24"/>
          <w:highlight w:val="none"/>
        </w:rPr>
      </w:pPr>
    </w:p>
    <w:p w14:paraId="19EE0136">
      <w:pPr>
        <w:jc w:val="center"/>
        <w:outlineLvl w:val="0"/>
        <w:rPr>
          <w:rFonts w:ascii="宋体" w:hAnsi="宋体" w:cs="宋体"/>
          <w:bCs/>
          <w:color w:val="000000"/>
          <w:sz w:val="24"/>
          <w:highlight w:val="none"/>
        </w:rPr>
      </w:pPr>
    </w:p>
    <w:p w14:paraId="7AEC6637">
      <w:pPr>
        <w:jc w:val="center"/>
        <w:outlineLvl w:val="0"/>
        <w:rPr>
          <w:rFonts w:ascii="宋体" w:hAnsi="宋体" w:cs="宋体"/>
          <w:b/>
          <w:color w:val="000000"/>
          <w:sz w:val="30"/>
          <w:szCs w:val="30"/>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0"/>
          <w:szCs w:val="30"/>
          <w:highlight w:val="none"/>
        </w:rPr>
        <w:t>（七）明细报价表（格式）</w:t>
      </w:r>
    </w:p>
    <w:p w14:paraId="10CD8988">
      <w:pPr>
        <w:spacing w:line="360" w:lineRule="auto"/>
        <w:jc w:val="center"/>
        <w:rPr>
          <w:rFonts w:ascii="宋体" w:hAnsi="宋体" w:cs="宋体"/>
          <w:b/>
          <w:bCs/>
          <w:sz w:val="28"/>
          <w:szCs w:val="28"/>
          <w:highlight w:val="none"/>
        </w:rPr>
      </w:pPr>
      <w:r>
        <w:rPr>
          <w:rFonts w:hint="eastAsia" w:ascii="宋体" w:hAnsi="宋体" w:cs="宋体"/>
          <w:b/>
          <w:bCs/>
          <w:sz w:val="28"/>
          <w:szCs w:val="28"/>
          <w:highlight w:val="none"/>
        </w:rPr>
        <w:t>报价明细表</w:t>
      </w:r>
    </w:p>
    <w:tbl>
      <w:tblPr>
        <w:tblStyle w:val="37"/>
        <w:tblW w:w="108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567"/>
        <w:gridCol w:w="3394"/>
        <w:gridCol w:w="751"/>
        <w:gridCol w:w="1659"/>
        <w:gridCol w:w="1417"/>
        <w:gridCol w:w="1549"/>
        <w:gridCol w:w="1549"/>
      </w:tblGrid>
      <w:tr w14:paraId="763026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20" w:hRule="atLeast"/>
          <w:jc w:val="center"/>
        </w:trPr>
        <w:tc>
          <w:tcPr>
            <w:tcW w:w="567" w:type="dxa"/>
            <w:noWrap/>
            <w:tcMar>
              <w:top w:w="15" w:type="dxa"/>
              <w:left w:w="15" w:type="dxa"/>
              <w:bottom w:w="0" w:type="dxa"/>
              <w:right w:w="15" w:type="dxa"/>
            </w:tcMar>
            <w:vAlign w:val="center"/>
          </w:tcPr>
          <w:p w14:paraId="581C5C8B">
            <w:pPr>
              <w:spacing w:before="5"/>
              <w:jc w:val="center"/>
              <w:rPr>
                <w:rFonts w:ascii="宋体" w:hAnsi="宋体" w:cs="宋体"/>
                <w:b/>
                <w:sz w:val="24"/>
                <w:highlight w:val="none"/>
              </w:rPr>
            </w:pPr>
            <w:r>
              <w:rPr>
                <w:rFonts w:hint="eastAsia" w:ascii="宋体" w:hAnsi="宋体" w:cs="宋体"/>
                <w:b/>
                <w:sz w:val="24"/>
                <w:highlight w:val="none"/>
              </w:rPr>
              <w:t>序号</w:t>
            </w:r>
          </w:p>
        </w:tc>
        <w:tc>
          <w:tcPr>
            <w:tcW w:w="3394" w:type="dxa"/>
            <w:noWrap/>
            <w:tcMar>
              <w:top w:w="15" w:type="dxa"/>
              <w:left w:w="15" w:type="dxa"/>
              <w:bottom w:w="0" w:type="dxa"/>
              <w:right w:w="15" w:type="dxa"/>
            </w:tcMar>
            <w:vAlign w:val="center"/>
          </w:tcPr>
          <w:p w14:paraId="0EF7F726">
            <w:pPr>
              <w:spacing w:before="5"/>
              <w:jc w:val="center"/>
              <w:rPr>
                <w:rFonts w:ascii="宋体" w:hAnsi="宋体" w:cs="宋体"/>
                <w:b/>
                <w:sz w:val="24"/>
                <w:highlight w:val="none"/>
              </w:rPr>
            </w:pPr>
            <w:r>
              <w:rPr>
                <w:rFonts w:hint="eastAsia" w:ascii="宋体" w:hAnsi="宋体" w:cs="宋体"/>
                <w:b/>
                <w:sz w:val="24"/>
                <w:highlight w:val="none"/>
              </w:rPr>
              <w:t>项目内容</w:t>
            </w:r>
          </w:p>
        </w:tc>
        <w:tc>
          <w:tcPr>
            <w:tcW w:w="751" w:type="dxa"/>
            <w:vAlign w:val="center"/>
          </w:tcPr>
          <w:p w14:paraId="1B9B52AA">
            <w:pPr>
              <w:spacing w:before="5"/>
              <w:jc w:val="center"/>
              <w:rPr>
                <w:rFonts w:ascii="宋体" w:hAnsi="宋体" w:cs="宋体"/>
                <w:b/>
                <w:sz w:val="24"/>
                <w:highlight w:val="none"/>
              </w:rPr>
            </w:pPr>
            <w:r>
              <w:rPr>
                <w:rFonts w:hint="eastAsia" w:ascii="宋体" w:hAnsi="宋体" w:cs="宋体"/>
                <w:b/>
                <w:sz w:val="24"/>
                <w:highlight w:val="none"/>
              </w:rPr>
              <w:t>单位</w:t>
            </w:r>
          </w:p>
        </w:tc>
        <w:tc>
          <w:tcPr>
            <w:tcW w:w="1659" w:type="dxa"/>
            <w:noWrap/>
            <w:tcMar>
              <w:top w:w="15" w:type="dxa"/>
              <w:left w:w="15" w:type="dxa"/>
              <w:bottom w:w="0" w:type="dxa"/>
              <w:right w:w="15" w:type="dxa"/>
            </w:tcMar>
            <w:vAlign w:val="center"/>
          </w:tcPr>
          <w:p w14:paraId="532405B4">
            <w:pPr>
              <w:spacing w:before="5"/>
              <w:jc w:val="center"/>
              <w:rPr>
                <w:rFonts w:ascii="宋体" w:hAnsi="宋体" w:cs="宋体"/>
                <w:b/>
                <w:sz w:val="24"/>
                <w:highlight w:val="none"/>
              </w:rPr>
            </w:pPr>
            <w:r>
              <w:rPr>
                <w:rFonts w:hint="eastAsia" w:ascii="宋体" w:hAnsi="宋体" w:cs="宋体"/>
                <w:b/>
                <w:sz w:val="24"/>
                <w:highlight w:val="none"/>
              </w:rPr>
              <w:t>数量</w:t>
            </w:r>
          </w:p>
        </w:tc>
        <w:tc>
          <w:tcPr>
            <w:tcW w:w="1417" w:type="dxa"/>
            <w:noWrap/>
            <w:vAlign w:val="center"/>
          </w:tcPr>
          <w:p w14:paraId="1714C6AA">
            <w:pPr>
              <w:spacing w:before="5"/>
              <w:jc w:val="center"/>
              <w:rPr>
                <w:rFonts w:ascii="宋体" w:hAnsi="宋体" w:cs="宋体"/>
                <w:b/>
                <w:sz w:val="24"/>
                <w:highlight w:val="none"/>
              </w:rPr>
            </w:pPr>
            <w:r>
              <w:rPr>
                <w:rFonts w:hint="eastAsia" w:ascii="宋体" w:hAnsi="宋体" w:cs="宋体"/>
                <w:b/>
                <w:sz w:val="24"/>
                <w:highlight w:val="none"/>
              </w:rPr>
              <w:t>单报价</w:t>
            </w:r>
          </w:p>
        </w:tc>
        <w:tc>
          <w:tcPr>
            <w:tcW w:w="1549" w:type="dxa"/>
            <w:noWrap/>
            <w:vAlign w:val="center"/>
          </w:tcPr>
          <w:p w14:paraId="4983EEDE">
            <w:pPr>
              <w:spacing w:before="5"/>
              <w:jc w:val="center"/>
              <w:rPr>
                <w:rFonts w:ascii="宋体" w:hAnsi="宋体" w:cs="宋体"/>
                <w:b/>
                <w:sz w:val="24"/>
                <w:highlight w:val="none"/>
              </w:rPr>
            </w:pPr>
            <w:r>
              <w:rPr>
                <w:rFonts w:hint="eastAsia" w:ascii="宋体" w:hAnsi="宋体" w:cs="宋体"/>
                <w:b/>
                <w:sz w:val="24"/>
                <w:highlight w:val="none"/>
              </w:rPr>
              <w:t>分项总报价</w:t>
            </w:r>
          </w:p>
        </w:tc>
        <w:tc>
          <w:tcPr>
            <w:tcW w:w="1549" w:type="dxa"/>
            <w:noWrap/>
            <w:vAlign w:val="center"/>
          </w:tcPr>
          <w:p w14:paraId="4CD01713">
            <w:pPr>
              <w:spacing w:before="5"/>
              <w:jc w:val="center"/>
              <w:rPr>
                <w:rFonts w:hint="eastAsia" w:ascii="宋体" w:hAnsi="宋体" w:eastAsia="宋体" w:cs="宋体"/>
                <w:b/>
                <w:sz w:val="24"/>
                <w:highlight w:val="none"/>
                <w:lang w:val="en-US" w:eastAsia="zh-CN"/>
              </w:rPr>
            </w:pPr>
            <w:r>
              <w:rPr>
                <w:rFonts w:hint="eastAsia" w:ascii="宋体" w:hAnsi="宋体" w:cs="宋体"/>
                <w:b/>
                <w:sz w:val="24"/>
                <w:highlight w:val="none"/>
                <w:lang w:val="en-US" w:eastAsia="zh-CN"/>
              </w:rPr>
              <w:t>备注</w:t>
            </w:r>
          </w:p>
        </w:tc>
      </w:tr>
      <w:tr w14:paraId="6F924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20" w:hRule="atLeast"/>
          <w:jc w:val="center"/>
        </w:trPr>
        <w:tc>
          <w:tcPr>
            <w:tcW w:w="567" w:type="dxa"/>
            <w:noWrap/>
            <w:tcMar>
              <w:top w:w="15" w:type="dxa"/>
              <w:left w:w="15" w:type="dxa"/>
              <w:bottom w:w="0" w:type="dxa"/>
              <w:right w:w="15" w:type="dxa"/>
            </w:tcMar>
            <w:vAlign w:val="center"/>
          </w:tcPr>
          <w:p w14:paraId="32C5A653">
            <w:pPr>
              <w:pStyle w:val="24"/>
              <w:pBdr>
                <w:bottom w:val="none" w:color="000000" w:sz="0" w:space="0"/>
              </w:pBdr>
              <w:tabs>
                <w:tab w:val="clear" w:pos="7143"/>
                <w:tab w:val="clear" w:pos="14287"/>
              </w:tabs>
              <w:spacing w:before="5"/>
              <w:jc w:val="center"/>
              <w:rPr>
                <w:rFonts w:ascii="宋体" w:hAnsi="宋体" w:cs="宋体"/>
                <w:sz w:val="24"/>
                <w:highlight w:val="none"/>
              </w:rPr>
            </w:pPr>
            <w:r>
              <w:rPr>
                <w:rFonts w:hint="eastAsia" w:ascii="宋体" w:hAnsi="宋体" w:cs="宋体"/>
                <w:sz w:val="24"/>
                <w:highlight w:val="none"/>
              </w:rPr>
              <w:t>1</w:t>
            </w:r>
          </w:p>
        </w:tc>
        <w:tc>
          <w:tcPr>
            <w:tcW w:w="3394" w:type="dxa"/>
            <w:noWrap/>
            <w:tcMar>
              <w:top w:w="15" w:type="dxa"/>
              <w:left w:w="15" w:type="dxa"/>
              <w:bottom w:w="0" w:type="dxa"/>
              <w:right w:w="15" w:type="dxa"/>
            </w:tcMar>
            <w:vAlign w:val="center"/>
          </w:tcPr>
          <w:p w14:paraId="23DA9D72">
            <w:pPr>
              <w:spacing w:line="360" w:lineRule="auto"/>
              <w:jc w:val="center"/>
              <w:rPr>
                <w:rFonts w:asciiTheme="minorEastAsia" w:hAnsiTheme="minorEastAsia" w:eastAsiaTheme="minorEastAsia"/>
                <w:bCs/>
                <w:kern w:val="2"/>
                <w:sz w:val="24"/>
                <w:szCs w:val="20"/>
                <w:highlight w:val="none"/>
              </w:rPr>
            </w:pPr>
            <w:r>
              <w:rPr>
                <w:rFonts w:hint="eastAsia" w:asciiTheme="minorEastAsia" w:hAnsiTheme="minorEastAsia" w:eastAsiaTheme="minorEastAsia"/>
                <w:bCs/>
                <w:kern w:val="2"/>
                <w:sz w:val="24"/>
                <w:szCs w:val="20"/>
                <w:highlight w:val="none"/>
              </w:rPr>
              <w:t>2艘移动式藻水分离船运行管理</w:t>
            </w:r>
          </w:p>
        </w:tc>
        <w:tc>
          <w:tcPr>
            <w:tcW w:w="751" w:type="dxa"/>
            <w:vAlign w:val="center"/>
          </w:tcPr>
          <w:p w14:paraId="5D3B68DF">
            <w:pPr>
              <w:spacing w:line="360" w:lineRule="auto"/>
              <w:jc w:val="center"/>
              <w:rPr>
                <w:rFonts w:asciiTheme="minorEastAsia" w:hAnsiTheme="minorEastAsia" w:eastAsiaTheme="minorEastAsia"/>
                <w:bCs/>
                <w:kern w:val="2"/>
                <w:sz w:val="24"/>
                <w:highlight w:val="none"/>
              </w:rPr>
            </w:pPr>
            <w:r>
              <w:rPr>
                <w:rFonts w:hint="eastAsia" w:asciiTheme="minorEastAsia" w:hAnsiTheme="minorEastAsia" w:eastAsiaTheme="minorEastAsia"/>
                <w:bCs/>
                <w:kern w:val="2"/>
                <w:sz w:val="24"/>
                <w:highlight w:val="none"/>
              </w:rPr>
              <w:t>项</w:t>
            </w:r>
          </w:p>
        </w:tc>
        <w:tc>
          <w:tcPr>
            <w:tcW w:w="1659" w:type="dxa"/>
            <w:noWrap/>
            <w:tcMar>
              <w:top w:w="15" w:type="dxa"/>
              <w:left w:w="15" w:type="dxa"/>
              <w:bottom w:w="0" w:type="dxa"/>
              <w:right w:w="15" w:type="dxa"/>
            </w:tcMar>
            <w:vAlign w:val="center"/>
          </w:tcPr>
          <w:p w14:paraId="344C3B14">
            <w:pPr>
              <w:spacing w:line="360" w:lineRule="auto"/>
              <w:jc w:val="center"/>
              <w:rPr>
                <w:rFonts w:asciiTheme="minorEastAsia" w:hAnsiTheme="minorEastAsia" w:eastAsiaTheme="minorEastAsia"/>
                <w:bCs/>
                <w:kern w:val="2"/>
                <w:sz w:val="24"/>
                <w:highlight w:val="none"/>
              </w:rPr>
            </w:pPr>
            <w:r>
              <w:rPr>
                <w:rFonts w:hint="eastAsia" w:asciiTheme="minorEastAsia" w:hAnsiTheme="minorEastAsia" w:eastAsiaTheme="minorEastAsia"/>
                <w:bCs/>
                <w:kern w:val="2"/>
                <w:sz w:val="24"/>
                <w:highlight w:val="none"/>
              </w:rPr>
              <w:t>1</w:t>
            </w:r>
          </w:p>
        </w:tc>
        <w:tc>
          <w:tcPr>
            <w:tcW w:w="1417" w:type="dxa"/>
            <w:noWrap/>
            <w:vAlign w:val="center"/>
          </w:tcPr>
          <w:p w14:paraId="3AAC10AA">
            <w:pPr>
              <w:spacing w:line="360" w:lineRule="auto"/>
              <w:jc w:val="center"/>
              <w:rPr>
                <w:rFonts w:asciiTheme="minorEastAsia" w:hAnsiTheme="minorEastAsia" w:eastAsiaTheme="minorEastAsia"/>
                <w:bCs/>
                <w:kern w:val="2"/>
                <w:sz w:val="24"/>
                <w:highlight w:val="none"/>
              </w:rPr>
            </w:pPr>
          </w:p>
        </w:tc>
        <w:tc>
          <w:tcPr>
            <w:tcW w:w="1549" w:type="dxa"/>
            <w:noWrap/>
            <w:vAlign w:val="center"/>
          </w:tcPr>
          <w:p w14:paraId="14D9FC39">
            <w:pPr>
              <w:jc w:val="center"/>
              <w:rPr>
                <w:rFonts w:ascii="宋体" w:hAnsi="宋体" w:cs="宋体"/>
                <w:b/>
                <w:bCs/>
                <w:sz w:val="24"/>
                <w:highlight w:val="none"/>
              </w:rPr>
            </w:pPr>
          </w:p>
        </w:tc>
        <w:tc>
          <w:tcPr>
            <w:tcW w:w="1549" w:type="dxa"/>
            <w:noWrap/>
            <w:vAlign w:val="center"/>
          </w:tcPr>
          <w:p w14:paraId="73F0ADC1">
            <w:pPr>
              <w:jc w:val="center"/>
              <w:rPr>
                <w:rFonts w:hint="eastAsia" w:ascii="宋体" w:hAnsi="宋体" w:eastAsia="宋体" w:cs="宋体"/>
                <w:b/>
                <w:bCs/>
                <w:sz w:val="24"/>
                <w:highlight w:val="none"/>
                <w:lang w:val="en-US" w:eastAsia="zh-CN"/>
              </w:rPr>
            </w:pPr>
            <w:r>
              <w:rPr>
                <w:rFonts w:hint="eastAsia" w:ascii="宋体" w:hAnsi="宋体" w:cs="宋体"/>
                <w:b/>
                <w:bCs/>
                <w:sz w:val="24"/>
                <w:highlight w:val="none"/>
                <w:lang w:val="en-US" w:eastAsia="zh-CN"/>
              </w:rPr>
              <w:t>含税</w:t>
            </w:r>
          </w:p>
        </w:tc>
      </w:tr>
      <w:tr w14:paraId="3B8EA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20" w:hRule="atLeast"/>
          <w:jc w:val="center"/>
        </w:trPr>
        <w:tc>
          <w:tcPr>
            <w:tcW w:w="567" w:type="dxa"/>
            <w:noWrap/>
            <w:tcMar>
              <w:top w:w="15" w:type="dxa"/>
              <w:left w:w="15" w:type="dxa"/>
              <w:bottom w:w="0" w:type="dxa"/>
              <w:right w:w="15" w:type="dxa"/>
            </w:tcMar>
            <w:vAlign w:val="center"/>
          </w:tcPr>
          <w:p w14:paraId="5BE78948">
            <w:pPr>
              <w:jc w:val="center"/>
              <w:rPr>
                <w:rFonts w:ascii="宋体" w:hAnsi="宋体" w:cs="宋体"/>
                <w:sz w:val="24"/>
                <w:highlight w:val="none"/>
              </w:rPr>
            </w:pPr>
            <w:r>
              <w:rPr>
                <w:rFonts w:hint="eastAsia" w:ascii="宋体" w:hAnsi="宋体" w:cs="宋体"/>
                <w:sz w:val="24"/>
                <w:highlight w:val="none"/>
              </w:rPr>
              <w:t>2</w:t>
            </w:r>
          </w:p>
        </w:tc>
        <w:tc>
          <w:tcPr>
            <w:tcW w:w="3394" w:type="dxa"/>
            <w:noWrap/>
            <w:tcMar>
              <w:top w:w="15" w:type="dxa"/>
              <w:left w:w="15" w:type="dxa"/>
              <w:bottom w:w="0" w:type="dxa"/>
              <w:right w:w="15" w:type="dxa"/>
            </w:tcMar>
            <w:vAlign w:val="center"/>
          </w:tcPr>
          <w:p w14:paraId="52609D34">
            <w:pPr>
              <w:spacing w:line="360" w:lineRule="auto"/>
              <w:jc w:val="center"/>
              <w:rPr>
                <w:rFonts w:asciiTheme="minorEastAsia" w:hAnsiTheme="minorEastAsia" w:eastAsiaTheme="minorEastAsia"/>
                <w:bCs/>
                <w:kern w:val="2"/>
                <w:sz w:val="24"/>
                <w:szCs w:val="20"/>
                <w:highlight w:val="none"/>
              </w:rPr>
            </w:pPr>
            <w:r>
              <w:rPr>
                <w:rFonts w:hint="eastAsia" w:asciiTheme="minorEastAsia" w:hAnsiTheme="minorEastAsia" w:eastAsiaTheme="minorEastAsia"/>
                <w:bCs/>
                <w:kern w:val="2"/>
                <w:sz w:val="24"/>
                <w:szCs w:val="20"/>
                <w:highlight w:val="none"/>
              </w:rPr>
              <w:t>藻泥产出</w:t>
            </w:r>
          </w:p>
        </w:tc>
        <w:tc>
          <w:tcPr>
            <w:tcW w:w="751" w:type="dxa"/>
            <w:vAlign w:val="center"/>
          </w:tcPr>
          <w:p w14:paraId="243BE0E7">
            <w:pPr>
              <w:spacing w:line="360" w:lineRule="auto"/>
              <w:jc w:val="center"/>
              <w:rPr>
                <w:rFonts w:asciiTheme="minorEastAsia" w:hAnsiTheme="minorEastAsia" w:eastAsiaTheme="minorEastAsia"/>
                <w:bCs/>
                <w:kern w:val="2"/>
                <w:sz w:val="24"/>
                <w:highlight w:val="none"/>
              </w:rPr>
            </w:pPr>
            <w:r>
              <w:rPr>
                <w:rFonts w:hint="eastAsia" w:asciiTheme="minorEastAsia" w:hAnsiTheme="minorEastAsia" w:eastAsiaTheme="minorEastAsia"/>
                <w:bCs/>
                <w:kern w:val="2"/>
                <w:sz w:val="24"/>
                <w:highlight w:val="none"/>
              </w:rPr>
              <w:t>t</w:t>
            </w:r>
          </w:p>
        </w:tc>
        <w:tc>
          <w:tcPr>
            <w:tcW w:w="1659" w:type="dxa"/>
            <w:noWrap/>
            <w:tcMar>
              <w:top w:w="15" w:type="dxa"/>
              <w:left w:w="15" w:type="dxa"/>
              <w:bottom w:w="0" w:type="dxa"/>
              <w:right w:w="15" w:type="dxa"/>
            </w:tcMar>
            <w:vAlign w:val="center"/>
          </w:tcPr>
          <w:p w14:paraId="40668949">
            <w:pPr>
              <w:spacing w:line="360" w:lineRule="auto"/>
              <w:jc w:val="center"/>
              <w:rPr>
                <w:rFonts w:asciiTheme="minorEastAsia" w:hAnsiTheme="minorEastAsia" w:eastAsiaTheme="minorEastAsia"/>
                <w:bCs/>
                <w:kern w:val="2"/>
                <w:sz w:val="24"/>
                <w:highlight w:val="none"/>
              </w:rPr>
            </w:pPr>
            <w:r>
              <w:rPr>
                <w:rFonts w:hint="eastAsia" w:asciiTheme="minorEastAsia" w:hAnsiTheme="minorEastAsia" w:eastAsiaTheme="minorEastAsia"/>
                <w:bCs/>
                <w:kern w:val="2"/>
                <w:sz w:val="24"/>
                <w:highlight w:val="none"/>
              </w:rPr>
              <w:t>500</w:t>
            </w:r>
          </w:p>
        </w:tc>
        <w:tc>
          <w:tcPr>
            <w:tcW w:w="1417" w:type="dxa"/>
            <w:noWrap/>
            <w:vAlign w:val="center"/>
          </w:tcPr>
          <w:p w14:paraId="6E8F8011">
            <w:pPr>
              <w:spacing w:line="360" w:lineRule="auto"/>
              <w:jc w:val="center"/>
              <w:rPr>
                <w:rFonts w:asciiTheme="minorEastAsia" w:hAnsiTheme="minorEastAsia" w:eastAsiaTheme="minorEastAsia"/>
                <w:bCs/>
                <w:kern w:val="2"/>
                <w:sz w:val="24"/>
                <w:highlight w:val="none"/>
              </w:rPr>
            </w:pPr>
          </w:p>
        </w:tc>
        <w:tc>
          <w:tcPr>
            <w:tcW w:w="1549" w:type="dxa"/>
            <w:noWrap/>
            <w:vAlign w:val="center"/>
          </w:tcPr>
          <w:p w14:paraId="350D6634">
            <w:pPr>
              <w:jc w:val="center"/>
              <w:rPr>
                <w:rFonts w:ascii="宋体" w:hAnsi="宋体" w:cs="宋体"/>
                <w:b/>
                <w:bCs/>
                <w:sz w:val="24"/>
                <w:highlight w:val="none"/>
              </w:rPr>
            </w:pPr>
          </w:p>
        </w:tc>
        <w:tc>
          <w:tcPr>
            <w:tcW w:w="1549" w:type="dxa"/>
            <w:noWrap/>
            <w:vAlign w:val="center"/>
          </w:tcPr>
          <w:p w14:paraId="1A09C038">
            <w:pPr>
              <w:jc w:val="center"/>
              <w:rPr>
                <w:rFonts w:hint="default" w:ascii="宋体" w:hAnsi="宋体" w:eastAsia="宋体" w:cs="宋体"/>
                <w:b/>
                <w:bCs/>
                <w:sz w:val="24"/>
                <w:highlight w:val="none"/>
                <w:lang w:val="en-US" w:eastAsia="zh-CN"/>
              </w:rPr>
            </w:pPr>
            <w:r>
              <w:rPr>
                <w:rFonts w:hint="eastAsia" w:ascii="宋体" w:hAnsi="宋体" w:cs="宋体"/>
                <w:b/>
                <w:bCs/>
                <w:sz w:val="24"/>
                <w:highlight w:val="none"/>
                <w:lang w:val="en-US" w:eastAsia="zh-CN"/>
              </w:rPr>
              <w:t>税金   %</w:t>
            </w:r>
          </w:p>
        </w:tc>
      </w:tr>
      <w:tr w14:paraId="65B32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20" w:hRule="atLeast"/>
          <w:jc w:val="center"/>
        </w:trPr>
        <w:tc>
          <w:tcPr>
            <w:tcW w:w="567" w:type="dxa"/>
            <w:noWrap/>
            <w:tcMar>
              <w:top w:w="15" w:type="dxa"/>
              <w:left w:w="15" w:type="dxa"/>
              <w:bottom w:w="0" w:type="dxa"/>
              <w:right w:w="15" w:type="dxa"/>
            </w:tcMar>
            <w:vAlign w:val="center"/>
          </w:tcPr>
          <w:p w14:paraId="231343BF">
            <w:pPr>
              <w:jc w:val="center"/>
              <w:rPr>
                <w:rFonts w:ascii="宋体" w:hAnsi="宋体" w:cs="宋体"/>
                <w:sz w:val="24"/>
                <w:highlight w:val="none"/>
              </w:rPr>
            </w:pPr>
            <w:r>
              <w:rPr>
                <w:rFonts w:hint="eastAsia" w:ascii="宋体" w:hAnsi="宋体" w:cs="宋体"/>
                <w:sz w:val="24"/>
                <w:highlight w:val="none"/>
              </w:rPr>
              <w:t>3</w:t>
            </w:r>
          </w:p>
        </w:tc>
        <w:tc>
          <w:tcPr>
            <w:tcW w:w="3394" w:type="dxa"/>
            <w:noWrap/>
            <w:tcMar>
              <w:top w:w="15" w:type="dxa"/>
              <w:left w:w="15" w:type="dxa"/>
              <w:bottom w:w="0" w:type="dxa"/>
              <w:right w:w="15" w:type="dxa"/>
            </w:tcMar>
            <w:vAlign w:val="center"/>
          </w:tcPr>
          <w:p w14:paraId="0A55886E">
            <w:pPr>
              <w:spacing w:line="360" w:lineRule="auto"/>
              <w:jc w:val="center"/>
              <w:rPr>
                <w:rFonts w:asciiTheme="minorEastAsia" w:hAnsiTheme="minorEastAsia" w:eastAsiaTheme="minorEastAsia"/>
                <w:bCs/>
                <w:kern w:val="2"/>
                <w:sz w:val="24"/>
                <w:szCs w:val="20"/>
                <w:highlight w:val="none"/>
              </w:rPr>
            </w:pPr>
            <w:r>
              <w:rPr>
                <w:rFonts w:hint="eastAsia" w:asciiTheme="minorEastAsia" w:hAnsiTheme="minorEastAsia" w:eastAsiaTheme="minorEastAsia"/>
                <w:bCs/>
                <w:kern w:val="2"/>
                <w:sz w:val="24"/>
                <w:szCs w:val="20"/>
                <w:highlight w:val="none"/>
              </w:rPr>
              <w:t>藻泥运输处置</w:t>
            </w:r>
          </w:p>
        </w:tc>
        <w:tc>
          <w:tcPr>
            <w:tcW w:w="751" w:type="dxa"/>
            <w:vAlign w:val="center"/>
          </w:tcPr>
          <w:p w14:paraId="045C8FA2">
            <w:pPr>
              <w:spacing w:line="360" w:lineRule="auto"/>
              <w:jc w:val="center"/>
              <w:rPr>
                <w:rFonts w:asciiTheme="minorEastAsia" w:hAnsiTheme="minorEastAsia" w:eastAsiaTheme="minorEastAsia"/>
                <w:bCs/>
                <w:kern w:val="2"/>
                <w:sz w:val="24"/>
                <w:highlight w:val="none"/>
              </w:rPr>
            </w:pPr>
            <w:r>
              <w:rPr>
                <w:rFonts w:hint="eastAsia" w:asciiTheme="minorEastAsia" w:hAnsiTheme="minorEastAsia" w:eastAsiaTheme="minorEastAsia"/>
                <w:bCs/>
                <w:kern w:val="2"/>
                <w:sz w:val="24"/>
                <w:highlight w:val="none"/>
              </w:rPr>
              <w:t>t</w:t>
            </w:r>
          </w:p>
        </w:tc>
        <w:tc>
          <w:tcPr>
            <w:tcW w:w="1659" w:type="dxa"/>
            <w:noWrap/>
            <w:tcMar>
              <w:top w:w="15" w:type="dxa"/>
              <w:left w:w="15" w:type="dxa"/>
              <w:bottom w:w="0" w:type="dxa"/>
              <w:right w:w="15" w:type="dxa"/>
            </w:tcMar>
            <w:vAlign w:val="center"/>
          </w:tcPr>
          <w:p w14:paraId="4FF826C3">
            <w:pPr>
              <w:spacing w:line="360" w:lineRule="auto"/>
              <w:jc w:val="center"/>
              <w:rPr>
                <w:rFonts w:asciiTheme="minorEastAsia" w:hAnsiTheme="minorEastAsia" w:eastAsiaTheme="minorEastAsia"/>
                <w:bCs/>
                <w:kern w:val="2"/>
                <w:sz w:val="24"/>
                <w:highlight w:val="none"/>
              </w:rPr>
            </w:pPr>
            <w:r>
              <w:rPr>
                <w:rFonts w:hint="eastAsia" w:asciiTheme="minorEastAsia" w:hAnsiTheme="minorEastAsia" w:eastAsiaTheme="minorEastAsia"/>
                <w:bCs/>
                <w:kern w:val="2"/>
                <w:sz w:val="24"/>
                <w:highlight w:val="none"/>
              </w:rPr>
              <w:t>500</w:t>
            </w:r>
          </w:p>
        </w:tc>
        <w:tc>
          <w:tcPr>
            <w:tcW w:w="1417" w:type="dxa"/>
            <w:noWrap/>
            <w:vAlign w:val="center"/>
          </w:tcPr>
          <w:p w14:paraId="1AEB5973">
            <w:pPr>
              <w:spacing w:line="360" w:lineRule="auto"/>
              <w:jc w:val="center"/>
              <w:rPr>
                <w:rFonts w:asciiTheme="minorEastAsia" w:hAnsiTheme="minorEastAsia" w:eastAsiaTheme="minorEastAsia"/>
                <w:bCs/>
                <w:kern w:val="2"/>
                <w:sz w:val="24"/>
                <w:highlight w:val="none"/>
              </w:rPr>
            </w:pPr>
          </w:p>
        </w:tc>
        <w:tc>
          <w:tcPr>
            <w:tcW w:w="1549" w:type="dxa"/>
            <w:noWrap/>
            <w:vAlign w:val="center"/>
          </w:tcPr>
          <w:p w14:paraId="352422A1">
            <w:pPr>
              <w:jc w:val="center"/>
              <w:rPr>
                <w:rFonts w:ascii="宋体" w:hAnsi="宋体" w:cs="宋体"/>
                <w:b/>
                <w:bCs/>
                <w:sz w:val="24"/>
                <w:highlight w:val="none"/>
              </w:rPr>
            </w:pPr>
          </w:p>
        </w:tc>
        <w:tc>
          <w:tcPr>
            <w:tcW w:w="1549" w:type="dxa"/>
            <w:noWrap/>
            <w:vAlign w:val="center"/>
          </w:tcPr>
          <w:p w14:paraId="096C7ABE">
            <w:pPr>
              <w:jc w:val="center"/>
              <w:rPr>
                <w:rFonts w:ascii="宋体" w:hAnsi="宋体" w:cs="宋体"/>
                <w:b/>
                <w:bCs/>
                <w:sz w:val="24"/>
                <w:highlight w:val="none"/>
              </w:rPr>
            </w:pPr>
            <w:r>
              <w:rPr>
                <w:rFonts w:hint="eastAsia" w:ascii="宋体" w:hAnsi="宋体" w:cs="宋体"/>
                <w:b/>
                <w:bCs/>
                <w:sz w:val="24"/>
                <w:highlight w:val="none"/>
                <w:lang w:val="en-US" w:eastAsia="zh-CN"/>
              </w:rPr>
              <w:t>税金   %</w:t>
            </w:r>
          </w:p>
        </w:tc>
      </w:tr>
      <w:tr w14:paraId="5936D0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20" w:hRule="atLeast"/>
          <w:jc w:val="center"/>
        </w:trPr>
        <w:tc>
          <w:tcPr>
            <w:tcW w:w="567" w:type="dxa"/>
            <w:noWrap/>
            <w:tcMar>
              <w:top w:w="15" w:type="dxa"/>
              <w:left w:w="15" w:type="dxa"/>
              <w:bottom w:w="0" w:type="dxa"/>
              <w:right w:w="15" w:type="dxa"/>
            </w:tcMar>
            <w:vAlign w:val="center"/>
          </w:tcPr>
          <w:p w14:paraId="1A518231">
            <w:pPr>
              <w:jc w:val="center"/>
              <w:rPr>
                <w:rFonts w:ascii="宋体" w:hAnsi="宋体" w:cs="宋体"/>
                <w:sz w:val="24"/>
                <w:highlight w:val="none"/>
              </w:rPr>
            </w:pPr>
            <w:r>
              <w:rPr>
                <w:rFonts w:hint="eastAsia" w:ascii="宋体" w:hAnsi="宋体" w:cs="宋体"/>
                <w:sz w:val="24"/>
                <w:highlight w:val="none"/>
              </w:rPr>
              <w:t>4</w:t>
            </w:r>
          </w:p>
        </w:tc>
        <w:tc>
          <w:tcPr>
            <w:tcW w:w="3394" w:type="dxa"/>
            <w:noWrap/>
            <w:tcMar>
              <w:top w:w="15" w:type="dxa"/>
              <w:left w:w="15" w:type="dxa"/>
              <w:bottom w:w="0" w:type="dxa"/>
              <w:right w:w="15" w:type="dxa"/>
            </w:tcMar>
            <w:vAlign w:val="center"/>
          </w:tcPr>
          <w:p w14:paraId="6DC3E874">
            <w:pPr>
              <w:spacing w:line="360" w:lineRule="auto"/>
              <w:jc w:val="center"/>
              <w:rPr>
                <w:rFonts w:asciiTheme="minorEastAsia" w:hAnsiTheme="minorEastAsia" w:eastAsiaTheme="minorEastAsia"/>
                <w:bCs/>
                <w:kern w:val="2"/>
                <w:sz w:val="24"/>
                <w:szCs w:val="20"/>
                <w:highlight w:val="none"/>
              </w:rPr>
            </w:pPr>
            <w:r>
              <w:rPr>
                <w:rFonts w:hint="eastAsia" w:asciiTheme="minorEastAsia" w:hAnsiTheme="minorEastAsia" w:eastAsiaTheme="minorEastAsia"/>
                <w:bCs/>
                <w:kern w:val="2"/>
                <w:sz w:val="24"/>
                <w:szCs w:val="20"/>
                <w:highlight w:val="none"/>
              </w:rPr>
              <w:t>运行服务费</w:t>
            </w:r>
          </w:p>
        </w:tc>
        <w:tc>
          <w:tcPr>
            <w:tcW w:w="751" w:type="dxa"/>
            <w:vAlign w:val="center"/>
          </w:tcPr>
          <w:p w14:paraId="227397ED">
            <w:pPr>
              <w:spacing w:line="360" w:lineRule="auto"/>
              <w:jc w:val="center"/>
              <w:rPr>
                <w:rFonts w:asciiTheme="minorEastAsia" w:hAnsiTheme="minorEastAsia" w:eastAsiaTheme="minorEastAsia"/>
                <w:bCs/>
                <w:kern w:val="2"/>
                <w:sz w:val="24"/>
                <w:highlight w:val="none"/>
              </w:rPr>
            </w:pPr>
            <w:r>
              <w:rPr>
                <w:rFonts w:hint="eastAsia" w:asciiTheme="minorEastAsia" w:hAnsiTheme="minorEastAsia" w:eastAsiaTheme="minorEastAsia"/>
                <w:bCs/>
                <w:kern w:val="2"/>
                <w:sz w:val="24"/>
                <w:highlight w:val="none"/>
              </w:rPr>
              <w:t>项</w:t>
            </w:r>
          </w:p>
        </w:tc>
        <w:tc>
          <w:tcPr>
            <w:tcW w:w="1659" w:type="dxa"/>
            <w:noWrap/>
            <w:tcMar>
              <w:top w:w="15" w:type="dxa"/>
              <w:left w:w="15" w:type="dxa"/>
              <w:bottom w:w="0" w:type="dxa"/>
              <w:right w:w="15" w:type="dxa"/>
            </w:tcMar>
            <w:vAlign w:val="center"/>
          </w:tcPr>
          <w:p w14:paraId="2453ADDB">
            <w:pPr>
              <w:spacing w:line="360" w:lineRule="auto"/>
              <w:jc w:val="center"/>
              <w:rPr>
                <w:rFonts w:asciiTheme="minorEastAsia" w:hAnsiTheme="minorEastAsia" w:eastAsiaTheme="minorEastAsia"/>
                <w:bCs/>
                <w:kern w:val="2"/>
                <w:sz w:val="24"/>
                <w:highlight w:val="none"/>
              </w:rPr>
            </w:pPr>
            <w:r>
              <w:rPr>
                <w:rFonts w:hint="eastAsia" w:asciiTheme="minorEastAsia" w:hAnsiTheme="minorEastAsia" w:eastAsiaTheme="minorEastAsia"/>
                <w:bCs/>
                <w:kern w:val="2"/>
                <w:sz w:val="24"/>
                <w:highlight w:val="none"/>
              </w:rPr>
              <w:t>（2+3）*10%</w:t>
            </w:r>
          </w:p>
        </w:tc>
        <w:tc>
          <w:tcPr>
            <w:tcW w:w="1417" w:type="dxa"/>
            <w:noWrap/>
            <w:vAlign w:val="center"/>
          </w:tcPr>
          <w:p w14:paraId="685D87A6">
            <w:pPr>
              <w:spacing w:line="360" w:lineRule="auto"/>
              <w:jc w:val="center"/>
              <w:rPr>
                <w:rFonts w:asciiTheme="minorEastAsia" w:hAnsiTheme="minorEastAsia" w:eastAsiaTheme="minorEastAsia"/>
                <w:bCs/>
                <w:kern w:val="2"/>
                <w:sz w:val="24"/>
                <w:highlight w:val="none"/>
              </w:rPr>
            </w:pPr>
          </w:p>
        </w:tc>
        <w:tc>
          <w:tcPr>
            <w:tcW w:w="1549" w:type="dxa"/>
            <w:noWrap/>
            <w:vAlign w:val="center"/>
          </w:tcPr>
          <w:p w14:paraId="30C151D5">
            <w:pPr>
              <w:jc w:val="center"/>
              <w:rPr>
                <w:rFonts w:ascii="宋体" w:hAnsi="宋体" w:cs="宋体"/>
                <w:b/>
                <w:bCs/>
                <w:sz w:val="24"/>
                <w:highlight w:val="none"/>
              </w:rPr>
            </w:pPr>
          </w:p>
        </w:tc>
        <w:tc>
          <w:tcPr>
            <w:tcW w:w="1549" w:type="dxa"/>
            <w:noWrap/>
            <w:vAlign w:val="center"/>
          </w:tcPr>
          <w:p w14:paraId="40A2D4D2">
            <w:pPr>
              <w:jc w:val="center"/>
              <w:rPr>
                <w:rFonts w:ascii="宋体" w:hAnsi="宋体" w:cs="宋体"/>
                <w:b/>
                <w:bCs/>
                <w:sz w:val="24"/>
                <w:highlight w:val="none"/>
              </w:rPr>
            </w:pPr>
            <w:r>
              <w:rPr>
                <w:rFonts w:hint="eastAsia" w:ascii="宋体" w:hAnsi="宋体" w:cs="宋体"/>
                <w:b/>
                <w:bCs/>
                <w:sz w:val="24"/>
                <w:highlight w:val="none"/>
                <w:lang w:val="en-US" w:eastAsia="zh-CN"/>
              </w:rPr>
              <w:t>税金   %</w:t>
            </w:r>
          </w:p>
        </w:tc>
      </w:tr>
      <w:tr w14:paraId="5DED6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1251" w:hRule="atLeast"/>
          <w:jc w:val="center"/>
        </w:trPr>
        <w:tc>
          <w:tcPr>
            <w:tcW w:w="567" w:type="dxa"/>
          </w:tcPr>
          <w:p w14:paraId="68310B4B">
            <w:pPr>
              <w:pStyle w:val="24"/>
              <w:pBdr>
                <w:bottom w:val="none" w:color="000000" w:sz="0" w:space="0"/>
              </w:pBdr>
              <w:tabs>
                <w:tab w:val="clear" w:pos="7143"/>
                <w:tab w:val="clear" w:pos="14287"/>
              </w:tabs>
              <w:rPr>
                <w:rFonts w:ascii="宋体" w:hAnsi="宋体" w:cs="宋体"/>
                <w:b/>
                <w:bCs/>
                <w:sz w:val="24"/>
                <w:highlight w:val="none"/>
              </w:rPr>
            </w:pPr>
          </w:p>
        </w:tc>
        <w:tc>
          <w:tcPr>
            <w:tcW w:w="10319" w:type="dxa"/>
            <w:gridSpan w:val="6"/>
            <w:noWrap/>
            <w:tcMar>
              <w:top w:w="15" w:type="dxa"/>
              <w:left w:w="15" w:type="dxa"/>
              <w:bottom w:w="0" w:type="dxa"/>
              <w:right w:w="15" w:type="dxa"/>
            </w:tcMar>
            <w:vAlign w:val="center"/>
          </w:tcPr>
          <w:p w14:paraId="3E13ABEA">
            <w:pPr>
              <w:jc w:val="left"/>
              <w:rPr>
                <w:rFonts w:ascii="宋体" w:hAnsi="宋体" w:cs="宋体"/>
                <w:b/>
                <w:bCs/>
                <w:sz w:val="24"/>
                <w:highlight w:val="none"/>
              </w:rPr>
            </w:pPr>
            <w:r>
              <w:rPr>
                <w:rFonts w:hint="eastAsia" w:ascii="宋体" w:hAnsi="宋体" w:cs="宋体"/>
                <w:b/>
                <w:bCs/>
                <w:sz w:val="24"/>
                <w:highlight w:val="none"/>
              </w:rPr>
              <w:t>总报价（小写）</w:t>
            </w:r>
          </w:p>
        </w:tc>
      </w:tr>
      <w:tr w14:paraId="6F20D7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12" w:hRule="atLeast"/>
          <w:jc w:val="center"/>
        </w:trPr>
        <w:tc>
          <w:tcPr>
            <w:tcW w:w="567" w:type="dxa"/>
            <w:vMerge w:val="restart"/>
          </w:tcPr>
          <w:p w14:paraId="52C61267">
            <w:pPr>
              <w:pStyle w:val="34"/>
              <w:spacing w:line="400" w:lineRule="exact"/>
              <w:ind w:firstLine="120"/>
              <w:rPr>
                <w:rFonts w:ascii="宋体" w:hAnsi="宋体" w:eastAsia="宋体" w:cs="宋体"/>
                <w:b/>
                <w:bCs/>
                <w:color w:val="auto"/>
                <w:sz w:val="24"/>
                <w:highlight w:val="none"/>
              </w:rPr>
            </w:pPr>
            <w:r>
              <w:rPr>
                <w:rFonts w:hint="eastAsia" w:ascii="宋体" w:hAnsi="宋体" w:eastAsia="宋体" w:cs="宋体"/>
                <w:b/>
                <w:bCs/>
                <w:color w:val="auto"/>
                <w:sz w:val="24"/>
                <w:highlight w:val="none"/>
              </w:rPr>
              <w:t>服</w:t>
            </w:r>
          </w:p>
          <w:p w14:paraId="139A2B87">
            <w:pPr>
              <w:pStyle w:val="34"/>
              <w:spacing w:line="400" w:lineRule="exact"/>
              <w:rPr>
                <w:rFonts w:ascii="宋体" w:hAnsi="宋体" w:eastAsia="宋体" w:cs="宋体"/>
                <w:b/>
                <w:bCs/>
                <w:color w:val="auto"/>
                <w:sz w:val="24"/>
                <w:highlight w:val="none"/>
              </w:rPr>
            </w:pPr>
          </w:p>
          <w:p w14:paraId="322426EB">
            <w:pPr>
              <w:pStyle w:val="34"/>
              <w:spacing w:line="400" w:lineRule="exact"/>
              <w:ind w:firstLine="120"/>
              <w:rPr>
                <w:rFonts w:ascii="宋体" w:hAnsi="宋体" w:eastAsia="宋体" w:cs="宋体"/>
                <w:b/>
                <w:bCs/>
                <w:color w:val="auto"/>
                <w:sz w:val="24"/>
                <w:highlight w:val="none"/>
              </w:rPr>
            </w:pPr>
            <w:r>
              <w:rPr>
                <w:rFonts w:hint="eastAsia" w:ascii="宋体" w:hAnsi="宋体" w:eastAsia="宋体" w:cs="宋体"/>
                <w:b/>
                <w:bCs/>
                <w:color w:val="auto"/>
                <w:sz w:val="24"/>
                <w:highlight w:val="none"/>
              </w:rPr>
              <w:t>务</w:t>
            </w:r>
          </w:p>
          <w:p w14:paraId="29EBE5E1">
            <w:pPr>
              <w:pStyle w:val="34"/>
              <w:spacing w:line="400" w:lineRule="exact"/>
              <w:rPr>
                <w:rFonts w:ascii="宋体" w:hAnsi="宋体" w:eastAsia="宋体" w:cs="宋体"/>
                <w:b/>
                <w:bCs/>
                <w:color w:val="auto"/>
                <w:sz w:val="24"/>
                <w:highlight w:val="none"/>
              </w:rPr>
            </w:pPr>
          </w:p>
          <w:p w14:paraId="3CFF26E1">
            <w:pPr>
              <w:pStyle w:val="34"/>
              <w:spacing w:line="400" w:lineRule="exact"/>
              <w:ind w:firstLine="120"/>
              <w:rPr>
                <w:rFonts w:ascii="宋体" w:hAnsi="宋体" w:eastAsia="宋体" w:cs="宋体"/>
                <w:b/>
                <w:bCs/>
                <w:color w:val="auto"/>
                <w:sz w:val="24"/>
                <w:highlight w:val="none"/>
              </w:rPr>
            </w:pPr>
            <w:r>
              <w:rPr>
                <w:rFonts w:hint="eastAsia" w:ascii="宋体" w:hAnsi="宋体" w:eastAsia="宋体" w:cs="宋体"/>
                <w:b/>
                <w:bCs/>
                <w:color w:val="auto"/>
                <w:sz w:val="24"/>
                <w:highlight w:val="none"/>
              </w:rPr>
              <w:t>承</w:t>
            </w:r>
          </w:p>
          <w:p w14:paraId="4D3F6A59">
            <w:pPr>
              <w:pStyle w:val="34"/>
              <w:spacing w:line="400" w:lineRule="exact"/>
              <w:rPr>
                <w:rFonts w:ascii="宋体" w:hAnsi="宋体" w:eastAsia="宋体" w:cs="宋体"/>
                <w:b/>
                <w:bCs/>
                <w:color w:val="auto"/>
                <w:sz w:val="24"/>
                <w:highlight w:val="none"/>
              </w:rPr>
            </w:pPr>
          </w:p>
          <w:p w14:paraId="5981CF61">
            <w:pPr>
              <w:pStyle w:val="24"/>
              <w:pBdr>
                <w:bottom w:val="none" w:color="000000" w:sz="0" w:space="0"/>
              </w:pBdr>
              <w:tabs>
                <w:tab w:val="clear" w:pos="7143"/>
                <w:tab w:val="clear" w:pos="14287"/>
              </w:tabs>
              <w:rPr>
                <w:rFonts w:ascii="宋体" w:hAnsi="宋体" w:cs="宋体"/>
                <w:b/>
                <w:bCs/>
                <w:sz w:val="24"/>
                <w:highlight w:val="none"/>
              </w:rPr>
            </w:pPr>
            <w:r>
              <w:rPr>
                <w:rFonts w:hint="eastAsia" w:ascii="宋体" w:hAnsi="宋体" w:cs="宋体"/>
                <w:b/>
                <w:bCs/>
                <w:sz w:val="24"/>
                <w:highlight w:val="none"/>
              </w:rPr>
              <w:t>诺</w:t>
            </w:r>
          </w:p>
        </w:tc>
        <w:tc>
          <w:tcPr>
            <w:tcW w:w="10319" w:type="dxa"/>
            <w:gridSpan w:val="6"/>
            <w:noWrap/>
            <w:tcMar>
              <w:top w:w="15" w:type="dxa"/>
              <w:left w:w="15" w:type="dxa"/>
              <w:bottom w:w="0" w:type="dxa"/>
              <w:right w:w="15" w:type="dxa"/>
            </w:tcMar>
            <w:vAlign w:val="center"/>
          </w:tcPr>
          <w:p w14:paraId="5F8BC971">
            <w:pPr>
              <w:numPr>
                <w:ilvl w:val="0"/>
                <w:numId w:val="19"/>
              </w:numPr>
              <w:rPr>
                <w:rFonts w:ascii="宋体" w:hAnsi="宋体" w:cs="宋体"/>
                <w:bCs/>
                <w:sz w:val="24"/>
                <w:highlight w:val="none"/>
              </w:rPr>
            </w:pPr>
            <w:r>
              <w:rPr>
                <w:rFonts w:hint="eastAsia" w:ascii="宋体" w:hAnsi="宋体" w:cs="宋体"/>
                <w:bCs/>
                <w:sz w:val="24"/>
                <w:highlight w:val="none"/>
              </w:rPr>
              <w:t>质量 2.安装 3."三包"(包修、包退、包换）4.其他承诺</w:t>
            </w:r>
          </w:p>
          <w:p w14:paraId="2A01291B">
            <w:pPr>
              <w:jc w:val="left"/>
              <w:rPr>
                <w:rFonts w:hint="eastAsia" w:ascii="宋体" w:hAnsi="宋体" w:cs="宋体"/>
                <w:bCs/>
                <w:sz w:val="24"/>
                <w:highlight w:val="none"/>
              </w:rPr>
            </w:pPr>
            <w:r>
              <w:rPr>
                <w:rFonts w:hint="eastAsia" w:ascii="宋体" w:hAnsi="宋体" w:cs="宋体"/>
                <w:bCs/>
                <w:sz w:val="24"/>
                <w:highlight w:val="none"/>
              </w:rPr>
              <w:t>（以上是主要承诺，供投标人参考，投标人应在满足招标文件要求的基础上，根据自己单位的情况作出具体承诺）</w:t>
            </w:r>
          </w:p>
        </w:tc>
      </w:tr>
      <w:tr w14:paraId="2F664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12" w:hRule="atLeast"/>
          <w:jc w:val="center"/>
        </w:trPr>
        <w:tc>
          <w:tcPr>
            <w:tcW w:w="567" w:type="dxa"/>
            <w:vMerge w:val="continue"/>
          </w:tcPr>
          <w:p w14:paraId="43A29D84">
            <w:pPr>
              <w:pStyle w:val="24"/>
              <w:pBdr>
                <w:bottom w:val="none" w:color="000000" w:sz="0" w:space="0"/>
              </w:pBdr>
              <w:tabs>
                <w:tab w:val="clear" w:pos="7143"/>
                <w:tab w:val="clear" w:pos="14287"/>
              </w:tabs>
              <w:rPr>
                <w:rFonts w:ascii="宋体" w:hAnsi="宋体" w:cs="宋体"/>
                <w:b/>
                <w:bCs/>
                <w:sz w:val="24"/>
                <w:highlight w:val="none"/>
              </w:rPr>
            </w:pPr>
          </w:p>
        </w:tc>
        <w:tc>
          <w:tcPr>
            <w:tcW w:w="10319" w:type="dxa"/>
            <w:gridSpan w:val="6"/>
            <w:noWrap/>
            <w:tcMar>
              <w:top w:w="15" w:type="dxa"/>
              <w:left w:w="15" w:type="dxa"/>
              <w:bottom w:w="0" w:type="dxa"/>
              <w:right w:w="15" w:type="dxa"/>
            </w:tcMar>
            <w:vAlign w:val="center"/>
          </w:tcPr>
          <w:p w14:paraId="549ABD6D">
            <w:pPr>
              <w:jc w:val="center"/>
              <w:rPr>
                <w:rFonts w:ascii="宋体" w:hAnsi="宋体" w:cs="宋体"/>
                <w:b/>
                <w:bCs/>
                <w:sz w:val="24"/>
                <w:highlight w:val="none"/>
              </w:rPr>
            </w:pPr>
          </w:p>
        </w:tc>
      </w:tr>
    </w:tbl>
    <w:p w14:paraId="2D42A70F">
      <w:pPr>
        <w:spacing w:before="5" w:line="560" w:lineRule="atLeast"/>
        <w:rPr>
          <w:b/>
          <w:bCs/>
          <w:sz w:val="24"/>
          <w:highlight w:val="none"/>
        </w:rPr>
      </w:pPr>
      <w:r>
        <w:rPr>
          <w:rFonts w:hint="eastAsia"/>
          <w:b/>
          <w:bCs/>
          <w:sz w:val="24"/>
          <w:highlight w:val="none"/>
        </w:rPr>
        <w:t>法定代表人或法定代表人授权代表签字或盖章：</w:t>
      </w:r>
    </w:p>
    <w:p w14:paraId="2FCB0C3E">
      <w:pPr>
        <w:spacing w:line="400" w:lineRule="exact"/>
        <w:outlineLvl w:val="0"/>
        <w:rPr>
          <w:rFonts w:ascii="宋体" w:hAnsi="宋体"/>
          <w:bCs/>
          <w:szCs w:val="21"/>
          <w:highlight w:val="none"/>
        </w:rPr>
      </w:pPr>
      <w:r>
        <w:rPr>
          <w:rFonts w:hint="eastAsia" w:ascii="宋体" w:hAnsi="宋体"/>
          <w:b/>
          <w:szCs w:val="21"/>
          <w:highlight w:val="none"/>
        </w:rPr>
        <w:t>注：</w:t>
      </w:r>
      <w:r>
        <w:rPr>
          <w:rFonts w:hint="eastAsia" w:ascii="宋体" w:hAnsi="宋体"/>
          <w:bCs/>
          <w:szCs w:val="21"/>
          <w:highlight w:val="none"/>
        </w:rPr>
        <w:t>（1）供应商应当根据“采购需求”的内容在上表中详细填写；</w:t>
      </w:r>
    </w:p>
    <w:p w14:paraId="6168618B">
      <w:pPr>
        <w:spacing w:line="400" w:lineRule="exact"/>
        <w:outlineLvl w:val="0"/>
        <w:rPr>
          <w:rFonts w:ascii="宋体" w:hAnsi="宋体"/>
          <w:bCs/>
          <w:szCs w:val="21"/>
          <w:highlight w:val="none"/>
        </w:rPr>
      </w:pPr>
      <w:r>
        <w:rPr>
          <w:rFonts w:hint="eastAsia" w:ascii="宋体" w:hAnsi="宋体"/>
          <w:bCs/>
          <w:szCs w:val="21"/>
          <w:highlight w:val="none"/>
        </w:rPr>
        <w:t>（2）表格不够可自行延长。</w:t>
      </w:r>
    </w:p>
    <w:p w14:paraId="7ED2BE25">
      <w:pPr>
        <w:spacing w:line="400" w:lineRule="exact"/>
        <w:outlineLvl w:val="0"/>
        <w:rPr>
          <w:rFonts w:ascii="宋体" w:hAnsi="宋体"/>
          <w:bCs/>
          <w:szCs w:val="21"/>
          <w:highlight w:val="none"/>
        </w:rPr>
      </w:pPr>
    </w:p>
    <w:p w14:paraId="1320B473">
      <w:pPr>
        <w:ind w:firstLine="562"/>
        <w:jc w:val="center"/>
        <w:outlineLvl w:val="0"/>
        <w:rPr>
          <w:rFonts w:ascii="黑体" w:eastAsia="黑体"/>
          <w:bCs/>
          <w:color w:val="000000"/>
          <w:sz w:val="28"/>
          <w:szCs w:val="28"/>
          <w:highlight w:val="none"/>
        </w:rPr>
      </w:pPr>
      <w:r>
        <w:rPr>
          <w:rFonts w:hint="eastAsia" w:ascii="宋体" w:hAnsi="宋体" w:cs="宋体"/>
          <w:b/>
          <w:color w:val="000000"/>
          <w:sz w:val="32"/>
          <w:szCs w:val="32"/>
          <w:highlight w:val="none"/>
        </w:rPr>
        <w:br w:type="page" w:clear="all"/>
      </w:r>
      <w:r>
        <w:rPr>
          <w:rFonts w:hint="eastAsia" w:ascii="黑体" w:eastAsia="黑体" w:cs="宋体"/>
          <w:b/>
          <w:color w:val="000000"/>
          <w:sz w:val="32"/>
          <w:szCs w:val="32"/>
          <w:highlight w:val="none"/>
        </w:rPr>
        <w:t>（八）投标偏离表（格式）：</w:t>
      </w:r>
    </w:p>
    <w:p w14:paraId="2D6A79F7">
      <w:pPr>
        <w:pStyle w:val="268"/>
        <w:rPr>
          <w:b/>
          <w:bCs/>
          <w:color w:val="000000"/>
          <w:sz w:val="24"/>
          <w:highlight w:val="none"/>
        </w:rPr>
      </w:pPr>
    </w:p>
    <w:p w14:paraId="4B0475EC">
      <w:pPr>
        <w:spacing w:line="400" w:lineRule="exact"/>
        <w:jc w:val="center"/>
        <w:outlineLvl w:val="0"/>
        <w:rPr>
          <w:rFonts w:ascii="宋体" w:hAnsi="宋体"/>
          <w:b/>
          <w:color w:val="000000"/>
          <w:sz w:val="24"/>
          <w:highlight w:val="none"/>
        </w:rPr>
      </w:pPr>
      <w:r>
        <w:rPr>
          <w:rFonts w:hint="eastAsia" w:ascii="黑体" w:eastAsia="黑体"/>
          <w:bCs/>
          <w:color w:val="000000"/>
          <w:sz w:val="28"/>
          <w:szCs w:val="28"/>
          <w:highlight w:val="none"/>
        </w:rPr>
        <w:t>投标偏离表</w:t>
      </w:r>
    </w:p>
    <w:p w14:paraId="204FBEF3">
      <w:pPr>
        <w:spacing w:line="400" w:lineRule="exact"/>
        <w:rPr>
          <w:rFonts w:ascii="黑体" w:eastAsia="黑体"/>
          <w:bCs/>
          <w:color w:val="000000"/>
          <w:sz w:val="24"/>
          <w:highlight w:val="none"/>
        </w:rPr>
      </w:pPr>
    </w:p>
    <w:p w14:paraId="0EDB5C81">
      <w:pPr>
        <w:spacing w:line="400" w:lineRule="exact"/>
        <w:rPr>
          <w:rFonts w:ascii="黑体" w:eastAsia="黑体"/>
          <w:bCs/>
          <w:color w:val="000000"/>
          <w:sz w:val="24"/>
          <w:highlight w:val="none"/>
        </w:rPr>
      </w:pPr>
      <w:r>
        <w:rPr>
          <w:rFonts w:hint="eastAsia" w:ascii="黑体" w:eastAsia="黑体"/>
          <w:bCs/>
          <w:color w:val="000000"/>
          <w:sz w:val="24"/>
          <w:highlight w:val="none"/>
        </w:rPr>
        <w:t>投标人名称（盖章）                                   政府采购编号：</w:t>
      </w:r>
    </w:p>
    <w:tbl>
      <w:tblPr>
        <w:tblStyle w:val="37"/>
        <w:tblW w:w="0" w:type="auto"/>
        <w:tblInd w:w="-105" w:type="dxa"/>
        <w:tblLayout w:type="fixed"/>
        <w:tblCellMar>
          <w:top w:w="15" w:type="dxa"/>
          <w:left w:w="15" w:type="dxa"/>
          <w:bottom w:w="0" w:type="dxa"/>
          <w:right w:w="15" w:type="dxa"/>
        </w:tblCellMar>
      </w:tblPr>
      <w:tblGrid>
        <w:gridCol w:w="420"/>
        <w:gridCol w:w="3570"/>
        <w:gridCol w:w="3150"/>
        <w:gridCol w:w="2835"/>
      </w:tblGrid>
      <w:tr w14:paraId="53E18E9B">
        <w:tblPrEx>
          <w:tblCellMar>
            <w:top w:w="15" w:type="dxa"/>
            <w:left w:w="15" w:type="dxa"/>
            <w:bottom w:w="0" w:type="dxa"/>
            <w:right w:w="15" w:type="dxa"/>
          </w:tblCellMar>
        </w:tblPrEx>
        <w:trPr>
          <w:cantSplit/>
          <w:trHeight w:val="495" w:hRule="atLeast"/>
        </w:trPr>
        <w:tc>
          <w:tcPr>
            <w:tcW w:w="42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D7A4B9C">
            <w:pPr>
              <w:spacing w:before="5"/>
              <w:jc w:val="center"/>
              <w:rPr>
                <w:color w:val="000000"/>
                <w:sz w:val="18"/>
                <w:highlight w:val="none"/>
              </w:rPr>
            </w:pPr>
            <w:r>
              <w:rPr>
                <w:rFonts w:hint="eastAsia"/>
                <w:color w:val="000000"/>
                <w:sz w:val="18"/>
                <w:highlight w:val="none"/>
              </w:rPr>
              <w:t>序号</w:t>
            </w:r>
          </w:p>
        </w:tc>
        <w:tc>
          <w:tcPr>
            <w:tcW w:w="357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2B6E46E0">
            <w:pPr>
              <w:spacing w:before="5"/>
              <w:jc w:val="center"/>
              <w:rPr>
                <w:color w:val="000000"/>
                <w:sz w:val="18"/>
                <w:highlight w:val="none"/>
              </w:rPr>
            </w:pPr>
            <w:r>
              <w:rPr>
                <w:rFonts w:hint="eastAsia"/>
                <w:color w:val="000000"/>
                <w:sz w:val="18"/>
                <w:highlight w:val="none"/>
              </w:rPr>
              <w:t>采购要求</w:t>
            </w:r>
          </w:p>
        </w:tc>
        <w:tc>
          <w:tcPr>
            <w:tcW w:w="315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05F1CEBF">
            <w:pPr>
              <w:spacing w:before="5"/>
              <w:jc w:val="center"/>
              <w:rPr>
                <w:color w:val="000000"/>
                <w:sz w:val="18"/>
                <w:highlight w:val="none"/>
              </w:rPr>
            </w:pPr>
            <w:r>
              <w:rPr>
                <w:rFonts w:hint="eastAsia"/>
                <w:color w:val="000000"/>
                <w:sz w:val="18"/>
                <w:highlight w:val="none"/>
              </w:rPr>
              <w:t>实报内容</w:t>
            </w:r>
          </w:p>
        </w:tc>
        <w:tc>
          <w:tcPr>
            <w:tcW w:w="2835"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415AB03E">
            <w:pPr>
              <w:spacing w:before="5"/>
              <w:jc w:val="center"/>
              <w:rPr>
                <w:color w:val="000000"/>
                <w:sz w:val="18"/>
                <w:highlight w:val="none"/>
              </w:rPr>
            </w:pPr>
            <w:r>
              <w:rPr>
                <w:rFonts w:hint="eastAsia"/>
                <w:color w:val="000000"/>
                <w:sz w:val="18"/>
                <w:highlight w:val="none"/>
              </w:rPr>
              <w:t>偏离说明</w:t>
            </w:r>
          </w:p>
        </w:tc>
      </w:tr>
      <w:tr w14:paraId="6C352CDC">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6C82B81">
            <w:pPr>
              <w:jc w:val="center"/>
              <w:rPr>
                <w:rFonts w:ascii="宋体" w:hAnsi="宋体"/>
                <w:color w:val="000000"/>
                <w:sz w:val="18"/>
                <w:highlight w:val="none"/>
              </w:rPr>
            </w:pPr>
            <w:r>
              <w:rPr>
                <w:rFonts w:hint="eastAsia" w:ascii="宋体" w:hAnsi="宋体"/>
                <w:color w:val="000000"/>
                <w:sz w:val="18"/>
                <w:highlight w:val="none"/>
              </w:rPr>
              <w:t>1</w:t>
            </w:r>
          </w:p>
        </w:tc>
        <w:tc>
          <w:tcPr>
            <w:tcW w:w="357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003A890F">
            <w:pPr>
              <w:pStyle w:val="290"/>
              <w:pBdr>
                <w:bottom w:val="none" w:color="000000" w:sz="0" w:space="0"/>
              </w:pBdr>
              <w:tabs>
                <w:tab w:val="clear" w:pos="4153"/>
                <w:tab w:val="clear" w:pos="8306"/>
              </w:tabs>
              <w:rPr>
                <w:rFonts w:ascii="宋体"/>
                <w:bCs/>
                <w:color w:val="000000"/>
                <w:highlight w:val="none"/>
              </w:rPr>
            </w:pPr>
          </w:p>
        </w:tc>
        <w:tc>
          <w:tcPr>
            <w:tcW w:w="315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54892690">
            <w:pPr>
              <w:rPr>
                <w:rFonts w:ascii="宋体" w:hAnsi="宋体"/>
                <w:color w:val="000000"/>
                <w:highlight w:val="none"/>
              </w:rPr>
            </w:pPr>
          </w:p>
        </w:tc>
        <w:tc>
          <w:tcPr>
            <w:tcW w:w="2835"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463102D7">
            <w:pPr>
              <w:jc w:val="center"/>
              <w:rPr>
                <w:rFonts w:ascii="黑体" w:hAnsi="宋体" w:eastAsia="黑体"/>
                <w:b/>
                <w:bCs/>
                <w:color w:val="000000"/>
                <w:sz w:val="24"/>
                <w:highlight w:val="none"/>
              </w:rPr>
            </w:pPr>
          </w:p>
        </w:tc>
      </w:tr>
      <w:tr w14:paraId="60DAC8B5">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335FD8D">
            <w:pPr>
              <w:jc w:val="center"/>
              <w:rPr>
                <w:rFonts w:ascii="宋体" w:hAnsi="宋体"/>
                <w:color w:val="000000"/>
                <w:sz w:val="18"/>
                <w:highlight w:val="none"/>
              </w:rPr>
            </w:pPr>
            <w:r>
              <w:rPr>
                <w:rFonts w:hint="eastAsia" w:ascii="宋体" w:hAnsi="宋体"/>
                <w:color w:val="000000"/>
                <w:sz w:val="18"/>
                <w:highlight w:val="none"/>
              </w:rPr>
              <w:t>2</w:t>
            </w:r>
          </w:p>
        </w:tc>
        <w:tc>
          <w:tcPr>
            <w:tcW w:w="357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0051A853">
            <w:pPr>
              <w:pStyle w:val="290"/>
              <w:pBdr>
                <w:bottom w:val="none" w:color="000000" w:sz="0" w:space="0"/>
              </w:pBdr>
              <w:tabs>
                <w:tab w:val="clear" w:pos="4153"/>
                <w:tab w:val="clear" w:pos="8306"/>
              </w:tabs>
              <w:rPr>
                <w:rFonts w:ascii="宋体"/>
                <w:bCs/>
                <w:color w:val="000000"/>
                <w:highlight w:val="none"/>
              </w:rPr>
            </w:pPr>
          </w:p>
        </w:tc>
        <w:tc>
          <w:tcPr>
            <w:tcW w:w="315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0B6295CD">
            <w:pPr>
              <w:rPr>
                <w:rFonts w:ascii="宋体" w:hAnsi="宋体"/>
                <w:color w:val="000000"/>
                <w:highlight w:val="none"/>
              </w:rPr>
            </w:pPr>
          </w:p>
        </w:tc>
        <w:tc>
          <w:tcPr>
            <w:tcW w:w="2835"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16C62655">
            <w:pPr>
              <w:jc w:val="center"/>
              <w:rPr>
                <w:rFonts w:ascii="黑体" w:hAnsi="宋体" w:eastAsia="黑体"/>
                <w:b/>
                <w:bCs/>
                <w:color w:val="000000"/>
                <w:sz w:val="24"/>
                <w:highlight w:val="none"/>
              </w:rPr>
            </w:pPr>
          </w:p>
        </w:tc>
      </w:tr>
      <w:tr w14:paraId="0F370172">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0201A42">
            <w:pPr>
              <w:jc w:val="center"/>
              <w:rPr>
                <w:rFonts w:ascii="宋体" w:hAnsi="宋体"/>
                <w:color w:val="000000"/>
                <w:sz w:val="18"/>
                <w:highlight w:val="none"/>
              </w:rPr>
            </w:pPr>
          </w:p>
        </w:tc>
        <w:tc>
          <w:tcPr>
            <w:tcW w:w="357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2DE54055">
            <w:pPr>
              <w:pStyle w:val="290"/>
              <w:pBdr>
                <w:bottom w:val="none" w:color="000000" w:sz="0" w:space="0"/>
              </w:pBdr>
              <w:tabs>
                <w:tab w:val="clear" w:pos="4153"/>
                <w:tab w:val="clear" w:pos="8306"/>
              </w:tabs>
              <w:rPr>
                <w:rFonts w:ascii="宋体"/>
                <w:bCs/>
                <w:color w:val="000000"/>
                <w:highlight w:val="none"/>
              </w:rPr>
            </w:pPr>
          </w:p>
        </w:tc>
        <w:tc>
          <w:tcPr>
            <w:tcW w:w="315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5D4C5A80">
            <w:pPr>
              <w:rPr>
                <w:rFonts w:ascii="宋体" w:hAnsi="宋体"/>
                <w:color w:val="000000"/>
                <w:highlight w:val="none"/>
              </w:rPr>
            </w:pPr>
          </w:p>
        </w:tc>
        <w:tc>
          <w:tcPr>
            <w:tcW w:w="2835"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5871DBE4">
            <w:pPr>
              <w:jc w:val="center"/>
              <w:rPr>
                <w:rFonts w:ascii="黑体" w:hAnsi="宋体" w:eastAsia="黑体"/>
                <w:b/>
                <w:bCs/>
                <w:color w:val="000000"/>
                <w:sz w:val="24"/>
                <w:highlight w:val="none"/>
              </w:rPr>
            </w:pPr>
          </w:p>
        </w:tc>
      </w:tr>
      <w:tr w14:paraId="255DEF7D">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666F974">
            <w:pPr>
              <w:jc w:val="center"/>
              <w:rPr>
                <w:rFonts w:ascii="宋体" w:hAnsi="宋体"/>
                <w:color w:val="000000"/>
                <w:sz w:val="18"/>
                <w:highlight w:val="none"/>
              </w:rPr>
            </w:pPr>
          </w:p>
        </w:tc>
        <w:tc>
          <w:tcPr>
            <w:tcW w:w="357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302ADA49">
            <w:pPr>
              <w:pStyle w:val="290"/>
              <w:pBdr>
                <w:bottom w:val="none" w:color="000000" w:sz="0" w:space="0"/>
              </w:pBdr>
              <w:tabs>
                <w:tab w:val="clear" w:pos="4153"/>
                <w:tab w:val="clear" w:pos="8306"/>
              </w:tabs>
              <w:rPr>
                <w:rFonts w:ascii="宋体"/>
                <w:bCs/>
                <w:color w:val="000000"/>
                <w:highlight w:val="none"/>
              </w:rPr>
            </w:pPr>
          </w:p>
        </w:tc>
        <w:tc>
          <w:tcPr>
            <w:tcW w:w="315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7F6F1BC6">
            <w:pPr>
              <w:rPr>
                <w:rFonts w:ascii="宋体" w:hAnsi="宋体"/>
                <w:color w:val="000000"/>
                <w:highlight w:val="none"/>
              </w:rPr>
            </w:pPr>
          </w:p>
        </w:tc>
        <w:tc>
          <w:tcPr>
            <w:tcW w:w="2835"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1205B23D">
            <w:pPr>
              <w:jc w:val="center"/>
              <w:rPr>
                <w:rFonts w:ascii="黑体" w:hAnsi="宋体" w:eastAsia="黑体"/>
                <w:b/>
                <w:bCs/>
                <w:color w:val="000000"/>
                <w:sz w:val="24"/>
                <w:highlight w:val="none"/>
              </w:rPr>
            </w:pPr>
          </w:p>
        </w:tc>
      </w:tr>
      <w:tr w14:paraId="649AFBAE">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B6BF38A">
            <w:pPr>
              <w:jc w:val="center"/>
              <w:rPr>
                <w:rFonts w:ascii="宋体" w:hAnsi="宋体"/>
                <w:color w:val="000000"/>
                <w:sz w:val="18"/>
                <w:highlight w:val="none"/>
              </w:rPr>
            </w:pPr>
          </w:p>
        </w:tc>
        <w:tc>
          <w:tcPr>
            <w:tcW w:w="357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22D6F2CA">
            <w:pPr>
              <w:pStyle w:val="290"/>
              <w:pBdr>
                <w:bottom w:val="none" w:color="000000" w:sz="0" w:space="0"/>
              </w:pBdr>
              <w:tabs>
                <w:tab w:val="clear" w:pos="4153"/>
                <w:tab w:val="clear" w:pos="8306"/>
              </w:tabs>
              <w:rPr>
                <w:rFonts w:ascii="宋体"/>
                <w:bCs/>
                <w:color w:val="000000"/>
                <w:highlight w:val="none"/>
              </w:rPr>
            </w:pPr>
          </w:p>
        </w:tc>
        <w:tc>
          <w:tcPr>
            <w:tcW w:w="315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363FEFD0">
            <w:pPr>
              <w:rPr>
                <w:rFonts w:ascii="宋体" w:hAnsi="宋体"/>
                <w:color w:val="000000"/>
                <w:highlight w:val="none"/>
              </w:rPr>
            </w:pPr>
          </w:p>
        </w:tc>
        <w:tc>
          <w:tcPr>
            <w:tcW w:w="2835"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2B83FFBA">
            <w:pPr>
              <w:jc w:val="center"/>
              <w:rPr>
                <w:rFonts w:ascii="黑体" w:hAnsi="宋体" w:eastAsia="黑体"/>
                <w:b/>
                <w:bCs/>
                <w:color w:val="000000"/>
                <w:sz w:val="24"/>
                <w:highlight w:val="none"/>
              </w:rPr>
            </w:pPr>
          </w:p>
        </w:tc>
      </w:tr>
      <w:tr w14:paraId="0DBBC9D3">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FC12DC7">
            <w:pPr>
              <w:jc w:val="center"/>
              <w:rPr>
                <w:rFonts w:ascii="宋体" w:hAnsi="宋体"/>
                <w:color w:val="000000"/>
                <w:sz w:val="18"/>
                <w:highlight w:val="none"/>
              </w:rPr>
            </w:pPr>
          </w:p>
        </w:tc>
        <w:tc>
          <w:tcPr>
            <w:tcW w:w="357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5C91D7A2">
            <w:pPr>
              <w:pStyle w:val="290"/>
              <w:pBdr>
                <w:bottom w:val="none" w:color="000000" w:sz="0" w:space="0"/>
              </w:pBdr>
              <w:tabs>
                <w:tab w:val="clear" w:pos="4153"/>
                <w:tab w:val="clear" w:pos="8306"/>
              </w:tabs>
              <w:rPr>
                <w:rFonts w:ascii="宋体"/>
                <w:bCs/>
                <w:color w:val="000000"/>
                <w:highlight w:val="none"/>
              </w:rPr>
            </w:pPr>
          </w:p>
        </w:tc>
        <w:tc>
          <w:tcPr>
            <w:tcW w:w="315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23072558">
            <w:pPr>
              <w:rPr>
                <w:rFonts w:ascii="宋体" w:hAnsi="宋体"/>
                <w:color w:val="000000"/>
                <w:highlight w:val="none"/>
              </w:rPr>
            </w:pPr>
          </w:p>
        </w:tc>
        <w:tc>
          <w:tcPr>
            <w:tcW w:w="2835"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0588C98D">
            <w:pPr>
              <w:jc w:val="center"/>
              <w:rPr>
                <w:rFonts w:ascii="黑体" w:hAnsi="宋体" w:eastAsia="黑体"/>
                <w:b/>
                <w:bCs/>
                <w:color w:val="000000"/>
                <w:sz w:val="24"/>
                <w:highlight w:val="none"/>
              </w:rPr>
            </w:pPr>
          </w:p>
        </w:tc>
      </w:tr>
      <w:tr w14:paraId="028BB260">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A604644">
            <w:pPr>
              <w:jc w:val="center"/>
              <w:rPr>
                <w:rFonts w:ascii="宋体" w:hAnsi="宋体"/>
                <w:color w:val="000000"/>
                <w:sz w:val="18"/>
                <w:highlight w:val="none"/>
              </w:rPr>
            </w:pPr>
          </w:p>
        </w:tc>
        <w:tc>
          <w:tcPr>
            <w:tcW w:w="357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5A7416ED">
            <w:pPr>
              <w:pStyle w:val="290"/>
              <w:pBdr>
                <w:bottom w:val="none" w:color="000000" w:sz="0" w:space="0"/>
              </w:pBdr>
              <w:tabs>
                <w:tab w:val="clear" w:pos="4153"/>
                <w:tab w:val="clear" w:pos="8306"/>
              </w:tabs>
              <w:rPr>
                <w:rFonts w:ascii="宋体"/>
                <w:bCs/>
                <w:color w:val="000000"/>
                <w:highlight w:val="none"/>
              </w:rPr>
            </w:pPr>
          </w:p>
        </w:tc>
        <w:tc>
          <w:tcPr>
            <w:tcW w:w="315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239FA6E0">
            <w:pPr>
              <w:rPr>
                <w:rFonts w:ascii="宋体" w:hAnsi="宋体"/>
                <w:color w:val="000000"/>
                <w:highlight w:val="none"/>
              </w:rPr>
            </w:pPr>
          </w:p>
        </w:tc>
        <w:tc>
          <w:tcPr>
            <w:tcW w:w="2835"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32643919">
            <w:pPr>
              <w:jc w:val="center"/>
              <w:rPr>
                <w:rFonts w:ascii="黑体" w:hAnsi="宋体" w:eastAsia="黑体"/>
                <w:b/>
                <w:bCs/>
                <w:color w:val="000000"/>
                <w:sz w:val="24"/>
                <w:highlight w:val="none"/>
              </w:rPr>
            </w:pPr>
          </w:p>
        </w:tc>
      </w:tr>
      <w:tr w14:paraId="0C68B079">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ADCCC0B">
            <w:pPr>
              <w:jc w:val="center"/>
              <w:rPr>
                <w:rFonts w:ascii="宋体" w:hAnsi="宋体"/>
                <w:color w:val="000000"/>
                <w:sz w:val="18"/>
                <w:highlight w:val="none"/>
              </w:rPr>
            </w:pPr>
          </w:p>
        </w:tc>
        <w:tc>
          <w:tcPr>
            <w:tcW w:w="357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363A9EC6">
            <w:pPr>
              <w:pStyle w:val="290"/>
              <w:pBdr>
                <w:bottom w:val="none" w:color="000000" w:sz="0" w:space="0"/>
              </w:pBdr>
              <w:tabs>
                <w:tab w:val="clear" w:pos="4153"/>
                <w:tab w:val="clear" w:pos="8306"/>
              </w:tabs>
              <w:rPr>
                <w:rFonts w:ascii="宋体"/>
                <w:bCs/>
                <w:color w:val="000000"/>
                <w:highlight w:val="none"/>
              </w:rPr>
            </w:pPr>
          </w:p>
        </w:tc>
        <w:tc>
          <w:tcPr>
            <w:tcW w:w="315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00E69510">
            <w:pPr>
              <w:rPr>
                <w:rFonts w:ascii="宋体" w:hAnsi="宋体"/>
                <w:color w:val="000000"/>
                <w:highlight w:val="none"/>
              </w:rPr>
            </w:pPr>
          </w:p>
        </w:tc>
        <w:tc>
          <w:tcPr>
            <w:tcW w:w="2835"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7D62A846">
            <w:pPr>
              <w:jc w:val="center"/>
              <w:rPr>
                <w:rFonts w:ascii="黑体" w:hAnsi="宋体" w:eastAsia="黑体"/>
                <w:b/>
                <w:bCs/>
                <w:color w:val="000000"/>
                <w:sz w:val="24"/>
                <w:highlight w:val="none"/>
              </w:rPr>
            </w:pPr>
          </w:p>
        </w:tc>
      </w:tr>
      <w:tr w14:paraId="1B4BBA92">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BBE3310">
            <w:pPr>
              <w:jc w:val="center"/>
              <w:rPr>
                <w:rFonts w:ascii="宋体" w:hAnsi="宋体"/>
                <w:color w:val="000000"/>
                <w:sz w:val="18"/>
                <w:highlight w:val="none"/>
              </w:rPr>
            </w:pPr>
          </w:p>
        </w:tc>
        <w:tc>
          <w:tcPr>
            <w:tcW w:w="357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38337040">
            <w:pPr>
              <w:pStyle w:val="290"/>
              <w:pBdr>
                <w:bottom w:val="none" w:color="000000" w:sz="0" w:space="0"/>
              </w:pBdr>
              <w:tabs>
                <w:tab w:val="clear" w:pos="4153"/>
                <w:tab w:val="clear" w:pos="8306"/>
              </w:tabs>
              <w:rPr>
                <w:rFonts w:ascii="宋体"/>
                <w:bCs/>
                <w:color w:val="000000"/>
                <w:highlight w:val="none"/>
              </w:rPr>
            </w:pPr>
          </w:p>
        </w:tc>
        <w:tc>
          <w:tcPr>
            <w:tcW w:w="315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20EB1A81">
            <w:pPr>
              <w:rPr>
                <w:rFonts w:ascii="宋体" w:hAnsi="宋体"/>
                <w:color w:val="000000"/>
                <w:highlight w:val="none"/>
              </w:rPr>
            </w:pPr>
          </w:p>
        </w:tc>
        <w:tc>
          <w:tcPr>
            <w:tcW w:w="2835"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459823AD">
            <w:pPr>
              <w:jc w:val="center"/>
              <w:rPr>
                <w:rFonts w:ascii="黑体" w:hAnsi="宋体" w:eastAsia="黑体"/>
                <w:b/>
                <w:bCs/>
                <w:color w:val="000000"/>
                <w:sz w:val="24"/>
                <w:highlight w:val="none"/>
              </w:rPr>
            </w:pPr>
          </w:p>
        </w:tc>
      </w:tr>
    </w:tbl>
    <w:p w14:paraId="6E6652FF">
      <w:pPr>
        <w:spacing w:before="5" w:line="560" w:lineRule="atLeast"/>
        <w:rPr>
          <w:b/>
          <w:bCs/>
          <w:color w:val="000000"/>
          <w:sz w:val="24"/>
          <w:highlight w:val="none"/>
        </w:rPr>
      </w:pPr>
      <w:r>
        <w:rPr>
          <w:rFonts w:hint="eastAsia"/>
          <w:b/>
          <w:bCs/>
          <w:color w:val="000000"/>
          <w:sz w:val="24"/>
          <w:highlight w:val="none"/>
        </w:rPr>
        <w:t>法定代表人或被授权委托人签字或盖章：</w:t>
      </w:r>
    </w:p>
    <w:p w14:paraId="3EBFDB1E">
      <w:pPr>
        <w:spacing w:line="400" w:lineRule="exact"/>
        <w:outlineLvl w:val="0"/>
        <w:rPr>
          <w:rFonts w:ascii="宋体" w:hAnsi="宋体"/>
          <w:bCs/>
          <w:color w:val="000000"/>
          <w:szCs w:val="21"/>
          <w:highlight w:val="none"/>
        </w:rPr>
      </w:pPr>
      <w:r>
        <w:rPr>
          <w:rFonts w:hint="eastAsia" w:ascii="宋体" w:hAnsi="宋体"/>
          <w:bCs/>
          <w:color w:val="000000"/>
          <w:szCs w:val="21"/>
          <w:highlight w:val="none"/>
        </w:rPr>
        <w:t>注：（1）本表不得删除；</w:t>
      </w:r>
    </w:p>
    <w:p w14:paraId="2EAA6143">
      <w:pPr>
        <w:spacing w:line="400" w:lineRule="exact"/>
        <w:outlineLvl w:val="0"/>
        <w:rPr>
          <w:rFonts w:ascii="宋体" w:hAnsi="宋体"/>
          <w:bCs/>
          <w:color w:val="000000"/>
          <w:szCs w:val="21"/>
          <w:highlight w:val="none"/>
        </w:rPr>
      </w:pPr>
      <w:r>
        <w:rPr>
          <w:rFonts w:hint="eastAsia" w:ascii="宋体" w:hAnsi="宋体"/>
          <w:bCs/>
          <w:color w:val="000000"/>
          <w:szCs w:val="21"/>
          <w:highlight w:val="none"/>
        </w:rPr>
        <w:t xml:space="preserve">   （2）如无任何技术偏离，请于本表 “偏离说明”中注明“无偏离”；</w:t>
      </w:r>
    </w:p>
    <w:p w14:paraId="10D98CFE">
      <w:pPr>
        <w:spacing w:line="400" w:lineRule="exact"/>
        <w:outlineLvl w:val="0"/>
        <w:rPr>
          <w:rFonts w:ascii="宋体" w:hAnsi="宋体"/>
          <w:bCs/>
          <w:color w:val="000000"/>
          <w:szCs w:val="21"/>
          <w:highlight w:val="none"/>
        </w:rPr>
      </w:pPr>
      <w:r>
        <w:rPr>
          <w:rFonts w:hint="eastAsia" w:ascii="宋体" w:hAnsi="宋体"/>
          <w:bCs/>
          <w:color w:val="000000"/>
          <w:szCs w:val="21"/>
          <w:highlight w:val="none"/>
        </w:rPr>
        <w:t xml:space="preserve">   （3）如有技术偏离项，请于本表中列明偏离内容，如需要可自行延长，其余无偏离内容不须赘述。</w:t>
      </w:r>
    </w:p>
    <w:p w14:paraId="3EAE0142">
      <w:pPr>
        <w:ind w:firstLine="420"/>
        <w:outlineLvl w:val="0"/>
        <w:rPr>
          <w:rFonts w:ascii="黑体" w:hAnsi="宋体" w:eastAsia="黑体"/>
          <w:bCs/>
          <w:color w:val="000000"/>
          <w:sz w:val="24"/>
          <w:highlight w:val="none"/>
        </w:rPr>
      </w:pPr>
    </w:p>
    <w:p w14:paraId="17C0C1C0">
      <w:pPr>
        <w:ind w:firstLine="420"/>
        <w:outlineLvl w:val="0"/>
        <w:rPr>
          <w:rFonts w:ascii="黑体" w:hAnsi="宋体" w:eastAsia="黑体"/>
          <w:bCs/>
          <w:color w:val="000000"/>
          <w:sz w:val="24"/>
          <w:highlight w:val="none"/>
        </w:rPr>
      </w:pPr>
    </w:p>
    <w:p w14:paraId="76F5D0EF">
      <w:pPr>
        <w:spacing w:line="400" w:lineRule="exact"/>
        <w:outlineLvl w:val="0"/>
        <w:rPr>
          <w:rFonts w:ascii="黑体" w:hAnsi="宋体" w:eastAsia="黑体"/>
          <w:bCs/>
          <w:color w:val="000000"/>
          <w:sz w:val="24"/>
          <w:highlight w:val="none"/>
        </w:rPr>
      </w:pPr>
    </w:p>
    <w:p w14:paraId="1F4C4771">
      <w:pPr>
        <w:spacing w:line="440" w:lineRule="exact"/>
        <w:rPr>
          <w:rFonts w:ascii="宋体" w:hAnsi="宋体"/>
          <w:sz w:val="24"/>
          <w:highlight w:val="none"/>
        </w:rPr>
      </w:pPr>
    </w:p>
    <w:p w14:paraId="7790CE61">
      <w:pPr>
        <w:spacing w:line="400" w:lineRule="exact"/>
        <w:outlineLvl w:val="0"/>
        <w:rPr>
          <w:rFonts w:ascii="黑体" w:hAnsi="宋体" w:eastAsia="黑体"/>
          <w:b/>
          <w:color w:val="000000"/>
          <w:sz w:val="24"/>
          <w:highlight w:val="none"/>
        </w:rPr>
      </w:pPr>
      <w:r>
        <w:rPr>
          <w:rFonts w:hint="eastAsia" w:ascii="黑体" w:eastAsia="黑体" w:cs="宋体"/>
          <w:b/>
          <w:sz w:val="32"/>
          <w:szCs w:val="32"/>
          <w:highlight w:val="none"/>
        </w:rPr>
        <w:br w:type="page" w:clear="all"/>
      </w:r>
      <w:r>
        <w:rPr>
          <w:rFonts w:hint="eastAsia" w:ascii="黑体" w:eastAsia="黑体" w:cs="宋体"/>
          <w:b/>
          <w:color w:val="000000"/>
          <w:sz w:val="32"/>
          <w:szCs w:val="32"/>
          <w:highlight w:val="none"/>
        </w:rPr>
        <w:t>（九）中小企业声明函、残疾人福利性单位声明函（格式）</w:t>
      </w:r>
    </w:p>
    <w:p w14:paraId="2D0B351A">
      <w:pPr>
        <w:spacing w:line="360" w:lineRule="auto"/>
        <w:jc w:val="center"/>
        <w:outlineLvl w:val="0"/>
        <w:rPr>
          <w:rFonts w:ascii="宋体" w:hAnsi="宋体" w:cs="宋体"/>
          <w:b/>
          <w:bCs/>
          <w:color w:val="000000"/>
          <w:sz w:val="30"/>
          <w:szCs w:val="30"/>
          <w:highlight w:val="none"/>
        </w:rPr>
      </w:pPr>
      <w:r>
        <w:rPr>
          <w:rFonts w:hint="eastAsia" w:ascii="宋体" w:hAnsi="宋体" w:cs="宋体"/>
          <w:b/>
          <w:color w:val="000000"/>
          <w:sz w:val="30"/>
          <w:szCs w:val="30"/>
          <w:highlight w:val="none"/>
        </w:rPr>
        <w:t>中小企业声明函（服务）</w:t>
      </w:r>
    </w:p>
    <w:p w14:paraId="180F5F75">
      <w:pPr>
        <w:spacing w:line="580" w:lineRule="exact"/>
        <w:ind w:firstLine="480"/>
        <w:rPr>
          <w:rFonts w:ascii="宋体" w:hAnsi="宋体" w:cs="宋体"/>
          <w:bCs/>
          <w:color w:val="000000"/>
          <w:sz w:val="24"/>
          <w:highlight w:val="none"/>
        </w:rPr>
      </w:pPr>
      <w:r>
        <w:rPr>
          <w:rFonts w:hint="eastAsia" w:ascii="宋体" w:hAnsi="宋体" w:cs="宋体"/>
          <w:bCs/>
          <w:color w:val="000000"/>
          <w:sz w:val="24"/>
          <w:highlight w:val="none"/>
        </w:rPr>
        <w:t>本公司（联合体）郑重声明，根据《政府采购促进中小企业发展管理办法》（财库﹝2020﹞46号）的规定，本公司</w:t>
      </w:r>
      <w:r>
        <w:rPr>
          <w:rFonts w:hint="eastAsia" w:ascii="宋体" w:hAnsi="宋体" w:cs="宋体"/>
          <w:bCs/>
          <w:color w:val="000000"/>
          <w:sz w:val="24"/>
          <w:highlight w:val="none"/>
          <w:u w:val="single"/>
        </w:rPr>
        <w:t>（联合体）</w:t>
      </w:r>
      <w:r>
        <w:rPr>
          <w:rFonts w:hint="eastAsia" w:ascii="宋体" w:hAnsi="宋体" w:cs="宋体"/>
          <w:bCs/>
          <w:color w:val="000000"/>
          <w:sz w:val="24"/>
          <w:highlight w:val="none"/>
        </w:rPr>
        <w:t>参加</w:t>
      </w:r>
      <w:r>
        <w:rPr>
          <w:rFonts w:hint="eastAsia" w:ascii="宋体" w:hAnsi="宋体" w:cs="宋体"/>
          <w:bCs/>
          <w:color w:val="000000"/>
          <w:sz w:val="24"/>
          <w:highlight w:val="none"/>
          <w:u w:val="single"/>
        </w:rPr>
        <w:t>（单位名称）</w:t>
      </w:r>
      <w:r>
        <w:rPr>
          <w:rFonts w:hint="eastAsia" w:ascii="宋体" w:hAnsi="宋体" w:cs="宋体"/>
          <w:bCs/>
          <w:color w:val="000000"/>
          <w:sz w:val="24"/>
          <w:highlight w:val="none"/>
        </w:rPr>
        <w:t>的</w:t>
      </w:r>
      <w:r>
        <w:rPr>
          <w:rFonts w:hint="eastAsia" w:ascii="宋体" w:hAnsi="宋体" w:cs="宋体"/>
          <w:bCs/>
          <w:color w:val="000000"/>
          <w:sz w:val="24"/>
          <w:highlight w:val="none"/>
          <w:u w:val="single"/>
        </w:rPr>
        <w:t>（项目名称）</w:t>
      </w:r>
      <w:r>
        <w:rPr>
          <w:rFonts w:hint="eastAsia" w:ascii="宋体" w:hAnsi="宋体" w:cs="宋体"/>
          <w:bCs/>
          <w:color w:val="000000"/>
          <w:sz w:val="24"/>
          <w:highlight w:val="none"/>
        </w:rPr>
        <w:t>采购活动，服务全部由符合政策要求的中小微企业承接。相关企业（含联合体中的中小微企业、签订分包意向协议的中小微企业）的具体情况如下：</w:t>
      </w:r>
    </w:p>
    <w:p w14:paraId="7CE5352B">
      <w:pPr>
        <w:spacing w:line="580" w:lineRule="exact"/>
        <w:ind w:firstLine="480"/>
        <w:rPr>
          <w:rFonts w:ascii="宋体" w:hAnsi="宋体" w:cs="宋体"/>
          <w:bCs/>
          <w:color w:val="000000"/>
          <w:sz w:val="24"/>
          <w:szCs w:val="20"/>
          <w:highlight w:val="none"/>
        </w:rPr>
      </w:pPr>
      <w:r>
        <w:rPr>
          <w:rFonts w:hint="eastAsia" w:ascii="宋体" w:hAnsi="宋体" w:cs="宋体"/>
          <w:bCs/>
          <w:color w:val="000000"/>
          <w:sz w:val="24"/>
          <w:highlight w:val="none"/>
        </w:rPr>
        <w:t>1、</w:t>
      </w:r>
      <w:r>
        <w:rPr>
          <w:rFonts w:hint="eastAsia" w:ascii="宋体" w:hAnsi="宋体" w:cs="宋体"/>
          <w:bCs/>
          <w:color w:val="000000"/>
          <w:sz w:val="24"/>
          <w:szCs w:val="20"/>
          <w:highlight w:val="none"/>
          <w:u w:val="single"/>
        </w:rPr>
        <w:t xml:space="preserve"> </w:t>
      </w:r>
      <w:r>
        <w:rPr>
          <w:rFonts w:hint="eastAsia" w:ascii="宋体" w:hAnsi="宋体" w:cs="宋体"/>
          <w:bCs/>
          <w:i/>
          <w:iCs/>
          <w:color w:val="000000"/>
          <w:sz w:val="24"/>
          <w:szCs w:val="20"/>
          <w:highlight w:val="none"/>
          <w:u w:val="single"/>
        </w:rPr>
        <w:t>（标的名称）</w:t>
      </w:r>
      <w:r>
        <w:rPr>
          <w:rFonts w:hint="eastAsia" w:ascii="宋体" w:hAnsi="宋体" w:cs="宋体"/>
          <w:bCs/>
          <w:color w:val="000000"/>
          <w:sz w:val="24"/>
          <w:szCs w:val="20"/>
          <w:highlight w:val="none"/>
          <w:u w:val="single"/>
        </w:rPr>
        <w:t xml:space="preserve"> </w:t>
      </w:r>
      <w:r>
        <w:rPr>
          <w:rFonts w:hint="eastAsia" w:ascii="宋体" w:hAnsi="宋体" w:cs="宋体"/>
          <w:bCs/>
          <w:color w:val="000000"/>
          <w:sz w:val="24"/>
          <w:szCs w:val="20"/>
          <w:highlight w:val="none"/>
        </w:rPr>
        <w:t>，属于</w:t>
      </w:r>
      <w:r>
        <w:rPr>
          <w:rFonts w:hint="eastAsia" w:ascii="宋体" w:hAnsi="宋体" w:cs="宋体"/>
          <w:bCs/>
          <w:color w:val="000000"/>
          <w:sz w:val="24"/>
          <w:szCs w:val="20"/>
          <w:highlight w:val="none"/>
          <w:u w:val="single"/>
        </w:rPr>
        <w:t xml:space="preserve">        </w:t>
      </w:r>
      <w:r>
        <w:rPr>
          <w:rFonts w:hint="eastAsia" w:ascii="宋体" w:hAnsi="宋体" w:cs="宋体"/>
          <w:bCs/>
          <w:i/>
          <w:iCs/>
          <w:color w:val="000000"/>
          <w:sz w:val="24"/>
          <w:szCs w:val="20"/>
          <w:highlight w:val="none"/>
          <w:u w:val="single"/>
        </w:rPr>
        <w:t xml:space="preserve"> </w:t>
      </w:r>
      <w:r>
        <w:rPr>
          <w:rFonts w:hint="eastAsia" w:ascii="宋体" w:hAnsi="宋体" w:cs="宋体"/>
          <w:bCs/>
          <w:color w:val="000000"/>
          <w:sz w:val="24"/>
          <w:szCs w:val="20"/>
          <w:highlight w:val="none"/>
        </w:rPr>
        <w:t xml:space="preserve"> 行业；承建（承接）企业为</w:t>
      </w:r>
      <w:r>
        <w:rPr>
          <w:rFonts w:hint="eastAsia" w:ascii="宋体" w:hAnsi="宋体" w:cs="宋体"/>
          <w:bCs/>
          <w:i/>
          <w:iCs/>
          <w:color w:val="000000"/>
          <w:sz w:val="24"/>
          <w:szCs w:val="20"/>
          <w:highlight w:val="none"/>
          <w:u w:val="single"/>
        </w:rPr>
        <w:t>（企业名称）</w:t>
      </w:r>
      <w:r>
        <w:rPr>
          <w:rFonts w:hint="eastAsia" w:ascii="宋体" w:hAnsi="宋体" w:cs="宋体"/>
          <w:bCs/>
          <w:color w:val="000000"/>
          <w:sz w:val="24"/>
          <w:szCs w:val="20"/>
          <w:highlight w:val="none"/>
        </w:rPr>
        <w:t>，从业人员</w:t>
      </w:r>
      <w:r>
        <w:rPr>
          <w:rFonts w:hint="eastAsia" w:ascii="宋体" w:hAnsi="宋体" w:cs="宋体"/>
          <w:bCs/>
          <w:color w:val="000000"/>
          <w:sz w:val="24"/>
          <w:szCs w:val="20"/>
          <w:highlight w:val="none"/>
          <w:u w:val="single"/>
        </w:rPr>
        <w:t xml:space="preserve">     </w:t>
      </w:r>
      <w:r>
        <w:rPr>
          <w:rFonts w:hint="eastAsia" w:ascii="宋体" w:hAnsi="宋体" w:cs="宋体"/>
          <w:bCs/>
          <w:color w:val="000000"/>
          <w:sz w:val="24"/>
          <w:szCs w:val="20"/>
          <w:highlight w:val="none"/>
        </w:rPr>
        <w:t>人，营业收入为</w:t>
      </w:r>
      <w:r>
        <w:rPr>
          <w:rFonts w:hint="eastAsia" w:ascii="宋体" w:hAnsi="宋体" w:cs="宋体"/>
          <w:bCs/>
          <w:color w:val="000000"/>
          <w:sz w:val="24"/>
          <w:szCs w:val="20"/>
          <w:highlight w:val="none"/>
          <w:u w:val="single"/>
        </w:rPr>
        <w:t xml:space="preserve">      </w:t>
      </w:r>
      <w:r>
        <w:rPr>
          <w:rFonts w:hint="eastAsia" w:ascii="宋体" w:hAnsi="宋体" w:cs="宋体"/>
          <w:bCs/>
          <w:color w:val="000000"/>
          <w:sz w:val="24"/>
          <w:szCs w:val="20"/>
          <w:highlight w:val="none"/>
        </w:rPr>
        <w:t>万元，资产总额为</w:t>
      </w:r>
      <w:r>
        <w:rPr>
          <w:rFonts w:hint="eastAsia" w:ascii="宋体" w:hAnsi="宋体" w:cs="宋体"/>
          <w:bCs/>
          <w:color w:val="000000"/>
          <w:sz w:val="24"/>
          <w:szCs w:val="20"/>
          <w:highlight w:val="none"/>
          <w:u w:val="single"/>
        </w:rPr>
        <w:t xml:space="preserve">     </w:t>
      </w:r>
      <w:r>
        <w:rPr>
          <w:rFonts w:hint="eastAsia" w:ascii="宋体" w:hAnsi="宋体" w:cs="宋体"/>
          <w:bCs/>
          <w:color w:val="000000"/>
          <w:sz w:val="24"/>
          <w:szCs w:val="20"/>
          <w:highlight w:val="none"/>
        </w:rPr>
        <w:t>万元</w:t>
      </w:r>
      <w:r>
        <w:rPr>
          <w:rFonts w:hint="eastAsia" w:ascii="宋体" w:hAnsi="宋体" w:cs="宋体"/>
          <w:color w:val="000000"/>
          <w:szCs w:val="20"/>
          <w:highlight w:val="none"/>
          <w:vertAlign w:val="superscript"/>
        </w:rPr>
        <w:t>1</w:t>
      </w:r>
      <w:r>
        <w:rPr>
          <w:rFonts w:hint="eastAsia" w:ascii="宋体" w:hAnsi="宋体" w:cs="宋体"/>
          <w:bCs/>
          <w:color w:val="000000"/>
          <w:sz w:val="24"/>
          <w:szCs w:val="20"/>
          <w:highlight w:val="none"/>
        </w:rPr>
        <w:t>，属于</w:t>
      </w:r>
      <w:r>
        <w:rPr>
          <w:rFonts w:hint="eastAsia" w:ascii="宋体" w:hAnsi="宋体" w:cs="宋体"/>
          <w:bCs/>
          <w:color w:val="000000"/>
          <w:sz w:val="24"/>
          <w:szCs w:val="20"/>
          <w:highlight w:val="none"/>
          <w:u w:val="single"/>
        </w:rPr>
        <w:t xml:space="preserve"> </w:t>
      </w:r>
      <w:r>
        <w:rPr>
          <w:rFonts w:hint="eastAsia" w:ascii="宋体" w:hAnsi="宋体" w:cs="宋体"/>
          <w:bCs/>
          <w:i/>
          <w:iCs/>
          <w:color w:val="000000"/>
          <w:sz w:val="24"/>
          <w:szCs w:val="20"/>
          <w:highlight w:val="none"/>
          <w:u w:val="single"/>
        </w:rPr>
        <w:t>（中型企业、小型企业、微型企业）</w:t>
      </w:r>
      <w:r>
        <w:rPr>
          <w:rFonts w:hint="eastAsia" w:ascii="宋体" w:hAnsi="宋体" w:cs="宋体"/>
          <w:bCs/>
          <w:color w:val="000000"/>
          <w:sz w:val="24"/>
          <w:szCs w:val="20"/>
          <w:highlight w:val="none"/>
        </w:rPr>
        <w:t xml:space="preserve">； </w:t>
      </w:r>
    </w:p>
    <w:p w14:paraId="2E38F376">
      <w:pPr>
        <w:spacing w:line="580" w:lineRule="exact"/>
        <w:ind w:firstLine="480"/>
        <w:rPr>
          <w:rFonts w:ascii="宋体" w:hAnsi="宋体" w:cs="宋体"/>
          <w:bCs/>
          <w:color w:val="000000"/>
          <w:sz w:val="24"/>
          <w:szCs w:val="20"/>
          <w:highlight w:val="none"/>
        </w:rPr>
      </w:pPr>
      <w:r>
        <w:rPr>
          <w:rFonts w:hint="eastAsia" w:ascii="宋体" w:hAnsi="宋体" w:cs="宋体"/>
          <w:bCs/>
          <w:color w:val="000000"/>
          <w:sz w:val="24"/>
          <w:szCs w:val="20"/>
          <w:highlight w:val="none"/>
        </w:rPr>
        <w:t>2、</w:t>
      </w:r>
      <w:r>
        <w:rPr>
          <w:rFonts w:hint="eastAsia" w:ascii="宋体" w:hAnsi="宋体" w:cs="宋体"/>
          <w:bCs/>
          <w:color w:val="000000"/>
          <w:sz w:val="24"/>
          <w:szCs w:val="20"/>
          <w:highlight w:val="none"/>
          <w:u w:val="single"/>
        </w:rPr>
        <w:t xml:space="preserve"> </w:t>
      </w:r>
      <w:r>
        <w:rPr>
          <w:rFonts w:hint="eastAsia" w:ascii="宋体" w:hAnsi="宋体" w:cs="宋体"/>
          <w:bCs/>
          <w:i/>
          <w:iCs/>
          <w:color w:val="000000"/>
          <w:sz w:val="24"/>
          <w:szCs w:val="20"/>
          <w:highlight w:val="none"/>
          <w:u w:val="single"/>
        </w:rPr>
        <w:t xml:space="preserve">（标的名称） </w:t>
      </w:r>
      <w:r>
        <w:rPr>
          <w:rFonts w:hint="eastAsia" w:ascii="宋体" w:hAnsi="宋体" w:cs="宋体"/>
          <w:bCs/>
          <w:color w:val="000000"/>
          <w:sz w:val="24"/>
          <w:szCs w:val="20"/>
          <w:highlight w:val="none"/>
        </w:rPr>
        <w:t>，属于</w:t>
      </w:r>
      <w:r>
        <w:rPr>
          <w:rFonts w:hint="eastAsia" w:ascii="宋体" w:hAnsi="宋体" w:cs="宋体"/>
          <w:bCs/>
          <w:color w:val="000000"/>
          <w:sz w:val="24"/>
          <w:szCs w:val="20"/>
          <w:highlight w:val="none"/>
          <w:u w:val="single"/>
        </w:rPr>
        <w:t xml:space="preserve">          </w:t>
      </w:r>
      <w:r>
        <w:rPr>
          <w:rFonts w:hint="eastAsia" w:ascii="宋体" w:hAnsi="宋体" w:cs="宋体"/>
          <w:bCs/>
          <w:i/>
          <w:iCs/>
          <w:color w:val="000000"/>
          <w:sz w:val="24"/>
          <w:szCs w:val="20"/>
          <w:highlight w:val="none"/>
          <w:u w:val="single"/>
        </w:rPr>
        <w:t xml:space="preserve"> </w:t>
      </w:r>
      <w:r>
        <w:rPr>
          <w:rFonts w:hint="eastAsia" w:ascii="宋体" w:hAnsi="宋体" w:cs="宋体"/>
          <w:bCs/>
          <w:color w:val="000000"/>
          <w:sz w:val="24"/>
          <w:szCs w:val="20"/>
          <w:highlight w:val="none"/>
          <w:u w:val="single"/>
        </w:rPr>
        <w:t xml:space="preserve"> </w:t>
      </w:r>
      <w:r>
        <w:rPr>
          <w:rFonts w:hint="eastAsia" w:ascii="宋体" w:hAnsi="宋体" w:cs="宋体"/>
          <w:bCs/>
          <w:color w:val="000000"/>
          <w:sz w:val="24"/>
          <w:szCs w:val="20"/>
          <w:highlight w:val="none"/>
        </w:rPr>
        <w:t>行业；承建（承接）企业为</w:t>
      </w:r>
      <w:r>
        <w:rPr>
          <w:rFonts w:hint="eastAsia" w:ascii="宋体" w:hAnsi="宋体" w:cs="宋体"/>
          <w:bCs/>
          <w:i/>
          <w:iCs/>
          <w:color w:val="000000"/>
          <w:sz w:val="24"/>
          <w:szCs w:val="20"/>
          <w:highlight w:val="none"/>
          <w:u w:val="single"/>
        </w:rPr>
        <w:t>（企业名称）</w:t>
      </w:r>
      <w:r>
        <w:rPr>
          <w:rFonts w:hint="eastAsia" w:ascii="宋体" w:hAnsi="宋体" w:cs="宋体"/>
          <w:bCs/>
          <w:color w:val="000000"/>
          <w:sz w:val="24"/>
          <w:szCs w:val="20"/>
          <w:highlight w:val="none"/>
        </w:rPr>
        <w:t>，从业人员</w:t>
      </w:r>
      <w:r>
        <w:rPr>
          <w:rFonts w:hint="eastAsia" w:ascii="宋体" w:hAnsi="宋体" w:cs="宋体"/>
          <w:bCs/>
          <w:color w:val="000000"/>
          <w:sz w:val="24"/>
          <w:szCs w:val="20"/>
          <w:highlight w:val="none"/>
          <w:u w:val="single"/>
        </w:rPr>
        <w:t xml:space="preserve">     </w:t>
      </w:r>
      <w:r>
        <w:rPr>
          <w:rFonts w:hint="eastAsia" w:ascii="宋体" w:hAnsi="宋体" w:cs="宋体"/>
          <w:bCs/>
          <w:color w:val="000000"/>
          <w:sz w:val="24"/>
          <w:szCs w:val="20"/>
          <w:highlight w:val="none"/>
        </w:rPr>
        <w:t>人，营业收入为</w:t>
      </w:r>
      <w:r>
        <w:rPr>
          <w:rFonts w:hint="eastAsia" w:ascii="宋体" w:hAnsi="宋体" w:cs="宋体"/>
          <w:bCs/>
          <w:color w:val="000000"/>
          <w:sz w:val="24"/>
          <w:szCs w:val="20"/>
          <w:highlight w:val="none"/>
          <w:u w:val="single"/>
        </w:rPr>
        <w:t xml:space="preserve">      </w:t>
      </w:r>
      <w:r>
        <w:rPr>
          <w:rFonts w:hint="eastAsia" w:ascii="宋体" w:hAnsi="宋体" w:cs="宋体"/>
          <w:bCs/>
          <w:color w:val="000000"/>
          <w:sz w:val="24"/>
          <w:szCs w:val="20"/>
          <w:highlight w:val="none"/>
        </w:rPr>
        <w:t xml:space="preserve">万元，资产总额 </w:t>
      </w:r>
      <w:r>
        <w:rPr>
          <w:rFonts w:hint="eastAsia" w:ascii="宋体" w:hAnsi="宋体" w:cs="宋体"/>
          <w:bCs/>
          <w:color w:val="000000"/>
          <w:sz w:val="24"/>
          <w:szCs w:val="20"/>
          <w:highlight w:val="none"/>
          <w:u w:val="single"/>
        </w:rPr>
        <w:t xml:space="preserve">      </w:t>
      </w:r>
      <w:r>
        <w:rPr>
          <w:rFonts w:hint="eastAsia" w:ascii="宋体" w:hAnsi="宋体" w:cs="宋体"/>
          <w:bCs/>
          <w:color w:val="000000"/>
          <w:sz w:val="24"/>
          <w:szCs w:val="20"/>
          <w:highlight w:val="none"/>
        </w:rPr>
        <w:t>万元，属于</w:t>
      </w:r>
      <w:r>
        <w:rPr>
          <w:rFonts w:hint="eastAsia" w:ascii="宋体" w:hAnsi="宋体" w:cs="宋体"/>
          <w:bCs/>
          <w:i/>
          <w:iCs/>
          <w:color w:val="000000"/>
          <w:sz w:val="24"/>
          <w:szCs w:val="20"/>
          <w:highlight w:val="none"/>
          <w:u w:val="single"/>
        </w:rPr>
        <w:t>（中型企业、小型企业、微型企业）</w:t>
      </w:r>
      <w:r>
        <w:rPr>
          <w:rFonts w:hint="eastAsia" w:ascii="宋体" w:hAnsi="宋体" w:cs="宋体"/>
          <w:bCs/>
          <w:color w:val="000000"/>
          <w:sz w:val="24"/>
          <w:szCs w:val="20"/>
          <w:highlight w:val="none"/>
        </w:rPr>
        <w:t xml:space="preserve">； </w:t>
      </w:r>
    </w:p>
    <w:p w14:paraId="5394F0CD">
      <w:pPr>
        <w:spacing w:line="580" w:lineRule="exact"/>
        <w:ind w:firstLine="480"/>
        <w:rPr>
          <w:rFonts w:ascii="宋体" w:hAnsi="宋体" w:cs="宋体"/>
          <w:bCs/>
          <w:color w:val="000000"/>
          <w:sz w:val="24"/>
          <w:szCs w:val="20"/>
          <w:highlight w:val="none"/>
        </w:rPr>
      </w:pPr>
      <w:r>
        <w:rPr>
          <w:rFonts w:hint="eastAsia" w:ascii="宋体" w:hAnsi="宋体" w:cs="宋体"/>
          <w:bCs/>
          <w:color w:val="000000"/>
          <w:sz w:val="24"/>
          <w:szCs w:val="20"/>
          <w:highlight w:val="none"/>
        </w:rPr>
        <w:t>……</w:t>
      </w:r>
    </w:p>
    <w:p w14:paraId="405E282F">
      <w:pPr>
        <w:spacing w:line="580" w:lineRule="exact"/>
        <w:ind w:firstLine="480"/>
        <w:rPr>
          <w:rFonts w:ascii="宋体" w:hAnsi="宋体" w:cs="宋体"/>
          <w:bCs/>
          <w:color w:val="000000"/>
          <w:sz w:val="24"/>
          <w:szCs w:val="20"/>
          <w:highlight w:val="none"/>
        </w:rPr>
      </w:pPr>
      <w:r>
        <w:rPr>
          <w:rFonts w:hint="eastAsia" w:ascii="宋体" w:hAnsi="宋体" w:cs="宋体"/>
          <w:bCs/>
          <w:color w:val="000000"/>
          <w:sz w:val="24"/>
          <w:szCs w:val="20"/>
          <w:highlight w:val="none"/>
        </w:rPr>
        <w:t>以上企业，不属于大企业的分支机构，不存在控股股东为大企业的情形，也不存在与大企业的负责人为同一人的情形。</w:t>
      </w:r>
    </w:p>
    <w:p w14:paraId="35DA91A8">
      <w:pPr>
        <w:spacing w:line="580" w:lineRule="exact"/>
        <w:ind w:firstLine="480"/>
        <w:rPr>
          <w:rFonts w:ascii="宋体" w:hAnsi="宋体" w:cs="宋体"/>
          <w:bCs/>
          <w:color w:val="000000"/>
          <w:sz w:val="24"/>
          <w:szCs w:val="20"/>
          <w:highlight w:val="none"/>
        </w:rPr>
      </w:pPr>
      <w:r>
        <w:rPr>
          <w:rFonts w:hint="eastAsia" w:ascii="宋体" w:hAnsi="宋体" w:cs="宋体"/>
          <w:bCs/>
          <w:color w:val="000000"/>
          <w:sz w:val="24"/>
          <w:szCs w:val="20"/>
          <w:highlight w:val="none"/>
        </w:rPr>
        <w:t xml:space="preserve">本企业对上述声明内容的真实性负责。如有虚假，将依法承担相应责任。 </w:t>
      </w:r>
    </w:p>
    <w:p w14:paraId="3F47E615">
      <w:pPr>
        <w:spacing w:line="580" w:lineRule="exact"/>
        <w:ind w:firstLine="480"/>
        <w:jc w:val="center"/>
        <w:rPr>
          <w:rFonts w:ascii="宋体" w:hAnsi="宋体" w:cs="宋体"/>
          <w:bCs/>
          <w:color w:val="000000"/>
          <w:sz w:val="24"/>
          <w:szCs w:val="20"/>
          <w:highlight w:val="none"/>
        </w:rPr>
      </w:pPr>
      <w:r>
        <w:rPr>
          <w:rFonts w:hint="eastAsia" w:ascii="宋体" w:hAnsi="宋体" w:cs="宋体"/>
          <w:bCs/>
          <w:color w:val="000000"/>
          <w:sz w:val="24"/>
          <w:szCs w:val="20"/>
          <w:highlight w:val="none"/>
        </w:rPr>
        <w:t xml:space="preserve">                          企业名称（盖章）： </w:t>
      </w:r>
    </w:p>
    <w:p w14:paraId="47B39D0A">
      <w:pPr>
        <w:spacing w:line="580" w:lineRule="exact"/>
        <w:ind w:firstLine="480"/>
        <w:jc w:val="center"/>
        <w:rPr>
          <w:rFonts w:ascii="宋体" w:hAnsi="宋体" w:cs="宋体"/>
          <w:bCs/>
          <w:color w:val="000000"/>
          <w:sz w:val="24"/>
          <w:szCs w:val="20"/>
          <w:highlight w:val="none"/>
        </w:rPr>
      </w:pPr>
      <w:r>
        <w:rPr>
          <w:rFonts w:hint="eastAsia" w:ascii="宋体" w:hAnsi="宋体" w:cs="宋体"/>
          <w:bCs/>
          <w:color w:val="000000"/>
          <w:sz w:val="24"/>
          <w:szCs w:val="20"/>
          <w:highlight w:val="none"/>
        </w:rPr>
        <w:t xml:space="preserve">               日 期：</w:t>
      </w:r>
    </w:p>
    <w:p w14:paraId="62FD1F49">
      <w:pPr>
        <w:rPr>
          <w:rFonts w:ascii="宋体" w:hAnsi="宋体" w:cs="宋体"/>
          <w:color w:val="000000"/>
          <w:szCs w:val="20"/>
          <w:highlight w:val="none"/>
        </w:rPr>
      </w:pPr>
    </w:p>
    <w:p w14:paraId="650AF5CE">
      <w:pPr>
        <w:rPr>
          <w:rFonts w:ascii="宋体" w:hAnsi="宋体" w:cs="宋体"/>
          <w:color w:val="000000"/>
          <w:szCs w:val="20"/>
          <w:highlight w:val="none"/>
        </w:rPr>
      </w:pPr>
    </w:p>
    <w:p w14:paraId="3EB0FA17">
      <w:pPr>
        <w:rPr>
          <w:rFonts w:ascii="宋体" w:hAnsi="宋体" w:cs="宋体"/>
          <w:color w:val="000000"/>
          <w:szCs w:val="20"/>
          <w:highlight w:val="none"/>
        </w:rPr>
      </w:pPr>
    </w:p>
    <w:p w14:paraId="3431CEC0">
      <w:pPr>
        <w:rPr>
          <w:rFonts w:ascii="宋体" w:hAnsi="宋体" w:cs="宋体"/>
          <w:b/>
          <w:bCs/>
          <w:color w:val="000000"/>
          <w:spacing w:val="-2"/>
          <w:szCs w:val="21"/>
          <w:highlight w:val="none"/>
        </w:rPr>
      </w:pPr>
    </w:p>
    <w:p w14:paraId="10D49D67">
      <w:pPr>
        <w:spacing w:line="360" w:lineRule="auto"/>
        <w:rPr>
          <w:rFonts w:ascii="宋体" w:hAnsi="宋体" w:cs="宋体"/>
          <w:b/>
          <w:bCs/>
          <w:color w:val="000000"/>
          <w:szCs w:val="21"/>
          <w:highlight w:val="none"/>
        </w:rPr>
      </w:pPr>
      <w:r>
        <w:rPr>
          <w:rFonts w:hint="eastAsia" w:ascii="宋体" w:hAnsi="宋体" w:cs="宋体"/>
          <w:b/>
          <w:bCs/>
          <w:color w:val="000000"/>
          <w:spacing w:val="-2"/>
          <w:szCs w:val="21"/>
          <w:highlight w:val="none"/>
        </w:rPr>
        <w:t>备注：</w:t>
      </w:r>
      <w:r>
        <w:rPr>
          <w:rFonts w:hint="eastAsia" w:ascii="宋体" w:hAnsi="宋体" w:cs="宋体"/>
          <w:b/>
          <w:bCs/>
          <w:color w:val="000000"/>
          <w:szCs w:val="21"/>
          <w:highlight w:val="none"/>
        </w:rPr>
        <w:t>1.从业人员、营业收入、资产总额填报上一年度数据，无上一年度数据的新成立企业可不填报。</w:t>
      </w:r>
    </w:p>
    <w:p w14:paraId="2F2B8964">
      <w:pPr>
        <w:spacing w:line="360" w:lineRule="auto"/>
        <w:ind w:firstLine="632"/>
        <w:rPr>
          <w:rFonts w:ascii="宋体" w:hAnsi="宋体" w:cs="宋体"/>
          <w:b/>
          <w:bCs/>
          <w:color w:val="000000"/>
          <w:sz w:val="32"/>
          <w:szCs w:val="32"/>
          <w:highlight w:val="none"/>
        </w:rPr>
      </w:pPr>
      <w:r>
        <w:rPr>
          <w:rFonts w:hint="eastAsia" w:ascii="宋体" w:hAnsi="宋体" w:cs="宋体"/>
          <w:b/>
          <w:bCs/>
          <w:color w:val="000000"/>
          <w:szCs w:val="21"/>
          <w:highlight w:val="none"/>
        </w:rPr>
        <w:t>2.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30EF069E">
      <w:pPr>
        <w:rPr>
          <w:rFonts w:ascii="宋体" w:hAnsi="宋体" w:cs="宋体"/>
          <w:color w:val="000000"/>
          <w:szCs w:val="20"/>
          <w:highlight w:val="none"/>
        </w:rPr>
      </w:pPr>
    </w:p>
    <w:p w14:paraId="223DB44F">
      <w:pPr>
        <w:spacing w:line="360" w:lineRule="auto"/>
        <w:jc w:val="center"/>
        <w:outlineLvl w:val="0"/>
        <w:rPr>
          <w:rFonts w:ascii="宋体" w:hAnsi="宋体" w:cs="宋体"/>
          <w:b/>
          <w:bCs/>
          <w:color w:val="000000"/>
          <w:sz w:val="30"/>
          <w:szCs w:val="30"/>
          <w:highlight w:val="none"/>
        </w:rPr>
      </w:pPr>
    </w:p>
    <w:p w14:paraId="76B00FAE">
      <w:pPr>
        <w:rPr>
          <w:rFonts w:ascii="宋体" w:hAnsi="宋体" w:cs="宋体"/>
          <w:b/>
          <w:color w:val="000000"/>
          <w:sz w:val="30"/>
          <w:szCs w:val="30"/>
          <w:highlight w:val="none"/>
        </w:rPr>
      </w:pPr>
      <w:r>
        <w:rPr>
          <w:rFonts w:hint="eastAsia" w:ascii="宋体" w:hAnsi="宋体" w:cs="宋体"/>
          <w:b/>
          <w:color w:val="000000"/>
          <w:sz w:val="30"/>
          <w:szCs w:val="30"/>
          <w:highlight w:val="none"/>
        </w:rPr>
        <w:br w:type="page" w:clear="all"/>
      </w:r>
    </w:p>
    <w:p w14:paraId="5664592B">
      <w:pPr>
        <w:spacing w:line="360" w:lineRule="auto"/>
        <w:jc w:val="center"/>
        <w:outlineLvl w:val="0"/>
        <w:rPr>
          <w:rFonts w:ascii="宋体" w:hAnsi="宋体" w:cs="宋体"/>
          <w:b/>
          <w:bCs/>
          <w:color w:val="000000"/>
          <w:sz w:val="30"/>
          <w:szCs w:val="30"/>
          <w:highlight w:val="none"/>
        </w:rPr>
      </w:pPr>
      <w:r>
        <w:rPr>
          <w:rFonts w:hint="eastAsia" w:ascii="宋体" w:hAnsi="宋体" w:cs="宋体"/>
          <w:b/>
          <w:color w:val="000000"/>
          <w:sz w:val="30"/>
          <w:szCs w:val="30"/>
          <w:highlight w:val="none"/>
        </w:rPr>
        <w:t>残疾人福利性单位声明函（格式）</w:t>
      </w:r>
    </w:p>
    <w:p w14:paraId="1C6CDA44">
      <w:pPr>
        <w:jc w:val="center"/>
        <w:rPr>
          <w:rFonts w:ascii="宋体" w:hAnsi="宋体" w:cs="宋体"/>
          <w:b/>
          <w:color w:val="000000"/>
          <w:sz w:val="32"/>
          <w:szCs w:val="32"/>
          <w:highlight w:val="none"/>
        </w:rPr>
      </w:pPr>
    </w:p>
    <w:p w14:paraId="48D9F0E1">
      <w:pPr>
        <w:spacing w:line="580" w:lineRule="exact"/>
        <w:ind w:firstLine="480"/>
        <w:rPr>
          <w:rFonts w:ascii="宋体" w:hAnsi="宋体" w:cs="宋体"/>
          <w:bCs/>
          <w:color w:val="000000"/>
          <w:sz w:val="24"/>
          <w:highlight w:val="none"/>
        </w:rPr>
      </w:pPr>
      <w:r>
        <w:rPr>
          <w:rFonts w:hint="eastAsia" w:ascii="宋体" w:hAnsi="宋体" w:cs="宋体"/>
          <w:bCs/>
          <w:color w:val="000000"/>
          <w:sz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746DE81">
      <w:pPr>
        <w:spacing w:line="580" w:lineRule="exact"/>
        <w:ind w:firstLine="480"/>
        <w:rPr>
          <w:rFonts w:ascii="宋体" w:hAnsi="宋体" w:cs="宋体"/>
          <w:bCs/>
          <w:color w:val="000000"/>
          <w:sz w:val="24"/>
          <w:highlight w:val="none"/>
        </w:rPr>
      </w:pPr>
      <w:r>
        <w:rPr>
          <w:rFonts w:hint="eastAsia" w:ascii="宋体" w:hAnsi="宋体" w:cs="宋体"/>
          <w:bCs/>
          <w:color w:val="000000"/>
          <w:sz w:val="24"/>
          <w:highlight w:val="none"/>
        </w:rPr>
        <w:t>本单位对上述声明的真实性负责。如有虚假，将依法承担相应责任。</w:t>
      </w:r>
    </w:p>
    <w:p w14:paraId="6A27D54B">
      <w:pPr>
        <w:spacing w:line="580" w:lineRule="exact"/>
        <w:ind w:firstLine="480"/>
        <w:rPr>
          <w:rFonts w:ascii="宋体" w:hAnsi="宋体" w:cs="宋体"/>
          <w:bCs/>
          <w:color w:val="000000"/>
          <w:sz w:val="24"/>
          <w:highlight w:val="none"/>
        </w:rPr>
      </w:pPr>
    </w:p>
    <w:p w14:paraId="5187E693">
      <w:pPr>
        <w:spacing w:line="580" w:lineRule="exact"/>
        <w:ind w:firstLine="480"/>
        <w:rPr>
          <w:rFonts w:ascii="宋体" w:hAnsi="宋体" w:cs="宋体"/>
          <w:bCs/>
          <w:color w:val="000000"/>
          <w:sz w:val="24"/>
          <w:highlight w:val="none"/>
        </w:rPr>
      </w:pPr>
    </w:p>
    <w:p w14:paraId="2601313F">
      <w:pPr>
        <w:spacing w:line="580" w:lineRule="exact"/>
        <w:ind w:firstLine="480"/>
        <w:jc w:val="right"/>
        <w:rPr>
          <w:rFonts w:ascii="宋体" w:hAnsi="宋体" w:cs="宋体"/>
          <w:bCs/>
          <w:color w:val="000000"/>
          <w:sz w:val="24"/>
          <w:highlight w:val="none"/>
        </w:rPr>
      </w:pPr>
      <w:r>
        <w:rPr>
          <w:rFonts w:hint="eastAsia" w:ascii="宋体" w:hAnsi="宋体" w:cs="宋体"/>
          <w:bCs/>
          <w:color w:val="000000"/>
          <w:sz w:val="24"/>
          <w:highlight w:val="none"/>
        </w:rPr>
        <w:t xml:space="preserve">单位名称（盖章）：         </w:t>
      </w:r>
    </w:p>
    <w:p w14:paraId="3CA6E054">
      <w:pPr>
        <w:spacing w:line="580" w:lineRule="exact"/>
        <w:ind w:firstLine="480"/>
        <w:jc w:val="right"/>
        <w:rPr>
          <w:rFonts w:ascii="宋体" w:hAnsi="宋体" w:cs="宋体"/>
          <w:bCs/>
          <w:color w:val="000000"/>
          <w:sz w:val="24"/>
          <w:highlight w:val="none"/>
        </w:rPr>
      </w:pPr>
      <w:r>
        <w:rPr>
          <w:rFonts w:hint="eastAsia" w:ascii="宋体" w:hAnsi="宋体" w:cs="宋体"/>
          <w:bCs/>
          <w:color w:val="000000"/>
          <w:sz w:val="24"/>
          <w:highlight w:val="none"/>
        </w:rPr>
        <w:t xml:space="preserve">  </w:t>
      </w:r>
    </w:p>
    <w:p w14:paraId="6475887D">
      <w:pPr>
        <w:spacing w:line="580" w:lineRule="exact"/>
        <w:ind w:firstLine="480"/>
        <w:jc w:val="right"/>
        <w:rPr>
          <w:rFonts w:ascii="宋体" w:hAnsi="宋体" w:cs="宋体"/>
          <w:bCs/>
          <w:color w:val="000000"/>
          <w:sz w:val="24"/>
          <w:highlight w:val="none"/>
        </w:rPr>
      </w:pPr>
      <w:r>
        <w:rPr>
          <w:rFonts w:hint="eastAsia" w:ascii="宋体" w:hAnsi="宋体" w:cs="宋体"/>
          <w:bCs/>
          <w:color w:val="000000"/>
          <w:sz w:val="24"/>
          <w:highlight w:val="none"/>
        </w:rPr>
        <w:t xml:space="preserve">日  期：         </w:t>
      </w:r>
    </w:p>
    <w:p w14:paraId="718D5FE4">
      <w:pPr>
        <w:widowControl/>
        <w:jc w:val="left"/>
        <w:rPr>
          <w:rFonts w:ascii="宋体" w:hAnsi="宋体" w:cs="宋体"/>
          <w:color w:val="000000"/>
          <w:sz w:val="20"/>
          <w:szCs w:val="20"/>
          <w:highlight w:val="none"/>
        </w:rPr>
      </w:pPr>
    </w:p>
    <w:p w14:paraId="5BCF4B81">
      <w:pPr>
        <w:rPr>
          <w:rFonts w:ascii="宋体" w:hAnsi="宋体"/>
          <w:highlight w:val="none"/>
        </w:rPr>
      </w:pPr>
    </w:p>
    <w:p w14:paraId="23B53D00">
      <w:pPr>
        <w:rPr>
          <w:rFonts w:ascii="宋体" w:hAnsi="宋体"/>
          <w:color w:val="000000"/>
          <w:highlight w:val="none"/>
        </w:rPr>
      </w:pPr>
    </w:p>
    <w:p w14:paraId="09B8C0B5">
      <w:pPr>
        <w:rPr>
          <w:rFonts w:ascii="宋体" w:hAnsi="宋体"/>
          <w:color w:val="000000"/>
          <w:highlight w:val="none"/>
        </w:rPr>
      </w:pPr>
    </w:p>
    <w:p w14:paraId="6D0166B6">
      <w:pPr>
        <w:rPr>
          <w:rFonts w:ascii="宋体" w:hAnsi="宋体"/>
          <w:color w:val="000000"/>
          <w:highlight w:val="none"/>
        </w:rPr>
      </w:pPr>
    </w:p>
    <w:p w14:paraId="38303612">
      <w:pPr>
        <w:rPr>
          <w:rFonts w:ascii="宋体" w:hAnsi="宋体"/>
          <w:color w:val="000000"/>
          <w:highlight w:val="none"/>
        </w:rPr>
      </w:pPr>
    </w:p>
    <w:p w14:paraId="4471D6CD">
      <w:pPr>
        <w:rPr>
          <w:rFonts w:ascii="宋体" w:hAnsi="宋体"/>
          <w:color w:val="000000"/>
          <w:highlight w:val="none"/>
        </w:rPr>
      </w:pPr>
    </w:p>
    <w:p w14:paraId="3A33C127">
      <w:pPr>
        <w:rPr>
          <w:rFonts w:ascii="宋体" w:hAnsi="宋体"/>
          <w:color w:val="000000"/>
          <w:highlight w:val="none"/>
        </w:rPr>
      </w:pPr>
    </w:p>
    <w:p w14:paraId="6B0FEB1D">
      <w:pPr>
        <w:rPr>
          <w:rFonts w:ascii="宋体" w:hAnsi="宋体"/>
          <w:color w:val="000000"/>
          <w:highlight w:val="none"/>
        </w:rPr>
      </w:pPr>
    </w:p>
    <w:p w14:paraId="5C99412B">
      <w:pPr>
        <w:rPr>
          <w:rFonts w:ascii="宋体" w:hAnsi="宋体"/>
          <w:color w:val="000000"/>
          <w:highlight w:val="none"/>
        </w:rPr>
      </w:pPr>
    </w:p>
    <w:p w14:paraId="136F1842">
      <w:pPr>
        <w:rPr>
          <w:rFonts w:ascii="宋体" w:hAnsi="宋体"/>
          <w:color w:val="000000"/>
          <w:highlight w:val="none"/>
        </w:rPr>
      </w:pPr>
    </w:p>
    <w:p w14:paraId="3D8345F1">
      <w:pPr>
        <w:rPr>
          <w:rFonts w:ascii="宋体" w:hAnsi="宋体"/>
          <w:color w:val="000000"/>
          <w:highlight w:val="none"/>
        </w:rPr>
      </w:pPr>
    </w:p>
    <w:p w14:paraId="3B4CC7C0">
      <w:pPr>
        <w:rPr>
          <w:rFonts w:ascii="宋体" w:hAnsi="宋体"/>
          <w:color w:val="000000"/>
          <w:highlight w:val="none"/>
        </w:rPr>
      </w:pPr>
    </w:p>
    <w:sectPr>
      <w:headerReference r:id="rId3" w:type="default"/>
      <w:footerReference r:id="rId4" w:type="default"/>
      <w:pgSz w:w="11906" w:h="16838"/>
      <w:pgMar w:top="567" w:right="851" w:bottom="567" w:left="1134"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华文细黑">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幼圆">
    <w:panose1 w:val="02010509060101010101"/>
    <w:charset w:val="86"/>
    <w:family w:val="modern"/>
    <w:pitch w:val="default"/>
    <w:sig w:usb0="00000001" w:usb1="080E0000" w:usb2="00000000" w:usb3="00000000" w:csb0="00040000"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ˎ̥">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Times New Roman PSMT">
    <w:altName w:val="Times New Roman"/>
    <w:panose1 w:val="00000000000000000000"/>
    <w:charset w:val="00"/>
    <w:family w:val="auto"/>
    <w:pitch w:val="default"/>
    <w:sig w:usb0="00000000" w:usb1="00000000" w:usb2="00000000" w:usb3="00000000" w:csb0="00000000" w:csb1="00000000"/>
  </w:font>
  <w:font w:name="隶书">
    <w:panose1 w:val="02010509060101010101"/>
    <w:charset w:val="86"/>
    <w:family w:val="modern"/>
    <w:pitch w:val="default"/>
    <w:sig w:usb0="00000001" w:usb1="080E0000" w:usb2="00000000" w:usb3="00000000" w:csb0="00040000" w:csb1="00000000"/>
  </w:font>
  <w:font w:name="文鼎CS中宋">
    <w:altName w:val="宋体"/>
    <w:panose1 w:val="00000000000000000000"/>
    <w:charset w:val="00"/>
    <w:family w:val="auto"/>
    <w:pitch w:val="default"/>
    <w:sig w:usb0="00000000" w:usb1="00000000" w:usb2="00000000" w:usb3="00000000" w:csb0="00000000" w:csb1="00000000"/>
  </w:font>
  <w:font w:name="方正大黑简体">
    <w:altName w:val="黑体"/>
    <w:panose1 w:val="00000000000000000000"/>
    <w:charset w:val="00"/>
    <w:family w:val="auto"/>
    <w:pitch w:val="default"/>
    <w:sig w:usb0="00000000" w:usb1="00000000" w:usb2="00000000" w:usb3="00000000" w:csb0="00000000" w:csb1="00000000"/>
  </w:font>
  <w:font w:name="MS Mincho">
    <w:altName w:val="MS Gothic"/>
    <w:panose1 w:val="02020609040205080304"/>
    <w:charset w:val="80"/>
    <w:family w:val="roman"/>
    <w:pitch w:val="default"/>
    <w:sig w:usb0="00000000" w:usb1="00000000" w:usb2="00000010" w:usb3="00000000" w:csb0="00020000" w:csb1="00000000"/>
  </w:font>
  <w:font w:name="MS Gothic">
    <w:panose1 w:val="020B0609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7FF02B">
    <w:pPr>
      <w:pStyle w:val="288"/>
      <w:framePr w:wrap="around" w:vAnchor="text" w:hAnchor="margin" w:xAlign="center" w:y="1"/>
      <w:rPr>
        <w:rStyle w:val="322"/>
      </w:rPr>
    </w:pPr>
    <w:r>
      <w:fldChar w:fldCharType="begin"/>
    </w:r>
    <w:r>
      <w:rPr>
        <w:rStyle w:val="322"/>
      </w:rPr>
      <w:instrText xml:space="preserve">PAGE  </w:instrText>
    </w:r>
    <w:r>
      <w:fldChar w:fldCharType="separate"/>
    </w:r>
    <w:r>
      <w:rPr>
        <w:rStyle w:val="322"/>
      </w:rPr>
      <w:t>15</w:t>
    </w:r>
    <w:r>
      <w:fldChar w:fldCharType="end"/>
    </w:r>
  </w:p>
  <w:p w14:paraId="06031358">
    <w:pPr>
      <w:pStyle w:val="28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D9558">
    <w:pPr>
      <w:pStyle w:val="290"/>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pStyle w:val="475"/>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tentative="0">
      <w:start w:val="1"/>
      <w:numFmt w:val="lowerLetter"/>
      <w:lvlText w:val="%2)"/>
      <w:lvlJc w:val="left"/>
      <w:pPr>
        <w:ind w:left="1691" w:hanging="420"/>
      </w:pPr>
    </w:lvl>
    <w:lvl w:ilvl="2" w:tentative="0">
      <w:start w:val="1"/>
      <w:numFmt w:val="lowerRoman"/>
      <w:lvlText w:val="%3."/>
      <w:lvlJc w:val="right"/>
      <w:pPr>
        <w:ind w:left="2111" w:hanging="420"/>
      </w:pPr>
    </w:lvl>
    <w:lvl w:ilvl="3" w:tentative="0">
      <w:start w:val="1"/>
      <w:numFmt w:val="decimal"/>
      <w:lvlText w:val="%4."/>
      <w:lvlJc w:val="left"/>
      <w:pPr>
        <w:ind w:left="2531" w:hanging="420"/>
      </w:pPr>
    </w:lvl>
    <w:lvl w:ilvl="4" w:tentative="0">
      <w:start w:val="1"/>
      <w:numFmt w:val="lowerLetter"/>
      <w:lvlText w:val="%5)"/>
      <w:lvlJc w:val="left"/>
      <w:pPr>
        <w:ind w:left="2951" w:hanging="420"/>
      </w:pPr>
    </w:lvl>
    <w:lvl w:ilvl="5" w:tentative="0">
      <w:start w:val="1"/>
      <w:numFmt w:val="lowerRoman"/>
      <w:lvlText w:val="%6."/>
      <w:lvlJc w:val="right"/>
      <w:pPr>
        <w:ind w:left="3371" w:hanging="420"/>
      </w:pPr>
    </w:lvl>
    <w:lvl w:ilvl="6" w:tentative="0">
      <w:start w:val="1"/>
      <w:numFmt w:val="decimal"/>
      <w:lvlText w:val="%7."/>
      <w:lvlJc w:val="left"/>
      <w:pPr>
        <w:ind w:left="3791" w:hanging="420"/>
      </w:pPr>
    </w:lvl>
    <w:lvl w:ilvl="7" w:tentative="0">
      <w:start w:val="1"/>
      <w:numFmt w:val="lowerLetter"/>
      <w:lvlText w:val="%8)"/>
      <w:lvlJc w:val="left"/>
      <w:pPr>
        <w:ind w:left="4211" w:hanging="420"/>
      </w:pPr>
    </w:lvl>
    <w:lvl w:ilvl="8" w:tentative="0">
      <w:start w:val="1"/>
      <w:numFmt w:val="lowerRoman"/>
      <w:lvlText w:val="%9."/>
      <w:lvlJc w:val="right"/>
      <w:pPr>
        <w:ind w:left="4631" w:hanging="420"/>
      </w:pPr>
    </w:lvl>
  </w:abstractNum>
  <w:abstractNum w:abstractNumId="1">
    <w:nsid w:val="B5E306ED"/>
    <w:multiLevelType w:val="multilevel"/>
    <w:tmpl w:val="B5E306ED"/>
    <w:lvl w:ilvl="0" w:tentative="0">
      <w:start w:val="1"/>
      <w:numFmt w:val="bullet"/>
      <w:pStyle w:val="438"/>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2">
    <w:nsid w:val="BF205925"/>
    <w:multiLevelType w:val="multilevel"/>
    <w:tmpl w:val="BF205925"/>
    <w:lvl w:ilvl="0" w:tentative="0">
      <w:start w:val="1"/>
      <w:numFmt w:val="decimal"/>
      <w:pStyle w:val="429"/>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1"/>
      <w:numFmt w:val="decimal"/>
      <w:lvlText w:val="%1."/>
      <w:lvlJc w:val="left"/>
      <w:pPr>
        <w:tabs>
          <w:tab w:val="left" w:pos="425"/>
        </w:tabs>
        <w:ind w:left="425" w:hanging="425"/>
      </w:pPr>
      <w:rPr>
        <w:rFonts w:ascii="宋体" w:hAnsi="宋体" w:eastAsia="宋体" w:cs="宋体"/>
        <w:sz w:val="24"/>
        <w:szCs w:val="24"/>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CF092B84"/>
    <w:multiLevelType w:val="multilevel"/>
    <w:tmpl w:val="CF092B84"/>
    <w:lvl w:ilvl="0" w:tentative="0">
      <w:start w:val="1"/>
      <w:numFmt w:val="bullet"/>
      <w:pStyle w:val="274"/>
      <w:lvlText w:val=""/>
      <w:lvlJc w:val="left"/>
      <w:pPr>
        <w:tabs>
          <w:tab w:val="left" w:pos="1200"/>
        </w:tabs>
        <w:ind w:left="120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D7F9FE59"/>
    <w:multiLevelType w:val="multilevel"/>
    <w:tmpl w:val="D7F9FE59"/>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DCBA6B53"/>
    <w:multiLevelType w:val="multilevel"/>
    <w:tmpl w:val="DCBA6B53"/>
    <w:lvl w:ilvl="0" w:tentative="0">
      <w:start w:val="1"/>
      <w:numFmt w:val="decimal"/>
      <w:suff w:val="nothing"/>
      <w:lvlText w:val="（%1）"/>
      <w:lvlJc w:val="left"/>
      <w:pPr>
        <w:ind w:left="1710" w:hanging="720"/>
      </w:pPr>
      <w:rPr>
        <w:rFonts w:hint="eastAsia"/>
      </w:rPr>
    </w:lvl>
    <w:lvl w:ilvl="1" w:tentative="0">
      <w:start w:val="7"/>
      <w:numFmt w:val="japaneseCounting"/>
      <w:lvlText w:val="%2、"/>
      <w:lvlJc w:val="left"/>
      <w:pPr>
        <w:tabs>
          <w:tab w:val="left" w:pos="1890"/>
        </w:tabs>
        <w:ind w:left="1890" w:hanging="480"/>
      </w:pPr>
      <w:rPr>
        <w:rFonts w:hint="eastAsia"/>
      </w:rPr>
    </w:lvl>
    <w:lvl w:ilvl="2" w:tentative="0">
      <w:start w:val="1"/>
      <w:numFmt w:val="lowerRoman"/>
      <w:lvlText w:val="%3."/>
      <w:lvlJc w:val="right"/>
      <w:pPr>
        <w:tabs>
          <w:tab w:val="left" w:pos="2250"/>
        </w:tabs>
        <w:ind w:left="2250" w:hanging="420"/>
      </w:pPr>
      <w:rPr>
        <w:rFonts w:hint="eastAsia"/>
      </w:rPr>
    </w:lvl>
    <w:lvl w:ilvl="3" w:tentative="0">
      <w:start w:val="1"/>
      <w:numFmt w:val="decimal"/>
      <w:lvlText w:val="%4."/>
      <w:lvlJc w:val="left"/>
      <w:pPr>
        <w:tabs>
          <w:tab w:val="left" w:pos="2670"/>
        </w:tabs>
        <w:ind w:left="2670" w:hanging="420"/>
      </w:pPr>
      <w:rPr>
        <w:rFonts w:hint="eastAsia"/>
      </w:rPr>
    </w:lvl>
    <w:lvl w:ilvl="4" w:tentative="0">
      <w:start w:val="1"/>
      <w:numFmt w:val="lowerLetter"/>
      <w:lvlText w:val="%5)"/>
      <w:lvlJc w:val="left"/>
      <w:pPr>
        <w:tabs>
          <w:tab w:val="left" w:pos="3090"/>
        </w:tabs>
        <w:ind w:left="3090" w:hanging="420"/>
      </w:pPr>
      <w:rPr>
        <w:rFonts w:hint="eastAsia"/>
      </w:rPr>
    </w:lvl>
    <w:lvl w:ilvl="5" w:tentative="0">
      <w:start w:val="1"/>
      <w:numFmt w:val="lowerRoman"/>
      <w:lvlText w:val="%6."/>
      <w:lvlJc w:val="right"/>
      <w:pPr>
        <w:tabs>
          <w:tab w:val="left" w:pos="3510"/>
        </w:tabs>
        <w:ind w:left="3510" w:hanging="420"/>
      </w:pPr>
      <w:rPr>
        <w:rFonts w:hint="eastAsia"/>
      </w:rPr>
    </w:lvl>
    <w:lvl w:ilvl="6" w:tentative="0">
      <w:start w:val="1"/>
      <w:numFmt w:val="decimal"/>
      <w:lvlText w:val="%7."/>
      <w:lvlJc w:val="left"/>
      <w:pPr>
        <w:tabs>
          <w:tab w:val="left" w:pos="3930"/>
        </w:tabs>
        <w:ind w:left="3930" w:hanging="420"/>
      </w:pPr>
      <w:rPr>
        <w:rFonts w:hint="eastAsia"/>
      </w:rPr>
    </w:lvl>
    <w:lvl w:ilvl="7" w:tentative="0">
      <w:start w:val="1"/>
      <w:numFmt w:val="lowerLetter"/>
      <w:lvlText w:val="%8)"/>
      <w:lvlJc w:val="left"/>
      <w:pPr>
        <w:tabs>
          <w:tab w:val="left" w:pos="4350"/>
        </w:tabs>
        <w:ind w:left="4350" w:hanging="420"/>
      </w:pPr>
      <w:rPr>
        <w:rFonts w:hint="eastAsia"/>
      </w:rPr>
    </w:lvl>
    <w:lvl w:ilvl="8" w:tentative="0">
      <w:start w:val="1"/>
      <w:numFmt w:val="lowerRoman"/>
      <w:lvlText w:val="%9."/>
      <w:lvlJc w:val="right"/>
      <w:pPr>
        <w:tabs>
          <w:tab w:val="left" w:pos="4770"/>
        </w:tabs>
        <w:ind w:left="4770" w:hanging="420"/>
      </w:pPr>
      <w:rPr>
        <w:rFonts w:hint="eastAsia"/>
      </w:rPr>
    </w:lvl>
  </w:abstractNum>
  <w:abstractNum w:abstractNumId="7">
    <w:nsid w:val="F4B5D9F5"/>
    <w:multiLevelType w:val="multilevel"/>
    <w:tmpl w:val="F4B5D9F5"/>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053208E"/>
    <w:multiLevelType w:val="multilevel"/>
    <w:tmpl w:val="0053208E"/>
    <w:lvl w:ilvl="0" w:tentative="0">
      <w:start w:val="1"/>
      <w:numFmt w:val="chineseCountingThousand"/>
      <w:pStyle w:val="231"/>
      <w:lvlText w:val="第%1部分"/>
      <w:lvlJc w:val="left"/>
      <w:pPr>
        <w:tabs>
          <w:tab w:val="left" w:pos="1800"/>
        </w:tabs>
        <w:ind w:left="425" w:hanging="425"/>
      </w:pPr>
      <w:rPr>
        <w:rFonts w:hint="eastAsia"/>
      </w:rPr>
    </w:lvl>
    <w:lvl w:ilvl="1" w:tentative="0">
      <w:start w:val="1"/>
      <w:numFmt w:val="decimal"/>
      <w:pStyle w:val="232"/>
      <w:lvlText w:val="%1.%2"/>
      <w:lvlJc w:val="left"/>
      <w:pPr>
        <w:tabs>
          <w:tab w:val="left" w:pos="567"/>
        </w:tabs>
        <w:ind w:left="567" w:hanging="567"/>
      </w:pPr>
      <w:rPr>
        <w:rFonts w:hint="eastAsia"/>
      </w:rPr>
    </w:lvl>
    <w:lvl w:ilvl="2" w:tentative="0">
      <w:start w:val="1"/>
      <w:numFmt w:val="decimal"/>
      <w:pStyle w:val="473"/>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35"/>
      <w:lvlText w:val="%1.%2.%3.%4.%5"/>
      <w:lvlJc w:val="left"/>
      <w:pPr>
        <w:tabs>
          <w:tab w:val="left" w:pos="1080"/>
        </w:tabs>
        <w:ind w:left="992" w:hanging="992"/>
      </w:pPr>
      <w:rPr>
        <w:rFonts w:hint="eastAsia"/>
      </w:rPr>
    </w:lvl>
    <w:lvl w:ilvl="5" w:tentative="0">
      <w:start w:val="1"/>
      <w:numFmt w:val="decimal"/>
      <w:pStyle w:val="236"/>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0248C179"/>
    <w:multiLevelType w:val="multilevel"/>
    <w:tmpl w:val="0248C179"/>
    <w:lvl w:ilvl="0" w:tentative="0">
      <w:start w:val="1"/>
      <w:numFmt w:val="decimal"/>
      <w:lvlText w:val="（%1）"/>
      <w:lvlJc w:val="left"/>
      <w:pPr>
        <w:tabs>
          <w:tab w:val="left" w:pos="840"/>
        </w:tabs>
        <w:ind w:left="840" w:hanging="420"/>
      </w:pPr>
      <w:rPr>
        <w:rFonts w:hint="eastAsia"/>
        <w:lang w:val="en-US"/>
      </w:rPr>
    </w:lvl>
    <w:lvl w:ilvl="1" w:tentative="0">
      <w:start w:val="1"/>
      <w:numFmt w:val="lowerLetter"/>
      <w:pStyle w:val="460"/>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0">
    <w:nsid w:val="02BE6B52"/>
    <w:multiLevelType w:val="multilevel"/>
    <w:tmpl w:val="02BE6B52"/>
    <w:lvl w:ilvl="0" w:tentative="0">
      <w:start w:val="1"/>
      <w:numFmt w:val="decimal"/>
      <w:lvlText w:val="%1."/>
      <w:lvlJc w:val="left"/>
      <w:pPr>
        <w:tabs>
          <w:tab w:val="left" w:pos="210"/>
        </w:tabs>
        <w:ind w:left="210" w:hanging="210"/>
      </w:pPr>
      <w:rPr>
        <w:rFonts w:ascii="Times New Roman"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03D62ECE"/>
    <w:multiLevelType w:val="multilevel"/>
    <w:tmpl w:val="03D62ECE"/>
    <w:lvl w:ilvl="0" w:tentative="0">
      <w:start w:val="1"/>
      <w:numFmt w:val="decimal"/>
      <w:suff w:val="nothing"/>
      <w:lvlText w:val="%1"/>
      <w:lvlJc w:val="left"/>
      <w:pPr>
        <w:ind w:left="0" w:firstLine="0"/>
      </w:pPr>
      <w:rPr>
        <w:rFonts w:ascii="Times New Roman" w:hAnsi="Times New Roman"/>
        <w:b/>
        <w:i w:val="0"/>
        <w:sz w:val="21"/>
      </w:rPr>
    </w:lvl>
    <w:lvl w:ilvl="1" w:tentative="0">
      <w:start w:val="1"/>
      <w:numFmt w:val="decimal"/>
      <w:pStyle w:val="446"/>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2">
    <w:nsid w:val="2470EC97"/>
    <w:multiLevelType w:val="multilevel"/>
    <w:tmpl w:val="2470EC97"/>
    <w:lvl w:ilvl="0" w:tentative="0">
      <w:start w:val="1"/>
      <w:numFmt w:val="decimal"/>
      <w:suff w:val="nothing"/>
      <w:lvlText w:val="%1．"/>
      <w:lvlJc w:val="left"/>
      <w:pPr>
        <w:ind w:left="570"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25B654F3"/>
    <w:multiLevelType w:val="multilevel"/>
    <w:tmpl w:val="25B654F3"/>
    <w:lvl w:ilvl="0" w:tentative="0">
      <w:start w:val="1"/>
      <w:numFmt w:val="bullet"/>
      <w:pStyle w:val="452"/>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2A8F537B"/>
    <w:multiLevelType w:val="multilevel"/>
    <w:tmpl w:val="2A8F537B"/>
    <w:lvl w:ilvl="0" w:tentative="0">
      <w:start w:val="1"/>
      <w:numFmt w:val="decimal"/>
      <w:pStyle w:val="525"/>
      <w:lvlText w:val="%1)"/>
      <w:lvlJc w:val="left"/>
      <w:pPr>
        <w:ind w:left="620" w:hanging="420"/>
      </w:pPr>
      <w:rPr>
        <w:rFonts w:hint="eastAsia" w:ascii="宋体" w:eastAsia="宋体"/>
        <w:b w:val="0"/>
        <w:i w:val="0"/>
        <w:sz w:val="24"/>
      </w:rPr>
    </w:lvl>
    <w:lvl w:ilvl="1" w:tentative="0">
      <w:start w:val="1"/>
      <w:numFmt w:val="lowerLetter"/>
      <w:lvlText w:val="%2)"/>
      <w:lvlJc w:val="left"/>
      <w:pPr>
        <w:ind w:left="1740" w:hanging="420"/>
      </w:pPr>
    </w:lvl>
    <w:lvl w:ilvl="2" w:tentative="0">
      <w:start w:val="1"/>
      <w:numFmt w:val="lowerRoman"/>
      <w:lvlText w:val="%3."/>
      <w:lvlJc w:val="right"/>
      <w:pPr>
        <w:ind w:left="2160" w:hanging="420"/>
      </w:pPr>
    </w:lvl>
    <w:lvl w:ilvl="3" w:tentative="0">
      <w:start w:val="1"/>
      <w:numFmt w:val="decimal"/>
      <w:lvlText w:val="%4."/>
      <w:lvlJc w:val="left"/>
      <w:pPr>
        <w:ind w:left="2580" w:hanging="420"/>
      </w:pPr>
    </w:lvl>
    <w:lvl w:ilvl="4" w:tentative="0">
      <w:start w:val="1"/>
      <w:numFmt w:val="lowerLetter"/>
      <w:lvlText w:val="%5)"/>
      <w:lvlJc w:val="left"/>
      <w:pPr>
        <w:ind w:left="3000" w:hanging="420"/>
      </w:pPr>
    </w:lvl>
    <w:lvl w:ilvl="5" w:tentative="0">
      <w:start w:val="1"/>
      <w:numFmt w:val="lowerRoman"/>
      <w:lvlText w:val="%6."/>
      <w:lvlJc w:val="right"/>
      <w:pPr>
        <w:ind w:left="3420" w:hanging="420"/>
      </w:pPr>
    </w:lvl>
    <w:lvl w:ilvl="6" w:tentative="0">
      <w:start w:val="1"/>
      <w:numFmt w:val="decimal"/>
      <w:lvlText w:val="%7."/>
      <w:lvlJc w:val="left"/>
      <w:pPr>
        <w:ind w:left="3840" w:hanging="420"/>
      </w:pPr>
    </w:lvl>
    <w:lvl w:ilvl="7" w:tentative="0">
      <w:start w:val="1"/>
      <w:numFmt w:val="lowerLetter"/>
      <w:lvlText w:val="%8)"/>
      <w:lvlJc w:val="left"/>
      <w:pPr>
        <w:ind w:left="4260" w:hanging="420"/>
      </w:pPr>
    </w:lvl>
    <w:lvl w:ilvl="8" w:tentative="0">
      <w:start w:val="1"/>
      <w:numFmt w:val="lowerRoman"/>
      <w:lvlText w:val="%9."/>
      <w:lvlJc w:val="right"/>
      <w:pPr>
        <w:ind w:left="4680" w:hanging="420"/>
      </w:pPr>
    </w:lvl>
  </w:abstractNum>
  <w:abstractNum w:abstractNumId="15">
    <w:nsid w:val="4D4DC07F"/>
    <w:multiLevelType w:val="multilevel"/>
    <w:tmpl w:val="4D4DC07F"/>
    <w:lvl w:ilvl="0" w:tentative="0">
      <w:start w:val="1"/>
      <w:numFmt w:val="decimal"/>
      <w:lvlText w:val="%1."/>
      <w:lvlJc w:val="left"/>
      <w:pPr>
        <w:tabs>
          <w:tab w:val="left" w:pos="425"/>
        </w:tabs>
        <w:ind w:left="425" w:hanging="425"/>
      </w:pPr>
      <w:rPr>
        <w:rFonts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59ADCABA"/>
    <w:multiLevelType w:val="multilevel"/>
    <w:tmpl w:val="59ADCABA"/>
    <w:lvl w:ilvl="0" w:tentative="0">
      <w:start w:val="1"/>
      <w:numFmt w:val="bullet"/>
      <w:pStyle w:val="279"/>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5A241D34"/>
    <w:multiLevelType w:val="multilevel"/>
    <w:tmpl w:val="5A241D34"/>
    <w:lvl w:ilvl="0" w:tentative="0">
      <w:start w:val="1"/>
      <w:numFmt w:val="decimal"/>
      <w:lvlText w:val="%1."/>
      <w:lvlJc w:val="left"/>
      <w:pPr>
        <w:tabs>
          <w:tab w:val="left" w:pos="630"/>
        </w:tabs>
        <w:ind w:left="630" w:hanging="420"/>
      </w:pPr>
      <w:rPr>
        <w:color w:val="000000"/>
      </w:rPr>
    </w:lvl>
    <w:lvl w:ilvl="1" w:tentative="0">
      <w:start w:val="1"/>
      <w:numFmt w:val="decimalEnclosedCircle"/>
      <w:lvlText w:val="%2"/>
      <w:lvlJc w:val="left"/>
      <w:pPr>
        <w:tabs>
          <w:tab w:val="left" w:pos="1050"/>
        </w:tabs>
        <w:ind w:left="1050" w:hanging="420"/>
      </w:pPr>
      <w:rPr>
        <w:rFonts w:ascii="Times New Roman" w:hAnsi="Times New Roman" w:eastAsia="Times New Roman" w:cs="Times New Roman"/>
        <w:color w:val="000000"/>
      </w:rPr>
    </w:lvl>
    <w:lvl w:ilvl="2" w:tentative="0">
      <w:start w:val="1"/>
      <w:numFmt w:val="lowerRoman"/>
      <w:lvlText w:val="%3."/>
      <w:lvlJc w:val="right"/>
      <w:pPr>
        <w:tabs>
          <w:tab w:val="left" w:pos="1470"/>
        </w:tabs>
        <w:ind w:left="1470" w:hanging="420"/>
      </w:pPr>
    </w:lvl>
    <w:lvl w:ilvl="3" w:tentative="0">
      <w:start w:val="1"/>
      <w:numFmt w:val="decimal"/>
      <w:lvlText w:val="%4."/>
      <w:lvlJc w:val="left"/>
      <w:pPr>
        <w:tabs>
          <w:tab w:val="left" w:pos="1890"/>
        </w:tabs>
        <w:ind w:left="1890" w:hanging="420"/>
      </w:pPr>
    </w:lvl>
    <w:lvl w:ilvl="4" w:tentative="0">
      <w:start w:val="1"/>
      <w:numFmt w:val="lowerLetter"/>
      <w:lvlText w:val="%5)"/>
      <w:lvlJc w:val="left"/>
      <w:pPr>
        <w:tabs>
          <w:tab w:val="left" w:pos="2310"/>
        </w:tabs>
        <w:ind w:left="2310" w:hanging="420"/>
      </w:pPr>
    </w:lvl>
    <w:lvl w:ilvl="5" w:tentative="0">
      <w:start w:val="1"/>
      <w:numFmt w:val="lowerRoman"/>
      <w:lvlText w:val="%6."/>
      <w:lvlJc w:val="right"/>
      <w:pPr>
        <w:tabs>
          <w:tab w:val="left" w:pos="2730"/>
        </w:tabs>
        <w:ind w:left="2730" w:hanging="420"/>
      </w:pPr>
    </w:lvl>
    <w:lvl w:ilvl="6" w:tentative="0">
      <w:start w:val="1"/>
      <w:numFmt w:val="decimal"/>
      <w:lvlText w:val="%7."/>
      <w:lvlJc w:val="left"/>
      <w:pPr>
        <w:tabs>
          <w:tab w:val="left" w:pos="3150"/>
        </w:tabs>
        <w:ind w:left="3150" w:hanging="420"/>
      </w:pPr>
    </w:lvl>
    <w:lvl w:ilvl="7" w:tentative="0">
      <w:start w:val="1"/>
      <w:numFmt w:val="lowerLetter"/>
      <w:lvlText w:val="%8)"/>
      <w:lvlJc w:val="left"/>
      <w:pPr>
        <w:tabs>
          <w:tab w:val="left" w:pos="3570"/>
        </w:tabs>
        <w:ind w:left="3570" w:hanging="420"/>
      </w:pPr>
    </w:lvl>
    <w:lvl w:ilvl="8" w:tentative="0">
      <w:start w:val="1"/>
      <w:numFmt w:val="lowerRoman"/>
      <w:lvlText w:val="%9."/>
      <w:lvlJc w:val="right"/>
      <w:pPr>
        <w:tabs>
          <w:tab w:val="left" w:pos="3990"/>
        </w:tabs>
        <w:ind w:left="3990" w:hanging="420"/>
      </w:pPr>
    </w:lvl>
  </w:abstractNum>
  <w:abstractNum w:abstractNumId="18">
    <w:nsid w:val="72183CF9"/>
    <w:multiLevelType w:val="multilevel"/>
    <w:tmpl w:val="72183CF9"/>
    <w:lvl w:ilvl="0" w:tentative="0">
      <w:start w:val="1"/>
      <w:numFmt w:val="decimal"/>
      <w:pStyle w:val="457"/>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num w:numId="1">
    <w:abstractNumId w:val="8"/>
  </w:num>
  <w:num w:numId="2">
    <w:abstractNumId w:val="4"/>
  </w:num>
  <w:num w:numId="3">
    <w:abstractNumId w:val="16"/>
  </w:num>
  <w:num w:numId="4">
    <w:abstractNumId w:val="2"/>
  </w:num>
  <w:num w:numId="5">
    <w:abstractNumId w:val="1"/>
  </w:num>
  <w:num w:numId="6">
    <w:abstractNumId w:val="11"/>
  </w:num>
  <w:num w:numId="7">
    <w:abstractNumId w:val="13"/>
  </w:num>
  <w:num w:numId="8">
    <w:abstractNumId w:val="18"/>
  </w:num>
  <w:num w:numId="9">
    <w:abstractNumId w:val="9"/>
  </w:num>
  <w:num w:numId="10">
    <w:abstractNumId w:val="0"/>
  </w:num>
  <w:num w:numId="11">
    <w:abstractNumId w:val="14"/>
  </w:num>
  <w:num w:numId="12">
    <w:abstractNumId w:val="17"/>
  </w:num>
  <w:num w:numId="13">
    <w:abstractNumId w:val="3"/>
  </w:num>
  <w:num w:numId="14">
    <w:abstractNumId w:val="15"/>
  </w:num>
  <w:num w:numId="15">
    <w:abstractNumId w:val="7"/>
  </w:num>
  <w:num w:numId="16">
    <w:abstractNumId w:val="12"/>
  </w:num>
  <w:num w:numId="17">
    <w:abstractNumId w:val="6"/>
  </w:num>
  <w:num w:numId="18">
    <w:abstractNumId w:val="5"/>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characterSpacingControl w:val="doNotCompress"/>
  <w:compat>
    <w:balanceSingleByteDoubleByteWidth/>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38F"/>
    <w:rsid w:val="0012759B"/>
    <w:rsid w:val="0043358F"/>
    <w:rsid w:val="00602EDB"/>
    <w:rsid w:val="00BC267C"/>
    <w:rsid w:val="00CF238F"/>
    <w:rsid w:val="00F8395D"/>
    <w:rsid w:val="054A37FC"/>
    <w:rsid w:val="0BBD3FFC"/>
    <w:rsid w:val="0D2A7026"/>
    <w:rsid w:val="129971EF"/>
    <w:rsid w:val="12ED34C2"/>
    <w:rsid w:val="13C41869"/>
    <w:rsid w:val="14481E82"/>
    <w:rsid w:val="17984723"/>
    <w:rsid w:val="19DF48AC"/>
    <w:rsid w:val="1B734F9D"/>
    <w:rsid w:val="2B6A30E6"/>
    <w:rsid w:val="2DBB2F7C"/>
    <w:rsid w:val="30016D7D"/>
    <w:rsid w:val="308E7E96"/>
    <w:rsid w:val="38F0179A"/>
    <w:rsid w:val="391B1246"/>
    <w:rsid w:val="44602C46"/>
    <w:rsid w:val="44FB1C6D"/>
    <w:rsid w:val="49736CE7"/>
    <w:rsid w:val="507002F2"/>
    <w:rsid w:val="50C9382E"/>
    <w:rsid w:val="533E124A"/>
    <w:rsid w:val="555068E0"/>
    <w:rsid w:val="577B7421"/>
    <w:rsid w:val="5C0732B4"/>
    <w:rsid w:val="5C226C25"/>
    <w:rsid w:val="64AC4B59"/>
    <w:rsid w:val="64F45014"/>
    <w:rsid w:val="678559BF"/>
    <w:rsid w:val="67AC459C"/>
    <w:rsid w:val="71043030"/>
    <w:rsid w:val="714D2F69"/>
    <w:rsid w:val="731162A1"/>
    <w:rsid w:val="74887A25"/>
    <w:rsid w:val="748F7F09"/>
    <w:rsid w:val="797F1735"/>
    <w:rsid w:val="79BD3086"/>
    <w:rsid w:val="7A0B1A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84"/>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85"/>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86"/>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87"/>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88"/>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89"/>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90"/>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9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92"/>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customStyle="1" w:styleId="2">
    <w:name w:val="索引 41"/>
    <w:basedOn w:val="1"/>
    <w:next w:val="1"/>
    <w:qFormat/>
    <w:uiPriority w:val="0"/>
    <w:pPr>
      <w:ind w:left="600"/>
    </w:pPr>
    <w:rPr>
      <w:szCs w:val="20"/>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qFormat/>
    <w:uiPriority w:val="0"/>
    <w:pPr>
      <w:shd w:val="clear" w:color="auto" w:fill="000080"/>
    </w:pPr>
  </w:style>
  <w:style w:type="paragraph" w:styleId="15">
    <w:name w:val="annotation text"/>
    <w:basedOn w:val="1"/>
    <w:link w:val="537"/>
    <w:unhideWhenUsed/>
    <w:qFormat/>
    <w:uiPriority w:val="99"/>
    <w:pPr>
      <w:jc w:val="left"/>
    </w:pPr>
  </w:style>
  <w:style w:type="paragraph" w:styleId="16">
    <w:name w:val="Body Text"/>
    <w:basedOn w:val="1"/>
    <w:next w:val="17"/>
    <w:qFormat/>
    <w:uiPriority w:val="0"/>
    <w:rPr>
      <w:rFonts w:ascii="华文中宋" w:eastAsia="华文中宋"/>
      <w:bCs/>
      <w:sz w:val="28"/>
    </w:rPr>
  </w:style>
  <w:style w:type="paragraph" w:customStyle="1" w:styleId="17">
    <w:name w:val="样式 表格正文 + 两端对齐"/>
    <w:basedOn w:val="1"/>
    <w:next w:val="18"/>
    <w:qFormat/>
    <w:uiPriority w:val="99"/>
    <w:pPr>
      <w:spacing w:line="300" w:lineRule="auto"/>
    </w:pPr>
  </w:style>
  <w:style w:type="paragraph" w:customStyle="1" w:styleId="18">
    <w:name w:val="正文1"/>
    <w:basedOn w:val="14"/>
    <w:next w:val="1"/>
    <w:qFormat/>
    <w:uiPriority w:val="0"/>
    <w:pPr>
      <w:spacing w:before="120" w:line="360" w:lineRule="auto"/>
      <w:ind w:left="420" w:firstLine="527"/>
    </w:pPr>
    <w:rPr>
      <w:rFonts w:ascii="宋体" w:hAnsi="宋体"/>
      <w:sz w:val="24"/>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toc 8"/>
    <w:basedOn w:val="1"/>
    <w:next w:val="1"/>
    <w:unhideWhenUsed/>
    <w:qFormat/>
    <w:uiPriority w:val="39"/>
    <w:pPr>
      <w:spacing w:after="57"/>
      <w:ind w:left="1984"/>
    </w:pPr>
  </w:style>
  <w:style w:type="paragraph" w:styleId="22">
    <w:name w:val="endnote text"/>
    <w:basedOn w:val="1"/>
    <w:link w:val="229"/>
    <w:semiHidden/>
    <w:unhideWhenUsed/>
    <w:qFormat/>
    <w:uiPriority w:val="99"/>
    <w:rPr>
      <w:sz w:val="20"/>
    </w:rPr>
  </w:style>
  <w:style w:type="paragraph" w:styleId="23">
    <w:name w:val="footer"/>
    <w:basedOn w:val="1"/>
    <w:link w:val="102"/>
    <w:unhideWhenUsed/>
    <w:qFormat/>
    <w:uiPriority w:val="99"/>
    <w:pPr>
      <w:tabs>
        <w:tab w:val="center" w:pos="7143"/>
        <w:tab w:val="right" w:pos="14287"/>
      </w:tabs>
    </w:pPr>
  </w:style>
  <w:style w:type="paragraph" w:styleId="24">
    <w:name w:val="header"/>
    <w:basedOn w:val="1"/>
    <w:link w:val="100"/>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95"/>
    <w:qFormat/>
    <w:uiPriority w:val="11"/>
    <w:pPr>
      <w:spacing w:before="200" w:after="200"/>
    </w:pPr>
    <w:rPr>
      <w:sz w:val="24"/>
    </w:rPr>
  </w:style>
  <w:style w:type="paragraph" w:styleId="28">
    <w:name w:val="List"/>
    <w:basedOn w:val="1"/>
    <w:qFormat/>
    <w:uiPriority w:val="0"/>
    <w:pPr>
      <w:tabs>
        <w:tab w:val="left" w:pos="420"/>
      </w:tabs>
      <w:spacing w:after="20" w:line="288" w:lineRule="auto"/>
      <w:ind w:left="420" w:hanging="420"/>
    </w:pPr>
    <w:rPr>
      <w:lang w:val="en-GB"/>
    </w:rPr>
  </w:style>
  <w:style w:type="paragraph" w:styleId="29">
    <w:name w:val="footnote text"/>
    <w:basedOn w:val="1"/>
    <w:link w:val="228"/>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Body Text 2"/>
    <w:basedOn w:val="1"/>
    <w:qFormat/>
    <w:uiPriority w:val="0"/>
    <w:pPr>
      <w:tabs>
        <w:tab w:val="left" w:pos="540"/>
      </w:tabs>
      <w:spacing w:line="360" w:lineRule="auto"/>
    </w:pPr>
    <w:rPr>
      <w:rFonts w:ascii="华文细黑" w:hAnsi="Calibri" w:eastAsia="华文细黑"/>
      <w:color w:val="000000"/>
      <w:sz w:val="28"/>
    </w:rPr>
  </w:style>
  <w:style w:type="paragraph" w:styleId="35">
    <w:name w:val="Title"/>
    <w:basedOn w:val="1"/>
    <w:next w:val="1"/>
    <w:link w:val="94"/>
    <w:qFormat/>
    <w:uiPriority w:val="10"/>
    <w:pPr>
      <w:spacing w:before="300" w:after="200"/>
      <w:contextualSpacing/>
    </w:pPr>
    <w:rPr>
      <w:sz w:val="48"/>
      <w:szCs w:val="48"/>
    </w:rPr>
  </w:style>
  <w:style w:type="paragraph" w:styleId="36">
    <w:name w:val="annotation subject"/>
    <w:basedOn w:val="15"/>
    <w:next w:val="15"/>
    <w:link w:val="538"/>
    <w:semiHidden/>
    <w:unhideWhenUsed/>
    <w:qFormat/>
    <w:uiPriority w:val="99"/>
    <w:rPr>
      <w:b/>
      <w:bCs/>
    </w:r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annotation reference"/>
    <w:basedOn w:val="39"/>
    <w:semiHidden/>
    <w:unhideWhenUsed/>
    <w:qFormat/>
    <w:uiPriority w:val="99"/>
    <w:rPr>
      <w:sz w:val="21"/>
      <w:szCs w:val="21"/>
    </w:rPr>
  </w:style>
  <w:style w:type="character" w:styleId="43">
    <w:name w:val="footnote reference"/>
    <w:unhideWhenUsed/>
    <w:qFormat/>
    <w:uiPriority w:val="99"/>
    <w:rPr>
      <w:vertAlign w:val="superscript"/>
    </w:rPr>
  </w:style>
  <w:style w:type="paragraph" w:customStyle="1" w:styleId="44">
    <w:name w:val="文本块1"/>
    <w:basedOn w:val="1"/>
    <w:qFormat/>
    <w:uiPriority w:val="0"/>
    <w:pPr>
      <w:ind w:left="420" w:right="33"/>
      <w:jc w:val="left"/>
    </w:pPr>
    <w:rPr>
      <w:sz w:val="24"/>
      <w:szCs w:val="20"/>
    </w:rPr>
  </w:style>
  <w:style w:type="paragraph" w:customStyle="1" w:styleId="45">
    <w:name w:val="正文文本11"/>
    <w:basedOn w:val="1"/>
    <w:qFormat/>
    <w:uiPriority w:val="0"/>
    <w:rPr>
      <w:rFonts w:ascii="仿宋_GB2312" w:eastAsia="仿宋_GB2312"/>
      <w:sz w:val="28"/>
      <w:szCs w:val="20"/>
    </w:rPr>
  </w:style>
  <w:style w:type="character" w:customStyle="1" w:styleId="46">
    <w:name w:val="Heading 1 Char"/>
    <w:basedOn w:val="39"/>
    <w:qFormat/>
    <w:uiPriority w:val="9"/>
    <w:rPr>
      <w:rFonts w:ascii="Arial" w:hAnsi="Arial" w:eastAsia="Arial" w:cs="Arial"/>
      <w:sz w:val="40"/>
      <w:szCs w:val="40"/>
    </w:rPr>
  </w:style>
  <w:style w:type="character" w:customStyle="1" w:styleId="47">
    <w:name w:val="Heading 2 Char"/>
    <w:basedOn w:val="39"/>
    <w:qFormat/>
    <w:uiPriority w:val="9"/>
    <w:rPr>
      <w:rFonts w:ascii="Arial" w:hAnsi="Arial" w:eastAsia="Arial" w:cs="Arial"/>
      <w:sz w:val="34"/>
    </w:rPr>
  </w:style>
  <w:style w:type="character" w:customStyle="1" w:styleId="48">
    <w:name w:val="Heading 3 Char"/>
    <w:basedOn w:val="39"/>
    <w:qFormat/>
    <w:uiPriority w:val="9"/>
    <w:rPr>
      <w:rFonts w:ascii="Arial" w:hAnsi="Arial" w:eastAsia="Arial" w:cs="Arial"/>
      <w:sz w:val="30"/>
      <w:szCs w:val="30"/>
    </w:rPr>
  </w:style>
  <w:style w:type="character" w:customStyle="1" w:styleId="49">
    <w:name w:val="Heading 4 Char"/>
    <w:basedOn w:val="39"/>
    <w:qFormat/>
    <w:uiPriority w:val="9"/>
    <w:rPr>
      <w:rFonts w:ascii="Arial" w:hAnsi="Arial" w:eastAsia="Arial" w:cs="Arial"/>
      <w:b/>
      <w:bCs/>
      <w:sz w:val="26"/>
      <w:szCs w:val="26"/>
    </w:rPr>
  </w:style>
  <w:style w:type="character" w:customStyle="1" w:styleId="50">
    <w:name w:val="Heading 5 Char"/>
    <w:basedOn w:val="39"/>
    <w:qFormat/>
    <w:uiPriority w:val="9"/>
    <w:rPr>
      <w:rFonts w:ascii="Arial" w:hAnsi="Arial" w:eastAsia="Arial" w:cs="Arial"/>
      <w:b/>
      <w:bCs/>
      <w:sz w:val="24"/>
      <w:szCs w:val="24"/>
    </w:rPr>
  </w:style>
  <w:style w:type="character" w:customStyle="1" w:styleId="51">
    <w:name w:val="Heading 6 Char"/>
    <w:basedOn w:val="39"/>
    <w:qFormat/>
    <w:uiPriority w:val="9"/>
    <w:rPr>
      <w:rFonts w:ascii="Arial" w:hAnsi="Arial" w:eastAsia="Arial" w:cs="Arial"/>
      <w:b/>
      <w:bCs/>
      <w:sz w:val="22"/>
      <w:szCs w:val="22"/>
    </w:rPr>
  </w:style>
  <w:style w:type="character" w:customStyle="1" w:styleId="52">
    <w:name w:val="Heading 7 Char"/>
    <w:basedOn w:val="39"/>
    <w:qFormat/>
    <w:uiPriority w:val="9"/>
    <w:rPr>
      <w:rFonts w:ascii="Arial" w:hAnsi="Arial" w:eastAsia="Arial" w:cs="Arial"/>
      <w:b/>
      <w:bCs/>
      <w:i/>
      <w:iCs/>
      <w:sz w:val="22"/>
      <w:szCs w:val="22"/>
    </w:rPr>
  </w:style>
  <w:style w:type="character" w:customStyle="1" w:styleId="53">
    <w:name w:val="Heading 8 Char"/>
    <w:basedOn w:val="39"/>
    <w:qFormat/>
    <w:uiPriority w:val="9"/>
    <w:rPr>
      <w:rFonts w:ascii="Arial" w:hAnsi="Arial" w:eastAsia="Arial" w:cs="Arial"/>
      <w:i/>
      <w:iCs/>
      <w:sz w:val="22"/>
      <w:szCs w:val="22"/>
    </w:rPr>
  </w:style>
  <w:style w:type="character" w:customStyle="1" w:styleId="54">
    <w:name w:val="Heading 9 Char"/>
    <w:basedOn w:val="39"/>
    <w:qFormat/>
    <w:uiPriority w:val="9"/>
    <w:rPr>
      <w:rFonts w:ascii="Arial" w:hAnsi="Arial" w:eastAsia="Arial" w:cs="Arial"/>
      <w:i/>
      <w:iCs/>
      <w:sz w:val="21"/>
      <w:szCs w:val="21"/>
    </w:rPr>
  </w:style>
  <w:style w:type="character" w:customStyle="1" w:styleId="55">
    <w:name w:val="Title Char"/>
    <w:basedOn w:val="39"/>
    <w:qFormat/>
    <w:uiPriority w:val="10"/>
    <w:rPr>
      <w:sz w:val="48"/>
      <w:szCs w:val="48"/>
    </w:rPr>
  </w:style>
  <w:style w:type="character" w:customStyle="1" w:styleId="56">
    <w:name w:val="Subtitle Char"/>
    <w:basedOn w:val="39"/>
    <w:qFormat/>
    <w:uiPriority w:val="11"/>
    <w:rPr>
      <w:sz w:val="24"/>
      <w:szCs w:val="24"/>
    </w:rPr>
  </w:style>
  <w:style w:type="character" w:customStyle="1" w:styleId="57">
    <w:name w:val="Quote Char"/>
    <w:qFormat/>
    <w:uiPriority w:val="29"/>
    <w:rPr>
      <w:i/>
    </w:rPr>
  </w:style>
  <w:style w:type="character" w:customStyle="1" w:styleId="58">
    <w:name w:val="Intense Quote Char"/>
    <w:qFormat/>
    <w:uiPriority w:val="30"/>
    <w:rPr>
      <w:i/>
    </w:rPr>
  </w:style>
  <w:style w:type="character" w:customStyle="1" w:styleId="59">
    <w:name w:val="Header Char"/>
    <w:basedOn w:val="39"/>
    <w:qFormat/>
    <w:uiPriority w:val="99"/>
  </w:style>
  <w:style w:type="character" w:customStyle="1" w:styleId="60">
    <w:name w:val="Caption Char"/>
    <w:qFormat/>
    <w:uiPriority w:val="99"/>
  </w:style>
  <w:style w:type="table" w:customStyle="1" w:styleId="61">
    <w:name w:val="Plain Table 1"/>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basedOn w:val="3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basedOn w:val="3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basedOn w:val="3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basedOn w:val="3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basedOn w:val="3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2"/>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3"/>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4"/>
    <w:basedOn w:val="3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5 Dark"/>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1">
    <w:name w:val="Grid Table 6 Colorful"/>
    <w:basedOn w:val="3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2">
    <w:name w:val="Grid Table 7 Colorful"/>
    <w:basedOn w:val="3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3">
    <w:name w:val="List Table 1 Light"/>
    <w:basedOn w:val="3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4">
    <w:name w:val="List Table 2"/>
    <w:basedOn w:val="3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List Table 3"/>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6">
    <w:name w:val="List Table 4"/>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7">
    <w:name w:val="List Table 5 Dark"/>
    <w:basedOn w:val="3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8">
    <w:name w:val="List Table 6 Colorful"/>
    <w:basedOn w:val="3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9">
    <w:name w:val="List Table 7 Colorful"/>
    <w:basedOn w:val="3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0">
    <w:name w:val="Footnote Text Char"/>
    <w:qFormat/>
    <w:uiPriority w:val="99"/>
    <w:rPr>
      <w:sz w:val="18"/>
    </w:rPr>
  </w:style>
  <w:style w:type="character" w:customStyle="1" w:styleId="81">
    <w:name w:val="Endnote Text Char"/>
    <w:qFormat/>
    <w:uiPriority w:val="99"/>
    <w:rPr>
      <w:sz w:val="20"/>
    </w:rPr>
  </w:style>
  <w:style w:type="paragraph" w:customStyle="1" w:styleId="82">
    <w:name w:val="TOC 标题1"/>
    <w:unhideWhenUsed/>
    <w:qFormat/>
    <w:uiPriority w:val="39"/>
    <w:rPr>
      <w:rFonts w:ascii="Times New Roman" w:hAnsi="Times New Roman" w:eastAsia="宋体" w:cs="Times New Roman"/>
      <w:lang w:val="en-US" w:eastAsia="zh-CN" w:bidi="ar-SA"/>
    </w:rPr>
  </w:style>
  <w:style w:type="paragraph" w:customStyle="1" w:styleId="83">
    <w:name w:val="正文缩进1"/>
    <w:basedOn w:val="1"/>
    <w:qFormat/>
    <w:uiPriority w:val="0"/>
    <w:pPr>
      <w:widowControl/>
      <w:ind w:firstLine="420"/>
      <w:jc w:val="left"/>
    </w:pPr>
    <w:rPr>
      <w:sz w:val="20"/>
    </w:rPr>
  </w:style>
  <w:style w:type="character" w:customStyle="1" w:styleId="84">
    <w:name w:val="标题 1 Char1"/>
    <w:link w:val="3"/>
    <w:qFormat/>
    <w:uiPriority w:val="9"/>
    <w:rPr>
      <w:rFonts w:ascii="Arial" w:hAnsi="Arial" w:eastAsia="Arial" w:cs="Arial"/>
      <w:sz w:val="40"/>
      <w:szCs w:val="40"/>
    </w:rPr>
  </w:style>
  <w:style w:type="character" w:customStyle="1" w:styleId="85">
    <w:name w:val="标题 2 Char1"/>
    <w:link w:val="4"/>
    <w:qFormat/>
    <w:uiPriority w:val="9"/>
    <w:rPr>
      <w:rFonts w:ascii="Arial" w:hAnsi="Arial" w:eastAsia="Arial" w:cs="Arial"/>
      <w:sz w:val="34"/>
    </w:rPr>
  </w:style>
  <w:style w:type="character" w:customStyle="1" w:styleId="86">
    <w:name w:val="标题 3 Char1"/>
    <w:link w:val="5"/>
    <w:qFormat/>
    <w:uiPriority w:val="9"/>
    <w:rPr>
      <w:rFonts w:ascii="Arial" w:hAnsi="Arial" w:eastAsia="Arial" w:cs="Arial"/>
      <w:sz w:val="30"/>
      <w:szCs w:val="30"/>
    </w:rPr>
  </w:style>
  <w:style w:type="character" w:customStyle="1" w:styleId="87">
    <w:name w:val="标题 4 Char"/>
    <w:link w:val="6"/>
    <w:qFormat/>
    <w:uiPriority w:val="9"/>
    <w:rPr>
      <w:rFonts w:ascii="Arial" w:hAnsi="Arial" w:eastAsia="Arial" w:cs="Arial"/>
      <w:b/>
      <w:bCs/>
      <w:sz w:val="26"/>
      <w:szCs w:val="26"/>
    </w:rPr>
  </w:style>
  <w:style w:type="character" w:customStyle="1" w:styleId="88">
    <w:name w:val="标题 5 Char1"/>
    <w:link w:val="7"/>
    <w:qFormat/>
    <w:uiPriority w:val="9"/>
    <w:rPr>
      <w:rFonts w:ascii="Arial" w:hAnsi="Arial" w:eastAsia="Arial" w:cs="Arial"/>
      <w:b/>
      <w:bCs/>
      <w:sz w:val="24"/>
      <w:szCs w:val="24"/>
    </w:rPr>
  </w:style>
  <w:style w:type="character" w:customStyle="1" w:styleId="89">
    <w:name w:val="标题 6 Char1"/>
    <w:link w:val="8"/>
    <w:qFormat/>
    <w:uiPriority w:val="9"/>
    <w:rPr>
      <w:rFonts w:ascii="Arial" w:hAnsi="Arial" w:eastAsia="Arial" w:cs="Arial"/>
      <w:b/>
      <w:bCs/>
      <w:sz w:val="22"/>
      <w:szCs w:val="22"/>
    </w:rPr>
  </w:style>
  <w:style w:type="character" w:customStyle="1" w:styleId="90">
    <w:name w:val="标题 7 Char1"/>
    <w:link w:val="9"/>
    <w:qFormat/>
    <w:uiPriority w:val="9"/>
    <w:rPr>
      <w:rFonts w:ascii="Arial" w:hAnsi="Arial" w:eastAsia="Arial" w:cs="Arial"/>
      <w:b/>
      <w:bCs/>
      <w:i/>
      <w:iCs/>
      <w:sz w:val="22"/>
      <w:szCs w:val="22"/>
    </w:rPr>
  </w:style>
  <w:style w:type="character" w:customStyle="1" w:styleId="91">
    <w:name w:val="标题 8 Char1"/>
    <w:link w:val="10"/>
    <w:qFormat/>
    <w:uiPriority w:val="9"/>
    <w:rPr>
      <w:rFonts w:ascii="Arial" w:hAnsi="Arial" w:eastAsia="Arial" w:cs="Arial"/>
      <w:i/>
      <w:iCs/>
      <w:sz w:val="22"/>
      <w:szCs w:val="22"/>
    </w:rPr>
  </w:style>
  <w:style w:type="character" w:customStyle="1" w:styleId="92">
    <w:name w:val="标题 9 Char1"/>
    <w:link w:val="11"/>
    <w:qFormat/>
    <w:uiPriority w:val="9"/>
    <w:rPr>
      <w:rFonts w:ascii="Arial" w:hAnsi="Arial" w:eastAsia="Arial" w:cs="Arial"/>
      <w:i/>
      <w:iCs/>
      <w:sz w:val="21"/>
      <w:szCs w:val="21"/>
    </w:rPr>
  </w:style>
  <w:style w:type="paragraph" w:styleId="93">
    <w:name w:val="No Spacing"/>
    <w:qFormat/>
    <w:uiPriority w:val="1"/>
    <w:rPr>
      <w:rFonts w:ascii="Times New Roman" w:hAnsi="Times New Roman" w:eastAsia="宋体" w:cs="Times New Roman"/>
      <w:lang w:val="en-US" w:eastAsia="zh-CN" w:bidi="ar-SA"/>
    </w:rPr>
  </w:style>
  <w:style w:type="character" w:customStyle="1" w:styleId="94">
    <w:name w:val="标题 Char1"/>
    <w:link w:val="35"/>
    <w:qFormat/>
    <w:uiPriority w:val="10"/>
    <w:rPr>
      <w:sz w:val="48"/>
      <w:szCs w:val="48"/>
    </w:rPr>
  </w:style>
  <w:style w:type="character" w:customStyle="1" w:styleId="95">
    <w:name w:val="副标题 Char2"/>
    <w:link w:val="27"/>
    <w:qFormat/>
    <w:uiPriority w:val="11"/>
    <w:rPr>
      <w:sz w:val="24"/>
      <w:szCs w:val="24"/>
    </w:rPr>
  </w:style>
  <w:style w:type="paragraph" w:styleId="96">
    <w:name w:val="Quote"/>
    <w:basedOn w:val="1"/>
    <w:next w:val="1"/>
    <w:link w:val="97"/>
    <w:qFormat/>
    <w:uiPriority w:val="29"/>
    <w:pPr>
      <w:ind w:left="720" w:right="720"/>
    </w:pPr>
    <w:rPr>
      <w:i/>
    </w:rPr>
  </w:style>
  <w:style w:type="character" w:customStyle="1" w:styleId="97">
    <w:name w:val="引用 Char2"/>
    <w:link w:val="96"/>
    <w:qFormat/>
    <w:uiPriority w:val="29"/>
    <w:rPr>
      <w:i/>
    </w:rPr>
  </w:style>
  <w:style w:type="paragraph" w:styleId="98">
    <w:name w:val="Intense Quote"/>
    <w:basedOn w:val="1"/>
    <w:next w:val="1"/>
    <w:link w:val="9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9">
    <w:name w:val="明显引用 Char2"/>
    <w:link w:val="98"/>
    <w:qFormat/>
    <w:uiPriority w:val="30"/>
    <w:rPr>
      <w:i/>
    </w:rPr>
  </w:style>
  <w:style w:type="character" w:customStyle="1" w:styleId="100">
    <w:name w:val="页眉 Char1"/>
    <w:link w:val="24"/>
    <w:qFormat/>
    <w:uiPriority w:val="99"/>
  </w:style>
  <w:style w:type="character" w:customStyle="1" w:styleId="101">
    <w:name w:val="Footer Char"/>
    <w:qFormat/>
    <w:uiPriority w:val="99"/>
  </w:style>
  <w:style w:type="character" w:customStyle="1" w:styleId="102">
    <w:name w:val="页脚 Char1"/>
    <w:link w:val="23"/>
    <w:qFormat/>
    <w:uiPriority w:val="99"/>
  </w:style>
  <w:style w:type="table" w:customStyle="1" w:styleId="10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4">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5">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6">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6">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3">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0">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7">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4">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1">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8">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5">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2">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9">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6">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3">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0">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8">
    <w:name w:val="脚注文本 Char2"/>
    <w:link w:val="29"/>
    <w:qFormat/>
    <w:uiPriority w:val="99"/>
    <w:rPr>
      <w:sz w:val="18"/>
    </w:rPr>
  </w:style>
  <w:style w:type="character" w:customStyle="1" w:styleId="229">
    <w:name w:val="尾注文本 Char"/>
    <w:link w:val="22"/>
    <w:qFormat/>
    <w:uiPriority w:val="99"/>
    <w:rPr>
      <w:sz w:val="20"/>
    </w:rPr>
  </w:style>
  <w:style w:type="paragraph" w:customStyle="1" w:styleId="230">
    <w:name w:val="TOC 标题111"/>
    <w:unhideWhenUsed/>
    <w:qFormat/>
    <w:uiPriority w:val="39"/>
    <w:rPr>
      <w:rFonts w:ascii="Times New Roman" w:hAnsi="Times New Roman" w:eastAsia="宋体" w:cs="Times New Roman"/>
      <w:lang w:val="en-US" w:eastAsia="zh-CN" w:bidi="ar-SA"/>
    </w:rPr>
  </w:style>
  <w:style w:type="paragraph" w:customStyle="1" w:styleId="231">
    <w:name w:val="标题 11"/>
    <w:basedOn w:val="1"/>
    <w:next w:val="1"/>
    <w:link w:val="243"/>
    <w:qFormat/>
    <w:uiPriority w:val="0"/>
    <w:pPr>
      <w:keepNext/>
      <w:keepLines/>
      <w:numPr>
        <w:ilvl w:val="0"/>
        <w:numId w:val="1"/>
      </w:numPr>
      <w:spacing w:before="340" w:after="330" w:line="578" w:lineRule="auto"/>
      <w:jc w:val="center"/>
      <w:outlineLvl w:val="0"/>
    </w:pPr>
    <w:rPr>
      <w:rFonts w:ascii="黑体" w:eastAsia="黑体"/>
      <w:b/>
      <w:bCs/>
      <w:sz w:val="44"/>
      <w:szCs w:val="44"/>
    </w:rPr>
  </w:style>
  <w:style w:type="paragraph" w:customStyle="1" w:styleId="232">
    <w:name w:val="标题 21"/>
    <w:basedOn w:val="1"/>
    <w:next w:val="1"/>
    <w:link w:val="244"/>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customStyle="1" w:styleId="233">
    <w:name w:val="标题 31"/>
    <w:basedOn w:val="1"/>
    <w:next w:val="234"/>
    <w:link w:val="245"/>
    <w:qFormat/>
    <w:uiPriority w:val="0"/>
    <w:pPr>
      <w:keepNext/>
      <w:keepLines/>
      <w:spacing w:before="260" w:after="260" w:line="416" w:lineRule="auto"/>
      <w:outlineLvl w:val="2"/>
    </w:pPr>
    <w:rPr>
      <w:rFonts w:ascii="黑体" w:eastAsia="黑体"/>
      <w:b/>
      <w:bCs/>
      <w:sz w:val="32"/>
      <w:szCs w:val="32"/>
    </w:rPr>
  </w:style>
  <w:style w:type="paragraph" w:customStyle="1" w:styleId="234">
    <w:name w:val="正文缩进2"/>
    <w:basedOn w:val="1"/>
    <w:link w:val="246"/>
    <w:qFormat/>
    <w:uiPriority w:val="0"/>
    <w:pPr>
      <w:widowControl/>
      <w:ind w:firstLine="420"/>
      <w:jc w:val="left"/>
    </w:pPr>
    <w:rPr>
      <w:sz w:val="20"/>
      <w:szCs w:val="20"/>
    </w:rPr>
  </w:style>
  <w:style w:type="paragraph" w:customStyle="1" w:styleId="235">
    <w:name w:val="标题 41"/>
    <w:basedOn w:val="1"/>
    <w:next w:val="1"/>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customStyle="1" w:styleId="236">
    <w:name w:val="标题 51"/>
    <w:basedOn w:val="1"/>
    <w:next w:val="1"/>
    <w:link w:val="247"/>
    <w:qFormat/>
    <w:uiPriority w:val="0"/>
    <w:pPr>
      <w:keepNext/>
      <w:keepLines/>
      <w:numPr>
        <w:ilvl w:val="5"/>
        <w:numId w:val="1"/>
      </w:numPr>
      <w:spacing w:before="280" w:after="290" w:line="376" w:lineRule="auto"/>
      <w:outlineLvl w:val="4"/>
    </w:pPr>
    <w:rPr>
      <w:rFonts w:ascii="黑体" w:eastAsia="黑体"/>
      <w:b/>
      <w:bCs/>
      <w:sz w:val="28"/>
      <w:szCs w:val="28"/>
    </w:rPr>
  </w:style>
  <w:style w:type="paragraph" w:customStyle="1" w:styleId="237">
    <w:name w:val="标题 61"/>
    <w:basedOn w:val="1"/>
    <w:next w:val="1"/>
    <w:link w:val="248"/>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38">
    <w:name w:val="标题 71"/>
    <w:basedOn w:val="1"/>
    <w:next w:val="1"/>
    <w:link w:val="249"/>
    <w:qFormat/>
    <w:uiPriority w:val="0"/>
    <w:pPr>
      <w:keepNext/>
      <w:keepLines/>
      <w:tabs>
        <w:tab w:val="left" w:pos="1296"/>
      </w:tabs>
      <w:spacing w:before="240" w:after="64" w:line="320" w:lineRule="atLeast"/>
      <w:ind w:left="1296" w:hanging="1296"/>
      <w:outlineLvl w:val="6"/>
    </w:pPr>
    <w:rPr>
      <w:b/>
      <w:sz w:val="24"/>
    </w:rPr>
  </w:style>
  <w:style w:type="paragraph" w:customStyle="1" w:styleId="239">
    <w:name w:val="标题 81"/>
    <w:basedOn w:val="1"/>
    <w:next w:val="1"/>
    <w:link w:val="250"/>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40">
    <w:name w:val="标题 91"/>
    <w:basedOn w:val="1"/>
    <w:next w:val="1"/>
    <w:link w:val="251"/>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41">
    <w:name w:val="默认段落字体1"/>
    <w:unhideWhenUsed/>
    <w:qFormat/>
    <w:uiPriority w:val="1"/>
  </w:style>
  <w:style w:type="table" w:customStyle="1" w:styleId="242">
    <w:name w:val="普通表格11"/>
    <w:unhideWhenUsed/>
    <w:qFormat/>
    <w:uiPriority w:val="99"/>
    <w:tblPr>
      <w:tblCellMar>
        <w:top w:w="0" w:type="dxa"/>
        <w:left w:w="0" w:type="dxa"/>
        <w:bottom w:w="0" w:type="dxa"/>
        <w:right w:w="0" w:type="dxa"/>
      </w:tblCellMar>
    </w:tblPr>
  </w:style>
  <w:style w:type="character" w:customStyle="1" w:styleId="243">
    <w:name w:val="标题 1 Char"/>
    <w:link w:val="231"/>
    <w:qFormat/>
    <w:uiPriority w:val="0"/>
    <w:rPr>
      <w:rFonts w:ascii="黑体" w:eastAsia="黑体"/>
      <w:b/>
      <w:bCs/>
      <w:sz w:val="44"/>
      <w:szCs w:val="44"/>
    </w:rPr>
  </w:style>
  <w:style w:type="character" w:customStyle="1" w:styleId="244">
    <w:name w:val="标题 2 Char"/>
    <w:link w:val="232"/>
    <w:qFormat/>
    <w:uiPriority w:val="0"/>
    <w:rPr>
      <w:rFonts w:ascii="Arial" w:hAnsi="Arial" w:eastAsia="黑体"/>
      <w:b/>
      <w:bCs/>
      <w:sz w:val="32"/>
      <w:szCs w:val="32"/>
    </w:rPr>
  </w:style>
  <w:style w:type="character" w:customStyle="1" w:styleId="245">
    <w:name w:val="标题 3 Char"/>
    <w:link w:val="233"/>
    <w:qFormat/>
    <w:uiPriority w:val="0"/>
    <w:rPr>
      <w:rFonts w:ascii="黑体" w:eastAsia="黑体"/>
      <w:b/>
      <w:bCs/>
      <w:sz w:val="32"/>
      <w:szCs w:val="32"/>
    </w:rPr>
  </w:style>
  <w:style w:type="character" w:customStyle="1" w:styleId="246">
    <w:name w:val="正文缩进 Char"/>
    <w:link w:val="234"/>
    <w:qFormat/>
    <w:uiPriority w:val="0"/>
  </w:style>
  <w:style w:type="character" w:customStyle="1" w:styleId="247">
    <w:name w:val="标题 5 Char"/>
    <w:link w:val="236"/>
    <w:qFormat/>
    <w:uiPriority w:val="0"/>
    <w:rPr>
      <w:rFonts w:ascii="黑体" w:eastAsia="黑体"/>
      <w:b/>
      <w:bCs/>
      <w:sz w:val="28"/>
      <w:szCs w:val="28"/>
    </w:rPr>
  </w:style>
  <w:style w:type="character" w:customStyle="1" w:styleId="248">
    <w:name w:val="标题 6 Char"/>
    <w:link w:val="237"/>
    <w:qFormat/>
    <w:uiPriority w:val="0"/>
    <w:rPr>
      <w:rFonts w:ascii="Arial" w:hAnsi="Arial" w:eastAsia="黑体"/>
      <w:b/>
      <w:sz w:val="24"/>
      <w:szCs w:val="24"/>
    </w:rPr>
  </w:style>
  <w:style w:type="character" w:customStyle="1" w:styleId="249">
    <w:name w:val="标题 7 Char"/>
    <w:link w:val="238"/>
    <w:qFormat/>
    <w:uiPriority w:val="0"/>
    <w:rPr>
      <w:b/>
      <w:sz w:val="24"/>
      <w:szCs w:val="24"/>
    </w:rPr>
  </w:style>
  <w:style w:type="character" w:customStyle="1" w:styleId="250">
    <w:name w:val="标题 8 Char"/>
    <w:link w:val="239"/>
    <w:qFormat/>
    <w:uiPriority w:val="0"/>
    <w:rPr>
      <w:rFonts w:ascii="Arial" w:hAnsi="Arial" w:eastAsia="黑体"/>
      <w:sz w:val="24"/>
      <w:szCs w:val="24"/>
    </w:rPr>
  </w:style>
  <w:style w:type="character" w:customStyle="1" w:styleId="251">
    <w:name w:val="标题 9 Char"/>
    <w:link w:val="240"/>
    <w:qFormat/>
    <w:uiPriority w:val="0"/>
    <w:rPr>
      <w:rFonts w:ascii="Arial" w:hAnsi="Arial" w:eastAsia="黑体"/>
      <w:sz w:val="21"/>
      <w:szCs w:val="24"/>
    </w:rPr>
  </w:style>
  <w:style w:type="paragraph" w:customStyle="1" w:styleId="252">
    <w:name w:val="目录 71"/>
    <w:basedOn w:val="1"/>
    <w:next w:val="1"/>
    <w:qFormat/>
    <w:uiPriority w:val="0"/>
    <w:pPr>
      <w:spacing w:line="288" w:lineRule="auto"/>
      <w:ind w:left="1260" w:firstLine="420"/>
      <w:jc w:val="left"/>
    </w:pPr>
    <w:rPr>
      <w:sz w:val="18"/>
      <w:szCs w:val="18"/>
    </w:rPr>
  </w:style>
  <w:style w:type="paragraph" w:customStyle="1" w:styleId="253">
    <w:name w:val="索引 81"/>
    <w:basedOn w:val="1"/>
    <w:next w:val="1"/>
    <w:qFormat/>
    <w:uiPriority w:val="0"/>
    <w:pPr>
      <w:ind w:left="1400"/>
    </w:pPr>
    <w:rPr>
      <w:szCs w:val="20"/>
    </w:rPr>
  </w:style>
  <w:style w:type="paragraph" w:customStyle="1" w:styleId="254">
    <w:name w:val="题注1"/>
    <w:basedOn w:val="1"/>
    <w:next w:val="1"/>
    <w:qFormat/>
    <w:uiPriority w:val="0"/>
    <w:rPr>
      <w:rFonts w:ascii="Arial" w:hAnsi="Arial" w:eastAsia="黑体" w:cs="Arial"/>
      <w:sz w:val="20"/>
      <w:szCs w:val="20"/>
    </w:rPr>
  </w:style>
  <w:style w:type="paragraph" w:customStyle="1" w:styleId="255">
    <w:name w:val="索引 51"/>
    <w:basedOn w:val="1"/>
    <w:next w:val="1"/>
    <w:qFormat/>
    <w:uiPriority w:val="0"/>
    <w:pPr>
      <w:ind w:left="800"/>
    </w:pPr>
    <w:rPr>
      <w:szCs w:val="20"/>
    </w:rPr>
  </w:style>
  <w:style w:type="paragraph" w:customStyle="1" w:styleId="256">
    <w:name w:val="文档结构图1"/>
    <w:basedOn w:val="1"/>
    <w:link w:val="257"/>
    <w:qFormat/>
    <w:uiPriority w:val="0"/>
    <w:pPr>
      <w:shd w:val="clear" w:color="auto" w:fill="000080"/>
    </w:pPr>
  </w:style>
  <w:style w:type="character" w:customStyle="1" w:styleId="257">
    <w:name w:val="文档结构图 Char"/>
    <w:link w:val="256"/>
    <w:qFormat/>
    <w:uiPriority w:val="0"/>
    <w:rPr>
      <w:sz w:val="21"/>
      <w:szCs w:val="24"/>
      <w:shd w:val="clear" w:color="auto" w:fill="000080"/>
    </w:rPr>
  </w:style>
  <w:style w:type="paragraph" w:customStyle="1" w:styleId="258">
    <w:name w:val="批注文字1"/>
    <w:basedOn w:val="1"/>
    <w:link w:val="259"/>
    <w:qFormat/>
    <w:uiPriority w:val="0"/>
    <w:pPr>
      <w:jc w:val="left"/>
    </w:pPr>
  </w:style>
  <w:style w:type="character" w:customStyle="1" w:styleId="259">
    <w:name w:val="批注文字 Char"/>
    <w:link w:val="258"/>
    <w:qFormat/>
    <w:uiPriority w:val="0"/>
    <w:rPr>
      <w:sz w:val="21"/>
      <w:szCs w:val="24"/>
    </w:rPr>
  </w:style>
  <w:style w:type="paragraph" w:customStyle="1" w:styleId="260">
    <w:name w:val="索引 61"/>
    <w:basedOn w:val="1"/>
    <w:next w:val="1"/>
    <w:qFormat/>
    <w:uiPriority w:val="0"/>
    <w:pPr>
      <w:ind w:left="1000"/>
    </w:pPr>
    <w:rPr>
      <w:szCs w:val="20"/>
    </w:rPr>
  </w:style>
  <w:style w:type="paragraph" w:customStyle="1" w:styleId="261">
    <w:name w:val="称呼1"/>
    <w:basedOn w:val="1"/>
    <w:next w:val="1"/>
    <w:link w:val="262"/>
    <w:qFormat/>
    <w:uiPriority w:val="0"/>
    <w:pPr>
      <w:spacing w:after="20" w:line="288" w:lineRule="auto"/>
      <w:ind w:firstLine="420"/>
    </w:pPr>
    <w:rPr>
      <w:sz w:val="28"/>
    </w:rPr>
  </w:style>
  <w:style w:type="character" w:customStyle="1" w:styleId="262">
    <w:name w:val="称呼 Char"/>
    <w:link w:val="261"/>
    <w:qFormat/>
    <w:uiPriority w:val="0"/>
    <w:rPr>
      <w:sz w:val="28"/>
      <w:szCs w:val="24"/>
    </w:rPr>
  </w:style>
  <w:style w:type="paragraph" w:customStyle="1" w:styleId="263">
    <w:name w:val="正文文本 31"/>
    <w:basedOn w:val="1"/>
    <w:link w:val="264"/>
    <w:qFormat/>
    <w:uiPriority w:val="0"/>
    <w:pPr>
      <w:spacing w:after="20" w:line="288" w:lineRule="auto"/>
      <w:jc w:val="center"/>
    </w:pPr>
    <w:rPr>
      <w:b/>
      <w:bCs/>
      <w:sz w:val="24"/>
    </w:rPr>
  </w:style>
  <w:style w:type="character" w:customStyle="1" w:styleId="264">
    <w:name w:val="正文文本 3 Char"/>
    <w:link w:val="263"/>
    <w:qFormat/>
    <w:uiPriority w:val="0"/>
    <w:rPr>
      <w:b/>
      <w:bCs/>
      <w:sz w:val="24"/>
      <w:szCs w:val="24"/>
    </w:rPr>
  </w:style>
  <w:style w:type="paragraph" w:customStyle="1" w:styleId="265">
    <w:name w:val="结束语1"/>
    <w:basedOn w:val="1"/>
    <w:link w:val="266"/>
    <w:qFormat/>
    <w:uiPriority w:val="0"/>
    <w:pPr>
      <w:spacing w:after="20" w:line="288" w:lineRule="auto"/>
      <w:ind w:left="100" w:firstLine="420"/>
    </w:pPr>
    <w:rPr>
      <w:sz w:val="28"/>
    </w:rPr>
  </w:style>
  <w:style w:type="character" w:customStyle="1" w:styleId="266">
    <w:name w:val="结束语 Char"/>
    <w:link w:val="265"/>
    <w:qFormat/>
    <w:uiPriority w:val="0"/>
    <w:rPr>
      <w:sz w:val="28"/>
      <w:szCs w:val="24"/>
    </w:rPr>
  </w:style>
  <w:style w:type="paragraph" w:customStyle="1" w:styleId="267">
    <w:name w:val="列表项目符号 31"/>
    <w:basedOn w:val="1"/>
    <w:qFormat/>
    <w:uiPriority w:val="0"/>
    <w:pPr>
      <w:tabs>
        <w:tab w:val="left" w:pos="420"/>
      </w:tabs>
      <w:ind w:left="420" w:hanging="420"/>
    </w:pPr>
  </w:style>
  <w:style w:type="paragraph" w:customStyle="1" w:styleId="268">
    <w:name w:val="正文文本1"/>
    <w:basedOn w:val="1"/>
    <w:next w:val="1"/>
    <w:link w:val="270"/>
    <w:qFormat/>
    <w:uiPriority w:val="0"/>
    <w:rPr>
      <w:rFonts w:ascii="仿宋_GB2312" w:eastAsia="仿宋_GB2312"/>
      <w:sz w:val="28"/>
      <w:szCs w:val="20"/>
    </w:rPr>
  </w:style>
  <w:style w:type="paragraph" w:customStyle="1" w:styleId="269">
    <w:name w:val="副标题1"/>
    <w:basedOn w:val="1"/>
    <w:next w:val="1"/>
    <w:link w:val="271"/>
    <w:qFormat/>
    <w:uiPriority w:val="0"/>
    <w:pPr>
      <w:spacing w:before="240" w:after="60" w:line="312" w:lineRule="auto"/>
      <w:jc w:val="center"/>
      <w:outlineLvl w:val="1"/>
    </w:pPr>
    <w:rPr>
      <w:rFonts w:ascii="幼圆" w:hAnsi="幼圆"/>
      <w:b/>
      <w:bCs/>
      <w:sz w:val="32"/>
      <w:szCs w:val="32"/>
    </w:rPr>
  </w:style>
  <w:style w:type="character" w:customStyle="1" w:styleId="270">
    <w:name w:val="正文文本 Char"/>
    <w:link w:val="268"/>
    <w:qFormat/>
    <w:uiPriority w:val="0"/>
    <w:rPr>
      <w:rFonts w:ascii="仿宋_GB2312" w:eastAsia="仿宋_GB2312"/>
      <w:sz w:val="28"/>
    </w:rPr>
  </w:style>
  <w:style w:type="character" w:customStyle="1" w:styleId="271">
    <w:name w:val="副标题 Char"/>
    <w:link w:val="269"/>
    <w:qFormat/>
    <w:uiPriority w:val="0"/>
    <w:rPr>
      <w:rFonts w:ascii="幼圆" w:hAnsi="幼圆"/>
      <w:b/>
      <w:bCs/>
      <w:sz w:val="32"/>
      <w:szCs w:val="32"/>
    </w:rPr>
  </w:style>
  <w:style w:type="paragraph" w:customStyle="1" w:styleId="272">
    <w:name w:val="正文文本缩进1"/>
    <w:basedOn w:val="1"/>
    <w:link w:val="273"/>
    <w:qFormat/>
    <w:uiPriority w:val="0"/>
    <w:pPr>
      <w:widowControl/>
      <w:spacing w:line="300" w:lineRule="auto"/>
      <w:ind w:left="156"/>
    </w:pPr>
    <w:rPr>
      <w:rFonts w:ascii="仿宋_GB2312" w:eastAsia="仿宋_GB2312"/>
      <w:sz w:val="28"/>
      <w:szCs w:val="20"/>
    </w:rPr>
  </w:style>
  <w:style w:type="character" w:customStyle="1" w:styleId="273">
    <w:name w:val="正文文本缩进 Char1"/>
    <w:link w:val="272"/>
    <w:qFormat/>
    <w:uiPriority w:val="0"/>
    <w:rPr>
      <w:rFonts w:ascii="仿宋_GB2312" w:eastAsia="仿宋_GB2312"/>
      <w:sz w:val="28"/>
    </w:rPr>
  </w:style>
  <w:style w:type="paragraph" w:customStyle="1" w:styleId="274">
    <w:name w:val="列表项目符号 21"/>
    <w:basedOn w:val="1"/>
    <w:qFormat/>
    <w:uiPriority w:val="0"/>
    <w:pPr>
      <w:numPr>
        <w:ilvl w:val="0"/>
        <w:numId w:val="2"/>
      </w:numPr>
      <w:tabs>
        <w:tab w:val="left" w:pos="780"/>
      </w:tabs>
      <w:ind w:left="780"/>
    </w:pPr>
  </w:style>
  <w:style w:type="paragraph" w:customStyle="1" w:styleId="275">
    <w:name w:val="目录 51"/>
    <w:basedOn w:val="1"/>
    <w:next w:val="1"/>
    <w:qFormat/>
    <w:uiPriority w:val="0"/>
    <w:pPr>
      <w:spacing w:line="288" w:lineRule="auto"/>
      <w:ind w:left="840" w:firstLine="420"/>
      <w:jc w:val="left"/>
    </w:pPr>
    <w:rPr>
      <w:sz w:val="18"/>
      <w:szCs w:val="18"/>
    </w:rPr>
  </w:style>
  <w:style w:type="paragraph" w:customStyle="1" w:styleId="276">
    <w:name w:val="目录 31"/>
    <w:basedOn w:val="1"/>
    <w:next w:val="1"/>
    <w:qFormat/>
    <w:uiPriority w:val="39"/>
    <w:pPr>
      <w:spacing w:line="288" w:lineRule="auto"/>
      <w:ind w:left="420" w:firstLine="420"/>
      <w:jc w:val="left"/>
    </w:pPr>
    <w:rPr>
      <w:iCs/>
      <w:sz w:val="20"/>
      <w:szCs w:val="20"/>
    </w:rPr>
  </w:style>
  <w:style w:type="paragraph" w:customStyle="1" w:styleId="277">
    <w:name w:val="纯文本1"/>
    <w:basedOn w:val="1"/>
    <w:link w:val="278"/>
    <w:qFormat/>
    <w:uiPriority w:val="0"/>
    <w:rPr>
      <w:rFonts w:ascii="宋体" w:hAnsi="Courier New"/>
      <w:szCs w:val="21"/>
    </w:rPr>
  </w:style>
  <w:style w:type="character" w:customStyle="1" w:styleId="278">
    <w:name w:val="纯文本 Char"/>
    <w:link w:val="277"/>
    <w:qFormat/>
    <w:uiPriority w:val="0"/>
    <w:rPr>
      <w:rFonts w:ascii="宋体" w:hAnsi="Courier New"/>
      <w:sz w:val="21"/>
      <w:szCs w:val="21"/>
    </w:rPr>
  </w:style>
  <w:style w:type="paragraph" w:customStyle="1" w:styleId="279">
    <w:name w:val="列表项目符号 51"/>
    <w:basedOn w:val="1"/>
    <w:qFormat/>
    <w:uiPriority w:val="0"/>
    <w:pPr>
      <w:widowControl/>
      <w:numPr>
        <w:ilvl w:val="0"/>
        <w:numId w:val="3"/>
      </w:numPr>
      <w:spacing w:line="360" w:lineRule="exact"/>
    </w:pPr>
    <w:rPr>
      <w:rFonts w:eastAsia="楷体_GB2312"/>
      <w:sz w:val="24"/>
      <w:szCs w:val="20"/>
    </w:rPr>
  </w:style>
  <w:style w:type="paragraph" w:customStyle="1" w:styleId="280">
    <w:name w:val="目录 81"/>
    <w:basedOn w:val="1"/>
    <w:next w:val="1"/>
    <w:qFormat/>
    <w:uiPriority w:val="0"/>
    <w:pPr>
      <w:spacing w:line="288" w:lineRule="auto"/>
      <w:ind w:left="1470" w:firstLine="420"/>
      <w:jc w:val="left"/>
    </w:pPr>
    <w:rPr>
      <w:sz w:val="18"/>
      <w:szCs w:val="18"/>
    </w:rPr>
  </w:style>
  <w:style w:type="paragraph" w:customStyle="1" w:styleId="281">
    <w:name w:val="索引 31"/>
    <w:basedOn w:val="1"/>
    <w:next w:val="1"/>
    <w:qFormat/>
    <w:uiPriority w:val="0"/>
    <w:pPr>
      <w:ind w:left="400"/>
    </w:pPr>
    <w:rPr>
      <w:szCs w:val="20"/>
    </w:rPr>
  </w:style>
  <w:style w:type="paragraph" w:customStyle="1" w:styleId="282">
    <w:name w:val="日期1"/>
    <w:basedOn w:val="1"/>
    <w:next w:val="1"/>
    <w:link w:val="283"/>
    <w:qFormat/>
    <w:uiPriority w:val="0"/>
    <w:pPr>
      <w:ind w:left="100"/>
    </w:pPr>
    <w:rPr>
      <w:rFonts w:ascii="楷体_GB2312" w:eastAsia="楷体_GB2312"/>
      <w:b/>
      <w:sz w:val="28"/>
    </w:rPr>
  </w:style>
  <w:style w:type="character" w:customStyle="1" w:styleId="283">
    <w:name w:val="日期 Char"/>
    <w:link w:val="282"/>
    <w:qFormat/>
    <w:uiPriority w:val="0"/>
    <w:rPr>
      <w:rFonts w:ascii="楷体_GB2312" w:eastAsia="楷体_GB2312"/>
      <w:b/>
      <w:sz w:val="28"/>
      <w:szCs w:val="24"/>
    </w:rPr>
  </w:style>
  <w:style w:type="paragraph" w:customStyle="1" w:styleId="284">
    <w:name w:val="正文文本缩进 21"/>
    <w:basedOn w:val="1"/>
    <w:link w:val="285"/>
    <w:qFormat/>
    <w:uiPriority w:val="0"/>
    <w:pPr>
      <w:tabs>
        <w:tab w:val="left" w:pos="0"/>
        <w:tab w:val="left" w:pos="1134"/>
      </w:tabs>
      <w:spacing w:line="400" w:lineRule="exact"/>
      <w:ind w:firstLine="559"/>
    </w:pPr>
    <w:rPr>
      <w:rFonts w:ascii="楷体_GB2312" w:eastAsia="楷体_GB2312"/>
      <w:sz w:val="24"/>
    </w:rPr>
  </w:style>
  <w:style w:type="character" w:customStyle="1" w:styleId="285">
    <w:name w:val="正文文本缩进 2 Char"/>
    <w:link w:val="284"/>
    <w:qFormat/>
    <w:uiPriority w:val="0"/>
    <w:rPr>
      <w:rFonts w:ascii="楷体_GB2312" w:eastAsia="楷体_GB2312"/>
      <w:sz w:val="24"/>
      <w:szCs w:val="24"/>
    </w:rPr>
  </w:style>
  <w:style w:type="paragraph" w:customStyle="1" w:styleId="286">
    <w:name w:val="批注框文本1"/>
    <w:basedOn w:val="1"/>
    <w:link w:val="287"/>
    <w:qFormat/>
    <w:uiPriority w:val="0"/>
    <w:rPr>
      <w:sz w:val="18"/>
      <w:szCs w:val="18"/>
    </w:rPr>
  </w:style>
  <w:style w:type="character" w:customStyle="1" w:styleId="287">
    <w:name w:val="批注框文本 Char"/>
    <w:link w:val="286"/>
    <w:qFormat/>
    <w:uiPriority w:val="0"/>
    <w:rPr>
      <w:sz w:val="18"/>
      <w:szCs w:val="18"/>
    </w:rPr>
  </w:style>
  <w:style w:type="paragraph" w:customStyle="1" w:styleId="288">
    <w:name w:val="页脚1"/>
    <w:basedOn w:val="1"/>
    <w:link w:val="289"/>
    <w:qFormat/>
    <w:uiPriority w:val="99"/>
    <w:pPr>
      <w:tabs>
        <w:tab w:val="center" w:pos="4153"/>
        <w:tab w:val="right" w:pos="8306"/>
      </w:tabs>
      <w:jc w:val="left"/>
    </w:pPr>
    <w:rPr>
      <w:sz w:val="18"/>
      <w:szCs w:val="18"/>
    </w:rPr>
  </w:style>
  <w:style w:type="character" w:customStyle="1" w:styleId="289">
    <w:name w:val="页脚 Char"/>
    <w:link w:val="288"/>
    <w:qFormat/>
    <w:uiPriority w:val="99"/>
    <w:rPr>
      <w:sz w:val="18"/>
      <w:szCs w:val="18"/>
    </w:rPr>
  </w:style>
  <w:style w:type="paragraph" w:customStyle="1" w:styleId="290">
    <w:name w:val="页眉11"/>
    <w:basedOn w:val="1"/>
    <w:link w:val="291"/>
    <w:qFormat/>
    <w:uiPriority w:val="99"/>
    <w:pPr>
      <w:pBdr>
        <w:bottom w:val="single" w:color="000000" w:sz="6" w:space="1"/>
      </w:pBdr>
      <w:tabs>
        <w:tab w:val="center" w:pos="4153"/>
        <w:tab w:val="right" w:pos="8306"/>
      </w:tabs>
      <w:jc w:val="center"/>
    </w:pPr>
    <w:rPr>
      <w:sz w:val="18"/>
      <w:szCs w:val="18"/>
    </w:rPr>
  </w:style>
  <w:style w:type="character" w:customStyle="1" w:styleId="291">
    <w:name w:val="页眉 Char"/>
    <w:link w:val="290"/>
    <w:qFormat/>
    <w:uiPriority w:val="99"/>
    <w:rPr>
      <w:rFonts w:eastAsia="宋体"/>
      <w:sz w:val="18"/>
      <w:szCs w:val="18"/>
      <w:lang w:val="en-US" w:eastAsia="zh-CN" w:bidi="ar-SA"/>
    </w:rPr>
  </w:style>
  <w:style w:type="paragraph" w:customStyle="1" w:styleId="292">
    <w:name w:val="目录 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93">
    <w:name w:val="目录 41"/>
    <w:basedOn w:val="1"/>
    <w:next w:val="1"/>
    <w:qFormat/>
    <w:uiPriority w:val="39"/>
    <w:pPr>
      <w:spacing w:line="288" w:lineRule="auto"/>
      <w:ind w:left="630" w:firstLine="420"/>
      <w:jc w:val="left"/>
    </w:pPr>
    <w:rPr>
      <w:sz w:val="18"/>
      <w:szCs w:val="18"/>
    </w:rPr>
  </w:style>
  <w:style w:type="paragraph" w:customStyle="1" w:styleId="294">
    <w:name w:val="列表1"/>
    <w:basedOn w:val="1"/>
    <w:qFormat/>
    <w:uiPriority w:val="0"/>
    <w:pPr>
      <w:tabs>
        <w:tab w:val="left" w:pos="420"/>
      </w:tabs>
      <w:spacing w:after="20" w:line="288" w:lineRule="auto"/>
      <w:ind w:left="420" w:hanging="420"/>
    </w:pPr>
    <w:rPr>
      <w:szCs w:val="20"/>
      <w:lang w:val="en-GB"/>
    </w:rPr>
  </w:style>
  <w:style w:type="paragraph" w:customStyle="1" w:styleId="295">
    <w:name w:val="脚注文本1"/>
    <w:basedOn w:val="1"/>
    <w:link w:val="296"/>
    <w:qFormat/>
    <w:uiPriority w:val="0"/>
    <w:pPr>
      <w:spacing w:after="60" w:line="360" w:lineRule="exact"/>
      <w:ind w:firstLine="425"/>
      <w:jc w:val="left"/>
    </w:pPr>
    <w:rPr>
      <w:sz w:val="18"/>
      <w:szCs w:val="18"/>
    </w:rPr>
  </w:style>
  <w:style w:type="character" w:customStyle="1" w:styleId="296">
    <w:name w:val="脚注文本 Char"/>
    <w:link w:val="295"/>
    <w:qFormat/>
    <w:uiPriority w:val="0"/>
    <w:rPr>
      <w:sz w:val="18"/>
      <w:szCs w:val="18"/>
    </w:rPr>
  </w:style>
  <w:style w:type="paragraph" w:customStyle="1" w:styleId="297">
    <w:name w:val="目录 61"/>
    <w:basedOn w:val="1"/>
    <w:next w:val="1"/>
    <w:qFormat/>
    <w:uiPriority w:val="0"/>
    <w:pPr>
      <w:spacing w:line="288" w:lineRule="auto"/>
      <w:ind w:left="1050" w:firstLine="420"/>
      <w:jc w:val="left"/>
    </w:pPr>
    <w:rPr>
      <w:sz w:val="18"/>
      <w:szCs w:val="18"/>
    </w:rPr>
  </w:style>
  <w:style w:type="paragraph" w:customStyle="1" w:styleId="298">
    <w:name w:val="正文文本缩进 31"/>
    <w:basedOn w:val="1"/>
    <w:link w:val="299"/>
    <w:qFormat/>
    <w:uiPriority w:val="0"/>
    <w:pPr>
      <w:spacing w:line="360" w:lineRule="auto"/>
      <w:ind w:firstLine="698"/>
      <w:jc w:val="left"/>
    </w:pPr>
    <w:rPr>
      <w:rFonts w:ascii="仿宋_GB2312" w:eastAsia="仿宋_GB2312"/>
      <w:sz w:val="32"/>
      <w:szCs w:val="20"/>
    </w:rPr>
  </w:style>
  <w:style w:type="character" w:customStyle="1" w:styleId="299">
    <w:name w:val="正文文本缩进 3 Char"/>
    <w:link w:val="298"/>
    <w:qFormat/>
    <w:uiPriority w:val="0"/>
    <w:rPr>
      <w:rFonts w:ascii="仿宋_GB2312" w:eastAsia="仿宋_GB2312"/>
      <w:sz w:val="32"/>
    </w:rPr>
  </w:style>
  <w:style w:type="paragraph" w:customStyle="1" w:styleId="300">
    <w:name w:val="索引 71"/>
    <w:basedOn w:val="1"/>
    <w:next w:val="1"/>
    <w:qFormat/>
    <w:uiPriority w:val="0"/>
    <w:pPr>
      <w:ind w:left="1200"/>
    </w:pPr>
    <w:rPr>
      <w:szCs w:val="20"/>
    </w:rPr>
  </w:style>
  <w:style w:type="paragraph" w:customStyle="1" w:styleId="301">
    <w:name w:val="索引 91"/>
    <w:basedOn w:val="1"/>
    <w:next w:val="1"/>
    <w:qFormat/>
    <w:uiPriority w:val="0"/>
    <w:pPr>
      <w:ind w:left="1600"/>
    </w:pPr>
    <w:rPr>
      <w:szCs w:val="20"/>
    </w:rPr>
  </w:style>
  <w:style w:type="paragraph" w:customStyle="1" w:styleId="302">
    <w:name w:val="目录 21"/>
    <w:basedOn w:val="1"/>
    <w:next w:val="1"/>
    <w:qFormat/>
    <w:uiPriority w:val="0"/>
    <w:pPr>
      <w:spacing w:line="288" w:lineRule="auto"/>
      <w:ind w:left="210" w:firstLine="420"/>
      <w:jc w:val="left"/>
    </w:pPr>
    <w:rPr>
      <w:smallCaps/>
      <w:sz w:val="20"/>
      <w:szCs w:val="20"/>
    </w:rPr>
  </w:style>
  <w:style w:type="paragraph" w:customStyle="1" w:styleId="303">
    <w:name w:val="目录 91"/>
    <w:basedOn w:val="1"/>
    <w:next w:val="1"/>
    <w:qFormat/>
    <w:uiPriority w:val="0"/>
    <w:pPr>
      <w:spacing w:line="288" w:lineRule="auto"/>
      <w:ind w:left="1680" w:firstLine="420"/>
      <w:jc w:val="left"/>
    </w:pPr>
    <w:rPr>
      <w:sz w:val="18"/>
      <w:szCs w:val="18"/>
    </w:rPr>
  </w:style>
  <w:style w:type="paragraph" w:customStyle="1" w:styleId="304">
    <w:name w:val="正文文本 21"/>
    <w:basedOn w:val="1"/>
    <w:link w:val="305"/>
    <w:qFormat/>
    <w:uiPriority w:val="0"/>
    <w:pPr>
      <w:spacing w:after="20" w:line="720" w:lineRule="auto"/>
      <w:ind w:firstLine="420"/>
    </w:pPr>
    <w:rPr>
      <w:sz w:val="30"/>
    </w:rPr>
  </w:style>
  <w:style w:type="character" w:customStyle="1" w:styleId="305">
    <w:name w:val="正文文本 2 Char"/>
    <w:link w:val="304"/>
    <w:qFormat/>
    <w:uiPriority w:val="0"/>
    <w:rPr>
      <w:sz w:val="30"/>
      <w:szCs w:val="24"/>
    </w:rPr>
  </w:style>
  <w:style w:type="paragraph" w:customStyle="1" w:styleId="306">
    <w:name w:val="HTML 预设格式1"/>
    <w:basedOn w:val="1"/>
    <w:link w:val="30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307">
    <w:name w:val="HTML 预设格式 Char"/>
    <w:link w:val="306"/>
    <w:qFormat/>
    <w:uiPriority w:val="0"/>
    <w:rPr>
      <w:rFonts w:ascii="黑体" w:hAnsi="Courier New" w:eastAsia="黑体"/>
    </w:rPr>
  </w:style>
  <w:style w:type="paragraph" w:customStyle="1" w:styleId="308">
    <w:name w:val="普通(网站)1"/>
    <w:basedOn w:val="1"/>
    <w:link w:val="309"/>
    <w:qFormat/>
    <w:uiPriority w:val="99"/>
    <w:pPr>
      <w:widowControl/>
      <w:spacing w:before="100" w:beforeAutospacing="1" w:after="100" w:afterAutospacing="1" w:line="288" w:lineRule="auto"/>
      <w:ind w:firstLine="420"/>
      <w:jc w:val="left"/>
    </w:pPr>
    <w:rPr>
      <w:rFonts w:ascii="宋体" w:hAnsi="宋体"/>
      <w:sz w:val="24"/>
    </w:rPr>
  </w:style>
  <w:style w:type="character" w:customStyle="1" w:styleId="309">
    <w:name w:val="普通(网站) Char"/>
    <w:link w:val="308"/>
    <w:qFormat/>
    <w:uiPriority w:val="99"/>
    <w:rPr>
      <w:rFonts w:ascii="宋体" w:hAnsi="宋体"/>
      <w:sz w:val="24"/>
      <w:szCs w:val="24"/>
    </w:rPr>
  </w:style>
  <w:style w:type="paragraph" w:customStyle="1" w:styleId="310">
    <w:name w:val="索引 11"/>
    <w:basedOn w:val="1"/>
    <w:next w:val="1"/>
    <w:qFormat/>
    <w:uiPriority w:val="0"/>
    <w:rPr>
      <w:szCs w:val="20"/>
    </w:rPr>
  </w:style>
  <w:style w:type="paragraph" w:customStyle="1" w:styleId="311">
    <w:name w:val="索引 21"/>
    <w:basedOn w:val="1"/>
    <w:next w:val="1"/>
    <w:qFormat/>
    <w:uiPriority w:val="0"/>
    <w:pPr>
      <w:ind w:left="200"/>
    </w:pPr>
    <w:rPr>
      <w:szCs w:val="20"/>
    </w:rPr>
  </w:style>
  <w:style w:type="paragraph" w:customStyle="1" w:styleId="312">
    <w:name w:val="标题1"/>
    <w:basedOn w:val="1"/>
    <w:link w:val="313"/>
    <w:qFormat/>
    <w:uiPriority w:val="0"/>
    <w:pPr>
      <w:spacing w:before="240" w:after="60" w:line="288" w:lineRule="auto"/>
      <w:ind w:firstLine="420"/>
      <w:jc w:val="center"/>
      <w:outlineLvl w:val="0"/>
    </w:pPr>
    <w:rPr>
      <w:rFonts w:ascii="Arial" w:hAnsi="Arial"/>
      <w:b/>
      <w:bCs/>
      <w:sz w:val="32"/>
      <w:szCs w:val="32"/>
    </w:rPr>
  </w:style>
  <w:style w:type="character" w:customStyle="1" w:styleId="313">
    <w:name w:val="标题 Char"/>
    <w:link w:val="312"/>
    <w:qFormat/>
    <w:uiPriority w:val="0"/>
    <w:rPr>
      <w:rFonts w:ascii="Arial" w:hAnsi="Arial" w:cs="Arial"/>
      <w:b/>
      <w:bCs/>
      <w:sz w:val="32"/>
      <w:szCs w:val="32"/>
    </w:rPr>
  </w:style>
  <w:style w:type="paragraph" w:customStyle="1" w:styleId="314">
    <w:name w:val="批注主题1"/>
    <w:basedOn w:val="258"/>
    <w:next w:val="258"/>
    <w:link w:val="315"/>
    <w:qFormat/>
    <w:uiPriority w:val="0"/>
    <w:rPr>
      <w:b/>
      <w:bCs/>
    </w:rPr>
  </w:style>
  <w:style w:type="character" w:customStyle="1" w:styleId="315">
    <w:name w:val="批注主题 Char"/>
    <w:link w:val="314"/>
    <w:qFormat/>
    <w:uiPriority w:val="0"/>
    <w:rPr>
      <w:rFonts w:eastAsia="宋体"/>
      <w:b/>
      <w:bCs/>
      <w:sz w:val="21"/>
      <w:szCs w:val="24"/>
      <w:lang w:val="en-US" w:eastAsia="zh-CN" w:bidi="ar-SA"/>
    </w:rPr>
  </w:style>
  <w:style w:type="paragraph" w:customStyle="1" w:styleId="316">
    <w:name w:val="正文首行缩进1"/>
    <w:basedOn w:val="268"/>
    <w:qFormat/>
    <w:uiPriority w:val="0"/>
    <w:pPr>
      <w:spacing w:after="120"/>
      <w:ind w:firstLine="420"/>
    </w:pPr>
  </w:style>
  <w:style w:type="paragraph" w:customStyle="1" w:styleId="317">
    <w:name w:val="正文首行缩进 21"/>
    <w:basedOn w:val="272"/>
    <w:link w:val="318"/>
    <w:qFormat/>
    <w:uiPriority w:val="0"/>
    <w:pPr>
      <w:widowControl w:val="0"/>
      <w:spacing w:after="120" w:line="240" w:lineRule="auto"/>
      <w:ind w:left="420" w:firstLine="420"/>
    </w:pPr>
    <w:rPr>
      <w:rFonts w:ascii="Cambria" w:hAnsi="Cambria" w:eastAsia="华文细黑"/>
      <w:sz w:val="21"/>
    </w:rPr>
  </w:style>
  <w:style w:type="character" w:customStyle="1" w:styleId="318">
    <w:name w:val="正文首行缩进 2 Char"/>
    <w:link w:val="317"/>
    <w:qFormat/>
    <w:uiPriority w:val="0"/>
    <w:rPr>
      <w:rFonts w:ascii="Cambria" w:hAnsi="Cambria" w:eastAsia="华文细黑"/>
      <w:sz w:val="21"/>
    </w:rPr>
  </w:style>
  <w:style w:type="table" w:customStyle="1" w:styleId="319">
    <w:name w:val="网格型11"/>
    <w:basedOn w:val="242"/>
    <w:qFormat/>
    <w:uiPriority w:val="0"/>
    <w:pPr>
      <w:widowControl w:val="0"/>
      <w:jc w:val="both"/>
    </w:pPr>
  </w:style>
  <w:style w:type="table" w:customStyle="1" w:styleId="320">
    <w:name w:val="网格型 211"/>
    <w:basedOn w:val="242"/>
    <w:qFormat/>
    <w:uiPriority w:val="0"/>
    <w:pPr>
      <w:widowControl w:val="0"/>
      <w:jc w:val="both"/>
    </w:pPr>
  </w:style>
  <w:style w:type="character" w:customStyle="1" w:styleId="321">
    <w:name w:val="要点1"/>
    <w:qFormat/>
    <w:uiPriority w:val="22"/>
    <w:rPr>
      <w:b/>
      <w:bCs/>
    </w:rPr>
  </w:style>
  <w:style w:type="character" w:customStyle="1" w:styleId="322">
    <w:name w:val="页码1"/>
    <w:qFormat/>
    <w:uiPriority w:val="0"/>
  </w:style>
  <w:style w:type="character" w:customStyle="1" w:styleId="323">
    <w:name w:val="已访问的超链接1"/>
    <w:qFormat/>
    <w:uiPriority w:val="99"/>
    <w:rPr>
      <w:color w:val="333333"/>
      <w:u w:val="none"/>
    </w:rPr>
  </w:style>
  <w:style w:type="character" w:customStyle="1" w:styleId="324">
    <w:name w:val="强调1"/>
    <w:qFormat/>
    <w:uiPriority w:val="0"/>
  </w:style>
  <w:style w:type="character" w:customStyle="1" w:styleId="325">
    <w:name w:val="HTML 定义1"/>
    <w:qFormat/>
    <w:uiPriority w:val="0"/>
  </w:style>
  <w:style w:type="character" w:customStyle="1" w:styleId="326">
    <w:name w:val="HTML 打字机1"/>
    <w:unhideWhenUsed/>
    <w:qFormat/>
    <w:uiPriority w:val="0"/>
    <w:rPr>
      <w:rFonts w:ascii="宋体" w:hAnsi="宋体" w:eastAsia="宋体" w:cs="宋体"/>
      <w:sz w:val="24"/>
      <w:szCs w:val="24"/>
    </w:rPr>
  </w:style>
  <w:style w:type="character" w:customStyle="1" w:styleId="327">
    <w:name w:val="HTML 变量1"/>
    <w:qFormat/>
    <w:uiPriority w:val="0"/>
  </w:style>
  <w:style w:type="character" w:customStyle="1" w:styleId="328">
    <w:name w:val="超链接1"/>
    <w:qFormat/>
    <w:uiPriority w:val="99"/>
    <w:rPr>
      <w:color w:val="333333"/>
      <w:u w:val="none"/>
    </w:rPr>
  </w:style>
  <w:style w:type="character" w:customStyle="1" w:styleId="329">
    <w:name w:val="HTML 代码1"/>
    <w:qFormat/>
    <w:uiPriority w:val="0"/>
    <w:rPr>
      <w:rFonts w:ascii="Courier New" w:hAnsi="Courier New"/>
      <w:sz w:val="20"/>
    </w:rPr>
  </w:style>
  <w:style w:type="character" w:customStyle="1" w:styleId="330">
    <w:name w:val="批注引用1"/>
    <w:qFormat/>
    <w:uiPriority w:val="0"/>
    <w:rPr>
      <w:sz w:val="21"/>
      <w:szCs w:val="21"/>
    </w:rPr>
  </w:style>
  <w:style w:type="character" w:customStyle="1" w:styleId="331">
    <w:name w:val="HTML 引文1"/>
    <w:qFormat/>
    <w:uiPriority w:val="0"/>
  </w:style>
  <w:style w:type="character" w:customStyle="1" w:styleId="332">
    <w:name w:val="脚注引用1"/>
    <w:qFormat/>
    <w:uiPriority w:val="0"/>
    <w:rPr>
      <w:rFonts w:ascii="宋体" w:hAnsi="宋体" w:eastAsia="宋体"/>
      <w:vertAlign w:val="superscript"/>
    </w:rPr>
  </w:style>
  <w:style w:type="paragraph" w:customStyle="1" w:styleId="333">
    <w:name w:val="列出段落1"/>
    <w:basedOn w:val="1"/>
    <w:qFormat/>
    <w:uiPriority w:val="34"/>
    <w:pPr>
      <w:ind w:firstLine="420"/>
    </w:pPr>
    <w:rPr>
      <w:rFonts w:ascii="Calibri" w:hAnsi="Calibri"/>
      <w:szCs w:val="22"/>
    </w:rPr>
  </w:style>
  <w:style w:type="character" w:customStyle="1" w:styleId="334">
    <w:name w:val="CODE"/>
    <w:qFormat/>
    <w:uiPriority w:val="0"/>
    <w:rPr>
      <w:rFonts w:ascii="华文细黑" w:hAnsi="华文细黑"/>
      <w:sz w:val="20"/>
    </w:rPr>
  </w:style>
  <w:style w:type="character" w:customStyle="1" w:styleId="335">
    <w:name w:val="Char Char"/>
    <w:qFormat/>
    <w:uiPriority w:val="0"/>
    <w:rPr>
      <w:rFonts w:eastAsia="宋体"/>
      <w:b/>
      <w:bCs/>
      <w:sz w:val="32"/>
      <w:szCs w:val="44"/>
      <w:lang w:val="en-US" w:eastAsia="zh-CN" w:bidi="ar-SA"/>
    </w:rPr>
  </w:style>
  <w:style w:type="character" w:customStyle="1" w:styleId="336">
    <w:name w:val="Para head"/>
    <w:qFormat/>
    <w:uiPriority w:val="0"/>
    <w:rPr>
      <w:rFonts w:ascii="Arial" w:hAnsi="Arial" w:eastAsia="Times New Roman"/>
      <w:sz w:val="20"/>
    </w:rPr>
  </w:style>
  <w:style w:type="character" w:customStyle="1" w:styleId="337">
    <w:name w:val="font81"/>
    <w:qFormat/>
    <w:uiPriority w:val="0"/>
    <w:rPr>
      <w:rFonts w:hint="eastAsia" w:ascii="宋体" w:hAnsi="宋体" w:eastAsia="宋体" w:cs="宋体"/>
      <w:b/>
      <w:color w:val="000000"/>
      <w:sz w:val="24"/>
      <w:szCs w:val="24"/>
      <w:u w:val="none"/>
    </w:rPr>
  </w:style>
  <w:style w:type="character" w:customStyle="1" w:styleId="338">
    <w:name w:val="text_list1"/>
    <w:qFormat/>
    <w:uiPriority w:val="0"/>
    <w:rPr>
      <w:rFonts w:ascii="Arial" w:hAnsi="Arial" w:cs="Arial"/>
      <w:color w:val="000000"/>
      <w:sz w:val="16"/>
      <w:szCs w:val="16"/>
    </w:rPr>
  </w:style>
  <w:style w:type="character" w:customStyle="1" w:styleId="339">
    <w:name w:val="标题 311"/>
    <w:qFormat/>
    <w:uiPriority w:val="0"/>
    <w:rPr>
      <w:rFonts w:hint="eastAsia" w:ascii="黑体" w:hAnsi="ˎ̥" w:eastAsia="黑体"/>
      <w:sz w:val="28"/>
    </w:rPr>
  </w:style>
  <w:style w:type="character" w:customStyle="1" w:styleId="340">
    <w:name w:val="font21"/>
    <w:qFormat/>
    <w:uiPriority w:val="0"/>
    <w:rPr>
      <w:rFonts w:hint="eastAsia" w:ascii="宋体" w:hAnsi="宋体" w:eastAsia="宋体" w:cs="宋体"/>
      <w:color w:val="000000"/>
      <w:sz w:val="18"/>
      <w:szCs w:val="18"/>
      <w:u w:val="none"/>
    </w:rPr>
  </w:style>
  <w:style w:type="character" w:customStyle="1" w:styleId="341">
    <w:name w:val="不明显强调1"/>
    <w:qFormat/>
    <w:uiPriority w:val="0"/>
    <w:rPr>
      <w:i/>
      <w:iCs/>
      <w:color w:val="808080"/>
    </w:rPr>
  </w:style>
  <w:style w:type="character" w:customStyle="1" w:styleId="342">
    <w:name w:val="bds_more"/>
    <w:qFormat/>
    <w:uiPriority w:val="0"/>
  </w:style>
  <w:style w:type="character" w:customStyle="1" w:styleId="343">
    <w:name w:val="批注主题 Char1"/>
    <w:qFormat/>
    <w:uiPriority w:val="0"/>
    <w:rPr>
      <w:b/>
      <w:bCs/>
      <w:sz w:val="21"/>
      <w:szCs w:val="22"/>
    </w:rPr>
  </w:style>
  <w:style w:type="character" w:customStyle="1" w:styleId="344">
    <w:name w:val="bds_more2"/>
    <w:qFormat/>
    <w:uiPriority w:val="0"/>
    <w:rPr>
      <w:rFonts w:hint="eastAsia" w:ascii="宋体" w:hAnsi="宋体" w:eastAsia="宋体" w:cs="宋体"/>
    </w:rPr>
  </w:style>
  <w:style w:type="character" w:customStyle="1" w:styleId="345">
    <w:name w:val="font01"/>
    <w:qFormat/>
    <w:uiPriority w:val="0"/>
    <w:rPr>
      <w:rFonts w:hint="eastAsia" w:ascii="宋体" w:hAnsi="宋体" w:eastAsia="宋体" w:cs="宋体"/>
      <w:color w:val="000000"/>
      <w:sz w:val="20"/>
      <w:szCs w:val="20"/>
      <w:u w:val="none"/>
    </w:rPr>
  </w:style>
  <w:style w:type="character" w:customStyle="1" w:styleId="346">
    <w:name w:val="表格正文 Char"/>
    <w:link w:val="347"/>
    <w:qFormat/>
    <w:uiPriority w:val="0"/>
    <w:rPr>
      <w:sz w:val="21"/>
      <w:szCs w:val="24"/>
    </w:rPr>
  </w:style>
  <w:style w:type="paragraph" w:customStyle="1" w:styleId="347">
    <w:name w:val="表格正文"/>
    <w:basedOn w:val="1"/>
    <w:link w:val="346"/>
    <w:qFormat/>
    <w:uiPriority w:val="0"/>
  </w:style>
  <w:style w:type="character" w:customStyle="1" w:styleId="348">
    <w:name w:val="明显引用 Char1"/>
    <w:qFormat/>
    <w:uiPriority w:val="30"/>
    <w:rPr>
      <w:b/>
      <w:bCs/>
      <w:i/>
      <w:iCs/>
      <w:color w:val="4F81BD"/>
      <w:sz w:val="21"/>
      <w:szCs w:val="24"/>
    </w:rPr>
  </w:style>
  <w:style w:type="character" w:customStyle="1" w:styleId="349">
    <w:name w:val="Definition"/>
    <w:qFormat/>
    <w:uiPriority w:val="0"/>
    <w:rPr>
      <w:i/>
    </w:rPr>
  </w:style>
  <w:style w:type="character" w:customStyle="1" w:styleId="350">
    <w:name w:val="不明显参考1"/>
    <w:qFormat/>
    <w:uiPriority w:val="0"/>
    <w:rPr>
      <w:smallCaps/>
      <w:color w:val="C0504D"/>
      <w:u w:val="single"/>
    </w:rPr>
  </w:style>
  <w:style w:type="character" w:customStyle="1" w:styleId="351">
    <w:name w:val="font11"/>
    <w:qFormat/>
    <w:uiPriority w:val="0"/>
    <w:rPr>
      <w:rFonts w:ascii="Times New Roman" w:hAnsi="Times New Roman" w:cs="Times New Roman"/>
      <w:color w:val="000000"/>
      <w:sz w:val="18"/>
      <w:szCs w:val="18"/>
      <w:u w:val="none"/>
    </w:rPr>
  </w:style>
  <w:style w:type="character" w:customStyle="1" w:styleId="352">
    <w:name w:val="Keyboard"/>
    <w:qFormat/>
    <w:uiPriority w:val="0"/>
    <w:rPr>
      <w:rFonts w:ascii="华文细黑" w:hAnsi="华文细黑"/>
      <w:b/>
      <w:sz w:val="20"/>
    </w:rPr>
  </w:style>
  <w:style w:type="character" w:customStyle="1" w:styleId="353">
    <w:name w:val="bds_nopic1"/>
    <w:qFormat/>
    <w:uiPriority w:val="0"/>
  </w:style>
  <w:style w:type="character" w:customStyle="1" w:styleId="354">
    <w:name w:val="脚注文本 Char1"/>
    <w:qFormat/>
    <w:uiPriority w:val="0"/>
    <w:rPr>
      <w:sz w:val="18"/>
      <w:szCs w:val="18"/>
    </w:rPr>
  </w:style>
  <w:style w:type="character" w:customStyle="1" w:styleId="355">
    <w:name w:val="Char Char Char"/>
    <w:qFormat/>
    <w:uiPriority w:val="0"/>
    <w:rPr>
      <w:rFonts w:ascii="宋体" w:hAnsi="宋体" w:eastAsia="宋体"/>
      <w:b/>
      <w:sz w:val="24"/>
      <w:lang w:val="en-US" w:eastAsia="zh-CN" w:bidi="ar-SA"/>
    </w:rPr>
  </w:style>
  <w:style w:type="character" w:customStyle="1" w:styleId="356">
    <w:name w:val="chword"/>
    <w:qFormat/>
    <w:uiPriority w:val="0"/>
  </w:style>
  <w:style w:type="character" w:customStyle="1" w:styleId="357">
    <w:name w:val="Char Char11"/>
    <w:qFormat/>
    <w:uiPriority w:val="0"/>
    <w:rPr>
      <w:rFonts w:eastAsia="宋体"/>
      <w:b/>
      <w:bCs/>
      <w:sz w:val="32"/>
      <w:szCs w:val="44"/>
      <w:lang w:val="en-US" w:eastAsia="zh-CN" w:bidi="ar-SA"/>
    </w:rPr>
  </w:style>
  <w:style w:type="character" w:customStyle="1" w:styleId="358">
    <w:name w:val="Comment"/>
    <w:qFormat/>
    <w:uiPriority w:val="0"/>
    <w:rPr>
      <w:vanish/>
    </w:rPr>
  </w:style>
  <w:style w:type="character" w:customStyle="1" w:styleId="359">
    <w:name w:val="bds_more1"/>
    <w:qFormat/>
    <w:uiPriority w:val="0"/>
  </w:style>
  <w:style w:type="character" w:customStyle="1" w:styleId="360">
    <w:name w:val="样式 标题 3 + (中文) 黑体 小四 非加粗 段前: 7.8 磅 段后: 0 磅 行距: 固定值 20 磅 Char"/>
    <w:qFormat/>
    <w:uiPriority w:val="0"/>
    <w:rPr>
      <w:rFonts w:ascii="幼圆" w:hAnsi="华文细黑" w:eastAsia="幼圆" w:cs="华文细黑"/>
      <w:b/>
      <w:bCs/>
      <w:sz w:val="24"/>
      <w:lang w:val="en-US" w:eastAsia="zh-CN" w:bidi="ar-SA"/>
    </w:rPr>
  </w:style>
  <w:style w:type="character" w:customStyle="1" w:styleId="361">
    <w:name w:val="样式 三号 下划线"/>
    <w:qFormat/>
    <w:uiPriority w:val="0"/>
    <w:rPr>
      <w:sz w:val="28"/>
      <w:u w:val="single"/>
    </w:rPr>
  </w:style>
  <w:style w:type="character" w:customStyle="1" w:styleId="362">
    <w:name w:val="明显参考1"/>
    <w:qFormat/>
    <w:uiPriority w:val="0"/>
    <w:rPr>
      <w:b/>
      <w:bCs/>
      <w:smallCaps/>
      <w:color w:val="C0504D"/>
      <w:spacing w:val="5"/>
      <w:u w:val="single"/>
    </w:rPr>
  </w:style>
  <w:style w:type="character" w:customStyle="1" w:styleId="363">
    <w:name w:val="标题5 Char Char"/>
    <w:link w:val="364"/>
    <w:qFormat/>
    <w:uiPriority w:val="0"/>
    <w:rPr>
      <w:rFonts w:ascii="Tahoma" w:hAnsi="Tahoma"/>
      <w:b/>
      <w:bCs/>
      <w:sz w:val="24"/>
      <w:szCs w:val="32"/>
    </w:rPr>
  </w:style>
  <w:style w:type="paragraph" w:customStyle="1" w:styleId="364">
    <w:name w:val="标题5"/>
    <w:basedOn w:val="233"/>
    <w:link w:val="363"/>
    <w:qFormat/>
    <w:uiPriority w:val="0"/>
    <w:pPr>
      <w:spacing w:line="413" w:lineRule="auto"/>
    </w:pPr>
    <w:rPr>
      <w:rFonts w:ascii="Tahoma" w:hAnsi="Tahoma" w:eastAsia="宋体"/>
      <w:sz w:val="24"/>
    </w:rPr>
  </w:style>
  <w:style w:type="character" w:customStyle="1" w:styleId="365">
    <w:name w:val="text1"/>
    <w:qFormat/>
    <w:uiPriority w:val="0"/>
    <w:rPr>
      <w:b/>
      <w:color w:val="000000"/>
      <w:sz w:val="21"/>
      <w:szCs w:val="21"/>
    </w:rPr>
  </w:style>
  <w:style w:type="character" w:customStyle="1" w:styleId="366">
    <w:name w:val="font41"/>
    <w:qFormat/>
    <w:uiPriority w:val="0"/>
    <w:rPr>
      <w:rFonts w:ascii="Times New Roman" w:hAnsi="Times New Roman" w:cs="Times New Roman"/>
      <w:color w:val="000000"/>
      <w:sz w:val="18"/>
      <w:szCs w:val="18"/>
      <w:u w:val="none"/>
    </w:rPr>
  </w:style>
  <w:style w:type="character" w:customStyle="1" w:styleId="367">
    <w:name w:val="gray"/>
    <w:qFormat/>
    <w:uiPriority w:val="0"/>
    <w:rPr>
      <w:color w:val="666666"/>
    </w:rPr>
  </w:style>
  <w:style w:type="character" w:customStyle="1" w:styleId="368">
    <w:name w:val="引用 Char"/>
    <w:link w:val="369"/>
    <w:qFormat/>
    <w:uiPriority w:val="0"/>
    <w:rPr>
      <w:i/>
      <w:iCs/>
      <w:color w:val="000000"/>
      <w:sz w:val="21"/>
      <w:szCs w:val="22"/>
    </w:rPr>
  </w:style>
  <w:style w:type="paragraph" w:customStyle="1" w:styleId="369">
    <w:name w:val="引用1"/>
    <w:basedOn w:val="1"/>
    <w:next w:val="1"/>
    <w:link w:val="368"/>
    <w:qFormat/>
    <w:uiPriority w:val="0"/>
    <w:rPr>
      <w:i/>
      <w:iCs/>
      <w:color w:val="000000"/>
      <w:szCs w:val="22"/>
    </w:rPr>
  </w:style>
  <w:style w:type="character" w:customStyle="1" w:styleId="370">
    <w:name w:val="批注框文本 Char1"/>
    <w:qFormat/>
    <w:uiPriority w:val="0"/>
    <w:rPr>
      <w:sz w:val="18"/>
      <w:szCs w:val="18"/>
    </w:rPr>
  </w:style>
  <w:style w:type="character" w:customStyle="1" w:styleId="371">
    <w:name w:val="批注文字 Char Char"/>
    <w:qFormat/>
    <w:uiPriority w:val="0"/>
    <w:rPr>
      <w:rFonts w:ascii="华文细黑" w:hAnsi="Cambria" w:eastAsia="华文细黑" w:cs="Cambria"/>
      <w:sz w:val="28"/>
      <w:szCs w:val="20"/>
    </w:rPr>
  </w:style>
  <w:style w:type="character" w:customStyle="1" w:styleId="372">
    <w:name w:val="结束语 Char1"/>
    <w:qFormat/>
    <w:uiPriority w:val="0"/>
    <w:rPr>
      <w:sz w:val="21"/>
      <w:szCs w:val="24"/>
    </w:rPr>
  </w:style>
  <w:style w:type="character" w:customStyle="1" w:styleId="373">
    <w:name w:val="HTML Markup"/>
    <w:qFormat/>
    <w:uiPriority w:val="0"/>
    <w:rPr>
      <w:vanish/>
      <w:color w:val="FF0000"/>
    </w:rPr>
  </w:style>
  <w:style w:type="character" w:customStyle="1" w:styleId="374">
    <w:name w:val="Char Char4"/>
    <w:qFormat/>
    <w:uiPriority w:val="0"/>
    <w:rPr>
      <w:rFonts w:ascii="华文细黑" w:hAnsi="华文细黑" w:eastAsia="幼圆" w:cs="Tahoma"/>
      <w:b/>
      <w:sz w:val="28"/>
      <w:szCs w:val="32"/>
      <w:lang w:val="en-US" w:eastAsia="zh-CN" w:bidi="ar-SA"/>
    </w:rPr>
  </w:style>
  <w:style w:type="character" w:customStyle="1" w:styleId="375">
    <w:name w:val="明显引用 Char"/>
    <w:link w:val="376"/>
    <w:qFormat/>
    <w:uiPriority w:val="0"/>
    <w:rPr>
      <w:b/>
      <w:bCs/>
      <w:i/>
      <w:iCs/>
      <w:color w:val="4F81BD"/>
      <w:sz w:val="21"/>
      <w:szCs w:val="22"/>
    </w:rPr>
  </w:style>
  <w:style w:type="paragraph" w:customStyle="1" w:styleId="376">
    <w:name w:val="明显引用1"/>
    <w:basedOn w:val="1"/>
    <w:next w:val="1"/>
    <w:link w:val="375"/>
    <w:qFormat/>
    <w:uiPriority w:val="0"/>
    <w:pPr>
      <w:pBdr>
        <w:bottom w:val="single" w:color="4F81BD" w:sz="4" w:space="4"/>
      </w:pBdr>
      <w:spacing w:before="200" w:after="280"/>
      <w:ind w:left="936" w:right="936"/>
    </w:pPr>
    <w:rPr>
      <w:b/>
      <w:bCs/>
      <w:i/>
      <w:iCs/>
      <w:color w:val="4F81BD"/>
      <w:szCs w:val="22"/>
    </w:rPr>
  </w:style>
  <w:style w:type="character" w:customStyle="1" w:styleId="377">
    <w:name w:val="bds_nopic2"/>
    <w:qFormat/>
    <w:uiPriority w:val="0"/>
  </w:style>
  <w:style w:type="character" w:customStyle="1" w:styleId="378">
    <w:name w:val="font91"/>
    <w:qFormat/>
    <w:uiPriority w:val="0"/>
    <w:rPr>
      <w:rFonts w:hint="eastAsia" w:ascii="宋体" w:hAnsi="宋体" w:eastAsia="宋体" w:cs="宋体"/>
      <w:b/>
      <w:color w:val="000000"/>
      <w:sz w:val="24"/>
      <w:szCs w:val="24"/>
      <w:u w:val="none"/>
    </w:rPr>
  </w:style>
  <w:style w:type="character" w:customStyle="1" w:styleId="379">
    <w:name w:val="itm1"/>
    <w:qFormat/>
    <w:uiPriority w:val="0"/>
    <w:rPr>
      <w:rFonts w:hint="eastAsia" w:ascii="宋体" w:hAnsi="宋体" w:eastAsia="宋体"/>
      <w:sz w:val="21"/>
      <w:szCs w:val="21"/>
    </w:rPr>
  </w:style>
  <w:style w:type="character" w:customStyle="1" w:styleId="380">
    <w:name w:val="引用 Char1"/>
    <w:qFormat/>
    <w:uiPriority w:val="29"/>
    <w:rPr>
      <w:i/>
      <w:iCs/>
      <w:color w:val="000000"/>
      <w:sz w:val="21"/>
      <w:szCs w:val="24"/>
    </w:rPr>
  </w:style>
  <w:style w:type="character" w:customStyle="1" w:styleId="381">
    <w:name w:val="Variable"/>
    <w:qFormat/>
    <w:uiPriority w:val="0"/>
    <w:rPr>
      <w:i/>
    </w:rPr>
  </w:style>
  <w:style w:type="character" w:customStyle="1" w:styleId="382">
    <w:name w:val="Char Char1"/>
    <w:qFormat/>
    <w:uiPriority w:val="0"/>
    <w:rPr>
      <w:rFonts w:ascii="幼圆" w:hAnsi="Tahoma" w:eastAsia="幼圆" w:cs="Tahoma"/>
      <w:b/>
      <w:bCs/>
      <w:sz w:val="32"/>
      <w:szCs w:val="32"/>
      <w:lang w:val="en-US" w:eastAsia="zh-CN" w:bidi="ar-SA"/>
    </w:rPr>
  </w:style>
  <w:style w:type="character" w:customStyle="1" w:styleId="383">
    <w:name w:val="HTML 预设格式 Char1"/>
    <w:qFormat/>
    <w:uiPriority w:val="0"/>
    <w:rPr>
      <w:rFonts w:ascii="Courier New" w:hAnsi="Courier New" w:cs="Courier New"/>
    </w:rPr>
  </w:style>
  <w:style w:type="character" w:customStyle="1" w:styleId="384">
    <w:name w:val="bds_nopic"/>
    <w:qFormat/>
    <w:uiPriority w:val="0"/>
  </w:style>
  <w:style w:type="character" w:customStyle="1" w:styleId="385">
    <w:name w:val="副标题 Char1"/>
    <w:qFormat/>
    <w:uiPriority w:val="0"/>
    <w:rPr>
      <w:rFonts w:ascii="Cambria" w:hAnsi="Cambria" w:cs="Times New Roman"/>
      <w:b/>
      <w:bCs/>
      <w:sz w:val="32"/>
      <w:szCs w:val="32"/>
    </w:rPr>
  </w:style>
  <w:style w:type="character" w:customStyle="1" w:styleId="386">
    <w:name w:val="font51"/>
    <w:qFormat/>
    <w:uiPriority w:val="0"/>
    <w:rPr>
      <w:rFonts w:hint="eastAsia" w:ascii="宋体" w:hAnsi="宋体" w:eastAsia="宋体" w:cs="宋体"/>
      <w:color w:val="000000"/>
      <w:sz w:val="24"/>
      <w:szCs w:val="24"/>
      <w:u w:val="none"/>
    </w:rPr>
  </w:style>
  <w:style w:type="character" w:customStyle="1" w:styleId="387">
    <w:name w:val="明显强调1"/>
    <w:qFormat/>
    <w:uiPriority w:val="0"/>
    <w:rPr>
      <w:b/>
      <w:bCs/>
      <w:i/>
      <w:iCs/>
      <w:color w:val="4F81BD"/>
    </w:rPr>
  </w:style>
  <w:style w:type="character" w:customStyle="1" w:styleId="388">
    <w:name w:val="CITE"/>
    <w:qFormat/>
    <w:uiPriority w:val="0"/>
    <w:rPr>
      <w:i/>
    </w:rPr>
  </w:style>
  <w:style w:type="character" w:customStyle="1" w:styleId="389">
    <w:name w:val="Sample"/>
    <w:qFormat/>
    <w:uiPriority w:val="0"/>
    <w:rPr>
      <w:rFonts w:ascii="华文细黑" w:hAnsi="华文细黑"/>
    </w:rPr>
  </w:style>
  <w:style w:type="character" w:customStyle="1" w:styleId="390">
    <w:name w:val="Typewriter"/>
    <w:qFormat/>
    <w:uiPriority w:val="0"/>
    <w:rPr>
      <w:rFonts w:ascii="华文细黑" w:hAnsi="华文细黑"/>
      <w:sz w:val="20"/>
    </w:rPr>
  </w:style>
  <w:style w:type="character" w:customStyle="1" w:styleId="391">
    <w:name w:val="正文文本缩进 Char"/>
    <w:qFormat/>
    <w:uiPriority w:val="0"/>
    <w:rPr>
      <w:rFonts w:ascii="Cambria" w:hAnsi="Cambria" w:eastAsia="华文细黑" w:cs="Cambria"/>
      <w:sz w:val="21"/>
      <w:szCs w:val="24"/>
    </w:rPr>
  </w:style>
  <w:style w:type="character" w:customStyle="1" w:styleId="392">
    <w:name w:val="正文文本 Char1"/>
    <w:qFormat/>
    <w:uiPriority w:val="0"/>
    <w:rPr>
      <w:sz w:val="21"/>
      <w:szCs w:val="22"/>
    </w:rPr>
  </w:style>
  <w:style w:type="character" w:customStyle="1" w:styleId="393">
    <w:name w:val="日期 Char1"/>
    <w:qFormat/>
    <w:uiPriority w:val="0"/>
    <w:rPr>
      <w:sz w:val="21"/>
      <w:szCs w:val="22"/>
    </w:rPr>
  </w:style>
  <w:style w:type="character" w:customStyle="1" w:styleId="394">
    <w:name w:val="textcontents"/>
    <w:qFormat/>
    <w:uiPriority w:val="0"/>
    <w:rPr>
      <w:rFonts w:cs="Cambria"/>
    </w:rPr>
  </w:style>
  <w:style w:type="character" w:customStyle="1" w:styleId="395">
    <w:name w:val="text"/>
    <w:qFormat/>
    <w:uiPriority w:val="0"/>
    <w:rPr>
      <w:b/>
      <w:color w:val="000000"/>
      <w:sz w:val="21"/>
      <w:szCs w:val="21"/>
    </w:rPr>
  </w:style>
  <w:style w:type="character" w:customStyle="1" w:styleId="396">
    <w:name w:val="称呼 Char1"/>
    <w:qFormat/>
    <w:uiPriority w:val="0"/>
    <w:rPr>
      <w:sz w:val="21"/>
      <w:szCs w:val="24"/>
    </w:rPr>
  </w:style>
  <w:style w:type="character" w:customStyle="1" w:styleId="397">
    <w:name w:val="Char Char2"/>
    <w:semiHidden/>
    <w:qFormat/>
    <w:uiPriority w:val="0"/>
    <w:rPr>
      <w:rFonts w:eastAsia="华文细黑"/>
      <w:sz w:val="21"/>
      <w:szCs w:val="24"/>
      <w:lang w:val="en-US" w:eastAsia="zh-CN" w:bidi="ar-SA"/>
    </w:rPr>
  </w:style>
  <w:style w:type="character" w:customStyle="1" w:styleId="398">
    <w:name w:val="书籍标题1"/>
    <w:qFormat/>
    <w:uiPriority w:val="0"/>
    <w:rPr>
      <w:b/>
      <w:bCs/>
      <w:smallCaps/>
      <w:spacing w:val="5"/>
    </w:rPr>
  </w:style>
  <w:style w:type="character" w:customStyle="1" w:styleId="399">
    <w:name w:val="Char Char3"/>
    <w:qFormat/>
    <w:uiPriority w:val="0"/>
    <w:rPr>
      <w:rFonts w:ascii="幼圆" w:hAnsi="华文细黑" w:eastAsia="幼圆" w:cs="Tahoma"/>
      <w:b/>
      <w:bCs/>
      <w:sz w:val="24"/>
      <w:szCs w:val="24"/>
      <w:lang w:val="en-US" w:eastAsia="zh-CN" w:bidi="ar-SA"/>
    </w:rPr>
  </w:style>
  <w:style w:type="character" w:customStyle="1" w:styleId="400">
    <w:name w:val="文档结构图 Char1"/>
    <w:qFormat/>
    <w:uiPriority w:val="0"/>
    <w:rPr>
      <w:rFonts w:ascii="华文细黑"/>
      <w:sz w:val="18"/>
      <w:szCs w:val="18"/>
    </w:rPr>
  </w:style>
  <w:style w:type="paragraph" w:customStyle="1" w:styleId="401">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02">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03">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404">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05">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06">
    <w:name w:val="z-Top of Form"/>
    <w:next w:val="1"/>
    <w:qFormat/>
    <w:uiPriority w:val="0"/>
    <w:pPr>
      <w:widowControl w:val="0"/>
      <w:pBdr>
        <w:bottom w:val="single" w:color="000000" w:sz="2" w:space="0"/>
      </w:pBdr>
      <w:jc w:val="center"/>
    </w:pPr>
    <w:rPr>
      <w:rFonts w:ascii="Tahoma" w:hAnsi="Tahoma" w:eastAsia="华文细黑" w:cs="Cambria"/>
      <w:vanish/>
      <w:sz w:val="16"/>
      <w:lang w:val="en-US" w:eastAsia="zh-CN" w:bidi="ar-SA"/>
    </w:rPr>
  </w:style>
  <w:style w:type="paragraph" w:customStyle="1" w:styleId="407">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08">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409">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10">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411">
    <w:name w:val="样式 标题 1 + 黑体 三号 非加粗 居中 段前: 6 磅 段后: 6 磅 行距: 固定值 20 磅"/>
    <w:basedOn w:val="231"/>
    <w:qFormat/>
    <w:uiPriority w:val="0"/>
    <w:pPr>
      <w:numPr>
        <w:numId w:val="0"/>
      </w:numPr>
      <w:tabs>
        <w:tab w:val="clear" w:pos="1800"/>
      </w:tabs>
      <w:spacing w:before="120" w:after="120" w:line="400" w:lineRule="exact"/>
    </w:pPr>
    <w:rPr>
      <w:rFonts w:ascii="幼圆" w:hAnsi="幼圆" w:eastAsia="幼圆" w:cs="华文细黑"/>
      <w:b w:val="0"/>
      <w:bCs w:val="0"/>
      <w:sz w:val="32"/>
      <w:szCs w:val="20"/>
    </w:rPr>
  </w:style>
  <w:style w:type="paragraph" w:customStyle="1" w:styleId="412">
    <w:name w:val="题注4"/>
    <w:basedOn w:val="1"/>
    <w:next w:val="254"/>
    <w:qFormat/>
    <w:uiPriority w:val="0"/>
    <w:pPr>
      <w:framePr w:hSpace="180" w:wrap="around" w:vAnchor="text" w:hAnchor="margin" w:y="514"/>
      <w:jc w:val="center"/>
    </w:pPr>
    <w:rPr>
      <w:b/>
      <w:color w:val="000000"/>
      <w:szCs w:val="21"/>
      <w:lang w:val="en-GB"/>
    </w:rPr>
  </w:style>
  <w:style w:type="paragraph" w:customStyle="1" w:styleId="413">
    <w:name w:val="表格文字"/>
    <w:basedOn w:val="1"/>
    <w:qFormat/>
    <w:uiPriority w:val="0"/>
    <w:pPr>
      <w:spacing w:line="288" w:lineRule="auto"/>
      <w:jc w:val="left"/>
    </w:pPr>
    <w:rPr>
      <w:szCs w:val="20"/>
    </w:rPr>
  </w:style>
  <w:style w:type="paragraph" w:customStyle="1" w:styleId="414">
    <w:name w:val="默认段落字体 Para Char Char Char"/>
    <w:basedOn w:val="1"/>
    <w:qFormat/>
    <w:uiPriority w:val="0"/>
  </w:style>
  <w:style w:type="paragraph" w:customStyle="1" w:styleId="415">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416">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17">
    <w:name w:val="Blockquote"/>
    <w:basedOn w:val="1"/>
    <w:qFormat/>
    <w:uiPriority w:val="0"/>
    <w:pPr>
      <w:spacing w:before="100" w:after="100"/>
      <w:ind w:left="360" w:right="360"/>
      <w:jc w:val="left"/>
    </w:pPr>
    <w:rPr>
      <w:rFonts w:ascii="Cambria" w:hAnsi="Cambria" w:eastAsia="华文细黑" w:cs="Cambria"/>
      <w:sz w:val="24"/>
      <w:szCs w:val="20"/>
    </w:rPr>
  </w:style>
  <w:style w:type="paragraph" w:customStyle="1" w:styleId="418">
    <w:name w:val="a2"/>
    <w:basedOn w:val="1"/>
    <w:qFormat/>
    <w:uiPriority w:val="0"/>
    <w:pPr>
      <w:widowControl/>
      <w:spacing w:before="100" w:beforeAutospacing="1" w:after="100" w:afterAutospacing="1"/>
      <w:jc w:val="left"/>
    </w:pPr>
    <w:rPr>
      <w:rFonts w:ascii="宋体" w:hAnsi="宋体" w:cs="宋体"/>
      <w:sz w:val="24"/>
    </w:rPr>
  </w:style>
  <w:style w:type="paragraph" w:customStyle="1" w:styleId="419">
    <w:name w:val="标题0"/>
    <w:basedOn w:val="312"/>
    <w:next w:val="312"/>
    <w:qFormat/>
    <w:uiPriority w:val="0"/>
    <w:rPr>
      <w:sz w:val="52"/>
    </w:rPr>
  </w:style>
  <w:style w:type="paragraph" w:customStyle="1" w:styleId="420">
    <w:name w:val="名词解释"/>
    <w:basedOn w:val="1"/>
    <w:qFormat/>
    <w:uiPriority w:val="0"/>
    <w:pPr>
      <w:spacing w:after="20" w:line="288" w:lineRule="auto"/>
      <w:ind w:left="2325" w:hanging="2325"/>
    </w:pPr>
    <w:rPr>
      <w:szCs w:val="20"/>
    </w:rPr>
  </w:style>
  <w:style w:type="paragraph" w:customStyle="1" w:styleId="421">
    <w:name w:val="Char Char Char Char Char Char Char Char Char Char Char Char Char Char Char Char"/>
    <w:basedOn w:val="1"/>
    <w:qFormat/>
    <w:uiPriority w:val="0"/>
    <w:pPr>
      <w:tabs>
        <w:tab w:val="left" w:pos="360"/>
      </w:tabs>
    </w:pPr>
    <w:rPr>
      <w:sz w:val="24"/>
    </w:rPr>
  </w:style>
  <w:style w:type="paragraph" w:customStyle="1" w:styleId="422">
    <w:name w:val="列出段落11"/>
    <w:basedOn w:val="1"/>
    <w:qFormat/>
    <w:uiPriority w:val="34"/>
    <w:pPr>
      <w:spacing w:before="120" w:after="120" w:line="360" w:lineRule="auto"/>
      <w:ind w:firstLine="420"/>
    </w:pPr>
    <w:rPr>
      <w:rFonts w:ascii="Calibri" w:hAnsi="Calibri"/>
      <w:sz w:val="24"/>
      <w:szCs w:val="22"/>
    </w:rPr>
  </w:style>
  <w:style w:type="paragraph" w:customStyle="1" w:styleId="423">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24">
    <w:name w:val="程序代码"/>
    <w:basedOn w:val="1"/>
    <w:qFormat/>
    <w:uiPriority w:val="0"/>
    <w:pPr>
      <w:spacing w:after="20" w:line="288" w:lineRule="auto"/>
      <w:ind w:left="839" w:firstLine="420"/>
    </w:pPr>
    <w:rPr>
      <w:rFonts w:eastAsia="仿宋_GB2312"/>
    </w:rPr>
  </w:style>
  <w:style w:type="paragraph" w:customStyle="1" w:styleId="425">
    <w:name w:val="默认段落字体 Para Char Char Char Char Char Char Char"/>
    <w:basedOn w:val="1"/>
    <w:qFormat/>
    <w:uiPriority w:val="0"/>
    <w:rPr>
      <w:rFonts w:eastAsia="华文细黑" w:cs="Cambria"/>
      <w:sz w:val="24"/>
      <w:szCs w:val="20"/>
    </w:rPr>
  </w:style>
  <w:style w:type="paragraph" w:customStyle="1" w:styleId="426">
    <w:name w:val="目录文字"/>
    <w:basedOn w:val="1"/>
    <w:qFormat/>
    <w:uiPriority w:val="0"/>
    <w:pPr>
      <w:widowControl/>
      <w:spacing w:line="480" w:lineRule="auto"/>
      <w:jc w:val="left"/>
    </w:pPr>
    <w:rPr>
      <w:rFonts w:ascii="宋体" w:hAnsi="宋体"/>
      <w:sz w:val="24"/>
      <w:szCs w:val="20"/>
    </w:rPr>
  </w:style>
  <w:style w:type="paragraph" w:customStyle="1" w:styleId="427">
    <w:name w:val="样式1"/>
    <w:basedOn w:val="1"/>
    <w:qFormat/>
    <w:uiPriority w:val="0"/>
    <w:pPr>
      <w:spacing w:before="120" w:after="120" w:line="300" w:lineRule="auto"/>
    </w:pPr>
    <w:rPr>
      <w:rFonts w:ascii="宋体" w:hAnsi="宋体"/>
      <w:b/>
      <w:sz w:val="24"/>
      <w:szCs w:val="20"/>
    </w:rPr>
  </w:style>
  <w:style w:type="paragraph" w:customStyle="1" w:styleId="428">
    <w:name w:val="菲页1"/>
    <w:basedOn w:val="232"/>
    <w:qFormat/>
    <w:uiPriority w:val="0"/>
    <w:pPr>
      <w:widowControl/>
      <w:numPr>
        <w:ilvl w:val="0"/>
        <w:numId w:val="0"/>
      </w:numPr>
      <w:tabs>
        <w:tab w:val="clear" w:pos="567"/>
      </w:tabs>
      <w:jc w:val="center"/>
    </w:pPr>
    <w:rPr>
      <w:rFonts w:ascii="黑体" w:hAnsi="宋体"/>
      <w:b w:val="0"/>
      <w:bCs w:val="0"/>
      <w:sz w:val="52"/>
      <w:szCs w:val="20"/>
    </w:rPr>
  </w:style>
  <w:style w:type="paragraph" w:customStyle="1" w:styleId="429">
    <w:name w:val="简介正文"/>
    <w:basedOn w:val="1"/>
    <w:qFormat/>
    <w:uiPriority w:val="0"/>
    <w:pPr>
      <w:numPr>
        <w:ilvl w:val="0"/>
        <w:numId w:val="4"/>
      </w:numPr>
      <w:tabs>
        <w:tab w:val="clear" w:pos="425"/>
      </w:tabs>
      <w:spacing w:after="20" w:line="520" w:lineRule="exact"/>
      <w:ind w:left="1701" w:hanging="1701"/>
    </w:pPr>
    <w:rPr>
      <w:sz w:val="24"/>
      <w:szCs w:val="20"/>
    </w:rPr>
  </w:style>
  <w:style w:type="paragraph" w:customStyle="1" w:styleId="430">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31">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32">
    <w:name w:val="名词解释11"/>
    <w:basedOn w:val="420"/>
    <w:qFormat/>
    <w:uiPriority w:val="0"/>
    <w:pPr>
      <w:spacing w:after="0"/>
      <w:ind w:firstLine="0"/>
    </w:pPr>
  </w:style>
  <w:style w:type="paragraph" w:customStyle="1" w:styleId="433">
    <w:name w:val="Address"/>
    <w:basedOn w:val="1"/>
    <w:next w:val="1"/>
    <w:qFormat/>
    <w:uiPriority w:val="0"/>
    <w:pPr>
      <w:jc w:val="left"/>
    </w:pPr>
    <w:rPr>
      <w:rFonts w:ascii="Cambria" w:hAnsi="Cambria" w:eastAsia="华文细黑" w:cs="Cambria"/>
      <w:i/>
      <w:sz w:val="24"/>
      <w:szCs w:val="20"/>
    </w:rPr>
  </w:style>
  <w:style w:type="paragraph" w:customStyle="1" w:styleId="434">
    <w:name w:val="Normal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35">
    <w:name w:val="CM41"/>
    <w:basedOn w:val="436"/>
    <w:next w:val="436"/>
    <w:qFormat/>
    <w:uiPriority w:val="99"/>
    <w:pPr>
      <w:spacing w:after="478"/>
    </w:pPr>
    <w:rPr>
      <w:rFonts w:ascii="Times New Roman PSMT" w:hAnsi="Times New Roman" w:eastAsia="Times New Roman PSMT" w:cs="Times New Roman PSMT"/>
    </w:rPr>
  </w:style>
  <w:style w:type="paragraph" w:customStyle="1" w:styleId="436">
    <w:name w:val="Default"/>
    <w:qFormat/>
    <w:uiPriority w:val="0"/>
    <w:pPr>
      <w:widowControl w:val="0"/>
    </w:pPr>
    <w:rPr>
      <w:rFonts w:ascii="宋体" w:hAnsi="宋体" w:eastAsia="华文细黑" w:cs="宋体"/>
      <w:color w:val="000000"/>
      <w:sz w:val="24"/>
      <w:szCs w:val="24"/>
      <w:lang w:val="en-US" w:eastAsia="zh-CN" w:bidi="ar-SA"/>
    </w:rPr>
  </w:style>
  <w:style w:type="paragraph" w:customStyle="1" w:styleId="437">
    <w:name w:val="列表2"/>
    <w:basedOn w:val="1"/>
    <w:qFormat/>
    <w:uiPriority w:val="0"/>
    <w:pPr>
      <w:tabs>
        <w:tab w:val="left" w:pos="1470"/>
      </w:tabs>
      <w:spacing w:after="20" w:line="288" w:lineRule="auto"/>
      <w:ind w:left="1469" w:hanging="420"/>
    </w:pPr>
  </w:style>
  <w:style w:type="paragraph" w:customStyle="1" w:styleId="438">
    <w:name w:val="Char Char Char Char Char Char Char Char Char Char"/>
    <w:basedOn w:val="1"/>
    <w:qFormat/>
    <w:uiPriority w:val="0"/>
    <w:pPr>
      <w:numPr>
        <w:ilvl w:val="0"/>
        <w:numId w:val="5"/>
      </w:numPr>
    </w:pPr>
    <w:rPr>
      <w:sz w:val="24"/>
    </w:rPr>
  </w:style>
  <w:style w:type="paragraph" w:customStyle="1" w:styleId="439">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440">
    <w:name w:val="TOC 标题11"/>
    <w:basedOn w:val="231"/>
    <w:next w:val="1"/>
    <w:unhideWhenUsed/>
    <w:qFormat/>
    <w:uiPriority w:val="39"/>
    <w:pPr>
      <w:widowControl/>
      <w:tabs>
        <w:tab w:val="left" w:pos="988"/>
      </w:tabs>
      <w:spacing w:before="240" w:after="0" w:line="259" w:lineRule="auto"/>
      <w:ind w:left="0" w:firstLine="0"/>
      <w:jc w:val="left"/>
      <w:outlineLvl w:val="9"/>
    </w:pPr>
    <w:rPr>
      <w:rFonts w:ascii="Cambria" w:hAnsi="Cambria" w:eastAsia="宋体"/>
      <w:b w:val="0"/>
      <w:bCs w:val="0"/>
      <w:color w:val="365F90"/>
      <w:sz w:val="32"/>
      <w:szCs w:val="32"/>
    </w:rPr>
  </w:style>
  <w:style w:type="paragraph" w:customStyle="1" w:styleId="441">
    <w:name w:val="样式 标题 2 + Times New Roman 四号 非加粗 段前: 5 磅 段后: 0 磅 行距: 固定值 20..."/>
    <w:basedOn w:val="232"/>
    <w:qFormat/>
    <w:uiPriority w:val="0"/>
    <w:pPr>
      <w:numPr>
        <w:ilvl w:val="0"/>
        <w:numId w:val="0"/>
      </w:numPr>
      <w:tabs>
        <w:tab w:val="clear" w:pos="567"/>
      </w:tabs>
      <w:spacing w:before="100" w:after="0" w:line="400" w:lineRule="exact"/>
    </w:pPr>
    <w:rPr>
      <w:rFonts w:ascii="Cambria" w:hAnsi="Cambria" w:eastAsia="幼圆" w:cs="华文细黑"/>
      <w:b w:val="0"/>
      <w:bCs w:val="0"/>
      <w:color w:val="FF0000"/>
      <w:sz w:val="30"/>
      <w:szCs w:val="20"/>
    </w:rPr>
  </w:style>
  <w:style w:type="paragraph" w:customStyle="1" w:styleId="442">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43">
    <w:name w:val="Char Char Char1 Char Char Char"/>
    <w:basedOn w:val="1"/>
    <w:qFormat/>
    <w:uiPriority w:val="0"/>
    <w:pPr>
      <w:ind w:firstLine="200"/>
    </w:pPr>
    <w:rPr>
      <w:rFonts w:ascii="Tahoma" w:hAnsi="Tahoma"/>
      <w:sz w:val="24"/>
      <w:szCs w:val="20"/>
    </w:rPr>
  </w:style>
  <w:style w:type="paragraph" w:customStyle="1" w:styleId="444">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45">
    <w:name w:val="Char Char Char Char Char Char Char1"/>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46">
    <w:name w:val="章标题"/>
    <w:next w:val="1"/>
    <w:qFormat/>
    <w:uiPriority w:val="0"/>
    <w:pPr>
      <w:numPr>
        <w:ilvl w:val="1"/>
        <w:numId w:val="6"/>
      </w:numPr>
      <w:spacing w:before="50" w:after="50"/>
      <w:jc w:val="both"/>
      <w:outlineLvl w:val="1"/>
    </w:pPr>
    <w:rPr>
      <w:rFonts w:ascii="黑体" w:hAnsi="Times New Roman" w:eastAsia="黑体" w:cs="Times New Roman"/>
      <w:sz w:val="21"/>
      <w:lang w:val="en-US" w:eastAsia="zh-CN" w:bidi="ar-SA"/>
    </w:rPr>
  </w:style>
  <w:style w:type="paragraph" w:customStyle="1" w:styleId="447">
    <w:name w:val="函数注释1"/>
    <w:basedOn w:val="1"/>
    <w:qFormat/>
    <w:uiPriority w:val="0"/>
    <w:pPr>
      <w:spacing w:after="20" w:line="320" w:lineRule="exact"/>
      <w:ind w:left="1678" w:right="210" w:hanging="1049"/>
      <w:jc w:val="left"/>
    </w:pPr>
    <w:rPr>
      <w:szCs w:val="20"/>
    </w:rPr>
  </w:style>
  <w:style w:type="paragraph" w:customStyle="1" w:styleId="448">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449">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50">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51">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452">
    <w:name w:val="Char Char Char Char"/>
    <w:basedOn w:val="1"/>
    <w:qFormat/>
    <w:uiPriority w:val="0"/>
    <w:pPr>
      <w:widowControl/>
      <w:numPr>
        <w:ilvl w:val="0"/>
        <w:numId w:val="7"/>
      </w:numPr>
      <w:tabs>
        <w:tab w:val="clear" w:pos="780"/>
      </w:tabs>
      <w:spacing w:after="120" w:line="360" w:lineRule="auto"/>
      <w:ind w:left="560" w:firstLine="480"/>
      <w:jc w:val="left"/>
    </w:pPr>
    <w:rPr>
      <w:rFonts w:ascii="Verdana" w:hAnsi="Verdana"/>
      <w:sz w:val="24"/>
    </w:rPr>
  </w:style>
  <w:style w:type="paragraph" w:customStyle="1" w:styleId="453">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54">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455">
    <w:name w:val="Char Char Char Char Char Char Char Char Char Char1"/>
    <w:basedOn w:val="1"/>
    <w:qFormat/>
    <w:uiPriority w:val="0"/>
    <w:pPr>
      <w:tabs>
        <w:tab w:val="left" w:pos="425"/>
      </w:tabs>
      <w:ind w:left="425" w:hanging="425"/>
    </w:pPr>
    <w:rPr>
      <w:sz w:val="28"/>
      <w:szCs w:val="20"/>
    </w:rPr>
  </w:style>
  <w:style w:type="paragraph" w:customStyle="1" w:styleId="456">
    <w:name w:val="标准式样"/>
    <w:basedOn w:val="302"/>
    <w:qFormat/>
    <w:uiPriority w:val="0"/>
  </w:style>
  <w:style w:type="paragraph" w:customStyle="1" w:styleId="457">
    <w:name w:val="样式2"/>
    <w:basedOn w:val="231"/>
    <w:qFormat/>
    <w:uiPriority w:val="0"/>
    <w:pPr>
      <w:numPr>
        <w:numId w:val="8"/>
      </w:numPr>
      <w:tabs>
        <w:tab w:val="left" w:pos="425"/>
      </w:tabs>
      <w:jc w:val="both"/>
    </w:pPr>
    <w:rPr>
      <w:rFonts w:ascii="Times New Roman"/>
      <w:sz w:val="32"/>
    </w:rPr>
  </w:style>
  <w:style w:type="paragraph" w:customStyle="1" w:styleId="458">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59">
    <w:name w:val="样式 标题 3 + (中文) 黑体 小四 非加粗 段前: 7.8 磅 段后: 0 磅 行距: 固定值 20 磅"/>
    <w:basedOn w:val="233"/>
    <w:qFormat/>
    <w:uiPriority w:val="0"/>
    <w:pPr>
      <w:tabs>
        <w:tab w:val="left" w:pos="7200"/>
      </w:tabs>
      <w:spacing w:before="0" w:after="0" w:line="400" w:lineRule="exact"/>
      <w:jc w:val="left"/>
    </w:pPr>
    <w:rPr>
      <w:rFonts w:ascii="华文细黑" w:hAnsi="华文细黑" w:eastAsia="幼圆" w:cs="华文细黑"/>
      <w:bCs w:val="0"/>
      <w:sz w:val="30"/>
      <w:szCs w:val="20"/>
    </w:rPr>
  </w:style>
  <w:style w:type="paragraph" w:customStyle="1" w:styleId="460">
    <w:name w:val="项目符号1"/>
    <w:basedOn w:val="1"/>
    <w:qFormat/>
    <w:uiPriority w:val="0"/>
    <w:pPr>
      <w:numPr>
        <w:ilvl w:val="1"/>
        <w:numId w:val="9"/>
      </w:numPr>
    </w:pPr>
    <w:rPr>
      <w:szCs w:val="20"/>
    </w:rPr>
  </w:style>
  <w:style w:type="paragraph" w:customStyle="1" w:styleId="461">
    <w:name w:val="样式 纯文本 + 楷体_GB2312 小四 行距: 固定值 20 磅1"/>
    <w:basedOn w:val="277"/>
    <w:qFormat/>
    <w:uiPriority w:val="0"/>
    <w:pPr>
      <w:spacing w:line="400" w:lineRule="exact"/>
      <w:ind w:firstLine="200"/>
    </w:pPr>
    <w:rPr>
      <w:rFonts w:ascii="楷体_GB2312" w:eastAsia="楷体_GB2312"/>
      <w:sz w:val="24"/>
      <w:szCs w:val="20"/>
    </w:rPr>
  </w:style>
  <w:style w:type="paragraph" w:customStyle="1" w:styleId="462">
    <w:name w:val="空半行"/>
    <w:basedOn w:val="1"/>
    <w:qFormat/>
    <w:uiPriority w:val="0"/>
    <w:pPr>
      <w:spacing w:line="120" w:lineRule="exact"/>
    </w:pPr>
    <w:rPr>
      <w:rFonts w:ascii="Cambria" w:hAnsi="Cambria" w:eastAsia="Tahoma" w:cs="Cambria"/>
      <w:color w:val="FFFFFF"/>
      <w:sz w:val="30"/>
      <w:szCs w:val="20"/>
    </w:rPr>
  </w:style>
  <w:style w:type="paragraph" w:customStyle="1" w:styleId="463">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64">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65">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66">
    <w:name w:val="Char1"/>
    <w:basedOn w:val="1"/>
    <w:qFormat/>
    <w:uiPriority w:val="0"/>
    <w:rPr>
      <w:rFonts w:ascii="仿宋_GB2312" w:eastAsia="仿宋_GB2312"/>
      <w:b/>
      <w:sz w:val="32"/>
      <w:szCs w:val="32"/>
    </w:rPr>
  </w:style>
  <w:style w:type="paragraph" w:customStyle="1" w:styleId="467">
    <w:name w:val="重点"/>
    <w:basedOn w:val="1"/>
    <w:qFormat/>
    <w:uiPriority w:val="0"/>
    <w:pPr>
      <w:shd w:val="pct10" w:color="auto" w:fill="auto"/>
      <w:spacing w:after="20" w:line="288" w:lineRule="auto"/>
      <w:ind w:firstLine="420"/>
    </w:pPr>
    <w:rPr>
      <w:rFonts w:eastAsia="黑体"/>
      <w:b/>
    </w:rPr>
  </w:style>
  <w:style w:type="paragraph" w:customStyle="1" w:styleId="468">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469">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70">
    <w:name w:val="ZDY正文"/>
    <w:basedOn w:val="1"/>
    <w:qFormat/>
    <w:uiPriority w:val="0"/>
    <w:pPr>
      <w:spacing w:line="360" w:lineRule="auto"/>
      <w:ind w:firstLine="200"/>
      <w:jc w:val="left"/>
    </w:pPr>
    <w:rPr>
      <w:rFonts w:ascii="宋体" w:hAnsi="宋体"/>
      <w:sz w:val="24"/>
    </w:rPr>
  </w:style>
  <w:style w:type="paragraph" w:customStyle="1" w:styleId="471">
    <w:name w:val="无间隔1"/>
    <w:qFormat/>
    <w:uiPriority w:val="0"/>
    <w:pPr>
      <w:widowControl w:val="0"/>
      <w:jc w:val="both"/>
    </w:pPr>
    <w:rPr>
      <w:rFonts w:ascii="仿宋_GB2312" w:hAnsi="仿宋_GB2312" w:eastAsia="华文细黑" w:cs="Cambria"/>
      <w:sz w:val="21"/>
      <w:szCs w:val="22"/>
      <w:lang w:val="en-US" w:eastAsia="zh-CN" w:bidi="ar-SA"/>
    </w:rPr>
  </w:style>
  <w:style w:type="paragraph" w:customStyle="1" w:styleId="472">
    <w:name w:val="表格"/>
    <w:basedOn w:val="1"/>
    <w:qFormat/>
    <w:uiPriority w:val="0"/>
    <w:pPr>
      <w:jc w:val="center"/>
    </w:pPr>
    <w:rPr>
      <w:szCs w:val="21"/>
    </w:rPr>
  </w:style>
  <w:style w:type="paragraph" w:customStyle="1" w:styleId="473">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474">
    <w:name w:val="默认段落字体 Para Char Char Char1 Char"/>
    <w:basedOn w:val="1"/>
    <w:qFormat/>
    <w:uiPriority w:val="0"/>
    <w:pPr>
      <w:spacing w:line="360" w:lineRule="auto"/>
      <w:ind w:left="420" w:firstLine="420"/>
    </w:pPr>
    <w:rPr>
      <w:sz w:val="24"/>
      <w:szCs w:val="21"/>
    </w:rPr>
  </w:style>
  <w:style w:type="paragraph" w:customStyle="1" w:styleId="475">
    <w:name w:val="项目编号1"/>
    <w:basedOn w:val="1"/>
    <w:next w:val="1"/>
    <w:qFormat/>
    <w:uiPriority w:val="0"/>
    <w:pPr>
      <w:numPr>
        <w:ilvl w:val="0"/>
        <w:numId w:val="10"/>
      </w:numPr>
      <w:spacing w:line="360" w:lineRule="auto"/>
      <w:jc w:val="left"/>
    </w:pPr>
    <w:rPr>
      <w:rFonts w:ascii="宋体"/>
      <w:sz w:val="24"/>
    </w:rPr>
  </w:style>
  <w:style w:type="paragraph" w:customStyle="1" w:styleId="476">
    <w:name w:val="CM4"/>
    <w:basedOn w:val="436"/>
    <w:next w:val="436"/>
    <w:qFormat/>
    <w:uiPriority w:val="99"/>
    <w:pPr>
      <w:spacing w:line="468" w:lineRule="atLeast"/>
    </w:pPr>
    <w:rPr>
      <w:rFonts w:ascii="Times New Roman PSMT" w:hAnsi="Times New Roman" w:eastAsia="Times New Roman PSMT" w:cs="Times New Roman PSMT"/>
    </w:rPr>
  </w:style>
  <w:style w:type="paragraph" w:customStyle="1" w:styleId="477">
    <w:name w:val="目录"/>
    <w:basedOn w:val="1"/>
    <w:next w:val="1"/>
    <w:qFormat/>
    <w:uiPriority w:val="0"/>
    <w:pPr>
      <w:spacing w:before="360" w:after="360" w:line="360" w:lineRule="auto"/>
      <w:ind w:firstLine="420"/>
      <w:jc w:val="center"/>
    </w:pPr>
    <w:rPr>
      <w:b/>
      <w:spacing w:val="200"/>
      <w:sz w:val="36"/>
      <w:szCs w:val="20"/>
    </w:rPr>
  </w:style>
  <w:style w:type="paragraph" w:customStyle="1" w:styleId="478">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79">
    <w:name w:val="样式 (西文) 仿宋_GB2312 居中 行距: 1.5 倍行距"/>
    <w:basedOn w:val="1"/>
    <w:qFormat/>
    <w:uiPriority w:val="0"/>
    <w:pPr>
      <w:spacing w:line="360" w:lineRule="auto"/>
      <w:jc w:val="center"/>
    </w:pPr>
    <w:rPr>
      <w:rFonts w:ascii="华文细黑" w:hAnsi="华文细黑" w:eastAsia="华文细黑" w:cs="华文细黑"/>
      <w:szCs w:val="20"/>
    </w:rPr>
  </w:style>
  <w:style w:type="paragraph" w:customStyle="1" w:styleId="480">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81">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482">
    <w:name w:val="Definition List"/>
    <w:basedOn w:val="1"/>
    <w:next w:val="483"/>
    <w:qFormat/>
    <w:uiPriority w:val="0"/>
    <w:pPr>
      <w:ind w:left="360"/>
      <w:jc w:val="left"/>
    </w:pPr>
    <w:rPr>
      <w:rFonts w:ascii="Cambria" w:hAnsi="Cambria" w:eastAsia="华文细黑" w:cs="Cambria"/>
      <w:sz w:val="24"/>
      <w:szCs w:val="20"/>
    </w:rPr>
  </w:style>
  <w:style w:type="paragraph" w:customStyle="1" w:styleId="483">
    <w:name w:val="Definition Term"/>
    <w:basedOn w:val="1"/>
    <w:next w:val="482"/>
    <w:qFormat/>
    <w:uiPriority w:val="0"/>
    <w:pPr>
      <w:jc w:val="left"/>
    </w:pPr>
    <w:rPr>
      <w:rFonts w:ascii="Cambria" w:hAnsi="Cambria" w:eastAsia="华文细黑" w:cs="Cambria"/>
      <w:sz w:val="24"/>
      <w:szCs w:val="20"/>
    </w:rPr>
  </w:style>
  <w:style w:type="paragraph" w:customStyle="1" w:styleId="484">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85">
    <w:name w:val="表头"/>
    <w:basedOn w:val="1"/>
    <w:qFormat/>
    <w:uiPriority w:val="0"/>
    <w:pPr>
      <w:spacing w:line="320" w:lineRule="atLeast"/>
      <w:jc w:val="center"/>
    </w:pPr>
    <w:rPr>
      <w:rFonts w:eastAsia="黑体"/>
      <w:spacing w:val="-10"/>
      <w:szCs w:val="20"/>
    </w:rPr>
  </w:style>
  <w:style w:type="paragraph" w:customStyle="1" w:styleId="486">
    <w:name w:val="表中"/>
    <w:basedOn w:val="1"/>
    <w:qFormat/>
    <w:uiPriority w:val="0"/>
    <w:pPr>
      <w:spacing w:line="360" w:lineRule="atLeast"/>
      <w:jc w:val="center"/>
    </w:pPr>
    <w:rPr>
      <w:szCs w:val="20"/>
    </w:rPr>
  </w:style>
  <w:style w:type="paragraph" w:customStyle="1" w:styleId="487">
    <w:name w:val="菲页(卷)"/>
    <w:basedOn w:val="231"/>
    <w:next w:val="434"/>
    <w:qFormat/>
    <w:uiPriority w:val="0"/>
    <w:pPr>
      <w:keepLines w:val="0"/>
      <w:widowControl/>
      <w:spacing w:before="0" w:after="0" w:line="240" w:lineRule="auto"/>
      <w:ind w:left="780" w:hanging="360"/>
      <w:outlineLvl w:val="1"/>
    </w:pPr>
    <w:rPr>
      <w:b w:val="0"/>
      <w:bCs w:val="0"/>
      <w:sz w:val="52"/>
      <w:szCs w:val="20"/>
    </w:rPr>
  </w:style>
  <w:style w:type="paragraph" w:customStyle="1" w:styleId="488">
    <w:name w:val="1"/>
    <w:basedOn w:val="1"/>
    <w:qFormat/>
    <w:uiPriority w:val="0"/>
    <w:pPr>
      <w:spacing w:line="360" w:lineRule="auto"/>
      <w:ind w:firstLine="200"/>
    </w:pPr>
    <w:rPr>
      <w:rFonts w:ascii="华文细黑" w:hAnsi="华文细黑" w:eastAsia="华文细黑" w:cs="华文细黑"/>
      <w:sz w:val="24"/>
    </w:rPr>
  </w:style>
  <w:style w:type="paragraph" w:customStyle="1" w:styleId="489">
    <w:name w:val="函数注释2"/>
    <w:basedOn w:val="1"/>
    <w:qFormat/>
    <w:uiPriority w:val="0"/>
    <w:pPr>
      <w:spacing w:after="20" w:line="288" w:lineRule="auto"/>
      <w:ind w:left="1680" w:firstLine="420"/>
    </w:pPr>
  </w:style>
  <w:style w:type="paragraph" w:customStyle="1" w:styleId="490">
    <w:name w:val="Char Char Char Char Char Char Char Char Char Char2"/>
    <w:basedOn w:val="1"/>
    <w:qFormat/>
    <w:uiPriority w:val="0"/>
    <w:pPr>
      <w:tabs>
        <w:tab w:val="left" w:pos="360"/>
      </w:tabs>
    </w:pPr>
  </w:style>
  <w:style w:type="paragraph" w:customStyle="1" w:styleId="491">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92">
    <w:name w:val="Char Char Char Char Char Char Char Char Char Char Char Char Char Char Char Char1"/>
    <w:basedOn w:val="1"/>
    <w:qFormat/>
    <w:uiPriority w:val="0"/>
    <w:pPr>
      <w:tabs>
        <w:tab w:val="left" w:pos="360"/>
      </w:tabs>
    </w:pPr>
    <w:rPr>
      <w:sz w:val="24"/>
    </w:rPr>
  </w:style>
  <w:style w:type="paragraph" w:customStyle="1" w:styleId="493">
    <w:name w:val="表格标题"/>
    <w:basedOn w:val="1"/>
    <w:qFormat/>
    <w:uiPriority w:val="0"/>
    <w:pPr>
      <w:spacing w:before="120" w:line="400" w:lineRule="exact"/>
      <w:jc w:val="center"/>
    </w:pPr>
    <w:rPr>
      <w:rFonts w:eastAsia="文鼎CS中宋"/>
      <w:spacing w:val="8"/>
      <w:sz w:val="24"/>
      <w:szCs w:val="20"/>
    </w:rPr>
  </w:style>
  <w:style w:type="paragraph" w:customStyle="1" w:styleId="494">
    <w:name w:val="表蕊"/>
    <w:basedOn w:val="1"/>
    <w:qFormat/>
    <w:uiPriority w:val="0"/>
    <w:pPr>
      <w:spacing w:line="320" w:lineRule="atLeast"/>
      <w:jc w:val="left"/>
    </w:pPr>
    <w:rPr>
      <w:rFonts w:eastAsia="楷体_GB2312"/>
      <w:spacing w:val="-10"/>
      <w:szCs w:val="20"/>
    </w:rPr>
  </w:style>
  <w:style w:type="paragraph" w:customStyle="1" w:styleId="495">
    <w:name w:val="Char"/>
    <w:basedOn w:val="1"/>
    <w:qFormat/>
    <w:uiPriority w:val="0"/>
    <w:pPr>
      <w:spacing w:line="240" w:lineRule="atLeast"/>
      <w:ind w:left="420" w:firstLine="420"/>
    </w:pPr>
    <w:rPr>
      <w:szCs w:val="21"/>
    </w:rPr>
  </w:style>
  <w:style w:type="paragraph" w:customStyle="1" w:styleId="496">
    <w:name w:val="TOC 标题2"/>
    <w:basedOn w:val="231"/>
    <w:next w:val="1"/>
    <w:qFormat/>
    <w:uiPriority w:val="0"/>
    <w:pPr>
      <w:numPr>
        <w:numId w:val="0"/>
      </w:numPr>
      <w:tabs>
        <w:tab w:val="clear" w:pos="1800"/>
      </w:tabs>
      <w:jc w:val="both"/>
      <w:outlineLvl w:val="9"/>
    </w:pPr>
    <w:rPr>
      <w:rFonts w:ascii="Cambria" w:hAnsi="Cambria" w:eastAsia="华文细黑" w:cs="Cambria"/>
    </w:rPr>
  </w:style>
  <w:style w:type="paragraph" w:customStyle="1" w:styleId="497">
    <w:name w:val="yyn"/>
    <w:basedOn w:val="1"/>
    <w:qFormat/>
    <w:uiPriority w:val="0"/>
    <w:pPr>
      <w:keepNext/>
      <w:widowControl/>
      <w:spacing w:line="360" w:lineRule="auto"/>
      <w:ind w:right="562" w:firstLine="576"/>
    </w:pPr>
    <w:rPr>
      <w:rFonts w:ascii="宋体"/>
      <w:sz w:val="28"/>
      <w:szCs w:val="20"/>
    </w:rPr>
  </w:style>
  <w:style w:type="paragraph" w:customStyle="1" w:styleId="498">
    <w:name w:val="无间隔11"/>
    <w:qFormat/>
    <w:uiPriority w:val="1"/>
    <w:pPr>
      <w:widowControl w:val="0"/>
      <w:jc w:val="both"/>
    </w:pPr>
    <w:rPr>
      <w:rFonts w:ascii="Calibri" w:hAnsi="Calibri" w:eastAsia="宋体" w:cs="Times New Roman"/>
      <w:sz w:val="21"/>
      <w:szCs w:val="22"/>
      <w:lang w:val="en-US" w:eastAsia="zh-CN" w:bidi="ar-SA"/>
    </w:rPr>
  </w:style>
  <w:style w:type="paragraph" w:customStyle="1" w:styleId="499">
    <w:name w:val="默认段落字体 Para Char"/>
    <w:basedOn w:val="1"/>
    <w:qFormat/>
    <w:uiPriority w:val="0"/>
    <w:pPr>
      <w:spacing w:line="360" w:lineRule="auto"/>
      <w:ind w:firstLine="200"/>
    </w:pPr>
    <w:rPr>
      <w:rFonts w:ascii="华文细黑" w:hAnsi="华文细黑" w:eastAsia="华文细黑" w:cs="华文细黑"/>
      <w:sz w:val="24"/>
    </w:rPr>
  </w:style>
  <w:style w:type="paragraph" w:customStyle="1" w:styleId="500">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501">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502">
    <w:name w:val="flNote"/>
    <w:basedOn w:val="1"/>
    <w:qFormat/>
    <w:uiPriority w:val="0"/>
    <w:pPr>
      <w:spacing w:before="320" w:after="160" w:line="360" w:lineRule="atLeast"/>
      <w:jc w:val="center"/>
    </w:pPr>
    <w:rPr>
      <w:rFonts w:ascii="Tahoma" w:hAnsi="Cambria" w:eastAsia="幼圆" w:cs="Cambria"/>
      <w:sz w:val="30"/>
      <w:szCs w:val="20"/>
    </w:rPr>
  </w:style>
  <w:style w:type="paragraph" w:customStyle="1" w:styleId="503">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504">
    <w:name w:val="Default Paragraph Font Para Char"/>
    <w:basedOn w:val="1"/>
    <w:qFormat/>
    <w:uiPriority w:val="0"/>
    <w:pPr>
      <w:widowControl/>
      <w:spacing w:after="160" w:line="240" w:lineRule="exact"/>
      <w:jc w:val="left"/>
    </w:pPr>
  </w:style>
  <w:style w:type="paragraph" w:customStyle="1" w:styleId="505">
    <w:name w:val="Char Char Char Char1"/>
    <w:basedOn w:val="1"/>
    <w:qFormat/>
    <w:uiPriority w:val="0"/>
    <w:rPr>
      <w:rFonts w:ascii="Tahoma" w:hAnsi="Tahoma"/>
      <w:sz w:val="24"/>
      <w:szCs w:val="20"/>
    </w:rPr>
  </w:style>
  <w:style w:type="paragraph" w:customStyle="1" w:styleId="506">
    <w:name w:val="修订1"/>
    <w:qFormat/>
    <w:uiPriority w:val="0"/>
    <w:rPr>
      <w:rFonts w:ascii="Cambria" w:hAnsi="Cambria" w:eastAsia="华文细黑" w:cs="Cambria"/>
      <w:sz w:val="21"/>
      <w:szCs w:val="24"/>
      <w:lang w:val="en-US" w:eastAsia="zh-CN" w:bidi="ar-SA"/>
    </w:rPr>
  </w:style>
  <w:style w:type="paragraph" w:customStyle="1" w:styleId="507">
    <w:name w:val="标准文字"/>
    <w:basedOn w:val="1"/>
    <w:qFormat/>
    <w:uiPriority w:val="0"/>
    <w:pPr>
      <w:spacing w:after="20" w:line="360" w:lineRule="auto"/>
      <w:ind w:firstLine="420"/>
    </w:pPr>
  </w:style>
  <w:style w:type="paragraph" w:customStyle="1" w:styleId="508">
    <w:name w:val="Char2"/>
    <w:basedOn w:val="1"/>
    <w:qFormat/>
    <w:uiPriority w:val="0"/>
    <w:rPr>
      <w:rFonts w:ascii="仿宋_GB2312" w:eastAsia="仿宋_GB2312"/>
      <w:b/>
      <w:sz w:val="32"/>
      <w:szCs w:val="32"/>
    </w:rPr>
  </w:style>
  <w:style w:type="paragraph" w:customStyle="1" w:styleId="509">
    <w:name w:val="菲页2"/>
    <w:basedOn w:val="233"/>
    <w:qFormat/>
    <w:uiPriority w:val="0"/>
    <w:pPr>
      <w:widowControl/>
      <w:spacing w:before="120" w:after="120" w:line="360" w:lineRule="auto"/>
      <w:ind w:left="6233" w:hanging="420"/>
      <w:jc w:val="center"/>
    </w:pPr>
    <w:rPr>
      <w:rFonts w:hAnsi="宋体"/>
      <w:b w:val="0"/>
      <w:bCs w:val="0"/>
      <w:sz w:val="44"/>
      <w:szCs w:val="20"/>
    </w:rPr>
  </w:style>
  <w:style w:type="paragraph" w:customStyle="1" w:styleId="510">
    <w:name w:val="p0"/>
    <w:basedOn w:val="1"/>
    <w:qFormat/>
    <w:uiPriority w:val="0"/>
    <w:pPr>
      <w:widowControl/>
    </w:pPr>
    <w:rPr>
      <w:szCs w:val="21"/>
    </w:rPr>
  </w:style>
  <w:style w:type="paragraph" w:customStyle="1" w:styleId="511">
    <w:name w:val="列表_名词"/>
    <w:basedOn w:val="432"/>
    <w:qFormat/>
    <w:uiPriority w:val="0"/>
    <w:pPr>
      <w:tabs>
        <w:tab w:val="left" w:pos="2745"/>
      </w:tabs>
      <w:ind w:left="2745" w:hanging="420"/>
    </w:pPr>
  </w:style>
  <w:style w:type="paragraph" w:customStyle="1" w:styleId="512">
    <w:name w:val="Char Char Char Char Char Char1"/>
    <w:basedOn w:val="1"/>
    <w:qFormat/>
    <w:uiPriority w:val="0"/>
    <w:pPr>
      <w:widowControl/>
      <w:spacing w:after="160" w:line="240" w:lineRule="exact"/>
      <w:jc w:val="left"/>
    </w:pPr>
    <w:rPr>
      <w:rFonts w:ascii="黑体" w:hAnsi="Verdana" w:eastAsia="黑体"/>
      <w:sz w:val="32"/>
      <w:szCs w:val="32"/>
    </w:rPr>
  </w:style>
  <w:style w:type="paragraph" w:customStyle="1" w:styleId="513">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14">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515">
    <w:name w:val="Javis"/>
    <w:basedOn w:val="1"/>
    <w:qFormat/>
    <w:uiPriority w:val="0"/>
    <w:pPr>
      <w:ind w:right="210"/>
    </w:pPr>
    <w:rPr>
      <w:rFonts w:cs="宋体"/>
      <w:sz w:val="24"/>
      <w:szCs w:val="20"/>
    </w:rPr>
  </w:style>
  <w:style w:type="paragraph" w:styleId="516">
    <w:name w:val="List Paragraph"/>
    <w:basedOn w:val="1"/>
    <w:qFormat/>
    <w:uiPriority w:val="34"/>
    <w:pPr>
      <w:ind w:firstLine="420"/>
    </w:pPr>
    <w:rPr>
      <w:rFonts w:ascii="Calibri" w:hAnsi="Calibri"/>
      <w:szCs w:val="22"/>
    </w:rPr>
  </w:style>
  <w:style w:type="paragraph" w:customStyle="1" w:styleId="517">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518">
    <w:name w:val="图形"/>
    <w:basedOn w:val="1"/>
    <w:qFormat/>
    <w:uiPriority w:val="0"/>
    <w:pPr>
      <w:spacing w:after="20" w:line="288" w:lineRule="auto"/>
      <w:ind w:firstLine="420"/>
      <w:jc w:val="center"/>
    </w:pPr>
  </w:style>
  <w:style w:type="paragraph" w:customStyle="1" w:styleId="519">
    <w:name w:val="Char Char Char1 Char Char Char1"/>
    <w:basedOn w:val="1"/>
    <w:qFormat/>
    <w:uiPriority w:val="0"/>
    <w:pPr>
      <w:ind w:firstLine="200"/>
    </w:pPr>
    <w:rPr>
      <w:rFonts w:ascii="Tahoma" w:hAnsi="Tahoma"/>
      <w:sz w:val="24"/>
      <w:szCs w:val="20"/>
    </w:rPr>
  </w:style>
  <w:style w:type="paragraph" w:customStyle="1" w:styleId="520">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521">
    <w:name w:val="z-Bottom of Form"/>
    <w:next w:val="1"/>
    <w:qFormat/>
    <w:uiPriority w:val="0"/>
    <w:pPr>
      <w:widowControl w:val="0"/>
      <w:pBdr>
        <w:top w:val="single" w:color="000000" w:sz="2" w:space="0"/>
      </w:pBdr>
      <w:jc w:val="center"/>
    </w:pPr>
    <w:rPr>
      <w:rFonts w:ascii="Tahoma" w:hAnsi="Tahoma" w:eastAsia="华文细黑" w:cs="Cambria"/>
      <w:vanish/>
      <w:sz w:val="16"/>
      <w:lang w:val="en-US" w:eastAsia="zh-CN" w:bidi="ar-SA"/>
    </w:rPr>
  </w:style>
  <w:style w:type="paragraph" w:customStyle="1" w:styleId="522">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523">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524">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25">
    <w:name w:val="项目编号3"/>
    <w:basedOn w:val="1"/>
    <w:next w:val="1"/>
    <w:qFormat/>
    <w:uiPriority w:val="0"/>
    <w:pPr>
      <w:numPr>
        <w:ilvl w:val="0"/>
        <w:numId w:val="11"/>
      </w:numPr>
      <w:spacing w:line="360" w:lineRule="auto"/>
      <w:ind w:left="0" w:firstLine="200"/>
      <w:jc w:val="left"/>
    </w:pPr>
    <w:rPr>
      <w:rFonts w:ascii="宋体"/>
      <w:sz w:val="24"/>
    </w:rPr>
  </w:style>
  <w:style w:type="paragraph" w:customStyle="1" w:styleId="526">
    <w:name w:val="正文(缩进)"/>
    <w:basedOn w:val="1"/>
    <w:qFormat/>
    <w:uiPriority w:val="0"/>
    <w:pPr>
      <w:widowControl/>
      <w:spacing w:line="360" w:lineRule="auto"/>
      <w:ind w:firstLine="200"/>
    </w:pPr>
    <w:rPr>
      <w:rFonts w:eastAsia="仿宋_GB2312"/>
      <w:sz w:val="24"/>
      <w:szCs w:val="20"/>
    </w:rPr>
  </w:style>
  <w:style w:type="table" w:customStyle="1" w:styleId="527">
    <w:name w:val="Table Normal"/>
    <w:qFormat/>
    <w:uiPriority w:val="0"/>
    <w:tblPr>
      <w:tblCellMar>
        <w:top w:w="0" w:type="dxa"/>
        <w:left w:w="0" w:type="dxa"/>
        <w:bottom w:w="0" w:type="dxa"/>
        <w:right w:w="0" w:type="dxa"/>
      </w:tblCellMar>
    </w:tblPr>
  </w:style>
  <w:style w:type="table" w:customStyle="1" w:styleId="528">
    <w:name w:val="网格型1"/>
    <w:basedOn w:val="242"/>
    <w:qFormat/>
    <w:uiPriority w:val="0"/>
    <w:pPr>
      <w:widowControl w:val="0"/>
      <w:jc w:val="both"/>
    </w:pPr>
    <w:rPr>
      <w:rFonts w:ascii="Cambria" w:hAnsi="Cambria" w:eastAsia="华文细黑" w:cs="Cambria"/>
    </w:rPr>
  </w:style>
  <w:style w:type="table" w:customStyle="1" w:styleId="529">
    <w:name w:val="网格型 21"/>
    <w:basedOn w:val="242"/>
    <w:qFormat/>
    <w:uiPriority w:val="0"/>
    <w:pPr>
      <w:widowControl w:val="0"/>
      <w:jc w:val="both"/>
    </w:pPr>
  </w:style>
  <w:style w:type="paragraph" w:customStyle="1" w:styleId="530">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531">
    <w:name w:val="列表段落1"/>
    <w:basedOn w:val="1"/>
    <w:qFormat/>
    <w:uiPriority w:val="0"/>
    <w:pPr>
      <w:ind w:firstLine="420"/>
    </w:pPr>
  </w:style>
  <w:style w:type="paragraph" w:customStyle="1" w:styleId="532">
    <w:name w:val="正文文本首行缩进 21"/>
    <w:basedOn w:val="272"/>
    <w:qFormat/>
    <w:uiPriority w:val="99"/>
    <w:pPr>
      <w:spacing w:line="200" w:lineRule="atLeast"/>
      <w:ind w:firstLine="420"/>
    </w:pPr>
    <w:rPr>
      <w:rFonts w:ascii="宋体" w:hAnsi="Courier New"/>
      <w:spacing w:val="-4"/>
      <w:sz w:val="18"/>
    </w:rPr>
  </w:style>
  <w:style w:type="table" w:customStyle="1" w:styleId="533">
    <w:name w:val="普通表格1"/>
    <w:unhideWhenUsed/>
    <w:qFormat/>
    <w:uiPriority w:val="99"/>
    <w:tblPr>
      <w:tblCellMar>
        <w:top w:w="0" w:type="dxa"/>
        <w:left w:w="0" w:type="dxa"/>
        <w:bottom w:w="0" w:type="dxa"/>
        <w:right w:w="0" w:type="dxa"/>
      </w:tblCellMar>
    </w:tblPr>
  </w:style>
  <w:style w:type="character" w:customStyle="1" w:styleId="534">
    <w:name w:val="NormalCharacter1"/>
    <w:link w:val="535"/>
    <w:qFormat/>
    <w:uiPriority w:val="0"/>
    <w:rPr>
      <w:sz w:val="20"/>
    </w:rPr>
  </w:style>
  <w:style w:type="paragraph" w:customStyle="1" w:styleId="535">
    <w:name w:val="UserStyle_4"/>
    <w:basedOn w:val="1"/>
    <w:link w:val="534"/>
    <w:qFormat/>
    <w:uiPriority w:val="99"/>
    <w:pPr>
      <w:widowControl/>
    </w:pPr>
    <w:rPr>
      <w:sz w:val="20"/>
    </w:rPr>
  </w:style>
  <w:style w:type="character" w:customStyle="1" w:styleId="536">
    <w:name w:val="font71"/>
    <w:qFormat/>
    <w:uiPriority w:val="0"/>
    <w:rPr>
      <w:rFonts w:hint="eastAsia" w:ascii="宋体" w:hAnsi="宋体" w:eastAsia="宋体" w:cs="宋体"/>
      <w:color w:val="000000"/>
      <w:sz w:val="24"/>
      <w:szCs w:val="24"/>
      <w:u w:val="none"/>
    </w:rPr>
  </w:style>
  <w:style w:type="character" w:customStyle="1" w:styleId="537">
    <w:name w:val="批注文字 Char1"/>
    <w:basedOn w:val="39"/>
    <w:link w:val="15"/>
    <w:qFormat/>
    <w:uiPriority w:val="99"/>
    <w:rPr>
      <w:sz w:val="21"/>
      <w:szCs w:val="24"/>
    </w:rPr>
  </w:style>
  <w:style w:type="character" w:customStyle="1" w:styleId="538">
    <w:name w:val="批注主题 Char2"/>
    <w:basedOn w:val="537"/>
    <w:link w:val="36"/>
    <w:semiHidden/>
    <w:qFormat/>
    <w:uiPriority w:val="99"/>
    <w:rPr>
      <w:b/>
      <w:bCs/>
      <w:sz w:val="21"/>
      <w:szCs w:val="24"/>
    </w:rPr>
  </w:style>
  <w:style w:type="character" w:customStyle="1" w:styleId="539">
    <w:name w:val="NormalCharacter"/>
    <w:qFormat/>
    <w:uiPriority w:val="0"/>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Company>
  <Pages>39</Pages>
  <Words>16704</Words>
  <Characters>17455</Characters>
  <Lines>178</Lines>
  <Paragraphs>50</Paragraphs>
  <TotalTime>16</TotalTime>
  <ScaleCrop>false</ScaleCrop>
  <LinksUpToDate>false</LinksUpToDate>
  <CharactersWithSpaces>17798</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2016-09-12T14:36:00Z</dcterms:created>
  <dc:creator>l</dc:creator>
  <cp:lastModifiedBy>ゞ跳跳糖</cp:lastModifiedBy>
  <dcterms:modified xsi:type="dcterms:W3CDTF">2025-05-07T03:01:10Z</dcterms:modified>
  <dc:title>竞争性谈判</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88557594FE1E4D3DAB59343765C207D5_13</vt:lpwstr>
  </property>
  <property fmtid="{D5CDD505-2E9C-101B-9397-08002B2CF9AE}" pid="4" name="KSOTemplateDocerSaveRecord">
    <vt:lpwstr>eyJoZGlkIjoiOWFjOWVmMTY1M2Y5MjEzZWE0OTgzOGU4ZDliYTc3ZGUiLCJ1c2VySWQiOiIxNTg3MTc0NDMwIn0=</vt:lpwstr>
  </property>
</Properties>
</file>