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 </w:t>
      </w:r>
      <w:r>
        <w:rPr>
          <w:color w:val="000000" w:themeColor="text1"/>
        </w:rPr>
      </w:r>
      <w:r/>
    </w:p>
    <w:p>
      <w:pPr>
        <w:pStyle w:val="654"/>
        <w:ind w:left="0" w:right="0" w:firstLine="0"/>
        <w:jc w:val="both"/>
        <w:spacing w:before="260" w:after="260" w:line="55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84"/>
        </w:rPr>
        <w:t xml:space="preserve">招 标 文 件</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项目名称：盐城经济技术开发区市场监督管理局2024年度农贸市场食品安全快速检测服务项目</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项目编号：JSZC-320991-ZCGL-G2024-0004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1285"/>
        <w:jc w:val="center"/>
        <w:spacing w:before="120" w:after="12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采 购 人：盐城经济技术开发区综合行政执法局（盐城经济技术开发区市场监督管理局）</w:t>
      </w:r>
      <w:r>
        <w:rPr>
          <w:color w:val="000000" w:themeColor="text1"/>
        </w:rPr>
      </w:r>
      <w:r/>
    </w:p>
    <w:p>
      <w:pPr>
        <w:ind w:left="0" w:right="0" w:firstLine="0"/>
        <w:spacing w:before="0" w:after="0" w:line="4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1285"/>
        <w:spacing w:before="0" w:after="0" w:line="4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招标代理：江苏执策建设管理有限公司    </w:t>
      </w:r>
      <w:r>
        <w:rPr>
          <w:color w:val="000000" w:themeColor="text1"/>
        </w:rPr>
      </w:r>
      <w:r/>
    </w:p>
    <w:p>
      <w:pPr>
        <w:ind w:left="0" w:right="0" w:firstLine="0"/>
        <w:jc w:val="center"/>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 </w:t>
      </w:r>
      <w:r>
        <w:rPr>
          <w:color w:val="000000" w:themeColor="text1"/>
        </w:rPr>
      </w:r>
      <w:r/>
    </w:p>
    <w:p>
      <w:pPr>
        <w:ind w:left="0" w:right="0" w:firstLine="3534"/>
        <w:jc w:val="both"/>
        <w:spacing w:before="120" w:after="12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2024年 5 月</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总目录</w:t>
      </w:r>
      <w:r>
        <w:rPr>
          <w:color w:val="000000" w:themeColor="text1"/>
        </w:rPr>
      </w:r>
      <w:r/>
    </w:p>
    <w:p>
      <w:pPr>
        <w:ind w:left="0" w:right="0" w:firstLine="0"/>
        <w:jc w:val="both"/>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 </w:t>
      </w:r>
      <w:r>
        <w:rPr>
          <w:color w:val="000000" w:themeColor="text1"/>
        </w:rPr>
      </w:r>
      <w:r/>
    </w:p>
    <w:p>
      <w:pPr>
        <w:numPr>
          <w:ilvl w:val="0"/>
          <w:numId w:val="1"/>
        </w:numPr>
        <w:jc w:val="both"/>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招标公告……………………………………3</w:t>
      </w:r>
      <w:r>
        <w:rPr>
          <w:color w:val="000000" w:themeColor="text1"/>
        </w:rPr>
      </w:r>
      <w:r/>
    </w:p>
    <w:p>
      <w:pPr>
        <w:numPr>
          <w:ilvl w:val="0"/>
          <w:numId w:val="1"/>
        </w:numPr>
        <w:jc w:val="both"/>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投标人须知…………………………………6</w:t>
      </w:r>
      <w:r>
        <w:rPr>
          <w:color w:val="000000" w:themeColor="text1"/>
        </w:rPr>
      </w:r>
      <w:r/>
    </w:p>
    <w:p>
      <w:pPr>
        <w:numPr>
          <w:ilvl w:val="0"/>
          <w:numId w:val="1"/>
        </w:numPr>
        <w:jc w:val="both"/>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合同条款及格式……………………………16</w:t>
      </w:r>
      <w:r>
        <w:rPr>
          <w:color w:val="000000" w:themeColor="text1"/>
        </w:rPr>
      </w:r>
      <w:r/>
    </w:p>
    <w:p>
      <w:pPr>
        <w:numPr>
          <w:ilvl w:val="0"/>
          <w:numId w:val="1"/>
        </w:numPr>
        <w:jc w:val="both"/>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项目需求……………………………………23</w:t>
      </w:r>
      <w:r>
        <w:rPr>
          <w:color w:val="000000" w:themeColor="text1"/>
        </w:rPr>
      </w:r>
      <w:r/>
    </w:p>
    <w:p>
      <w:pPr>
        <w:numPr>
          <w:ilvl w:val="0"/>
          <w:numId w:val="1"/>
        </w:numPr>
        <w:jc w:val="both"/>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定标原则与评标标准………………………28</w:t>
      </w:r>
      <w:r>
        <w:rPr>
          <w:color w:val="000000" w:themeColor="text1"/>
        </w:rPr>
      </w:r>
      <w:r/>
    </w:p>
    <w:p>
      <w:pPr>
        <w:numPr>
          <w:ilvl w:val="0"/>
          <w:numId w:val="1"/>
        </w:numPr>
        <w:jc w:val="both"/>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投标文件格式………………………………34</w:t>
      </w:r>
      <w:r>
        <w:rPr>
          <w:color w:val="000000" w:themeColor="text1"/>
        </w:rPr>
      </w:r>
      <w:r/>
    </w:p>
    <w:p>
      <w:pPr>
        <w:pStyle w:val="650"/>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 </w:t>
      </w:r>
      <w:r>
        <w:rPr>
          <w:color w:val="000000" w:themeColor="text1"/>
        </w:rPr>
      </w:r>
      <w:r/>
    </w:p>
    <w:p>
      <w:pPr>
        <w:pStyle w:val="650"/>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pStyle w:val="650"/>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pStyle w:val="650"/>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第一章招标公告</w:t>
      </w:r>
      <w:r>
        <w:rPr>
          <w:color w:val="000000" w:themeColor="text1"/>
        </w:rPr>
      </w:r>
      <w:r/>
    </w:p>
    <w:p>
      <w:pPr>
        <w:ind w:left="0" w:right="0" w:firstLine="420"/>
        <w:jc w:val="both"/>
        <w:spacing w:before="0" w:after="0" w:line="79" w:lineRule="atLeast"/>
        <w:rPr>
          <w:color w:val="000000" w:themeColor="text1"/>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themeColor="text1"/>
          <w:sz w:val="22"/>
        </w:rPr>
        <w:t xml:space="preserve">项目概况</w:t>
      </w:r>
      <w:r>
        <w:rPr>
          <w:color w:val="000000" w:themeColor="text1"/>
        </w:rPr>
      </w:r>
      <w:r/>
    </w:p>
    <w:p>
      <w:pPr>
        <w:ind w:left="0" w:right="0" w:firstLine="420"/>
        <w:jc w:val="both"/>
        <w:spacing w:before="0" w:after="0" w:line="79" w:lineRule="atLeast"/>
        <w:rPr>
          <w:color w:val="000000" w:themeColor="text1"/>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themeColor="text1"/>
          <w:sz w:val="22"/>
          <w:u w:val="single"/>
        </w:rPr>
        <w:t xml:space="preserve">盐城经济技术开发区市场监督管理局</w:t>
      </w:r>
      <w:r>
        <w:rPr>
          <w:rFonts w:ascii="SimSun" w:hAnsi="SimSun" w:eastAsia="SimSun" w:cs="SimSun"/>
          <w:color w:val="000000" w:themeColor="text1"/>
          <w:sz w:val="21"/>
          <w:u w:val="single"/>
        </w:rPr>
        <w:t xml:space="preserve">2024年度农贸市场食品安全快速检测服务项目</w:t>
      </w:r>
      <w:r>
        <w:rPr>
          <w:rFonts w:ascii="SimSun" w:hAnsi="SimSun" w:eastAsia="SimSun" w:cs="SimSun"/>
          <w:color w:val="000000" w:themeColor="text1"/>
          <w:sz w:val="22"/>
        </w:rPr>
        <w:t xml:space="preserve">招标项目的潜在投标人应在</w:t>
      </w:r>
      <w:r>
        <w:rPr>
          <w:rFonts w:ascii="SimSun" w:hAnsi="SimSun" w:eastAsia="SimSun" w:cs="SimSun"/>
          <w:color w:val="000000" w:themeColor="text1"/>
          <w:sz w:val="21"/>
          <w:u w:val="single"/>
        </w:rPr>
        <w:t xml:space="preserve">“江苏政府采购网”、“盐城市政府采购网”</w:t>
      </w:r>
      <w:r>
        <w:rPr>
          <w:rFonts w:ascii="SimSun" w:hAnsi="SimSun" w:eastAsia="SimSun" w:cs="SimSun"/>
          <w:color w:val="000000" w:themeColor="text1"/>
          <w:sz w:val="22"/>
        </w:rPr>
        <w:t xml:space="preserve">获取招标文件，并于</w:t>
      </w:r>
      <w:r>
        <w:rPr>
          <w:rFonts w:ascii="SimSun" w:hAnsi="SimSun" w:eastAsia="SimSun" w:cs="SimSun"/>
          <w:color w:val="000000" w:themeColor="text1"/>
          <w:sz w:val="21"/>
          <w:u w:val="single"/>
        </w:rPr>
        <w:t xml:space="preserve">2024</w:t>
      </w:r>
      <w:r>
        <w:rPr>
          <w:rFonts w:ascii="SimSun" w:hAnsi="SimSun" w:eastAsia="SimSun" w:cs="SimSun"/>
          <w:color w:val="000000" w:themeColor="text1"/>
          <w:sz w:val="22"/>
          <w:u w:val="single"/>
        </w:rPr>
        <w:t xml:space="preserve">年</w:t>
      </w:r>
      <w:r>
        <w:rPr>
          <w:rFonts w:ascii="SimSun" w:hAnsi="SimSun" w:eastAsia="SimSun" w:cs="SimSun"/>
          <w:color w:val="000000" w:themeColor="text1"/>
          <w:sz w:val="21"/>
          <w:u w:val="single"/>
        </w:rPr>
        <w:t xml:space="preserve"> 6 </w:t>
      </w:r>
      <w:r>
        <w:rPr>
          <w:rFonts w:ascii="SimSun" w:hAnsi="SimSun" w:eastAsia="SimSun" w:cs="SimSun"/>
          <w:color w:val="000000" w:themeColor="text1"/>
          <w:sz w:val="22"/>
          <w:u w:val="single"/>
        </w:rPr>
        <w:t xml:space="preserve">月</w:t>
      </w:r>
      <w:r>
        <w:rPr>
          <w:rFonts w:ascii="SimSun" w:hAnsi="SimSun" w:eastAsia="SimSun" w:cs="SimSun"/>
          <w:color w:val="000000" w:themeColor="text1"/>
          <w:sz w:val="21"/>
          <w:u w:val="single"/>
        </w:rPr>
        <w:t xml:space="preserve"> 13  </w:t>
      </w:r>
      <w:r>
        <w:rPr>
          <w:rFonts w:ascii="SimSun" w:hAnsi="SimSun" w:eastAsia="SimSun" w:cs="SimSun"/>
          <w:color w:val="000000" w:themeColor="text1"/>
          <w:sz w:val="22"/>
          <w:u w:val="single"/>
        </w:rPr>
        <w:t xml:space="preserve">日</w:t>
      </w:r>
      <w:r>
        <w:rPr>
          <w:rFonts w:ascii="SimSun" w:hAnsi="SimSun" w:eastAsia="SimSun" w:cs="SimSun"/>
          <w:color w:val="000000" w:themeColor="text1"/>
          <w:sz w:val="21"/>
          <w:u w:val="single"/>
        </w:rPr>
        <w:t xml:space="preserve"> 9 </w:t>
      </w:r>
      <w:r>
        <w:rPr>
          <w:rFonts w:ascii="SimSun" w:hAnsi="SimSun" w:eastAsia="SimSun" w:cs="SimSun"/>
          <w:color w:val="000000" w:themeColor="text1"/>
          <w:sz w:val="22"/>
          <w:u w:val="single"/>
        </w:rPr>
        <w:t xml:space="preserve">点</w:t>
      </w:r>
      <w:r>
        <w:rPr>
          <w:rFonts w:ascii="SimSun" w:hAnsi="SimSun" w:eastAsia="SimSun" w:cs="SimSun"/>
          <w:color w:val="000000" w:themeColor="text1"/>
          <w:sz w:val="21"/>
          <w:u w:val="single"/>
        </w:rPr>
        <w:t xml:space="preserve">00 分（</w:t>
      </w:r>
      <w:r>
        <w:rPr>
          <w:rFonts w:ascii="SimSun" w:hAnsi="SimSun" w:eastAsia="SimSun" w:cs="SimSun"/>
          <w:color w:val="000000" w:themeColor="text1"/>
          <w:sz w:val="22"/>
        </w:rPr>
        <w:t xml:space="preserve">北京时间）前递交投标文件（发送投标文件的</w:t>
      </w:r>
      <w:r>
        <w:rPr>
          <w:rFonts w:ascii="SimSun" w:hAnsi="SimSun" w:eastAsia="SimSun" w:cs="SimSun"/>
          <w:color w:val="000000" w:themeColor="text1"/>
          <w:sz w:val="21"/>
        </w:rPr>
        <w:t xml:space="preserve">PDF文档到达指定的邮箱）</w:t>
      </w:r>
      <w:r>
        <w:rPr>
          <w:rFonts w:ascii="SimSun" w:hAnsi="SimSun" w:eastAsia="SimSun" w:cs="SimSun"/>
          <w:color w:val="000000" w:themeColor="text1"/>
          <w:sz w:val="22"/>
        </w:rPr>
        <w:t xml:space="preserve">。</w:t>
      </w:r>
      <w:r>
        <w:rPr>
          <w:color w:val="000000" w:themeColor="text1"/>
        </w:rPr>
      </w:r>
      <w:r/>
    </w:p>
    <w:p>
      <w:pPr>
        <w:pStyle w:val="650"/>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一、项目基本情况</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1、项目编号：JSZC-320991-ZCGL-G2024-0004        </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2、项目名称：</w:t>
      </w:r>
      <w:r>
        <w:rPr>
          <w:rFonts w:ascii="SimSun" w:hAnsi="SimSun" w:eastAsia="SimSun" w:cs="SimSun"/>
          <w:color w:val="000000" w:themeColor="text1"/>
          <w:sz w:val="22"/>
        </w:rPr>
        <w:t xml:space="preserve">盐城经济技术开发区市场监督管理局</w:t>
      </w:r>
      <w:r>
        <w:rPr>
          <w:rFonts w:ascii="SimSun" w:hAnsi="SimSun" w:eastAsia="SimSun" w:cs="SimSun"/>
          <w:color w:val="000000" w:themeColor="text1"/>
          <w:sz w:val="21"/>
        </w:rPr>
        <w:t xml:space="preserve">2024年度农贸市场食品安全快速检测服务项目</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3、预算金额：50</w:t>
      </w:r>
      <w:r>
        <w:rPr>
          <w:rFonts w:ascii="SimSun" w:hAnsi="SimSun" w:eastAsia="SimSun" w:cs="SimSun"/>
          <w:color w:val="000000" w:themeColor="text1"/>
          <w:sz w:val="22"/>
        </w:rPr>
        <w:t xml:space="preserve">万元。</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4、最高限价：</w:t>
      </w:r>
      <w:r>
        <w:rPr>
          <w:rFonts w:ascii="SimSun" w:hAnsi="SimSun" w:eastAsia="SimSun" w:cs="SimSun"/>
          <w:color w:val="000000" w:themeColor="text1"/>
          <w:sz w:val="22"/>
        </w:rPr>
        <w:t xml:space="preserve">人民币</w:t>
      </w:r>
      <w:r>
        <w:rPr>
          <w:rFonts w:ascii="SimSun" w:hAnsi="SimSun" w:eastAsia="SimSun" w:cs="SimSun"/>
          <w:color w:val="000000" w:themeColor="text1"/>
          <w:sz w:val="21"/>
        </w:rPr>
        <w:t xml:space="preserve">50万元，投标报价超过最高限价的为无效报价，按照无效响应处理。</w:t>
      </w:r>
      <w:r>
        <w:rPr>
          <w:color w:val="000000" w:themeColor="text1"/>
        </w:rPr>
      </w:r>
      <w:r/>
    </w:p>
    <w:p>
      <w:pPr>
        <w:ind w:left="0" w:right="0" w:firstLine="315"/>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rFonts w:ascii="SimSun" w:hAnsi="SimSun" w:eastAsia="SimSun" w:cs="SimSun"/>
          <w:color w:val="000000" w:themeColor="text1"/>
          <w:sz w:val="22"/>
        </w:rPr>
        <w:t xml:space="preserve">采购需求：盐城经济技术开发区市场监督管理局</w:t>
      </w:r>
      <w:r>
        <w:rPr>
          <w:rFonts w:ascii="SimSun" w:hAnsi="SimSun" w:eastAsia="SimSun" w:cs="SimSun"/>
          <w:color w:val="000000" w:themeColor="text1"/>
          <w:sz w:val="21"/>
        </w:rPr>
        <w:t xml:space="preserve">2024年度农贸市场食品安全快速检测服务项目</w:t>
      </w:r>
      <w:r>
        <w:rPr>
          <w:rFonts w:ascii="SimSun" w:hAnsi="SimSun" w:eastAsia="SimSun" w:cs="SimSun"/>
          <w:color w:val="000000" w:themeColor="text1"/>
          <w:sz w:val="22"/>
        </w:rPr>
        <w:t xml:space="preserve">，详见招标文件项目需求。</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6、合同履行期限：一年。</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7、本项目不接受联合体投标。</w:t>
      </w:r>
      <w:r>
        <w:rPr>
          <w:color w:val="000000" w:themeColor="text1"/>
        </w:rPr>
      </w:r>
      <w:r/>
    </w:p>
    <w:p>
      <w:pPr>
        <w:ind w:left="0" w:right="0" w:firstLine="42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二、申请人的资格要求：</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1.满足《中华人民共和国政府采购法》第二十二条规定，并提供下列材料；</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(1)法人或者其他组织的营业执照等证明文件，自然人的身份证明；</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rFonts w:ascii="SimSun" w:hAnsi="SimSun" w:eastAsia="SimSun" w:cs="SimSun"/>
          <w:color w:val="000000" w:themeColor="text1"/>
          <w:sz w:val="21"/>
        </w:rPr>
        <w:t xml:space="preserve">上一年度的财务状况报告</w:t>
      </w:r>
      <w:r>
        <w:rPr>
          <w:rFonts w:ascii="SimSun" w:hAnsi="SimSun" w:eastAsia="SimSun" w:cs="SimSun"/>
          <w:color w:val="000000" w:themeColor="text1"/>
          <w:sz w:val="21"/>
        </w:rPr>
        <w:t xml:space="preserve">(成立不满一年不需提供)；</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(3)依法缴纳税收和社会保障资金的相关材料；</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(4)具备履行合同所必需的设备和专业技术能力的书面声明；</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(5)参加政府采购活动前3年内在经营活动中没有重大违法记录的书面声明；</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2.落实政府采购政策需满足的资格要求：/。</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3.本项目的特定资格要求：</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(1)未被“信用中国”网站（www.creditchina.gov.cn）列入失信被执行人、重大税收违法案件当事人名单、政府采购严重失信行为记录名单。</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(2)单位负责人为同一人或者存在直接控股、管理关系的不同供应商，不得参加同一合同项下的政府采购活动。</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三、获取招标文件</w:t>
      </w:r>
      <w:r>
        <w:rPr>
          <w:color w:val="000000" w:themeColor="text1"/>
        </w:rPr>
      </w:r>
      <w:r/>
    </w:p>
    <w:p>
      <w:pPr>
        <w:ind w:left="0" w:right="0" w:firstLine="54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时间：自公告之日起至投标截止时间前</w:t>
      </w:r>
      <w:r>
        <w:rPr>
          <w:rFonts w:ascii="SimSun" w:hAnsi="SimSun" w:eastAsia="SimSun" w:cs="SimSun"/>
          <w:color w:val="000000" w:themeColor="text1"/>
          <w:sz w:val="21"/>
        </w:rPr>
        <w:t xml:space="preserve">1日</w:t>
      </w:r>
      <w:r>
        <w:rPr>
          <w:color w:val="000000" w:themeColor="text1"/>
        </w:rPr>
      </w:r>
      <w:r/>
    </w:p>
    <w:p>
      <w:pPr>
        <w:ind w:left="0" w:right="0" w:firstLine="54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地点：</w:t>
      </w:r>
      <w:r>
        <w:rPr>
          <w:rFonts w:ascii="SimSun" w:hAnsi="SimSun" w:eastAsia="SimSun" w:cs="SimSun"/>
          <w:color w:val="000000" w:themeColor="text1"/>
          <w:sz w:val="21"/>
        </w:rPr>
        <w:t xml:space="preserve">“江苏政府采购网”、“盐城市政府采购网” </w:t>
      </w:r>
      <w:r>
        <w:rPr>
          <w:color w:val="000000" w:themeColor="text1"/>
        </w:rPr>
      </w:r>
      <w:r/>
    </w:p>
    <w:p>
      <w:pPr>
        <w:ind w:left="0" w:right="0" w:firstLine="54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方式：符合资格要求的投标人可自行下载采购文件，采购文件见本公告附件。</w:t>
      </w:r>
      <w:r>
        <w:rPr>
          <w:color w:val="000000" w:themeColor="text1"/>
        </w:rPr>
      </w:r>
      <w:r/>
    </w:p>
    <w:p>
      <w:pPr>
        <w:ind w:left="0" w:right="0" w:firstLine="54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售价：免费</w:t>
      </w:r>
      <w:r>
        <w:rPr>
          <w:color w:val="000000" w:themeColor="text1"/>
        </w:rPr>
      </w:r>
      <w:r/>
    </w:p>
    <w:p>
      <w:pPr>
        <w:ind w:left="0" w:right="0" w:firstLine="54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注意事项：</w:t>
      </w:r>
      <w:r>
        <w:rPr>
          <w:color w:val="000000" w:themeColor="text1"/>
        </w:rPr>
      </w:r>
      <w:r/>
    </w:p>
    <w:p>
      <w:pPr>
        <w:ind w:left="0" w:right="0" w:firstLine="5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1）有关本次招标的事项若存在变动或修改，敬请及时关注江苏政府采购网、盐城市政府采购网、江苏省公共资源交易网发布的更正公告。</w:t>
      </w:r>
      <w:r>
        <w:rPr>
          <w:color w:val="000000" w:themeColor="text1"/>
        </w:rPr>
      </w:r>
      <w:r/>
    </w:p>
    <w:p>
      <w:pPr>
        <w:ind w:left="0" w:right="0" w:firstLine="5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2）本项目采取“不见面”开标模式，开标当日无需投标单位授权代表到达开标现场。</w:t>
      </w:r>
      <w:r>
        <w:rPr>
          <w:color w:val="000000" w:themeColor="text1"/>
        </w:rPr>
      </w:r>
      <w:r/>
    </w:p>
    <w:p>
      <w:pPr>
        <w:ind w:left="0" w:right="0" w:firstLine="5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各投标人须在开标前使用腾讯会议软件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rPr>
          <w:color w:val="000000" w:themeColor="text1"/>
        </w:rPr>
      </w:r>
      <w:r/>
    </w:p>
    <w:p>
      <w:pPr>
        <w:ind w:left="0" w:right="0" w:firstLine="5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如潜在投标人未按上述要求操作，将自行承担所产生的风险。</w:t>
      </w:r>
      <w:r>
        <w:rPr>
          <w:color w:val="000000" w:themeColor="text1"/>
        </w:rPr>
      </w:r>
      <w:r/>
    </w:p>
    <w:p>
      <w:pPr>
        <w:pStyle w:val="650"/>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四、提交投标文件截止时间、开标时间和地点</w:t>
      </w:r>
      <w:r>
        <w:rPr>
          <w:color w:val="000000" w:themeColor="text1"/>
        </w:rPr>
      </w:r>
      <w:r/>
    </w:p>
    <w:p>
      <w:pPr>
        <w:pStyle w:val="650"/>
        <w:ind w:left="0" w:right="0" w:firstLine="420"/>
        <w:spacing w:before="0" w:after="0" w:line="85"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2"/>
        </w:rPr>
        <w:t xml:space="preserve">投标文件递交截止时间：</w:t>
      </w:r>
      <w:r>
        <w:rPr>
          <w:rFonts w:ascii="SimSun" w:hAnsi="SimSun" w:eastAsia="SimSun" w:cs="SimSun"/>
          <w:b w:val="0"/>
          <w:bCs w:val="0"/>
          <w:color w:val="000000" w:themeColor="text1"/>
          <w:sz w:val="21"/>
        </w:rPr>
        <w:t xml:space="preserve">2024年 6 </w:t>
      </w:r>
      <w:r>
        <w:rPr>
          <w:rFonts w:ascii="SimSun" w:hAnsi="SimSun" w:eastAsia="SimSun" w:cs="SimSun"/>
          <w:b w:val="0"/>
          <w:bCs w:val="0"/>
          <w:color w:val="000000" w:themeColor="text1"/>
          <w:sz w:val="22"/>
        </w:rPr>
        <w:t xml:space="preserve">月</w:t>
      </w:r>
      <w:r>
        <w:rPr>
          <w:rFonts w:ascii="SimSun" w:hAnsi="SimSun" w:eastAsia="SimSun" w:cs="SimSun"/>
          <w:b w:val="0"/>
          <w:bCs w:val="0"/>
          <w:color w:val="000000" w:themeColor="text1"/>
          <w:sz w:val="21"/>
        </w:rPr>
        <w:t xml:space="preserve">13  </w:t>
      </w:r>
      <w:r>
        <w:rPr>
          <w:rFonts w:ascii="SimSun" w:hAnsi="SimSun" w:eastAsia="SimSun" w:cs="SimSun"/>
          <w:b w:val="0"/>
          <w:bCs w:val="0"/>
          <w:color w:val="000000" w:themeColor="text1"/>
          <w:sz w:val="22"/>
        </w:rPr>
        <w:t xml:space="preserve">日</w:t>
      </w:r>
      <w:r>
        <w:rPr>
          <w:rFonts w:ascii="SimSun" w:hAnsi="SimSun" w:eastAsia="SimSun" w:cs="SimSun"/>
          <w:b w:val="0"/>
          <w:bCs w:val="0"/>
          <w:color w:val="000000" w:themeColor="text1"/>
          <w:sz w:val="21"/>
        </w:rPr>
        <w:t xml:space="preserve"> 9  </w:t>
      </w:r>
      <w:r>
        <w:rPr>
          <w:rFonts w:ascii="SimSun" w:hAnsi="SimSun" w:eastAsia="SimSun" w:cs="SimSun"/>
          <w:b w:val="0"/>
          <w:bCs w:val="0"/>
          <w:color w:val="000000" w:themeColor="text1"/>
          <w:sz w:val="22"/>
        </w:rPr>
        <w:t xml:space="preserve">点</w:t>
      </w:r>
      <w:r>
        <w:rPr>
          <w:rFonts w:ascii="SimSun" w:hAnsi="SimSun" w:eastAsia="SimSun" w:cs="SimSun"/>
          <w:b w:val="0"/>
          <w:bCs w:val="0"/>
          <w:color w:val="000000" w:themeColor="text1"/>
          <w:sz w:val="21"/>
        </w:rPr>
        <w:t xml:space="preserve">00 分（以指定邮箱显示的北京时间为准）</w:t>
      </w:r>
      <w:r>
        <w:rPr>
          <w:b w:val="0"/>
          <w:bCs w:val="0"/>
          <w:color w:val="000000" w:themeColor="text1"/>
        </w:rPr>
      </w:r>
      <w:r/>
    </w:p>
    <w:p>
      <w:pPr>
        <w:pStyle w:val="650"/>
        <w:ind w:left="0" w:right="0" w:firstLine="420"/>
        <w:spacing w:before="0" w:after="0" w:line="85"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2"/>
        </w:rPr>
        <w:t xml:space="preserve">开标时间：</w:t>
      </w:r>
      <w:r>
        <w:rPr>
          <w:rFonts w:ascii="SimSun" w:hAnsi="SimSun" w:eastAsia="SimSun" w:cs="SimSun"/>
          <w:b w:val="0"/>
          <w:bCs w:val="0"/>
          <w:color w:val="000000" w:themeColor="text1"/>
          <w:sz w:val="21"/>
        </w:rPr>
        <w:t xml:space="preserve">2024年 6 </w:t>
      </w:r>
      <w:r>
        <w:rPr>
          <w:rFonts w:ascii="SimSun" w:hAnsi="SimSun" w:eastAsia="SimSun" w:cs="SimSun"/>
          <w:b w:val="0"/>
          <w:bCs w:val="0"/>
          <w:color w:val="000000" w:themeColor="text1"/>
          <w:sz w:val="22"/>
        </w:rPr>
        <w:t xml:space="preserve">月</w:t>
      </w:r>
      <w:r>
        <w:rPr>
          <w:rFonts w:ascii="SimSun" w:hAnsi="SimSun" w:eastAsia="SimSun" w:cs="SimSun"/>
          <w:b w:val="0"/>
          <w:bCs w:val="0"/>
          <w:color w:val="000000" w:themeColor="text1"/>
          <w:sz w:val="21"/>
        </w:rPr>
        <w:t xml:space="preserve">13  </w:t>
      </w:r>
      <w:r>
        <w:rPr>
          <w:rFonts w:ascii="SimSun" w:hAnsi="SimSun" w:eastAsia="SimSun" w:cs="SimSun"/>
          <w:b w:val="0"/>
          <w:bCs w:val="0"/>
          <w:color w:val="000000" w:themeColor="text1"/>
          <w:sz w:val="22"/>
        </w:rPr>
        <w:t xml:space="preserve">日</w:t>
      </w:r>
      <w:r>
        <w:rPr>
          <w:rFonts w:ascii="SimSun" w:hAnsi="SimSun" w:eastAsia="SimSun" w:cs="SimSun"/>
          <w:b w:val="0"/>
          <w:bCs w:val="0"/>
          <w:color w:val="000000" w:themeColor="text1"/>
          <w:sz w:val="21"/>
        </w:rPr>
        <w:t xml:space="preserve"> 9  </w:t>
      </w:r>
      <w:r>
        <w:rPr>
          <w:rFonts w:ascii="SimSun" w:hAnsi="SimSun" w:eastAsia="SimSun" w:cs="SimSun"/>
          <w:b w:val="0"/>
          <w:bCs w:val="0"/>
          <w:color w:val="000000" w:themeColor="text1"/>
          <w:sz w:val="22"/>
        </w:rPr>
        <w:t xml:space="preserve">点</w:t>
      </w:r>
      <w:r>
        <w:rPr>
          <w:rFonts w:ascii="SimSun" w:hAnsi="SimSun" w:eastAsia="SimSun" w:cs="SimSun"/>
          <w:b w:val="0"/>
          <w:bCs w:val="0"/>
          <w:color w:val="000000" w:themeColor="text1"/>
          <w:sz w:val="21"/>
        </w:rPr>
        <w:t xml:space="preserve">00 分（北京时间）</w:t>
      </w:r>
      <w:r>
        <w:rPr>
          <w:b w:val="0"/>
          <w:bCs w:val="0"/>
          <w:color w:val="000000" w:themeColor="text1"/>
        </w:rPr>
      </w:r>
      <w:r/>
    </w:p>
    <w:p>
      <w:pPr>
        <w:pStyle w:val="650"/>
        <w:ind w:left="0" w:right="0" w:firstLine="420"/>
        <w:spacing w:before="0" w:after="0" w:line="85"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2"/>
        </w:rPr>
        <w:t xml:space="preserve">投标地点：上传加密的投标文件至采购人指定邮箱：</w:t>
      </w:r>
      <w:r>
        <w:rPr>
          <w:rFonts w:ascii="SimSun" w:hAnsi="SimSun" w:eastAsia="SimSun" w:cs="SimSun"/>
          <w:b w:val="0"/>
          <w:bCs w:val="0"/>
          <w:color w:val="000000" w:themeColor="text1"/>
          <w:sz w:val="21"/>
        </w:rPr>
        <w:t xml:space="preserve">309682509@qq.com</w:t>
      </w:r>
      <w:r>
        <w:rPr>
          <w:b w:val="0"/>
          <w:bCs w:val="0"/>
          <w:color w:val="000000" w:themeColor="text1"/>
        </w:rPr>
      </w:r>
      <w:r/>
    </w:p>
    <w:p>
      <w:pPr>
        <w:pStyle w:val="650"/>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2"/>
        </w:rPr>
        <w:t xml:space="preserve">开标地点：盐城经济技术开发区新都东路</w:t>
      </w:r>
      <w:r>
        <w:rPr>
          <w:rFonts w:ascii="SimSun" w:hAnsi="SimSun" w:eastAsia="SimSun" w:cs="SimSun"/>
          <w:b w:val="0"/>
          <w:bCs w:val="0"/>
          <w:color w:val="000000" w:themeColor="text1"/>
          <w:sz w:val="21"/>
        </w:rPr>
        <w:t xml:space="preserve">82号未来科技城B2楼政务服务中心（新都路与希望大道交叉口大转盘东北角）四楼开标二室。</w:t>
      </w:r>
      <w:r>
        <w:rPr>
          <w:color w:val="000000" w:themeColor="text1"/>
        </w:rPr>
      </w:r>
      <w:r/>
    </w:p>
    <w:p>
      <w:pPr>
        <w:pStyle w:val="650"/>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五、公告期限</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自本公告发布之日起</w:t>
      </w:r>
      <w:r>
        <w:rPr>
          <w:rFonts w:ascii="SimSun" w:hAnsi="SimSun" w:eastAsia="SimSun" w:cs="SimSun"/>
          <w:color w:val="000000" w:themeColor="text1"/>
          <w:sz w:val="21"/>
        </w:rPr>
        <w:t xml:space="preserve">5个工作日。</w:t>
      </w:r>
      <w:r>
        <w:rPr>
          <w:color w:val="000000" w:themeColor="text1"/>
        </w:rPr>
      </w:r>
      <w:r/>
    </w:p>
    <w:p>
      <w:pPr>
        <w:pStyle w:val="650"/>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六、其他补充事宜</w:t>
      </w:r>
      <w:r>
        <w:rPr>
          <w:color w:val="000000" w:themeColor="text1"/>
        </w:rPr>
      </w:r>
      <w:r/>
    </w:p>
    <w:p>
      <w:pPr>
        <w:ind w:left="0" w:right="0" w:firstLine="425"/>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1、电子投标文件一份(通过电子邮箱提交)；纸质投标文件正本一份，副本四份（评审结束后由中标人送至</w:t>
      </w:r>
      <w:r>
        <w:rPr>
          <w:rFonts w:ascii="SimSun" w:hAnsi="SimSun" w:eastAsia="SimSun" w:cs="SimSun"/>
          <w:color w:val="000000" w:themeColor="text1"/>
          <w:sz w:val="22"/>
        </w:rPr>
        <w:t xml:space="preserve">江苏执策建设管理有限公司，未中标单位不需要提供）。</w:t>
      </w:r>
      <w:r>
        <w:rPr>
          <w:color w:val="000000" w:themeColor="text1"/>
        </w:rPr>
      </w:r>
      <w:r/>
    </w:p>
    <w:p>
      <w:pPr>
        <w:ind w:left="2" w:right="0" w:firstLine="415"/>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2、本项目开标方式为不见面开标。开标当日，投标人无需到达开标现场，仅需在任意地点通过 PC端或移动端的“腾讯会议”及相应的配套硬件设备参加开标会议，各投标人进入会议后自行将名称修改为公司名称+授权委托人姓名。如因视频设备问题造成无法核实身份的，作无效标处理，参加开标会议的方法详见招标文件；</w:t>
      </w:r>
      <w:r>
        <w:rPr>
          <w:color w:val="000000" w:themeColor="text1"/>
        </w:rPr>
      </w:r>
      <w:r/>
    </w:p>
    <w:p>
      <w:pPr>
        <w:ind w:left="2" w:right="0" w:firstLine="415"/>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3.各投标人在投标截止时间前应当每天都上网查询，以便获取更新的澄清、修改、补充内容。凡涉及到该项目的补充说明和修改，均以“江苏政府采购网”、“盐城市政府采购网”上的更正或补充通知为准；</w:t>
      </w:r>
      <w:r>
        <w:rPr>
          <w:color w:val="000000" w:themeColor="text1"/>
        </w:rPr>
      </w:r>
      <w:r/>
    </w:p>
    <w:p>
      <w:pPr>
        <w:ind w:left="2" w:right="0" w:firstLine="415"/>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4.投标人如在投标过程中存在以下行为，将被列入不良行为记录名单。</w:t>
      </w:r>
      <w:r>
        <w:rPr>
          <w:color w:val="000000" w:themeColor="text1"/>
        </w:rPr>
      </w:r>
      <w:r/>
    </w:p>
    <w:p>
      <w:pPr>
        <w:ind w:left="2" w:right="0" w:firstLine="415"/>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4.1提供虚假材料谋取中标成交的或采取不正当手段诋毁、排挤其他供应商的；</w:t>
      </w:r>
      <w:r>
        <w:rPr>
          <w:color w:val="000000" w:themeColor="text1"/>
        </w:rPr>
      </w:r>
      <w:r/>
    </w:p>
    <w:p>
      <w:pPr>
        <w:ind w:left="2" w:right="0" w:firstLine="415"/>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4.2投标人递交无竞争力投标文件的。</w:t>
      </w:r>
      <w:r>
        <w:rPr>
          <w:color w:val="000000" w:themeColor="text1"/>
        </w:rPr>
      </w:r>
      <w:r/>
    </w:p>
    <w:p>
      <w:pPr>
        <w:ind w:left="2" w:right="0" w:firstLine="415"/>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5.本项目为不见面交易项目，投标人通过‘腾讯视频会议’直播APP加入会议</w:t>
      </w:r>
      <w:r>
        <w:rPr>
          <w:rFonts w:ascii="SimSun" w:hAnsi="SimSun" w:eastAsia="SimSun" w:cs="SimSun"/>
          <w:color w:val="000000" w:themeColor="text1"/>
          <w:sz w:val="22"/>
        </w:rPr>
        <w:t xml:space="preserve">。</w:t>
      </w:r>
      <w:r>
        <w:rPr>
          <w:color w:val="000000" w:themeColor="text1"/>
        </w:rPr>
      </w:r>
      <w:r/>
    </w:p>
    <w:p>
      <w:pPr>
        <w:pStyle w:val="652"/>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6.投标人存在串通投标、以他人名义投标、弄虚作假等违法违规行为，或者无正当理由放弃投标、中标资格，造成项目招标失败的，不得参加该项目重新招标的投标。</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7.本次采购不收取投标保证金。</w:t>
      </w:r>
      <w:r>
        <w:rPr>
          <w:color w:val="000000" w:themeColor="text1"/>
        </w:rPr>
      </w:r>
      <w:r/>
    </w:p>
    <w:p>
      <w:pPr>
        <w:pStyle w:val="650"/>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七、对本次招标提出询问，请按以下方式联系</w:t>
      </w:r>
      <w:r>
        <w:rPr>
          <w:color w:val="000000" w:themeColor="text1"/>
        </w:rPr>
      </w:r>
      <w:r/>
    </w:p>
    <w:p>
      <w:pPr>
        <w:pStyle w:val="650"/>
        <w:ind w:left="0" w:right="0" w:firstLine="420"/>
        <w:jc w:val="both"/>
        <w:spacing w:before="0" w:after="0" w:line="85"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1"/>
        </w:rPr>
        <w:t xml:space="preserve">1.采购人信息</w:t>
      </w:r>
      <w:r>
        <w:rPr>
          <w:b w:val="0"/>
          <w:bCs w:val="0"/>
          <w:color w:val="000000" w:themeColor="text1"/>
        </w:rPr>
      </w:r>
      <w:r/>
    </w:p>
    <w:p>
      <w:pPr>
        <w:pStyle w:val="650"/>
        <w:ind w:left="0" w:right="0" w:firstLine="420"/>
        <w:jc w:val="both"/>
        <w:spacing w:before="0" w:after="0" w:line="85"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2"/>
        </w:rPr>
        <w:t xml:space="preserve">名称：盐城经济技术开发区综合行政执法局（盐城经济技术开发区市场监督管理局）</w:t>
      </w:r>
      <w:r>
        <w:rPr>
          <w:b w:val="0"/>
          <w:bCs w:val="0"/>
          <w:color w:val="000000" w:themeColor="text1"/>
        </w:rPr>
      </w:r>
      <w:r/>
    </w:p>
    <w:p>
      <w:pPr>
        <w:pStyle w:val="650"/>
        <w:ind w:left="0" w:right="0" w:firstLine="420"/>
        <w:jc w:val="both"/>
        <w:spacing w:before="0" w:after="0" w:line="85"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2"/>
        </w:rPr>
        <w:t xml:space="preserve">联</w:t>
      </w:r>
      <w:r>
        <w:rPr>
          <w:rFonts w:ascii="SimSun" w:hAnsi="SimSun" w:eastAsia="SimSun" w:cs="SimSun"/>
          <w:b w:val="0"/>
          <w:bCs w:val="0"/>
          <w:color w:val="000000" w:themeColor="text1"/>
          <w:sz w:val="21"/>
        </w:rPr>
        <w:t xml:space="preserve"> </w:t>
      </w:r>
      <w:r>
        <w:rPr>
          <w:rFonts w:ascii="SimSun" w:hAnsi="SimSun" w:eastAsia="SimSun" w:cs="SimSun"/>
          <w:b w:val="0"/>
          <w:bCs w:val="0"/>
          <w:color w:val="000000" w:themeColor="text1"/>
          <w:sz w:val="22"/>
        </w:rPr>
        <w:t xml:space="preserve">系</w:t>
      </w:r>
      <w:r>
        <w:rPr>
          <w:rFonts w:ascii="SimSun" w:hAnsi="SimSun" w:eastAsia="SimSun" w:cs="SimSun"/>
          <w:b w:val="0"/>
          <w:bCs w:val="0"/>
          <w:color w:val="000000" w:themeColor="text1"/>
          <w:sz w:val="21"/>
        </w:rPr>
        <w:t xml:space="preserve"> </w:t>
      </w:r>
      <w:r>
        <w:rPr>
          <w:rFonts w:ascii="SimSun" w:hAnsi="SimSun" w:eastAsia="SimSun" w:cs="SimSun"/>
          <w:b w:val="0"/>
          <w:bCs w:val="0"/>
          <w:color w:val="000000" w:themeColor="text1"/>
          <w:sz w:val="22"/>
        </w:rPr>
        <w:t xml:space="preserve">人：徐先生</w:t>
      </w:r>
      <w:r>
        <w:rPr>
          <w:b w:val="0"/>
          <w:bCs w:val="0"/>
          <w:color w:val="000000" w:themeColor="text1"/>
        </w:rPr>
      </w:r>
      <w:r/>
    </w:p>
    <w:p>
      <w:pPr>
        <w:pStyle w:val="650"/>
        <w:ind w:left="0" w:right="0" w:firstLine="420"/>
        <w:jc w:val="both"/>
        <w:spacing w:before="0" w:after="0" w:line="85"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2"/>
        </w:rPr>
        <w:t xml:space="preserve">联系电话：</w:t>
      </w:r>
      <w:r>
        <w:rPr>
          <w:rFonts w:ascii="SimSun" w:hAnsi="SimSun" w:eastAsia="SimSun" w:cs="SimSun"/>
          <w:b w:val="0"/>
          <w:bCs w:val="0"/>
          <w:color w:val="000000" w:themeColor="text1"/>
          <w:sz w:val="21"/>
        </w:rPr>
        <w:t xml:space="preserve">0515-81692031</w:t>
      </w:r>
      <w:r>
        <w:rPr>
          <w:b w:val="0"/>
          <w:bCs w:val="0"/>
          <w:color w:val="000000" w:themeColor="text1"/>
        </w:rPr>
      </w:r>
      <w:r/>
    </w:p>
    <w:p>
      <w:pPr>
        <w:pStyle w:val="650"/>
        <w:ind w:left="0" w:right="0" w:firstLine="420"/>
        <w:jc w:val="both"/>
        <w:spacing w:before="0" w:after="0" w:line="85"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2"/>
        </w:rPr>
        <w:t xml:space="preserve">地址：盐城经济技术开发区松江路</w:t>
      </w:r>
      <w:r>
        <w:rPr>
          <w:rFonts w:ascii="SimSun" w:hAnsi="SimSun" w:eastAsia="SimSun" w:cs="SimSun"/>
          <w:b w:val="0"/>
          <w:bCs w:val="0"/>
          <w:color w:val="000000" w:themeColor="text1"/>
          <w:sz w:val="21"/>
        </w:rPr>
        <w:t xml:space="preserve">18号</w:t>
      </w:r>
      <w:r>
        <w:rPr>
          <w:b w:val="0"/>
          <w:bCs w:val="0"/>
          <w:color w:val="000000" w:themeColor="text1"/>
        </w:rPr>
      </w:r>
      <w:r/>
    </w:p>
    <w:p>
      <w:pPr>
        <w:pStyle w:val="650"/>
        <w:ind w:left="0" w:right="0" w:firstLine="420"/>
        <w:jc w:val="both"/>
        <w:spacing w:before="0" w:after="0" w:line="85"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1"/>
        </w:rPr>
        <w:t xml:space="preserve">2.采购代理机构信息</w:t>
      </w:r>
      <w:r>
        <w:rPr>
          <w:b w:val="0"/>
          <w:bCs w:val="0"/>
          <w:color w:val="000000" w:themeColor="text1"/>
        </w:rPr>
      </w:r>
      <w:r/>
    </w:p>
    <w:p>
      <w:pPr>
        <w:pStyle w:val="650"/>
        <w:ind w:left="0" w:right="0" w:firstLine="420"/>
        <w:jc w:val="both"/>
        <w:spacing w:before="0" w:after="0" w:line="85"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2"/>
        </w:rPr>
        <w:t xml:space="preserve">名称：江苏执策建设管理有限公司</w:t>
      </w:r>
      <w:r>
        <w:rPr>
          <w:b w:val="0"/>
          <w:bCs w:val="0"/>
          <w:color w:val="000000" w:themeColor="text1"/>
        </w:rPr>
      </w:r>
      <w:r/>
    </w:p>
    <w:p>
      <w:pPr>
        <w:pStyle w:val="650"/>
        <w:ind w:left="0" w:right="0" w:firstLine="420"/>
        <w:jc w:val="both"/>
        <w:spacing w:before="0" w:after="0" w:line="85"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2"/>
        </w:rPr>
        <w:t xml:space="preserve">地址：盐城市盐都区恒荣世家北苑</w:t>
      </w:r>
      <w:r>
        <w:rPr>
          <w:rFonts w:ascii="SimSun" w:hAnsi="SimSun" w:eastAsia="SimSun" w:cs="SimSun"/>
          <w:b w:val="0"/>
          <w:bCs w:val="0"/>
          <w:color w:val="000000" w:themeColor="text1"/>
          <w:sz w:val="21"/>
        </w:rPr>
        <w:t xml:space="preserve">24幢2单元三楼</w:t>
      </w:r>
      <w:r>
        <w:rPr>
          <w:b w:val="0"/>
          <w:bCs w:val="0"/>
          <w:color w:val="000000" w:themeColor="text1"/>
        </w:rPr>
      </w:r>
      <w:r/>
    </w:p>
    <w:p>
      <w:pPr>
        <w:pStyle w:val="650"/>
        <w:ind w:left="0" w:right="0" w:firstLine="420"/>
        <w:jc w:val="both"/>
        <w:spacing w:before="0" w:after="0" w:line="85"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2"/>
        </w:rPr>
        <w:t xml:space="preserve">联</w:t>
      </w:r>
      <w:r>
        <w:rPr>
          <w:rFonts w:ascii="SimSun" w:hAnsi="SimSun" w:eastAsia="SimSun" w:cs="SimSun"/>
          <w:b w:val="0"/>
          <w:bCs w:val="0"/>
          <w:color w:val="000000" w:themeColor="text1"/>
          <w:sz w:val="21"/>
        </w:rPr>
        <w:t xml:space="preserve"> </w:t>
      </w:r>
      <w:r>
        <w:rPr>
          <w:rFonts w:ascii="SimSun" w:hAnsi="SimSun" w:eastAsia="SimSun" w:cs="SimSun"/>
          <w:b w:val="0"/>
          <w:bCs w:val="0"/>
          <w:color w:val="000000" w:themeColor="text1"/>
          <w:sz w:val="22"/>
        </w:rPr>
        <w:t xml:space="preserve">系</w:t>
      </w:r>
      <w:r>
        <w:rPr>
          <w:rFonts w:ascii="SimSun" w:hAnsi="SimSun" w:eastAsia="SimSun" w:cs="SimSun"/>
          <w:b w:val="0"/>
          <w:bCs w:val="0"/>
          <w:color w:val="000000" w:themeColor="text1"/>
          <w:sz w:val="21"/>
        </w:rPr>
        <w:t xml:space="preserve"> </w:t>
      </w:r>
      <w:r>
        <w:rPr>
          <w:rFonts w:ascii="SimSun" w:hAnsi="SimSun" w:eastAsia="SimSun" w:cs="SimSun"/>
          <w:b w:val="0"/>
          <w:bCs w:val="0"/>
          <w:color w:val="000000" w:themeColor="text1"/>
          <w:sz w:val="22"/>
        </w:rPr>
        <w:t xml:space="preserve">人：周工联系电话：</w:t>
      </w:r>
      <w:r>
        <w:rPr>
          <w:rFonts w:ascii="SimSun" w:hAnsi="SimSun" w:eastAsia="SimSun" w:cs="SimSun"/>
          <w:b w:val="0"/>
          <w:bCs w:val="0"/>
          <w:color w:val="000000" w:themeColor="text1"/>
          <w:sz w:val="21"/>
        </w:rPr>
        <w:t xml:space="preserve">18762395599</w:t>
      </w:r>
      <w:r>
        <w:rPr>
          <w:b w:val="0"/>
          <w:bCs w:val="0"/>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p>
      <w:pPr>
        <w:pStyle w:val="652"/>
        <w:ind w:left="0" w:right="0" w:firstLine="0"/>
        <w:jc w:val="center"/>
        <w:spacing w:before="0" w:after="0" w:line="76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pStyle w:val="652"/>
        <w:ind w:left="0" w:right="0" w:firstLine="0"/>
        <w:jc w:val="center"/>
        <w:spacing w:before="0" w:after="0" w:line="761"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pStyle w:val="652"/>
        <w:ind w:left="0" w:right="0" w:firstLine="0"/>
        <w:jc w:val="center"/>
        <w:spacing w:before="0" w:after="0" w:line="76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第二章投标人须知</w:t>
      </w:r>
      <w:r>
        <w:rPr>
          <w:color w:val="000000" w:themeColor="text1"/>
        </w:rPr>
      </w:r>
      <w:r/>
    </w:p>
    <w:p>
      <w:pPr>
        <w:pStyle w:val="654"/>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一、总则</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w:t>
      </w:r>
      <w:r>
        <w:rPr>
          <w:rFonts w:ascii="SimSun" w:hAnsi="SimSun" w:eastAsia="SimSun" w:cs="SimSun"/>
          <w:b/>
          <w:color w:val="000000" w:themeColor="text1"/>
          <w:sz w:val="22"/>
        </w:rPr>
        <w:t xml:space="preserve">、招标方式</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1.1本次招标采取公开招标方式，本招标文件仅适用于招标公告中所述项目。</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2、合格的投标人</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2.1满足招标公告中供应商的资格要求的规定。</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2.2满足本文件实质性条款的规定。</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3、适用法律</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3.1本次招标及由此产生的合同受中华人民共和国有关的法律法规制约和保护。</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4、投标费用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4.1</w:t>
      </w:r>
      <w:r>
        <w:rPr>
          <w:rFonts w:ascii="SimSun" w:hAnsi="SimSun" w:eastAsia="SimSun" w:cs="SimSun"/>
          <w:color w:val="000000" w:themeColor="text1"/>
          <w:sz w:val="22"/>
        </w:rPr>
        <w:t xml:space="preserve">投标人应自行承担所有与参加投标有关的费用，无论投标过程中的做法和结果如何，采购人在任何情况下均无义务和责任承担这些费用。</w:t>
      </w:r>
      <w:r>
        <w:rPr>
          <w:color w:val="000000" w:themeColor="text1"/>
        </w:rPr>
      </w:r>
      <w:r/>
    </w:p>
    <w:p>
      <w:pPr>
        <w:ind w:left="0" w:right="0" w:firstLine="200"/>
        <w:jc w:val="both"/>
        <w:spacing w:before="0" w:after="0" w:line="4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4.2本项目招标代理服务费：招标代理服务费参照(计价格[2002]1980号)准计取;50万以下项目按照相关标准收取;50万-100万项目按收费标准 8折计算，100万-500万的项目按收费标准6折计算。如服务费低于人民币 4000元的，按人民币 4000元计收。投标人投标时综合考虑进报价中，此项费用不得单列，凡漏项或少计均视为优惠招标人，不另行增加费用。中标后由中标单位在领取中标通知书前直接向招标代理公司一次性付清。</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5、招标文件的约束力</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5.1</w:t>
      </w:r>
      <w:r>
        <w:rPr>
          <w:rFonts w:ascii="SimSun" w:hAnsi="SimSun" w:eastAsia="SimSun" w:cs="SimSun"/>
          <w:color w:val="000000" w:themeColor="text1"/>
          <w:sz w:val="22"/>
        </w:rPr>
        <w:t xml:space="preserve">投标人一旦参加本项目采购活动，即被认为接受了本招标文件的规定和约束，并且视为自招标公告期限届满之日起知道或应当知道自身权益是否受到了损害。</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6、招标文件的解释</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6.1本招标文件由采购人和采购代理机构负责解释。</w:t>
      </w:r>
      <w:r>
        <w:rPr>
          <w:color w:val="000000" w:themeColor="text1"/>
        </w:rPr>
      </w:r>
      <w:r/>
    </w:p>
    <w:p>
      <w:pPr>
        <w:pStyle w:val="654"/>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二、招标文件</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7、招标文件构成</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7.1 </w:t>
      </w:r>
      <w:r>
        <w:rPr>
          <w:rFonts w:ascii="SimSun" w:hAnsi="SimSun" w:eastAsia="SimSun" w:cs="SimSun"/>
          <w:color w:val="000000" w:themeColor="text1"/>
          <w:sz w:val="22"/>
        </w:rPr>
        <w:t xml:space="preserve">招标文件有以下部分组成：</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1）招标公告</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2）投标人须知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3）合同条款及格式</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4）项目需求</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5）评标方法与评标标准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6）投标文件格式</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请仔细检查招标文件是否齐全，如有缺漏请立即与采购人或采购代理机构联系解决。</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7.2</w:t>
      </w:r>
      <w:r>
        <w:rPr>
          <w:rFonts w:ascii="SimSun" w:hAnsi="SimSun" w:eastAsia="SimSun" w:cs="SimSun"/>
          <w:color w:val="000000" w:themeColor="text1"/>
          <w:sz w:val="22"/>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8、招标文件的</w:t>
      </w:r>
      <w:r>
        <w:rPr>
          <w:rFonts w:ascii="SimSun" w:hAnsi="SimSun" w:eastAsia="SimSun" w:cs="SimSun"/>
          <w:b/>
          <w:color w:val="000000" w:themeColor="text1"/>
          <w:sz w:val="22"/>
        </w:rPr>
        <w:t xml:space="preserve">询问</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8.1</w:t>
      </w:r>
      <w:r>
        <w:rPr>
          <w:rFonts w:ascii="SimSun" w:hAnsi="SimSun" w:eastAsia="SimSun" w:cs="SimSun"/>
          <w:color w:val="000000" w:themeColor="text1"/>
          <w:sz w:val="22"/>
        </w:rPr>
        <w:t xml:space="preserve">任何要求对招标文件进行询问的投标人，应在投标截止日期</w:t>
      </w:r>
      <w:r>
        <w:rPr>
          <w:rFonts w:ascii="SimSun" w:hAnsi="SimSun" w:eastAsia="SimSun" w:cs="SimSun"/>
          <w:b/>
          <w:color w:val="000000" w:themeColor="text1"/>
          <w:sz w:val="22"/>
        </w:rPr>
        <w:t xml:space="preserve">十日</w:t>
      </w:r>
      <w:r>
        <w:rPr>
          <w:rFonts w:ascii="SimSun" w:hAnsi="SimSun" w:eastAsia="SimSun" w:cs="SimSun"/>
          <w:color w:val="000000" w:themeColor="text1"/>
          <w:sz w:val="22"/>
        </w:rPr>
        <w:t xml:space="preserve">前按招标公告中的通讯地址，向采购人和采购代理机构提出。</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9、招标文件的修改</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9.1</w:t>
      </w:r>
      <w:r>
        <w:rPr>
          <w:rFonts w:ascii="SimSun" w:hAnsi="SimSun" w:eastAsia="SimSun" w:cs="SimSun"/>
          <w:color w:val="000000" w:themeColor="text1"/>
          <w:sz w:val="22"/>
        </w:rPr>
        <w:t xml:space="preserve">在投标截止时间前，采购人可以对招标文件进行修改。</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9.2</w:t>
      </w:r>
      <w:r>
        <w:rPr>
          <w:rFonts w:ascii="SimSun" w:hAnsi="SimSun" w:eastAsia="SimSun" w:cs="SimSun"/>
          <w:color w:val="000000" w:themeColor="text1"/>
          <w:sz w:val="22"/>
        </w:rPr>
        <w:t xml:space="preserve">采购人有权依法推迟投标截止日期和开标日期。</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9.3</w:t>
      </w:r>
      <w:r>
        <w:rPr>
          <w:rFonts w:ascii="SimSun" w:hAnsi="SimSun" w:eastAsia="SimSun" w:cs="SimSun"/>
          <w:color w:val="000000" w:themeColor="text1"/>
          <w:sz w:val="22"/>
        </w:rPr>
        <w:t xml:space="preserve">招标文件的修改将在</w:t>
      </w:r>
      <w:r>
        <w:rPr>
          <w:rFonts w:ascii="SimSun" w:hAnsi="SimSun" w:eastAsia="SimSun" w:cs="SimSun"/>
          <w:color w:val="000000" w:themeColor="text1"/>
          <w:sz w:val="21"/>
        </w:rPr>
        <w:t xml:space="preserve">“江苏政府采购网”、“盐城市政府采购网”公布，补充文件将作为招标文件的组成部分，并对投标人具有约束力。</w:t>
      </w:r>
      <w:r>
        <w:rPr>
          <w:color w:val="000000" w:themeColor="text1"/>
        </w:rPr>
      </w:r>
      <w:r/>
    </w:p>
    <w:p>
      <w:pPr>
        <w:pStyle w:val="654"/>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三、投标文件的编制</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10、投标文件的语言及度量衡单位</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10.1 </w:t>
      </w:r>
      <w:r>
        <w:rPr>
          <w:rFonts w:ascii="SimSun" w:hAnsi="SimSun" w:eastAsia="SimSun" w:cs="SimSun"/>
          <w:color w:val="000000" w:themeColor="text1"/>
          <w:sz w:val="22"/>
        </w:rPr>
        <w:t xml:space="preserve">投标人提交的投标文件以及投标人与采购人、采购代理机构就有关投标的所有来往通知、函件和文件均应使用</w:t>
      </w:r>
      <w:r>
        <w:rPr>
          <w:rFonts w:ascii="SimSun" w:hAnsi="SimSun" w:eastAsia="SimSun" w:cs="SimSun"/>
          <w:b/>
          <w:color w:val="000000" w:themeColor="text1"/>
          <w:sz w:val="22"/>
        </w:rPr>
        <w:t xml:space="preserve">简体中文</w:t>
      </w:r>
      <w:r>
        <w:rPr>
          <w:rFonts w:ascii="SimSun" w:hAnsi="SimSun" w:eastAsia="SimSun" w:cs="SimSun"/>
          <w:color w:val="000000" w:themeColor="text1"/>
          <w:sz w:val="22"/>
        </w:rPr>
        <w:t xml:space="preserve">。</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10.2 </w:t>
      </w:r>
      <w:r>
        <w:rPr>
          <w:rFonts w:ascii="SimSun" w:hAnsi="SimSun" w:eastAsia="SimSun" w:cs="SimSun"/>
          <w:color w:val="000000" w:themeColor="text1"/>
          <w:sz w:val="22"/>
        </w:rPr>
        <w:t xml:space="preserve">除技术性能另有规定外，投标文件所使用的度量衡单位，均须采用国家法定计量单位。</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11、投标文件构成</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11.1投标人编写投标文件应按照招标文件要求及“第六章 投标文件格式”的要求制作投标文件，投标文件应（至少）包括（但不限于）：</w:t>
      </w:r>
      <w:r>
        <w:rPr>
          <w:rFonts w:ascii="SimSun" w:hAnsi="SimSun" w:eastAsia="SimSun" w:cs="SimSun"/>
          <w:color w:val="000000" w:themeColor="text1"/>
          <w:sz w:val="22"/>
        </w:rPr>
        <w:t xml:space="preserve">资信证明文件、报价清单、技术参数偏离表（如有）、商务条款响应及偏离表、投标函、开标一览表、盐城经济技术开发区政府采购事前信用承诺书等部分；</w:t>
      </w:r>
      <w:r>
        <w:rPr>
          <w:color w:val="000000" w:themeColor="text1"/>
        </w:rPr>
      </w:r>
      <w:r/>
    </w:p>
    <w:p>
      <w:pPr>
        <w:ind w:left="0" w:right="0" w:firstLine="420"/>
        <w:jc w:val="both"/>
        <w:spacing w:before="0" w:after="0" w:line="4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11.2根据招标文件“第五章 评标方法与评标标准”的要求需要提供的材料；</w:t>
      </w:r>
      <w:r>
        <w:rPr>
          <w:color w:val="000000" w:themeColor="text1"/>
        </w:rPr>
      </w:r>
      <w:r/>
    </w:p>
    <w:p>
      <w:pPr>
        <w:ind w:left="0" w:right="0" w:firstLine="420"/>
        <w:jc w:val="both"/>
        <w:spacing w:before="0" w:after="0" w:line="4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11.3投标人企业（单位）类型声明函（如是，详见第六章  投标文件格式）；</w:t>
      </w:r>
      <w:r>
        <w:rPr>
          <w:color w:val="000000" w:themeColor="text1"/>
        </w:rPr>
      </w:r>
      <w:r/>
    </w:p>
    <w:p>
      <w:pPr>
        <w:ind w:left="0" w:right="0" w:firstLine="420"/>
        <w:jc w:val="both"/>
        <w:spacing w:before="0" w:after="0" w:line="4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11.4招标文件中要求及投标人认为有必要提供的其他材料。</w:t>
      </w:r>
      <w:r>
        <w:rPr>
          <w:color w:val="000000" w:themeColor="text1"/>
        </w:rPr>
      </w:r>
      <w:r/>
    </w:p>
    <w:p>
      <w:pPr>
        <w:ind w:left="0" w:right="0" w:firstLine="420"/>
        <w:jc w:val="both"/>
        <w:spacing w:before="0" w:after="0" w:line="4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注：投标人应将投标文件按顺序编制，并编制投标文件资料目录</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12、证明投标人资格及符合招标文件规定的文件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12.1</w:t>
      </w:r>
      <w:r>
        <w:rPr>
          <w:rFonts w:ascii="SimSun" w:hAnsi="SimSun" w:eastAsia="SimSun" w:cs="SimSun"/>
          <w:color w:val="000000" w:themeColor="text1"/>
          <w:sz w:val="22"/>
        </w:rPr>
        <w:t xml:space="preserve">投标人应按要求提交资格证明文件及符合招标文件规定的文件。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12.2投标人应提交证明其有资格参加投标和中标后有能力独立履行合同的文件。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12.3投标人除必须具有履行合同所需提供的货物以及服务的能力外，还必须具备相应的财务、技术方面的能力。</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12.4投标人应提交根据合同要求提供的证明产品质量合格以及符合招标文件规定的证明文件。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12.5证明投标人所提供货物与招标文件的要求相一致的文件可以是手册、图纸、文字资料和数据</w:t>
      </w:r>
      <w:r>
        <w:rPr>
          <w:rFonts w:ascii="SimSun" w:hAnsi="SimSun" w:eastAsia="SimSun" w:cs="SimSun"/>
          <w:color w:val="000000" w:themeColor="text1"/>
          <w:sz w:val="22"/>
        </w:rPr>
        <w:t xml:space="preserve">。</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13、供货一览表和投标配置与分项报价</w:t>
      </w:r>
      <w:r>
        <w:rPr>
          <w:rFonts w:ascii="SimSun" w:hAnsi="SimSun" w:eastAsia="SimSun" w:cs="SimSun"/>
          <w:b/>
          <w:color w:val="000000" w:themeColor="text1"/>
          <w:sz w:val="22"/>
        </w:rPr>
        <w:t xml:space="preserve">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13.1投标人应按照招标文件规定格式填报开标一览表、报价清单。每项服务等只允许有一个报价，任何有选择的报价将不予接受。</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13.2 标的物</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采购人需求的有关技术服务等。</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13.3有关费用处理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招标报价采用总承包方式，投标报价包括人力成本、设备成本、利润、税金和不可预见费用等完成本项目所需的全部费用的总和，采购方不再支付其他任何费用。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13.4其它费用处理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招标文件未列明，而投标人认为必需的费用也需列入报价。</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13.5投标货币</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投标文件中的货物单价和总价无特殊规定的采用人民币报价，以元为单位标注。招标文件中另有规定的按规定执行。</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13.6 报价清单上的价格应按下列方式分开填写：</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13.6.1 项目总价：包括人力成本、设备成本、利润、税金和不可预见费用等完成本项目所需的全部费用的总和，采购方不再支付其他任何费用。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13.6.2项目单价按投标配置及分项报价表中要求填报。</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14</w:t>
      </w:r>
      <w:r>
        <w:rPr>
          <w:rFonts w:ascii="SimSun" w:hAnsi="SimSun" w:eastAsia="SimSun" w:cs="SimSun"/>
          <w:b/>
          <w:color w:val="000000" w:themeColor="text1"/>
          <w:sz w:val="22"/>
        </w:rPr>
        <w:t xml:space="preserve">、技术参数响应及偏离表、商务条款响应及偏离表及投标服务说明</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14.1 对招标文件中的技术与商务条款要求逐项作出响应或偏离，并说明原因；</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14.2 提供参加本项目类似案例简介；</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14.3投标人认为需要的其他技术文件或说明。</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15、服务承诺及售后服务机构、人员的情况介绍</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15.1投标人的服务承诺应按不低于招标文件中商务要求的标准。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15.2提供投标人有关售后服务的管理制度、售后服务机构的分布情况、售后服务人员的数量、素质、技术水平及售后服务的反应能力。</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16、投标函和开标一览表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16.1 投标人应按照招标文件中提供的格式完整、正确填写投标函、开标一览表。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16.2 开标一览表中的价格应与投标文件中投标配置与分项报价表中的价格一致，如不一致，不作为无效投标处理，但评标时按开标一览表中价格为准。</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17、投标有效期</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17.1 </w:t>
      </w:r>
      <w:r>
        <w:rPr>
          <w:rFonts w:ascii="SimSun" w:hAnsi="SimSun" w:eastAsia="SimSun" w:cs="SimSun"/>
          <w:color w:val="000000" w:themeColor="text1"/>
          <w:sz w:val="22"/>
        </w:rPr>
        <w:t xml:space="preserve">投标有效期为开标之日后</w:t>
      </w:r>
      <w:r>
        <w:rPr>
          <w:rFonts w:ascii="SimSun" w:hAnsi="SimSun" w:eastAsia="SimSun" w:cs="SimSun"/>
          <w:b/>
          <w:color w:val="000000" w:themeColor="text1"/>
          <w:sz w:val="22"/>
          <w:u w:val="single"/>
        </w:rPr>
        <w:t xml:space="preserve">六十（</w:t>
      </w:r>
      <w:r>
        <w:rPr>
          <w:rFonts w:ascii="SimSun" w:hAnsi="SimSun" w:eastAsia="SimSun" w:cs="SimSun"/>
          <w:b/>
          <w:color w:val="000000" w:themeColor="text1"/>
          <w:sz w:val="21"/>
          <w:u w:val="single"/>
        </w:rPr>
        <w:t xml:space="preserve">60）天</w:t>
      </w:r>
      <w:r>
        <w:rPr>
          <w:rFonts w:ascii="SimSun" w:hAnsi="SimSun" w:eastAsia="SimSun" w:cs="SimSun"/>
          <w:color w:val="000000" w:themeColor="text1"/>
          <w:sz w:val="22"/>
        </w:rPr>
        <w:t xml:space="preserve">。投标有效期比规定短的将被视为非响应性投标而予以拒绝。</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17.2 </w:t>
      </w:r>
      <w:r>
        <w:rPr>
          <w:rFonts w:ascii="SimSun" w:hAnsi="SimSun" w:eastAsia="SimSun" w:cs="SimSun"/>
          <w:color w:val="000000" w:themeColor="text1"/>
          <w:sz w:val="22"/>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18、投标文件</w:t>
      </w:r>
      <w:r>
        <w:rPr>
          <w:rFonts w:ascii="SimSun" w:hAnsi="SimSun" w:eastAsia="SimSun" w:cs="SimSun"/>
          <w:b/>
          <w:color w:val="000000" w:themeColor="text1"/>
          <w:sz w:val="22"/>
        </w:rPr>
        <w:t xml:space="preserve">制作和加密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18.1</w:t>
      </w:r>
      <w:r>
        <w:rPr>
          <w:rFonts w:ascii="SimSun" w:hAnsi="SimSun" w:eastAsia="SimSun" w:cs="SimSun"/>
          <w:b/>
          <w:color w:val="000000" w:themeColor="text1"/>
          <w:sz w:val="22"/>
        </w:rPr>
        <w:t xml:space="preserve">投标文件须按要求的内容和顺序编制，按要求签字盖章后生成</w:t>
      </w:r>
      <w:r>
        <w:rPr>
          <w:rFonts w:ascii="SimSun" w:hAnsi="SimSun" w:eastAsia="SimSun" w:cs="SimSun"/>
          <w:b/>
          <w:color w:val="000000" w:themeColor="text1"/>
          <w:sz w:val="21"/>
        </w:rPr>
        <w:t xml:space="preserve">PDF文档（PDF文档须清晰可辩，如因不清晰让评标委员会无法评审，将被作为无效投标处理），二个PDF文档置于一个文件夹内，使用压缩打包工具加密后发送至采购人指定的邮箱（309682509@qq.com），压缩包密码建议采用字母与数字的组合，压缩包里面有且仅有一个文件夹（内含二个PDF文档，一个为商务标书文档、一个为技术标书文档，商务标书文档名称为“商务标书”、技术标书文档名称为“技术标书”）。压缩包文件名为投标单位名称，邮箱发送主题上标明“</w:t>
      </w:r>
      <w:r>
        <w:rPr>
          <w:rFonts w:ascii="SimSun" w:hAnsi="SimSun" w:eastAsia="SimSun" w:cs="SimSun"/>
          <w:b/>
          <w:color w:val="000000" w:themeColor="text1"/>
          <w:sz w:val="22"/>
        </w:rPr>
        <w:t xml:space="preserve">盐城经济技术开发区市场监督管理局</w:t>
      </w:r>
      <w:r>
        <w:rPr>
          <w:rFonts w:ascii="SimSun" w:hAnsi="SimSun" w:eastAsia="SimSun" w:cs="SimSun"/>
          <w:b/>
          <w:color w:val="000000" w:themeColor="text1"/>
          <w:sz w:val="21"/>
        </w:rPr>
        <w:t xml:space="preserve">2024年度农贸市场食品安全快速检测服务项目</w:t>
      </w:r>
      <w:r>
        <w:rPr>
          <w:rFonts w:ascii="SimSun" w:hAnsi="SimSun" w:eastAsia="SimSun" w:cs="SimSun"/>
          <w:b/>
          <w:color w:val="000000" w:themeColor="text1"/>
          <w:sz w:val="22"/>
        </w:rPr>
        <w:t xml:space="preserve">投标文件</w:t>
      </w:r>
      <w:r>
        <w:rPr>
          <w:rFonts w:ascii="SimSun" w:hAnsi="SimSun" w:eastAsia="SimSun" w:cs="SimSun"/>
          <w:b/>
          <w:color w:val="000000" w:themeColor="text1"/>
          <w:sz w:val="21"/>
        </w:rPr>
        <w:t xml:space="preserve">+投标单位名称”字样</w:t>
      </w:r>
      <w:r>
        <w:rPr>
          <w:rFonts w:ascii="SimSun" w:hAnsi="SimSun" w:eastAsia="SimSun" w:cs="SimSun"/>
          <w:color w:val="000000" w:themeColor="text1"/>
          <w:sz w:val="22"/>
        </w:rPr>
        <w:t xml:space="preserve">。</w:t>
      </w:r>
      <w:r>
        <w:rPr>
          <w:color w:val="000000" w:themeColor="text1"/>
        </w:rPr>
      </w:r>
      <w:r/>
    </w:p>
    <w:p>
      <w:pPr>
        <w:pStyle w:val="656"/>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注：投标人应将投标文件按顺序编制，按要求签字盖章后生成</w:t>
      </w:r>
      <w:r>
        <w:rPr>
          <w:rFonts w:ascii="SimSun" w:hAnsi="SimSun" w:eastAsia="SimSun" w:cs="SimSun"/>
          <w:b/>
          <w:color w:val="000000" w:themeColor="text1"/>
          <w:sz w:val="21"/>
        </w:rPr>
        <w:t xml:space="preserve">PDF文档； </w:t>
      </w:r>
      <w:r>
        <w:rPr>
          <w:color w:val="000000" w:themeColor="text1"/>
        </w:rPr>
      </w:r>
      <w:r/>
    </w:p>
    <w:p>
      <w:pPr>
        <w:pStyle w:val="654"/>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18.2本采购项目有章印和签字要求的必须为原件扫描件；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18.3中标单位在领取中标通知书时打印纸质投标文件正本1份、副本4份送至</w:t>
      </w:r>
      <w:r>
        <w:rPr>
          <w:rFonts w:ascii="SimSun" w:hAnsi="SimSun" w:eastAsia="SimSun" w:cs="SimSun"/>
          <w:color w:val="000000" w:themeColor="text1"/>
          <w:sz w:val="22"/>
        </w:rPr>
        <w:t xml:space="preserve">江苏执策建设管理有限公司。提供的投标文件须与中标供应商提交的投标文件</w:t>
      </w:r>
      <w:r>
        <w:rPr>
          <w:rFonts w:ascii="SimSun" w:hAnsi="SimSun" w:eastAsia="SimSun" w:cs="SimSun"/>
          <w:color w:val="000000" w:themeColor="text1"/>
          <w:sz w:val="21"/>
        </w:rPr>
        <w:t xml:space="preserve">PDF文档一致。</w:t>
      </w:r>
      <w:r>
        <w:rPr>
          <w:color w:val="000000" w:themeColor="text1"/>
        </w:rPr>
      </w:r>
      <w:r/>
    </w:p>
    <w:p>
      <w:pPr>
        <w:pStyle w:val="654"/>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四、投标文件的递交</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w:t>
      </w:r>
      <w:r>
        <w:rPr>
          <w:rFonts w:ascii="SimSun" w:hAnsi="SimSun" w:eastAsia="SimSun" w:cs="SimSun"/>
          <w:color w:val="000000" w:themeColor="text1"/>
          <w:sz w:val="22"/>
        </w:rPr>
        <w:t xml:space="preserve">电子投标文件的递交</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19.1投标人应当按照</w:t>
      </w:r>
      <w:r>
        <w:rPr>
          <w:rFonts w:ascii="SimSun" w:hAnsi="SimSun" w:eastAsia="SimSun" w:cs="SimSun"/>
          <w:color w:val="000000" w:themeColor="text1"/>
          <w:sz w:val="22"/>
        </w:rPr>
        <w:t xml:space="preserve">招标文件，在投标截止时间前制作并发送发送电子投标文件到采购人指定邮箱。</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19.2投标人</w:t>
      </w:r>
      <w:r>
        <w:rPr>
          <w:rFonts w:ascii="SimSun" w:hAnsi="SimSun" w:eastAsia="SimSun" w:cs="SimSun"/>
          <w:color w:val="000000" w:themeColor="text1"/>
          <w:sz w:val="22"/>
        </w:rPr>
        <w:t xml:space="preserve">未在规定的时间内发送解密密码的，作为无效投标，不予参加开标和评审。</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20、投标截止日期</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20.1</w:t>
      </w:r>
      <w:r>
        <w:rPr>
          <w:rFonts w:ascii="SimSun" w:hAnsi="SimSun" w:eastAsia="SimSun" w:cs="SimSun"/>
          <w:color w:val="000000" w:themeColor="text1"/>
          <w:sz w:val="22"/>
        </w:rPr>
        <w:t xml:space="preserve">投标人发送电子投标文件的时间不得迟于招标公告中规定的投标截止时间。投标人应充分考虑到网络环境、网络带宽等风险因素，如因投标人自身原因造成的电子投标文件发送不成功由投标人自行承担全部责任。</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20.2 </w:t>
      </w:r>
      <w:r>
        <w:rPr>
          <w:rFonts w:ascii="SimSun" w:hAnsi="SimSun" w:eastAsia="SimSun" w:cs="SimSun"/>
          <w:color w:val="000000" w:themeColor="text1"/>
          <w:sz w:val="22"/>
        </w:rPr>
        <w:t xml:space="preserve">采购人有权通过修改招标文件酌情延长投标截止日期，在此情况下，投标人的所有权利和义务以及投标人受制的截止日期均应以延长后新的截止日期为准。</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21、迟交的投标文件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21.1</w:t>
      </w:r>
      <w:r>
        <w:rPr>
          <w:rFonts w:ascii="SimSun" w:hAnsi="SimSun" w:eastAsia="SimSun" w:cs="SimSun"/>
          <w:color w:val="000000" w:themeColor="text1"/>
          <w:sz w:val="22"/>
        </w:rPr>
        <w:t xml:space="preserve">采购人拒绝接收在其规定的投标截止时间后发送的任何投标文件。</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22、投标文件的修改和撤回</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22.1投标截止时间之前，投标人可对所递交的投标文件进行修改或撤回，但需以书面形式通知采购人或采购代理机构，投标人对投标文件的补充、修改的内容为投标文件的组成部分，应按规定重新编制发送，并在邮箱发送主题上标明“补充、修改”字样。投标截止时间之后，投标人不得修改或撤回投标文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22.2投标人的修改书或撤回通知书，应由其法定代表人或授权代表签署并盖单位印章。</w:t>
      </w:r>
      <w:r>
        <w:rPr>
          <w:color w:val="000000" w:themeColor="text1"/>
        </w:rPr>
      </w:r>
      <w:r/>
    </w:p>
    <w:p>
      <w:pPr>
        <w:pStyle w:val="654"/>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五、开标与评标</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23、开标</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23.1各投标人需在开标前提前下载“腾讯会议”直播APP，加入会议，会议号：</w:t>
      </w:r>
      <w:r>
        <w:rPr>
          <w:rFonts w:ascii="SimSun" w:hAnsi="SimSun" w:eastAsia="SimSun" w:cs="SimSun"/>
          <w:b/>
          <w:color w:val="000000" w:themeColor="text1"/>
          <w:sz w:val="21"/>
          <w:u w:val="single"/>
        </w:rPr>
        <w:t xml:space="preserve"> 692-306-8296</w:t>
      </w:r>
      <w:r>
        <w:rPr>
          <w:rFonts w:ascii="SimSun" w:hAnsi="SimSun" w:eastAsia="SimSun" w:cs="SimSun"/>
          <w:color w:val="000000" w:themeColor="text1"/>
          <w:sz w:val="21"/>
          <w:u w:val="single"/>
        </w:rPr>
        <w:t xml:space="preserve"> </w:t>
      </w:r>
      <w:r>
        <w:rPr>
          <w:rFonts w:ascii="SimSun" w:hAnsi="SimSun" w:eastAsia="SimSun" w:cs="SimSun"/>
          <w:color w:val="000000" w:themeColor="text1"/>
          <w:sz w:val="22"/>
        </w:rPr>
        <w:t xml:space="preserve">，详见投标须知，直接观看直播和在线交流。各供应商自行准备相关硬件设备，确保网络畅通，音响保持正常使用状态。不得因未能观看到视频直播对开标会议提出质疑；</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23.2各投标人不必抵达开标现场，但必须在投标截止时间前发送加密的投标文件至采购人指定的邮箱（309682509@qq.com）；</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23.3</w:t>
      </w:r>
      <w:r>
        <w:rPr>
          <w:rFonts w:ascii="SimSun" w:hAnsi="SimSun" w:eastAsia="SimSun" w:cs="SimSun"/>
          <w:b/>
          <w:color w:val="000000" w:themeColor="text1"/>
          <w:sz w:val="22"/>
          <w:u w:val="single"/>
        </w:rPr>
        <w:t xml:space="preserve">投标人必须在投标文件提交截止时间后</w:t>
      </w:r>
      <w:r>
        <w:rPr>
          <w:rFonts w:ascii="SimSun" w:hAnsi="SimSun" w:eastAsia="SimSun" w:cs="SimSun"/>
          <w:b/>
          <w:color w:val="000000" w:themeColor="text1"/>
          <w:sz w:val="21"/>
          <w:u w:val="single"/>
        </w:rPr>
        <w:t xml:space="preserve">15分钟内（9:00-9:15），使用发送投标文件的邮箱将响应文件的解密密码发送至采购人指定的邮箱，邮箱主题标明“</w:t>
      </w:r>
      <w:r>
        <w:rPr>
          <w:rFonts w:ascii="SimSun" w:hAnsi="SimSun" w:eastAsia="SimSun" w:cs="SimSun"/>
          <w:b/>
          <w:color w:val="000000" w:themeColor="text1"/>
          <w:sz w:val="22"/>
          <w:u w:val="single"/>
        </w:rPr>
        <w:t xml:space="preserve">盐城经济技术开发区市场监督管理局</w:t>
      </w:r>
      <w:r>
        <w:rPr>
          <w:rFonts w:ascii="SimSun" w:hAnsi="SimSun" w:eastAsia="SimSun" w:cs="SimSun"/>
          <w:b/>
          <w:color w:val="000000" w:themeColor="text1"/>
          <w:sz w:val="21"/>
          <w:u w:val="single"/>
        </w:rPr>
        <w:t xml:space="preserve">2024年度农贸市场食品安全快速检测服务项目</w:t>
      </w:r>
      <w:r>
        <w:rPr>
          <w:rFonts w:ascii="SimSun" w:hAnsi="SimSun" w:eastAsia="SimSun" w:cs="SimSun"/>
          <w:b/>
          <w:color w:val="000000" w:themeColor="text1"/>
          <w:sz w:val="22"/>
          <w:u w:val="single"/>
        </w:rPr>
        <w:t xml:space="preserve">投标文件</w:t>
      </w:r>
      <w:r>
        <w:rPr>
          <w:rFonts w:ascii="SimSun" w:hAnsi="SimSun" w:eastAsia="SimSun" w:cs="SimSun"/>
          <w:b/>
          <w:color w:val="000000" w:themeColor="text1"/>
          <w:sz w:val="21"/>
          <w:u w:val="single"/>
        </w:rPr>
        <w:t xml:space="preserve">+投标单位名称”字样</w:t>
      </w:r>
      <w:r>
        <w:rPr>
          <w:rFonts w:ascii="SimSun" w:hAnsi="SimSun" w:eastAsia="SimSun" w:cs="SimSun"/>
          <w:color w:val="000000" w:themeColor="text1"/>
          <w:sz w:val="22"/>
        </w:rPr>
        <w:t xml:space="preserve">；</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23.4 工作人员进入指定邮箱下载各投标人的投标文件，宣读投标人名称、核心产品品牌、投标价格等主要内容。如同一投标人在投标截止时间之前发送了两份或多份投标文件，则以最后发送的投标文件为准；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23.5 投标文件有下列情形之一的，将被拒绝接收：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1）投标人递交的响应文件和解密密码由不同邮箱发送的；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2）投标人递交的响应文件逾期到达或未发送至指定邮箱的；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3）投标人未按照招标文件要求生成与压缩响应文件的；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4）投标人的解密密码在响应文件提交截止时间前发送的或在规定发送密码的截止时间后发送的。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23.6</w:t>
      </w:r>
      <w:r>
        <w:rPr>
          <w:rFonts w:ascii="SimSun" w:hAnsi="SimSun" w:eastAsia="SimSun" w:cs="SimSun"/>
          <w:color w:val="000000" w:themeColor="text1"/>
          <w:sz w:val="22"/>
        </w:rPr>
        <w:t xml:space="preserve">开标时，《开标一览表》（报价表）内容与投标文件中相应内容不一致的，以《开标一览表》（报价表）为准；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23.7</w:t>
      </w:r>
      <w:r>
        <w:rPr>
          <w:rFonts w:ascii="SimSun" w:hAnsi="SimSun" w:eastAsia="SimSun" w:cs="SimSun"/>
          <w:color w:val="000000" w:themeColor="text1"/>
          <w:sz w:val="22"/>
        </w:rPr>
        <w:t xml:space="preserve">投标文件、《开标一览表》（报价表）中报价的大写金额与小写金额不一致的，以大写金额为准；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23.8</w:t>
      </w:r>
      <w:r>
        <w:rPr>
          <w:rFonts w:ascii="SimSun" w:hAnsi="SimSun" w:eastAsia="SimSun" w:cs="SimSun"/>
          <w:color w:val="000000" w:themeColor="text1"/>
          <w:sz w:val="22"/>
        </w:rPr>
        <w:t xml:space="preserve">单价金额小数点或者百分比有明显错位的，以《开标一览表》（报价表）的总价为准，并修改单价；</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23.9</w:t>
      </w:r>
      <w:r>
        <w:rPr>
          <w:rFonts w:ascii="SimSun" w:hAnsi="SimSun" w:eastAsia="SimSun" w:cs="SimSun"/>
          <w:color w:val="000000" w:themeColor="text1"/>
          <w:sz w:val="22"/>
        </w:rPr>
        <w:t xml:space="preserve">总价金额与按单价汇总金额不一致的，以单价金额计算结果为准；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23.10</w:t>
      </w:r>
      <w:r>
        <w:rPr>
          <w:rFonts w:ascii="SimSun" w:hAnsi="SimSun" w:eastAsia="SimSun" w:cs="SimSun"/>
          <w:color w:val="000000" w:themeColor="text1"/>
          <w:sz w:val="22"/>
        </w:rPr>
        <w:t xml:space="preserve">同时出现</w:t>
      </w:r>
      <w:r>
        <w:rPr>
          <w:rFonts w:ascii="SimSun" w:hAnsi="SimSun" w:eastAsia="SimSun" w:cs="SimSun"/>
          <w:color w:val="000000" w:themeColor="text1"/>
          <w:sz w:val="21"/>
        </w:rPr>
        <w:t xml:space="preserve">23.6-23.7</w:t>
      </w:r>
      <w:r>
        <w:rPr>
          <w:rFonts w:ascii="SimSun" w:hAnsi="SimSun" w:eastAsia="SimSun" w:cs="SimSun"/>
          <w:color w:val="000000" w:themeColor="text1"/>
          <w:sz w:val="22"/>
        </w:rPr>
        <w:t xml:space="preserve">中两种以上不一致的</w:t>
      </w:r>
      <w:r>
        <w:rPr>
          <w:rFonts w:ascii="SimSun" w:hAnsi="SimSun" w:eastAsia="SimSun" w:cs="SimSun"/>
          <w:color w:val="000000" w:themeColor="text1"/>
          <w:sz w:val="21"/>
        </w:rPr>
        <w:t xml:space="preserve">,按照23.6-23.7</w:t>
      </w:r>
      <w:r>
        <w:rPr>
          <w:rFonts w:ascii="SimSun" w:hAnsi="SimSun" w:eastAsia="SimSun" w:cs="SimSun"/>
          <w:color w:val="000000" w:themeColor="text1"/>
          <w:sz w:val="22"/>
        </w:rPr>
        <w:t xml:space="preserve">的顺序修正。修正后的报价由法定代表人</w:t>
      </w:r>
      <w:r>
        <w:rPr>
          <w:rFonts w:ascii="SimSun" w:hAnsi="SimSun" w:eastAsia="SimSun" w:cs="SimSun"/>
          <w:color w:val="000000" w:themeColor="text1"/>
          <w:sz w:val="21"/>
        </w:rPr>
        <w:t xml:space="preserve">/单位负责人或其授权的代表签字确认后产生约束力，投标人不确认的，投标无效。</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23.11</w:t>
      </w:r>
      <w:r>
        <w:rPr>
          <w:rFonts w:ascii="SimSun" w:hAnsi="SimSun" w:eastAsia="SimSun" w:cs="SimSun"/>
          <w:color w:val="000000" w:themeColor="text1"/>
          <w:sz w:val="22"/>
        </w:rPr>
        <w:t xml:space="preserve">对不同文字文本投标文件的解释发生异议的，以中文文本为准；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23.12</w:t>
      </w:r>
      <w:r>
        <w:rPr>
          <w:rFonts w:ascii="SimSun" w:hAnsi="SimSun" w:eastAsia="SimSun" w:cs="SimSun"/>
          <w:color w:val="000000" w:themeColor="text1"/>
          <w:sz w:val="22"/>
        </w:rPr>
        <w:t xml:space="preserve">资格审查：开标结束后，依据法规政策和招标文件的规定，在对投标文件（二号标书</w:t>
      </w:r>
      <w:r>
        <w:rPr>
          <w:rFonts w:ascii="SimSun" w:hAnsi="SimSun" w:eastAsia="SimSun" w:cs="SimSun"/>
          <w:color w:val="000000" w:themeColor="text1"/>
          <w:sz w:val="21"/>
        </w:rPr>
        <w:t xml:space="preserve">PDF文档）详细评审之前，采购人或采购代理机构将依据投标人提交的投标文件（二号标书PDF文档）按招标公告第三项所述的资格标准对投标人进行资格审查,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采购人或采购代理机构在进行资格性审查的同时，将在</w:t>
      </w:r>
      <w:r>
        <w:rPr>
          <w:rFonts w:ascii="SimSun" w:hAnsi="SimSun" w:eastAsia="SimSun" w:cs="SimSun"/>
          <w:color w:val="000000" w:themeColor="text1"/>
          <w:sz w:val="21"/>
        </w:rPr>
        <w:t xml:space="preserve">“信用中国（www.creditchina.gov.cn）”网站对投标人是否被列入失信被执行人、重大税收违法案件当事人名单、政府采购严重失信行为记录名单情况进行查询，以确定投标人是否具备投标资格。查询结果将以网页打印的形式留存并归档。</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24、资格审查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24.1</w:t>
      </w:r>
      <w:r>
        <w:rPr>
          <w:rFonts w:ascii="SimSun" w:hAnsi="SimSun" w:eastAsia="SimSun" w:cs="SimSun"/>
          <w:color w:val="000000" w:themeColor="text1"/>
          <w:sz w:val="22"/>
        </w:rPr>
        <w:t xml:space="preserve">依据法律法规和招标文件的约定，开标结束后，由采购人对投标文件中的资格证明文件进行审查。资格审查的结论，采购人以书面形式向评委会进行反馈。未通过资格审查的投标人，由采购人告知未通过资格审查的原因。</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采购人在进行资格性审查的同时，将在</w:t>
      </w:r>
      <w:r>
        <w:rPr>
          <w:rFonts w:ascii="SimSun" w:hAnsi="SimSun" w:eastAsia="SimSun" w:cs="SimSun"/>
          <w:color w:val="000000" w:themeColor="text1"/>
          <w:sz w:val="21"/>
        </w:rPr>
        <w:t xml:space="preserve">“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接受联合体的项目，两个以上的自然人、法人或者其他组织组成一个联合体，以一个供应商的身份共同参加政府采购活动的</w:t>
      </w:r>
      <w:r>
        <w:rPr>
          <w:rFonts w:ascii="SimSun" w:hAnsi="SimSun" w:eastAsia="SimSun" w:cs="SimSun"/>
          <w:color w:val="000000" w:themeColor="text1"/>
          <w:sz w:val="21"/>
        </w:rPr>
        <w:t xml:space="preserve">,联合体成员存在不良信用记录的，视同联合体存在不良应用记录。</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合格投标人不足</w:t>
      </w:r>
      <w:r>
        <w:rPr>
          <w:rFonts w:ascii="SimSun" w:hAnsi="SimSun" w:eastAsia="SimSun" w:cs="SimSun"/>
          <w:color w:val="000000" w:themeColor="text1"/>
          <w:sz w:val="21"/>
        </w:rPr>
        <w:t xml:space="preserve">3家的，不得评标。</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25、评标委员会</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25.1</w:t>
      </w:r>
      <w:r>
        <w:rPr>
          <w:rFonts w:ascii="SimSun" w:hAnsi="SimSun" w:eastAsia="SimSun" w:cs="SimSun"/>
          <w:b/>
          <w:color w:val="000000" w:themeColor="text1"/>
          <w:sz w:val="21"/>
        </w:rPr>
        <w:t xml:space="preserve"> </w:t>
      </w:r>
      <w:r>
        <w:rPr>
          <w:rFonts w:ascii="SimSun" w:hAnsi="SimSun" w:eastAsia="SimSun" w:cs="SimSun"/>
          <w:color w:val="000000" w:themeColor="text1"/>
          <w:sz w:val="22"/>
        </w:rPr>
        <w:t xml:space="preserve">资格审查通过后，组织评标委员会（以下简称评委会）进行评标。</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25.2 评委会由采购人代表和有关技术、经济等方面的专家组成，且人员构成符合政府采购有关规定。</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25.3评委会独立工作，负责评审所有投标文件并确定中标侯选人。</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26、评标过程的保密与公正</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26.1</w:t>
      </w:r>
      <w:r>
        <w:rPr>
          <w:rFonts w:ascii="SimSun" w:hAnsi="SimSun" w:eastAsia="SimSun" w:cs="SimSun"/>
          <w:color w:val="000000" w:themeColor="text1"/>
          <w:sz w:val="22"/>
        </w:rPr>
        <w:t xml:space="preserve">公开开标后，直至签订合同之日止，凡是与审查、澄清、评价和比较投标的有关资料以及授标建议等，采购人、评委、招标代理均不得向投标人或与评标无关的其他人员透露。</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26.2在评标过程中，投标人不得以任何行为影响评标过程，否则其投标文件将被作为无效投标文件。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26.3在评标期间，将设专门人员与投标人联系。</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26.4采购人和评标委员会不向落标的投标人解释未中标原因，也不公布评标过程中的相关细节。</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26.5 采用综合评分法的项目，未中标的投标人如需了解自己的评审得分及排序情况，可向采购人提出申请。</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27、投标的澄清</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27.1评标期间，为有助于对投标文件的审查、评价和比较，评委会有权以书面形式要求投标人对其投标文件进行澄清，但并非对每个投标人都作澄清要求。</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27.2接到评委会澄清要求的投标人应派人按评委会通知做出书面澄清，书面澄清的内容须由投标人法人或授权代表签署并加盖投标人公章，并作为投标文件的补充部分，但投标的价格和实质性的内容不得做任何更改（发送澄清文件扫描件到采购人指定邮箱）。</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27.3 接到评委会澄清要求的投标人如未按规定做出澄清，其风险由投标人自行承担。</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28、对投标文件的评审</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28.1</w:t>
      </w:r>
      <w:r>
        <w:rPr>
          <w:rFonts w:ascii="SimSun" w:hAnsi="SimSun" w:eastAsia="SimSun" w:cs="SimSun"/>
          <w:color w:val="000000" w:themeColor="text1"/>
          <w:sz w:val="22"/>
        </w:rPr>
        <w:t xml:space="preserve">符合性检查：依据招标文件的规定，从投标文件的有效性、完整性和对招标文件的响应程度进行审查，以确定是否对招标文件的实质性要求作出响应。</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28.3</w:t>
      </w:r>
      <w:r>
        <w:rPr>
          <w:rFonts w:ascii="SimSun" w:hAnsi="SimSun" w:eastAsia="SimSun" w:cs="SimSun"/>
          <w:color w:val="000000" w:themeColor="text1"/>
          <w:sz w:val="22"/>
        </w:rPr>
        <w:t xml:space="preserve">如果投标文件实质上没有响应招标文件的要求，评委会将按无效投标处理，投标人不得通过修改或撤销不合要求的偏离或保留而使其投标成为实质性响应的投标。</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28.4</w:t>
      </w:r>
      <w:r>
        <w:rPr>
          <w:rFonts w:ascii="SimSun" w:hAnsi="SimSun" w:eastAsia="SimSun" w:cs="SimSun"/>
          <w:color w:val="000000" w:themeColor="text1"/>
          <w:sz w:val="22"/>
        </w:rPr>
        <w:t xml:space="preserve">评委会将对确定为实质性响应的投标进行进一步审核，看其是否有计算上或累加上的算术错误，修正错误的原则如下：</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1）投标文件中开标一览表内容与投标文件中相应内容不一致的，以开标一览表为准。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2）大写金额和小写金额不一致的，以大写金额为准。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3）单价金额小数点或者百分比有明显错位的，以开标一览表的总价为准，并修改单价。</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4）总价金额与按单价汇总金额不一致的，以单价金额计算结果为准。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同时出现两种以上错误的，按照前款规定的顺序修正。</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28.5</w:t>
      </w:r>
      <w:r>
        <w:rPr>
          <w:rFonts w:ascii="SimSun" w:hAnsi="SimSun" w:eastAsia="SimSun" w:cs="SimSun"/>
          <w:color w:val="000000" w:themeColor="text1"/>
          <w:sz w:val="22"/>
        </w:rPr>
        <w:t xml:space="preserve">评委会将按上述修正错误的方法调整投标文件中的投标报价，调整后的价格应对投标人具有约束力。如果投标人不接受修正后的价格，则其投标将被拒绝。</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28.6</w:t>
      </w:r>
      <w:r>
        <w:rPr>
          <w:rFonts w:ascii="SimSun" w:hAnsi="SimSun" w:eastAsia="SimSun" w:cs="SimSun"/>
          <w:color w:val="000000" w:themeColor="text1"/>
          <w:sz w:val="22"/>
        </w:rPr>
        <w:t xml:space="preserve">评委会将允许修正投标文件中不构成重大偏离的、微小的、非正规的、不一致的或不规则的地方，但这些修改不能影响任何投标人相应的名次排列。</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28.7</w:t>
      </w:r>
      <w:r>
        <w:rPr>
          <w:rFonts w:ascii="SimSun" w:hAnsi="SimSun" w:eastAsia="SimSun" w:cs="SimSun"/>
          <w:b/>
          <w:color w:val="000000" w:themeColor="text1"/>
          <w:sz w:val="22"/>
        </w:rPr>
        <w:t xml:space="preserve">采用最低评标价法的采购项目，</w:t>
      </w:r>
      <w:r>
        <w:rPr>
          <w:rFonts w:ascii="SimSun" w:hAnsi="SimSun" w:eastAsia="SimSun" w:cs="SimSun"/>
          <w:color w:val="000000" w:themeColor="text1"/>
          <w:sz w:val="22"/>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使用综合评分法的采购项目，</w:t>
      </w:r>
      <w:r>
        <w:rPr>
          <w:rFonts w:ascii="SimSun" w:hAnsi="SimSun" w:eastAsia="SimSun" w:cs="SimSun"/>
          <w:color w:val="000000" w:themeColor="text1"/>
          <w:sz w:val="22"/>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非单一产品采购项目，</w:t>
      </w:r>
      <w:r>
        <w:rPr>
          <w:rFonts w:ascii="SimSun" w:hAnsi="SimSun" w:eastAsia="SimSun" w:cs="SimSun"/>
          <w:color w:val="000000" w:themeColor="text1"/>
          <w:sz w:val="22"/>
        </w:rPr>
        <w:t xml:space="preserve">采购人应当根据采购项目技术构成、产品价格比重等合理确定核心产品，并在招标文件中载明。多家投标人提供的核心产品品牌相同的，按前两款规定处理。</w:t>
      </w:r>
      <w:r>
        <w:rPr>
          <w:rFonts w:ascii="SimSun" w:hAnsi="SimSun" w:eastAsia="SimSun" w:cs="SimSun"/>
          <w:color w:val="000000" w:themeColor="text1"/>
          <w:sz w:val="21"/>
        </w:rPr>
        <w:t xml:space="preserve">(87号令第31条)</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w:t>
      </w:r>
      <w:r>
        <w:rPr>
          <w:rFonts w:ascii="SimSun" w:hAnsi="SimSun" w:eastAsia="SimSun" w:cs="SimSun"/>
          <w:color w:val="000000" w:themeColor="text1"/>
          <w:sz w:val="22"/>
        </w:rPr>
        <w:t xml:space="preserve">无效投标条款和废标条款</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29.1无效投标条款</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29.1.1投标人未按照招标文件要求制作、加密、发送电子投标文件的；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29.1.2</w:t>
      </w:r>
      <w:r>
        <w:rPr>
          <w:rFonts w:ascii="SimSun" w:hAnsi="SimSun" w:eastAsia="SimSun" w:cs="SimSun"/>
          <w:color w:val="000000" w:themeColor="text1"/>
          <w:sz w:val="22"/>
        </w:rPr>
        <w:t xml:space="preserve">投标文件未加密的，或者在规定时段内未发送解密密码的；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29.1.3投标人在报价时采用选择性报价；</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29.1.4投标人不具备招标文件中规定资格要求的；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29.1.5投标人的报价超过了采购预算或最高限价的；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29.1.6未通过符合性检查的；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29.1.7不符合招标文件中规定的其他实质性要求和条件的；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29.1.8投标人串通投标；</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29.1.9投标文件含有采购人不能接受的附加条件的。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29.1.10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29.1.11投标文件未按照招标文件要求加盖公章。</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29.1.12其他法律、法规及本招标文件规定的属无效投标的情形。</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29.2废标条款：                                                                                                                                                                                                                                                       </w:t>
      </w:r>
      <w:r>
        <w:rPr>
          <w:rFonts w:ascii="SimSun" w:hAnsi="SimSun" w:eastAsia="SimSun" w:cs="SimSun"/>
          <w:color w:val="000000" w:themeColor="text1"/>
          <w:sz w:val="21"/>
        </w:rPr>
        <w:t xml:space="preserve">                                                                                                                                                                                                                                                                </w:t>
      </w:r>
      <w:r>
        <w:rPr>
          <w:rFonts w:ascii="SimSun" w:hAnsi="SimSun" w:eastAsia="SimSun" w:cs="SimSun"/>
          <w:color w:val="000000" w:themeColor="text1"/>
          <w:sz w:val="21"/>
        </w:rPr>
        <w:t xml:space="preserve">                                                                                                                                                                                                                                                                </w:t>
      </w:r>
      <w:r>
        <w:rPr>
          <w:rFonts w:ascii="SimSun" w:hAnsi="SimSun" w:eastAsia="SimSun" w:cs="SimSun"/>
          <w:color w:val="000000" w:themeColor="text1"/>
          <w:sz w:val="21"/>
        </w:rPr>
        <w:t xml:space="preserve">                                                                                                                                                                                                                                                                </w:t>
      </w:r>
      <w:r>
        <w:rPr>
          <w:rFonts w:ascii="SimSun" w:hAnsi="SimSun" w:eastAsia="SimSun" w:cs="SimSun"/>
          <w:color w:val="000000" w:themeColor="text1"/>
          <w:sz w:val="21"/>
        </w:rPr>
        <w:t xml:space="preserve">                                                                                                                                                                                                                                                                </w:t>
      </w:r>
      <w:r>
        <w:rPr>
          <w:rFonts w:ascii="SimSun" w:hAnsi="SimSun" w:eastAsia="SimSun" w:cs="SimSun"/>
          <w:color w:val="000000" w:themeColor="text1"/>
          <w:sz w:val="21"/>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29.2.1符合专业条件的供应商或者对招标文件作实质响应的供应商不足三家的；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29.2.2出现影响采购公正的违法、违规行为的；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29.2.3因重大变故，采购任务取消的；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29.2.4评标委员会认定招标文件存在歧义、重大缺陷导致评审工作无法进行。</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29.3 投标截止时间结束后参加投标的供应商不足三家的处理：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29.3.1如出现投标截止时间结束后参加投标的供应商或者在评标期间对招标文件做出实质响应的供应商不足三家情况，按财政部第八十七号令第四十三条的规定执行。</w:t>
      </w:r>
      <w:r>
        <w:rPr>
          <w:color w:val="000000" w:themeColor="text1"/>
        </w:rPr>
      </w:r>
      <w:r/>
    </w:p>
    <w:p>
      <w:pPr>
        <w:pStyle w:val="654"/>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六、定标</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w:t>
      </w:r>
      <w:r>
        <w:rPr>
          <w:rFonts w:ascii="SimSun" w:hAnsi="SimSun" w:eastAsia="SimSun" w:cs="SimSun"/>
          <w:color w:val="000000" w:themeColor="text1"/>
          <w:sz w:val="22"/>
        </w:rPr>
        <w:t xml:space="preserve">确定中标单位</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30.1评委会根据本招标文件规定评标方法与评标标准向采购人推荐出中标候选人。</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30.2 采购人应根据评委会推荐的中标候选人确定中标供应商。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30.3</w:t>
      </w:r>
      <w:r>
        <w:rPr>
          <w:rFonts w:ascii="SimSun" w:hAnsi="SimSun" w:eastAsia="SimSun" w:cs="SimSun"/>
          <w:color w:val="000000" w:themeColor="text1"/>
          <w:sz w:val="22"/>
        </w:rPr>
        <w:t xml:space="preserve">采购人或采购代理机构将在</w:t>
      </w:r>
      <w:r>
        <w:rPr>
          <w:rFonts w:ascii="SimSun" w:hAnsi="SimSun" w:eastAsia="SimSun" w:cs="SimSun"/>
          <w:color w:val="000000" w:themeColor="text1"/>
          <w:sz w:val="21"/>
        </w:rPr>
        <w:t xml:space="preserve">“江苏政府采购网”、“盐城市政府采购网”、“江苏省公共资源交易网”</w:t>
      </w:r>
      <w:r>
        <w:rPr>
          <w:rFonts w:ascii="SimSun" w:hAnsi="SimSun" w:eastAsia="SimSun" w:cs="SimSun"/>
          <w:color w:val="000000" w:themeColor="text1"/>
          <w:sz w:val="22"/>
        </w:rPr>
        <w:t xml:space="preserve">发布中标公告，公告期限为</w:t>
      </w:r>
      <w:r>
        <w:rPr>
          <w:rFonts w:ascii="SimSun" w:hAnsi="SimSun" w:eastAsia="SimSun" w:cs="SimSun"/>
          <w:color w:val="000000" w:themeColor="text1"/>
          <w:sz w:val="21"/>
        </w:rPr>
        <w:t xml:space="preserve">1个工作日。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30.4若有充分证据证明，中标供应商出现下列情况之一的，一经查实，将被取消中标资格：</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30.4.1提供虚假材料谋取中标的；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30.4.2向采购人、招标代理机构行贿或者提供其他不正当利益的；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30.4.3恶意竞争，投标总报价明显低于其自身合理成本且又无法提供证明的；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30.4.4属于本文件规定的无效条件，但在评标过程中又未被评委会发现的；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30.4.5与采购人或者其他供应商恶意串通的；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30.4.6采取不正当手段诋毁、排挤其他供应商的；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30.4.7不符合法律、法规的规定的。</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30.5</w:t>
      </w:r>
      <w:r>
        <w:rPr>
          <w:rFonts w:ascii="SimSun" w:hAnsi="SimSun" w:eastAsia="SimSun" w:cs="SimSun"/>
          <w:color w:val="000000" w:themeColor="text1"/>
          <w:sz w:val="22"/>
        </w:rPr>
        <w:t xml:space="preserve">有下列情形之一的，视为投标人串通投标，投标无效：</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30.5.1不同投标人的投标文件由同一单位或者个人编制。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30.5.2不同投标人委托同一单位或者个人办理投标事宜。</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30.5.3 不同投标人的投标文件载明的项目管理成员或者联系人员为同一人。</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30.5.4不同投标人的投标文件异常一致或者投标报价呈规律性差异。</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30.5.5不同投标人的投标文件相互混装。</w:t>
      </w:r>
      <w:r>
        <w:rPr>
          <w:color w:val="000000" w:themeColor="text1"/>
        </w:rPr>
      </w:r>
      <w:r/>
    </w:p>
    <w:p>
      <w:pPr>
        <w:ind w:left="0" w:right="0" w:firstLine="420"/>
        <w:jc w:val="both"/>
        <w:spacing w:before="0" w:after="0" w:line="4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30.6推荐的中标候选人数：1名。排名第一的中标候选人放弃中标，或因不可抗力提出不能履行合同，或者被查实存在影响中标结果的违法行为等情形，不符合中标条件的，本项目直接重新招标，不得确定其他投标人为中标人。</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31、质疑处理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31.1参加投标供应商认为招标文件、采购过程和中标结果使自己的权益受到损害的，可以在知道或应知其权益受到损害之日起七个工作日内，以书面形式向采购人或采购代理机构提出质疑。上述应知其权益受到损害之日，是指：</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31.1.1</w:t>
      </w:r>
      <w:r>
        <w:rPr>
          <w:rFonts w:ascii="SimSun" w:hAnsi="SimSun" w:eastAsia="SimSun" w:cs="SimSun"/>
          <w:color w:val="000000" w:themeColor="text1"/>
          <w:sz w:val="22"/>
        </w:rPr>
        <w:t xml:space="preserve">对可以质疑的招标文件提出质疑的，为收到招标文件之日或者招标文件公告期限届满之日；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31.1.2</w:t>
      </w:r>
      <w:r>
        <w:rPr>
          <w:rFonts w:ascii="SimSun" w:hAnsi="SimSun" w:eastAsia="SimSun" w:cs="SimSun"/>
          <w:color w:val="000000" w:themeColor="text1"/>
          <w:sz w:val="22"/>
        </w:rPr>
        <w:t xml:space="preserve">对采购过程提出质疑的，为各采购程序环节结束之日；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31.1.3</w:t>
      </w:r>
      <w:r>
        <w:rPr>
          <w:rFonts w:ascii="SimSun" w:hAnsi="SimSun" w:eastAsia="SimSun" w:cs="SimSun"/>
          <w:color w:val="000000" w:themeColor="text1"/>
          <w:sz w:val="22"/>
        </w:rPr>
        <w:t xml:space="preserve">对中标结果提出质疑的，为中标结果公告期限届满之日。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31.2质疑必须按《政府采购法》、《政府采购法实施条例》及《江苏省政府采购供应商监督管理暂行办法》的相关规定提交，未按上述要求提交的质疑函（含传真、电子邮件等）采购人或采购代理机构有权不予受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31.3未参加投标活动的供应商或在投标活动中自身权益未受到损害的供应商所提出的质疑不予受理。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31.4质疑函应当包括下列内容：</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31.4.1质疑投标人的名称、地址、邮编、联系人、联系电话；</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31.4.2具体的质疑事项及明确的请求；</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31.4.3认为自己合法权益受到损害或可能受到损害的相关证据材料；</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31.4.4提起质疑的日期；</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或采购代理机构将不予受理。)质疑人委托代理质疑的，应当向采购人提交授权委托书，并载明委托代理的具体权限和事项。</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31.5采购人或采购代理机构收到质疑函后，将对质疑的形式和内容进行审查，如质疑函内容、格式不符合规定，采购人或采购代理机构将告知质疑人进行补正。</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31.6质疑人应当在法定质疑期限内进行补正并重新提交质疑函，拒不补正或者在法定期限内未重新提交质疑函的，为无效质疑，采购人或采购代理机构将不予受理。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31.7对于内容、格式符合规定的质疑函，采购人或采购代理机构应当在收到投标供应商的书面质疑后七个工作日内作出答复，并以书面形式通知质疑供应商和其他有关供应商，但答复的内容不得涉及商业秘密。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31.8投标人提出书面质疑必须有理、有据，不得恶意质疑或提交虚假质疑。否则，一经查实，采购人或采购代理机构有权依据政府采购的有关规定，报请政府采购监管部门对该投标人进行相应的行政处罚，并扣减其诚信记录分。</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32、中标通知书</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32.l</w:t>
      </w:r>
      <w:r>
        <w:rPr>
          <w:rFonts w:ascii="SimSun" w:hAnsi="SimSun" w:eastAsia="SimSun" w:cs="SimSun"/>
          <w:b/>
          <w:color w:val="000000" w:themeColor="text1"/>
          <w:sz w:val="21"/>
        </w:rPr>
        <w:t xml:space="preserve"> </w:t>
      </w:r>
      <w:r>
        <w:rPr>
          <w:rFonts w:ascii="SimSun" w:hAnsi="SimSun" w:eastAsia="SimSun" w:cs="SimSun"/>
          <w:color w:val="000000" w:themeColor="text1"/>
          <w:sz w:val="22"/>
        </w:rPr>
        <w:t xml:space="preserve">中标结果确定后，采购人将向中标供应商发出中标通知书。</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32.2中标通知书将是合同的一个组成部分。对采购人和中标供应商均具有法律效力。中标通知书发出后，采购人改变中标结果的，或者中标供应商放弃中标项目的，应当依法承担法律责任。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r/>
    </w:p>
    <w:p>
      <w:pPr>
        <w:pStyle w:val="654"/>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七、合同签订相关事项</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33. 签订合同</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33.l中标供应商应按中标通知书规定的时间、地点,按照招标文件确定的事项与采购人签订政府采购合同，且不得迟于中标通知书发出之日起十五日内，由此给采购人造成损失的，中标供应商还应承担赔偿责任。</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33.2</w:t>
      </w:r>
      <w:r>
        <w:rPr>
          <w:rFonts w:ascii="SimSun" w:hAnsi="SimSun" w:eastAsia="SimSun" w:cs="SimSun"/>
          <w:b/>
          <w:color w:val="000000" w:themeColor="text1"/>
          <w:sz w:val="21"/>
        </w:rPr>
        <w:t xml:space="preserve"> </w:t>
      </w:r>
      <w:r>
        <w:rPr>
          <w:rFonts w:ascii="SimSun" w:hAnsi="SimSun" w:eastAsia="SimSun" w:cs="SimSun"/>
          <w:color w:val="000000" w:themeColor="text1"/>
          <w:sz w:val="22"/>
        </w:rPr>
        <w:t xml:space="preserve">招标文件、中标供应商的投标文件及招标过程中有关澄清、承诺文件均应作为合同附件。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33.3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33.4中标或者成交后无正当理由拒不与采购人签订政府采购合同的，将被列入不良行为记录名单，在一至三年内禁止参加政府采购活动。</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34、货物和服务的追加、减少和添购。</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34.1政府采购合同履行中，采购人需追加与合同标的相同的货物和服务的，在不改变合同其他条款的前提下，可以与中标供应商协商签订补充合同，但所有补充合同的采购金额不超过原合同金额10%。</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35、履约保证金</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在签订合同时，中标单位须向采购单位提交中标价的5%作为履约保证金，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r>
        <w:rPr>
          <w:color w:val="000000" w:themeColor="text1"/>
        </w:rPr>
      </w:r>
      <w:r/>
    </w:p>
    <w:p>
      <w:pPr>
        <w:pStyle w:val="656"/>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36、政府采购履约资金扶持政策</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中标供应商可凭政府采购合同办理融资贷款，详情请见江苏政府采购网</w:t>
      </w:r>
      <w:r>
        <w:rPr>
          <w:rFonts w:ascii="SimSun" w:hAnsi="SimSun" w:eastAsia="SimSun" w:cs="SimSun"/>
          <w:color w:val="000000" w:themeColor="text1"/>
          <w:sz w:val="21"/>
        </w:rPr>
        <w:t xml:space="preserve">“政采贷”专栏。</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numPr>
          <w:ilvl w:val="0"/>
          <w:numId w:val="2"/>
        </w:numP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 合同条款及格式</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项目名称：</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项目编号：</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甲方（全称）：</w:t>
      </w:r>
      <w:r>
        <w:rPr>
          <w:rFonts w:ascii="SimSun" w:hAnsi="SimSun" w:eastAsia="SimSun" w:cs="SimSun"/>
          <w:b/>
          <w:color w:val="000000" w:themeColor="text1"/>
          <w:sz w:val="21"/>
        </w:rPr>
        <w:t xml:space="preserve">_____________________________</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乙方（全称）：</w:t>
      </w:r>
      <w:r>
        <w:rPr>
          <w:rFonts w:ascii="SimSun" w:hAnsi="SimSun" w:eastAsia="SimSun" w:cs="SimSun"/>
          <w:b/>
          <w:color w:val="000000" w:themeColor="text1"/>
          <w:sz w:val="21"/>
        </w:rPr>
        <w:t xml:space="preserve">_____________________________</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根据《中华人民共和国政府采购法》、《中华人民共和国民法典》等相关法律法规的规定，遵循平等、自愿、公平和诚实信用的原则，双方就</w:t>
      </w:r>
      <w:r>
        <w:rPr>
          <w:rFonts w:ascii="SimSun" w:hAnsi="SimSun" w:eastAsia="SimSun" w:cs="SimSun"/>
          <w:color w:val="000000" w:themeColor="text1"/>
          <w:sz w:val="22"/>
          <w:u w:val="single"/>
        </w:rPr>
        <w:t xml:space="preserve">盐城经济技术开发区市场监督管理局</w:t>
      </w:r>
      <w:r>
        <w:rPr>
          <w:rFonts w:ascii="SimSun" w:hAnsi="SimSun" w:eastAsia="SimSun" w:cs="SimSun"/>
          <w:color w:val="000000" w:themeColor="text1"/>
          <w:sz w:val="21"/>
          <w:u w:val="single"/>
        </w:rPr>
        <w:t xml:space="preserve">2024年度农贸市场食品安全快速检测服务项目</w:t>
      </w:r>
      <w:r>
        <w:rPr>
          <w:rFonts w:ascii="SimSun" w:hAnsi="SimSun" w:eastAsia="SimSun" w:cs="SimSun"/>
          <w:color w:val="000000" w:themeColor="text1"/>
          <w:sz w:val="22"/>
        </w:rPr>
        <w:t xml:space="preserve">有关事项协商一致，达成如下协议。</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一、项目概况</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rFonts w:ascii="SimSun" w:hAnsi="SimSun" w:eastAsia="SimSun" w:cs="SimSun"/>
          <w:color w:val="000000" w:themeColor="text1"/>
          <w:sz w:val="22"/>
        </w:rPr>
        <w:t xml:space="preserve">盐城市经济技术开发区农贸市场食用农产品</w:t>
      </w:r>
      <w:r>
        <w:rPr>
          <w:rFonts w:ascii="SimSun" w:hAnsi="SimSun" w:eastAsia="SimSun" w:cs="SimSun"/>
          <w:color w:val="000000" w:themeColor="text1"/>
          <w:sz w:val="22"/>
        </w:rPr>
        <w:t xml:space="preserve">及其他食品</w:t>
      </w:r>
      <w:r>
        <w:rPr>
          <w:rFonts w:ascii="SimSun" w:hAnsi="SimSun" w:eastAsia="SimSun" w:cs="SimSun"/>
          <w:color w:val="000000" w:themeColor="text1"/>
          <w:sz w:val="22"/>
        </w:rPr>
        <w:t xml:space="preserve">快速检测：</w:t>
      </w:r>
      <w:r>
        <w:rPr>
          <w:rFonts w:ascii="SimSun" w:hAnsi="SimSun" w:eastAsia="SimSun" w:cs="SimSun"/>
          <w:color w:val="000000" w:themeColor="text1"/>
          <w:sz w:val="22"/>
        </w:rPr>
        <w:t xml:space="preserve">范围涉及经济开发区（包括阳光世纪园市场、雨露市场、阳光康居园市场、惠民农贸市场、步凤农贸市场），食用农产品快速检测数量符合以下要求：农贸市场检测批次按市场规模大小划定：摊位数少于</w:t>
      </w:r>
      <w:r>
        <w:rPr>
          <w:rFonts w:ascii="SimSun" w:hAnsi="SimSun" w:eastAsia="SimSun" w:cs="SimSun"/>
          <w:color w:val="000000" w:themeColor="text1"/>
          <w:sz w:val="21"/>
        </w:rPr>
        <w:t xml:space="preserve">50个的，日均检测至少10批次，每增加10个摊位增加1批次/日，市场内摊位数少于10个的农贸市场每2-3天检测不少于10批次的快检项目，检测种类每周</w:t>
      </w:r>
      <w:r>
        <w:rPr>
          <w:rFonts w:ascii="SimSun" w:hAnsi="SimSun" w:eastAsia="SimSun" w:cs="SimSun"/>
          <w:color w:val="000000" w:themeColor="text1"/>
          <w:sz w:val="22"/>
        </w:rPr>
        <w:t xml:space="preserve">（水产品、其他食品除外，详见合同）全覆盖，其中农药残留检测批次</w:t>
      </w:r>
      <w:r>
        <w:rPr>
          <w:rFonts w:ascii="SimSun" w:hAnsi="SimSun" w:eastAsia="SimSun" w:cs="SimSun"/>
          <w:color w:val="000000" w:themeColor="text1"/>
          <w:sz w:val="22"/>
        </w:rPr>
        <w:t xml:space="preserve">不高于</w:t>
      </w:r>
      <w:r>
        <w:rPr>
          <w:rFonts w:ascii="SimSun" w:hAnsi="SimSun" w:eastAsia="SimSun" w:cs="SimSun"/>
          <w:color w:val="000000" w:themeColor="text1"/>
          <w:sz w:val="21"/>
        </w:rPr>
        <w:t xml:space="preserve">70%</w:t>
      </w:r>
      <w:r>
        <w:rPr>
          <w:rFonts w:ascii="SimSun" w:hAnsi="SimSun" w:eastAsia="SimSun" w:cs="SimSun"/>
          <w:color w:val="000000" w:themeColor="text1"/>
          <w:sz w:val="22"/>
        </w:rPr>
        <w:t xml:space="preserve">（其中胶体金法检测占比不少于总数的</w:t>
      </w:r>
      <w:r>
        <w:rPr>
          <w:rFonts w:ascii="SimSun" w:hAnsi="SimSun" w:eastAsia="SimSun" w:cs="SimSun"/>
          <w:color w:val="000000" w:themeColor="text1"/>
          <w:sz w:val="21"/>
        </w:rPr>
        <w:t xml:space="preserve">10%</w:t>
      </w:r>
      <w:r>
        <w:rPr>
          <w:rFonts w:ascii="SimSun" w:hAnsi="SimSun" w:eastAsia="SimSun" w:cs="SimSun"/>
          <w:color w:val="000000" w:themeColor="text1"/>
          <w:sz w:val="22"/>
        </w:rPr>
        <w:t xml:space="preserve">）</w:t>
      </w:r>
      <w:r>
        <w:rPr>
          <w:rFonts w:ascii="SimSun" w:hAnsi="SimSun" w:eastAsia="SimSun" w:cs="SimSun"/>
          <w:color w:val="000000" w:themeColor="text1"/>
          <w:sz w:val="22"/>
        </w:rPr>
        <w:t xml:space="preserve">，畜禽肉兽药残留检测批次不低于</w:t>
      </w:r>
      <w:r>
        <w:rPr>
          <w:rFonts w:ascii="SimSun" w:hAnsi="SimSun" w:eastAsia="SimSun" w:cs="SimSun"/>
          <w:color w:val="000000" w:themeColor="text1"/>
          <w:sz w:val="21"/>
        </w:rPr>
        <w:t xml:space="preserve">15%，水产类检测批次不低于5%</w:t>
      </w:r>
      <w:r>
        <w:rPr>
          <w:rFonts w:ascii="SimSun" w:hAnsi="SimSun" w:eastAsia="SimSun" w:cs="SimSun"/>
          <w:color w:val="000000" w:themeColor="text1"/>
          <w:sz w:val="22"/>
        </w:rPr>
        <w:t xml:space="preserve">，</w:t>
      </w:r>
      <w:r>
        <w:rPr>
          <w:rFonts w:ascii="SimSun" w:hAnsi="SimSun" w:eastAsia="SimSun" w:cs="SimSun"/>
          <w:color w:val="000000" w:themeColor="text1"/>
          <w:sz w:val="22"/>
        </w:rPr>
        <w:t xml:space="preserve">禽蛋检测批次不低于</w:t>
      </w:r>
      <w:r>
        <w:rPr>
          <w:rFonts w:ascii="SimSun" w:hAnsi="SimSun" w:eastAsia="SimSun" w:cs="SimSun"/>
          <w:color w:val="000000" w:themeColor="text1"/>
          <w:sz w:val="21"/>
        </w:rPr>
        <w:t xml:space="preserve">5%</w:t>
      </w:r>
      <w:r>
        <w:rPr>
          <w:rFonts w:ascii="SimSun" w:hAnsi="SimSun" w:eastAsia="SimSun" w:cs="SimSun"/>
          <w:color w:val="000000" w:themeColor="text1"/>
          <w:sz w:val="22"/>
        </w:rPr>
        <w:t xml:space="preserve">，其它产品检测不少于</w:t>
      </w:r>
      <w:r>
        <w:rPr>
          <w:rFonts w:ascii="SimSun" w:hAnsi="SimSun" w:eastAsia="SimSun" w:cs="SimSun"/>
          <w:color w:val="000000" w:themeColor="text1"/>
          <w:sz w:val="21"/>
        </w:rPr>
        <w:t xml:space="preserve">5%</w:t>
      </w:r>
      <w:r>
        <w:rPr>
          <w:rFonts w:ascii="SimSun" w:hAnsi="SimSun" w:eastAsia="SimSun" w:cs="SimSun"/>
          <w:color w:val="000000" w:themeColor="text1"/>
          <w:sz w:val="22"/>
        </w:rPr>
        <w:t xml:space="preserve">。</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结合当前各市场快检室运行情况，由采购人、各农贸市场、中标供应商共同协调，由各农贸市场提供现有的场所、设备。人员、检测试剂耗材、购样费、交通等费用由中标供应商负责。中标供应商</w:t>
      </w:r>
      <w:r>
        <w:rPr>
          <w:rFonts w:ascii="SimSun" w:hAnsi="SimSun" w:eastAsia="SimSun" w:cs="SimSun"/>
          <w:color w:val="000000" w:themeColor="text1"/>
          <w:sz w:val="22"/>
        </w:rPr>
        <w:t xml:space="preserve">也</w:t>
      </w:r>
      <w:r>
        <w:rPr>
          <w:rFonts w:ascii="SimSun" w:hAnsi="SimSun" w:eastAsia="SimSun" w:cs="SimSun"/>
          <w:color w:val="000000" w:themeColor="text1"/>
          <w:sz w:val="22"/>
        </w:rPr>
        <w:t xml:space="preserve">可自带检测设备。</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2、合同履行期限：一年。</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二、合同金额：</w:t>
      </w:r>
      <w:r>
        <w:rPr>
          <w:rFonts w:ascii="SimSun" w:hAnsi="SimSun" w:eastAsia="SimSun" w:cs="SimSun"/>
          <w:color w:val="000000" w:themeColor="text1"/>
          <w:sz w:val="22"/>
        </w:rPr>
        <w:t xml:space="preserve">本项目合同金额为</w:t>
      </w:r>
      <w:r>
        <w:rPr>
          <w:rFonts w:ascii="SimSun" w:hAnsi="SimSun" w:eastAsia="SimSun" w:cs="SimSun"/>
          <w:b/>
          <w:color w:val="000000" w:themeColor="text1"/>
          <w:sz w:val="22"/>
          <w:u w:val="single"/>
        </w:rPr>
        <w:t xml:space="preserve">人民币（大写）元整（小写：）</w:t>
      </w:r>
      <w:r>
        <w:rPr>
          <w:rFonts w:ascii="SimSun" w:hAnsi="SimSun" w:eastAsia="SimSun" w:cs="SimSun"/>
          <w:color w:val="000000" w:themeColor="text1"/>
          <w:sz w:val="22"/>
        </w:rPr>
        <w:t xml:space="preserve">。本合同金额包含但不限于人力成本、设备成本、试剂成本、购样费、管理费、利润、税金和不可预见费用等完成本项目所需的全部费用的总和。</w:t>
      </w:r>
      <w:r>
        <w:rPr>
          <w:color w:val="000000" w:themeColor="text1"/>
        </w:rPr>
      </w:r>
      <w:r/>
    </w:p>
    <w:p>
      <w:pPr>
        <w:numPr>
          <w:ilvl w:val="0"/>
          <w:numId w:val="3"/>
        </w:numPr>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付款方式</w:t>
      </w:r>
      <w:r>
        <w:rPr>
          <w:color w:val="000000" w:themeColor="text1"/>
        </w:rPr>
      </w:r>
      <w:r/>
    </w:p>
    <w:p>
      <w:pPr>
        <w:numPr>
          <w:ilvl w:val="0"/>
          <w:numId w:val="3"/>
        </w:numPr>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合同签订后支付合同价款的</w:t>
      </w:r>
      <w:r>
        <w:rPr>
          <w:rFonts w:ascii="SimSun" w:hAnsi="SimSun" w:eastAsia="SimSun" w:cs="SimSun"/>
          <w:color w:val="000000" w:themeColor="text1"/>
          <w:sz w:val="21"/>
        </w:rPr>
        <w:t xml:space="preserve">30%作为预付款，服务期满后无服务质量问题余款一次性结算支付。</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注：以上付款均不计任何利息和相关费用。</w:t>
      </w:r>
      <w:r>
        <w:rPr>
          <w:color w:val="000000" w:themeColor="text1"/>
        </w:rPr>
      </w:r>
      <w:r/>
    </w:p>
    <w:p>
      <w:pPr>
        <w:numPr>
          <w:ilvl w:val="0"/>
          <w:numId w:val="4"/>
        </w:numPr>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结算方式</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当采购数量与实际数量不一致时，乙方应根据实际量服务，合同的最终结算金额按实际使用量乘以成交单价进行计算。</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五、服务质量要求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1、符合国家现行的相关规范标准及盐城市市场监督管理局关于印发《2023 年为民办实事农贸（农批）市场“放心 菜篮子”工程实施方案》的通知的要求。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2、中标供应商每天上午10：00前完成当日全部快检工作并上传市局规定的网站，并把抽检点、抽检数量、抽检结果等报表发给采购人。</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3、采样、检测、通知单、报告单、数据汇总、上报等相关事宜均由中标供应商负责，且采样、检测和结果通知、阳性检品的处置等工作需当日完成。</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4、服务实施期间，随时接受采购人的飞行检查。</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5、检测项目和试剂参数：</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检测项目不少于以下项目，采购方可根据市市场监管部门相关要求调整检测项目。结合农产品季节特点及食用农产品风险评估完成检测项目、重点检查品种等。根据产品情况，一个检品可选做</w:t>
      </w:r>
      <w:r>
        <w:rPr>
          <w:rFonts w:ascii="SimSun" w:hAnsi="SimSun" w:eastAsia="SimSun" w:cs="SimSun"/>
          <w:color w:val="000000" w:themeColor="text1"/>
          <w:sz w:val="21"/>
        </w:rPr>
        <w:t xml:space="preserve">1-多个快检项目</w:t>
      </w:r>
      <w:r>
        <w:rPr>
          <w:rFonts w:ascii="SimSun" w:hAnsi="SimSun" w:eastAsia="SimSun" w:cs="SimSun"/>
          <w:color w:val="000000" w:themeColor="text1"/>
          <w:sz w:val="22"/>
        </w:rPr>
        <w:t xml:space="preserve">，每周要对蔬菜水果、畜禽肉的检测项目、重点检查品种全覆盖。每月要对水产品、其它食品的检测项目、重点检查品种全覆盖。对无法抽取的重点品种，如鳜、大菱鲆、乌鳢、石斑鱼、黄颡鱼、罗非鱼、花鲈、大口黑鲈、鲟鱼、黄鳝等鱼类；斑节对虾；白贝、青口、鲍鱼等贝类；海参、鱼皮、鹅肠等水发品；笋干、果干、蜜饯等可以以其他重点品种替代，但检测比例不变。</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1</w:t>
      </w:r>
      <w:r>
        <w:rPr>
          <w:rFonts w:ascii="SimSun" w:hAnsi="SimSun" w:eastAsia="SimSun" w:cs="SimSun"/>
          <w:color w:val="000000" w:themeColor="text1"/>
          <w:sz w:val="22"/>
        </w:rPr>
        <w:t xml:space="preserve">）蔬菜水果农药残留项目</w:t>
      </w:r>
      <w:r>
        <w:rPr>
          <w:color w:val="000000" w:themeColor="text1"/>
        </w:rPr>
      </w:r>
      <w:r/>
    </w:p>
    <w:p>
      <w:pPr>
        <w:ind w:left="0" w:right="0" w:firstLine="20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1353"/>
        <w:gridCol w:w="2345"/>
        <w:gridCol w:w="1806"/>
        <w:gridCol w:w="1715"/>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快检项目</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重点检测品种</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检测方法</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检出限（mg/kg）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毒死蜱</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韭菜、菠菜、普通白菜、大白菜、黄瓜、菜豆</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0.1</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氟虫氰</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韭菜、芹菜、普通白菜、油麦菜、辣椒、豇豆、菜豆、马铃薯、萝卜</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0.02</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三唑磷</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结球甘蓝、节瓜</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0.1</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杀螟硫磷</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韭菜、芹菜、辣椒、普通白菜、生姜、菠菜、西兰花、黄瓜</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0.2</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多菌灵</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黄瓜、韭菜、菜豆、辣椒</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克百威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芹菜、韭菜、菠菜、芥菜、油麦菜、蕹菜、菜心、黄花菜、黄瓜、西兰花、辣椒、茄子、生姜、豇豆、菜豆</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0.02</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吡虫啉</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韭菜、芹菜、大白菜、番茄、茄子、黄瓜、柑橘、苹果</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甲萘威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韭菜、芹菜、普通白菜、油麦菜、辣椒、豇豆、菜豆、马铃薯、</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甲氰菊酯</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结球甘蓝、莴苣、菠菜、普通白菜、芹菜、大白菜、韭菜</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啶虫脒</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韭菜、芹菜、大白菜、番茄、茄子、黄瓜、柑橘、苹果</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百菌清</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黄瓜、普通白菜、芹菜、莴苣</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6.0</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腐霉利</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韭菜、番茄、茄子、辣椒、黄瓜、葡萄、草莓</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0.2</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甲霜灵</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菜、番茄、茄子、辣椒、黄瓜、洋葱、胡萝卜、马铃薯、菠菜、葡萄、荔枝</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农药残留快速检测盒</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青菜、油菜、菠菜、芹菜、韭菜等叶菜类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酶抑制法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敌百虫：0.1</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丙溴磷：0.5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灭多威：0.2</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克百威：0.02</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敌敌畏：0.2</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2）畜禽肉及其制品兽药残留、蛋及蛋制品兽药残留和水产及水产制品兽药残留项目</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7"/>
        <w:gridCol w:w="1415"/>
        <w:gridCol w:w="2289"/>
        <w:gridCol w:w="1847"/>
        <w:gridCol w:w="173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快检项目</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快检重点抽检品种</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检测方法</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检出限（µg/kg）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孔雀石绿</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鳜、大菱鲆、乌鳢、石斑鱼、黄颡鱼、鲫鱼、罗非鱼、草鱼、花鲈、大口黑鲈、鳙鱼，鲟鱼、黄鳝等鱼类。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孔雀石绿：0.5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氯霉素</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鳜、大菱鲆、乌鳢、石斑鱼、黄颡鱼、鲫鱼、罗非鱼、草鱼、花鲈、大口黑鲈、鳙鱼，鲟鱼、黄鳝等鱼类；南美白对虾、斑节对虾、罗氏沼虾等虾类；花甲、白贝、花蛤、蛏子、螺、青口、鲍鱼等贝类；猪肉、牛肉、羊肉、鸡肉、鸭肉等畜禽肉。</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0.1</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硝基呋喃类代谢物（呋喃唑酮代谢物、呋喃西林代谢物、呋喃妥因代谢物、呋喃它酮代谢物）</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鳜、大菱鲆、乌鳢、石斑鱼、黄颡鱼、鲫鱼、罗非鱼、草鱼、花鲈、大口黑鲈、鳙鱼，鲟鱼、黄鳝等鱼类；南美白对虾、斑节对虾、罗氏沼虾等虾类；鲍鱼等贝类。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呋喃唑酮代谢物：0.5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呋喃西林代谢物：0.5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呋喃妥因代谢物：0.5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呋喃它酮代谢物：0.5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瘦肉精</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（克伦特罗、莱克多巴胺、沙丁胺醇）</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猪肉、牛肉、羊肉</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克伦特罗：0.5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莱克多巴胺：0.5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沙丁胺醇：0.5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氟喹诺酮类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禽肉、鲜蛋类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环丙沙星：5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恩诺沙星：20</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诺氟沙星：12</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培氟沙星：15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氧氟沙星：50</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达氟沙星：20</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洛美沙星：30</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沙拉沙星：60</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噁喹酸：25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氟苯尼考</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禽肉、鲜蛋类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0.2</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恩诺沙星和环丙沙星</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鳜、大菱鲆、乌鳢、石斑鱼、黄颡鱼、鲫鱼、罗非鱼、草鱼、花鲈、大口黑鲈、鳙鱼，鲟鱼、黄鳝等鱼类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环丙沙星：60</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恩诺沙星：80</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水分</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肉类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仪器法（现场检测）</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按仪器规定</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numPr>
          <w:ilvl w:val="0"/>
          <w:numId w:val="5"/>
        </w:numPr>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涉及其他食品的</w:t>
      </w:r>
      <w:r>
        <w:rPr>
          <w:rFonts w:ascii="SimSun" w:hAnsi="SimSun" w:eastAsia="SimSun" w:cs="SimSun"/>
          <w:color w:val="000000" w:themeColor="text1"/>
          <w:sz w:val="21"/>
        </w:rPr>
        <w:t xml:space="preserve">“两超一非”的食品添加剂及化学物质</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4"/>
        <w:gridCol w:w="1372"/>
        <w:gridCol w:w="2307"/>
        <w:gridCol w:w="1854"/>
        <w:gridCol w:w="17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快检项目</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快检重点抽检品种</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检测方法</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检出限</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甲醛</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虾仁、牛肚、牛百叶、海参、鱿鱼、鱼皮、木耳、腐竹、鹅肠等水产品及水发产品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化学法+分光光度</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液体样本：0.2mg/L</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固体样本：2mg/kg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二氧化硫</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白糖、粉丝、笋干、果干、蜜饯、银耳、海产品等</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化学法+分光光度</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双氧水</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鱿鱼、牛百叶、腐竹、牛肚等食品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化学法+分光光度</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液体样本：5mg/L</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固体样本：50mg/kg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吊白块</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各种米、面及其加工制品以及豆制品等</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化学法+分光光度</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硼砂</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肉制品（贡丸、牛肉丸、鱼丸等）、冻虾、米粽、面食类等食品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化学法+分光光度</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50 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亚硝酸盐</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香肠、腊肠、腊肉、火腿肠、酱腌菜、各类罐头和蔬菜等</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化学法+分光光度</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液体样本：0.1mg/L</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固体样本：1mg/kg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酸价、过氧化值</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食用油（煎炸油）等</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试纸比色法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3mgKOH/g</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0.25g/100g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苯甲酸</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豆制品、水果制品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100mg/kg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铝的残留量</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包子、馒头、油条等面制品；粉丝等淀粉制品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化学法+分光光度</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200"/>
              <w:jc w:val="both"/>
              <w:spacing w:before="0" w:after="0" w:line="4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1mg/kg</w:t>
            </w:r>
            <w:r>
              <w:rPr>
                <w:color w:val="000000" w:themeColor="text1"/>
              </w:rPr>
            </w:r>
            <w:r/>
          </w:p>
        </w:tc>
      </w:tr>
    </w:tbl>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6.抽样品种:以生鲜蔬莱水果、生鲜畜禽肉类、禽蛋、水产品类等食用农产品为主，兼顾其他食品。检测种类每周全覆盖，其中农药残留检测批次不</w:t>
      </w:r>
      <w:r>
        <w:rPr>
          <w:rFonts w:ascii="SimSun" w:hAnsi="SimSun" w:eastAsia="SimSun" w:cs="SimSun"/>
          <w:color w:val="000000" w:themeColor="text1"/>
          <w:sz w:val="22"/>
        </w:rPr>
        <w:t xml:space="preserve">多于</w:t>
      </w:r>
      <w:r>
        <w:rPr>
          <w:rFonts w:ascii="SimSun" w:hAnsi="SimSun" w:eastAsia="SimSun" w:cs="SimSun"/>
          <w:color w:val="000000" w:themeColor="text1"/>
          <w:sz w:val="21"/>
        </w:rPr>
        <w:t xml:space="preserve">70%</w:t>
      </w:r>
      <w:r>
        <w:rPr>
          <w:rFonts w:ascii="SimSun" w:hAnsi="SimSun" w:eastAsia="SimSun" w:cs="SimSun"/>
          <w:color w:val="000000" w:themeColor="text1"/>
          <w:sz w:val="22"/>
        </w:rPr>
        <w:t xml:space="preserve">（其中胶体金法不少全部总量的</w:t>
      </w:r>
      <w:r>
        <w:rPr>
          <w:rFonts w:ascii="SimSun" w:hAnsi="SimSun" w:eastAsia="SimSun" w:cs="SimSun"/>
          <w:color w:val="000000" w:themeColor="text1"/>
          <w:sz w:val="21"/>
        </w:rPr>
        <w:t xml:space="preserve">10%</w:t>
      </w:r>
      <w:r>
        <w:rPr>
          <w:rFonts w:ascii="SimSun" w:hAnsi="SimSun" w:eastAsia="SimSun" w:cs="SimSun"/>
          <w:color w:val="000000" w:themeColor="text1"/>
          <w:sz w:val="22"/>
        </w:rPr>
        <w:t xml:space="preserve">），畜禽肉兽药残留检测批次不低于</w:t>
      </w:r>
      <w:r>
        <w:rPr>
          <w:rFonts w:ascii="SimSun" w:hAnsi="SimSun" w:eastAsia="SimSun" w:cs="SimSun"/>
          <w:color w:val="000000" w:themeColor="text1"/>
          <w:sz w:val="21"/>
        </w:rPr>
        <w:t xml:space="preserve">15%，水产类检测批次不低于5%，禽蛋</w:t>
      </w:r>
      <w:r>
        <w:rPr>
          <w:rFonts w:ascii="SimSun" w:hAnsi="SimSun" w:eastAsia="SimSun" w:cs="SimSun"/>
          <w:color w:val="000000" w:themeColor="text1"/>
          <w:sz w:val="22"/>
        </w:rPr>
        <w:t xml:space="preserve">检测批次不低于</w:t>
      </w:r>
      <w:r>
        <w:rPr>
          <w:rFonts w:ascii="SimSun" w:hAnsi="SimSun" w:eastAsia="SimSun" w:cs="SimSun"/>
          <w:color w:val="000000" w:themeColor="text1"/>
          <w:sz w:val="21"/>
        </w:rPr>
        <w:t xml:space="preserve">5%</w:t>
      </w:r>
      <w:r>
        <w:rPr>
          <w:rFonts w:ascii="SimSun" w:hAnsi="SimSun" w:eastAsia="SimSun" w:cs="SimSun"/>
          <w:color w:val="000000" w:themeColor="text1"/>
          <w:sz w:val="22"/>
        </w:rPr>
        <w:t xml:space="preserve">，其他检测批次不低于</w:t>
      </w:r>
      <w:r>
        <w:rPr>
          <w:rFonts w:ascii="SimSun" w:hAnsi="SimSun" w:eastAsia="SimSun" w:cs="SimSun"/>
          <w:color w:val="000000" w:themeColor="text1"/>
          <w:sz w:val="21"/>
        </w:rPr>
        <w:t xml:space="preserve">5%。</w:t>
      </w:r>
      <w:r>
        <w:rPr>
          <w:color w:val="000000" w:themeColor="text1"/>
        </w:rPr>
      </w:r>
      <w:r/>
    </w:p>
    <w:p>
      <w:pPr>
        <w:ind w:left="0" w:right="0" w:firstLine="422"/>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7.</w:t>
      </w:r>
      <w:r>
        <w:rPr>
          <w:rFonts w:ascii="SimSun" w:hAnsi="SimSun" w:eastAsia="SimSun" w:cs="SimSun"/>
          <w:b/>
          <w:color w:val="000000" w:themeColor="text1"/>
          <w:sz w:val="22"/>
        </w:rPr>
        <w:t xml:space="preserve">检测方法和依据</w:t>
      </w:r>
      <w:r>
        <w:rPr>
          <w:color w:val="000000" w:themeColor="text1"/>
        </w:rPr>
      </w:r>
      <w:r/>
    </w:p>
    <w:p>
      <w:pPr>
        <w:ind w:left="0" w:right="0" w:firstLine="420"/>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采用国家规定的快速检测方法对相关食品进行抽查检测。其中：有国家标准的，采用国家标准；没有国家标准的，采用备案的地方标准；没有国家标准和地方标准的，采用依法备案的企业标准。对目前暂未有判定依据的项目出具检测数据、检测方法介绍、结果分析和处理建议。不得使用不符合国家总局《食品快速检测方法评价技术规范》和相应快检方法等要求的设备和产品开展快检。</w:t>
      </w:r>
      <w:r>
        <w:rPr>
          <w:color w:val="000000" w:themeColor="text1"/>
        </w:rPr>
      </w:r>
      <w:r/>
    </w:p>
    <w:p>
      <w:pPr>
        <w:ind w:left="0" w:right="0" w:firstLine="0"/>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w:t>
      </w:r>
      <w:r>
        <w:rPr>
          <w:rFonts w:ascii="SimSun" w:hAnsi="SimSun" w:eastAsia="SimSun" w:cs="SimSun"/>
          <w:b/>
          <w:color w:val="000000" w:themeColor="text1"/>
          <w:sz w:val="22"/>
        </w:rPr>
        <w:t xml:space="preserve">其他相关要求</w:t>
      </w:r>
      <w:r>
        <w:rPr>
          <w:color w:val="000000" w:themeColor="text1"/>
        </w:rPr>
      </w:r>
      <w:r/>
    </w:p>
    <w:p>
      <w:pPr>
        <w:ind w:left="0" w:right="0" w:firstLine="63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8.1检测数据归集。每天将检测信息与不合格食品后处置信息（包括后处置记录、销毁照片、追溯信息、抽检结果、案件查处等）自动上传市快速检测信息化系统。 </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8.2不合格处置。对快检初检结果表明不符合食品安全标准的食品，应立即开展快检复检。检测结果判定为不合格的，应立即通知甲方和被检测方，被检测主无异议的，要求经营者立即停止销售，当场销毁或进行无害化处理，处置过程拍照留档；经营者对检测结果有异议的，可自收到检测结果时起 4小时内申请复检，复检应由有资质的第三方检测机构执行，复检期间，被复检人暂停销售，复检结论仍不合格的，复检费用由复检申请人自行承担。复检不得采用快速检测的方法。 </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8.3试剂耗材管理。试剂耗材实行领用登记制度。检测人员应妥善保存、定期检查，不应使用过期试剂开展检测工作，保存试剂耗材的领用登记记录。 </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8.4资料保管。对检测工作中形成的数据资料、各项制度、统计报表等相关文件，进行分类登记保管。建立样品采集、结果公示、后处置记录、统计报表等工作台账，保存不少于6个月。 </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8.5样品留存。留样样品应依据样本类别及性质，在不破坏样本原本状态及不被污染的原则下，按适当的保存条件妥善保存。检测结果为阴性的，留样时长不少于 24 小时；检测结果为阳性的，样品保存至后处置结束。</w:t>
      </w:r>
      <w:r>
        <w:rPr>
          <w:color w:val="000000" w:themeColor="text1"/>
        </w:rPr>
      </w:r>
      <w:r/>
    </w:p>
    <w:p>
      <w:pPr>
        <w:ind w:left="0" w:right="0" w:firstLine="422"/>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8.6检测人员培训。</w:t>
      </w:r>
      <w:r>
        <w:rPr>
          <w:rFonts w:ascii="SimSun" w:hAnsi="SimSun" w:eastAsia="SimSun" w:cs="SimSun"/>
          <w:color w:val="000000" w:themeColor="text1"/>
          <w:sz w:val="22"/>
        </w:rPr>
        <w:t xml:space="preserve">每年至少安排检测人员培训一次，经考核合格后上岗，检测人员应熟练操作检测设备，熟悉试剂性能、检测流程和本项目中的高风险农产品品种，确保快检结果准确率达</w:t>
      </w:r>
      <w:r>
        <w:rPr>
          <w:rFonts w:ascii="SimSun" w:hAnsi="SimSun" w:eastAsia="SimSun" w:cs="SimSun"/>
          <w:color w:val="000000" w:themeColor="text1"/>
          <w:sz w:val="21"/>
        </w:rPr>
        <w:t xml:space="preserve"> 85%以上。</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8.7服务能力验证。甲方在服务期间可适时开展快检能力确认，正确率如低于85%，每低于5%，有1次扣服务费用5%。出现低于75%的，中止合同，并按乙方违约处理。</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w:t>
      </w:r>
      <w:r>
        <w:rPr>
          <w:rFonts w:ascii="SimSun" w:hAnsi="SimSun" w:eastAsia="SimSun" w:cs="SimSun"/>
          <w:color w:val="000000" w:themeColor="text1"/>
          <w:sz w:val="22"/>
        </w:rPr>
        <w:t xml:space="preserve">管理系统</w:t>
      </w:r>
      <w:r>
        <w:rPr>
          <w:color w:val="000000" w:themeColor="text1"/>
        </w:rPr>
      </w:r>
      <w:r/>
    </w:p>
    <w:p>
      <w:pPr>
        <w:ind w:left="0" w:right="0" w:firstLine="420"/>
        <w:jc w:val="both"/>
        <w:spacing w:before="0" w:after="0" w:line="4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中标供应商提供管理系统。不限于以下相关要求：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农贸市场食品安全检测监管系统应具备良好的软件架构设计，层次分明。监管系统需包含五大功能性：基础档案信息管理功能、平台管理功能、检测监管功能、检测结果公示功能、索证索票功能。具体功能需求如下：</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1.档案信息管理子系统：</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档案信息管理子系统包含了各经营主体及经营户档案信息的维护。包括如下功能：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1）经营主体档案管理：维护经营主体基本信息，包含主体类型、主体地址、负责人、负责人联系电话等。维护主体相关照片：包含环境照片、经营许可证和营业执照照片。</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2）经营户档案管理：包含经营户名称、摊位号、联系方式、主营项目。</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2.平台管理子系统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平台管理子系统为各级管理部门提供配置和管理功能，实现整个系统的配置以及监管，具体包括：</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1）部门管理：维护系统部门信息、包含部门名称、部门负责人、联系电话。</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2）用户管理：维护系统账号信息，包含角色、账号、密码、用户姓名、联系电话、所属单位。</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3）权限管理：维护系统角色信息。</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3.检测监管子系统</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检测监管子系统包含监管系统中检测相关的功能。监管平台对检测数据进行实时统计、分析。本子系统包含监管系统功能、监管小程序功能、采样互联功能、检测仪器互联功能：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1）监管系统包含以下功能：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项目运维：包含对各经营主体检测总量任务的下达。</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样品信息查询：样品信息查询包含按照起止日期、分局（所）、样品类型、样品名称、检测结果等筛选条件进行样品信息查询。</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检测信息查询：检测信息查询包含按照起止日期、分局（所）、样品类型、样品名称、检测类别、检测项目、检测结果等筛选条件进行检测信息查询。</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检测数据统计：检测数据统计对检测总量、快检合格率、任务完成率、检测类别、样品类别的数据统计。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2）采样互联包含以下功能：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样品采集：样品信息采集包括样品种类、经营户名称、样品名称、检测项目、采样照片、采样视频。</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3）检测仪器互联包含以下功能：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提供检测仪器数据对接端口，检测数据可以通过不同厂家的检测仪器实时上传、汇总、分析。</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4）检测结果公示功能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5）索证索票功能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注：管理软件必须和盐城市市场监管局快检平台无缝对接。</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七、履约保证金</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rFonts w:ascii="SimSun" w:hAnsi="SimSun" w:eastAsia="SimSun" w:cs="SimSun"/>
          <w:color w:val="000000" w:themeColor="text1"/>
          <w:sz w:val="22"/>
        </w:rPr>
        <w:t xml:space="preserve">乙方在合同签订前交纳人民币</w:t>
      </w:r>
      <w:r>
        <w:rPr>
          <w:rFonts w:ascii="SimSun" w:hAnsi="SimSun" w:eastAsia="SimSun" w:cs="SimSun"/>
          <w:color w:val="000000" w:themeColor="text1"/>
          <w:sz w:val="21"/>
        </w:rPr>
        <w:t xml:space="preserve">_________元</w:t>
      </w:r>
      <w:r>
        <w:rPr>
          <w:rFonts w:ascii="SimSun" w:hAnsi="SimSun" w:eastAsia="SimSun" w:cs="SimSun"/>
          <w:color w:val="000000" w:themeColor="text1"/>
          <w:sz w:val="22"/>
        </w:rPr>
        <w:t xml:space="preserve">（合同金额的</w:t>
      </w:r>
      <w:r>
        <w:rPr>
          <w:rFonts w:ascii="SimSun" w:hAnsi="SimSun" w:eastAsia="SimSun" w:cs="SimSun"/>
          <w:color w:val="000000" w:themeColor="text1"/>
          <w:sz w:val="21"/>
        </w:rPr>
        <w:t xml:space="preserve">10%，鼓励采购人对AA评级及以上政府采购供应商（需提供信用管理部门备案的第三方信用报告），免收履约保证金或降低履约保证金缴纳比例）作为本合同的履约保证金，履约保证金在完全履行合同，并经甲方同意后，无息退还给乙方</w:t>
      </w:r>
      <w:r>
        <w:rPr>
          <w:rFonts w:ascii="SimSun" w:hAnsi="SimSun" w:eastAsia="SimSun" w:cs="SimSun"/>
          <w:color w:val="000000" w:themeColor="text1"/>
          <w:sz w:val="22"/>
        </w:rPr>
        <w:t xml:space="preserve">。</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rFonts w:ascii="SimSun" w:hAnsi="SimSun" w:eastAsia="SimSun" w:cs="SimSun"/>
          <w:color w:val="000000" w:themeColor="text1"/>
          <w:sz w:val="22"/>
        </w:rPr>
        <w:t xml:space="preserve">乙方应当以支票、汇票、本票或者金融机构、担保机构出具的保函等非现金形式提交。</w:t>
      </w:r>
      <w:r>
        <w:rPr>
          <w:rFonts w:ascii="SimSun" w:hAnsi="SimSun" w:eastAsia="SimSun" w:cs="SimSun"/>
          <w:color w:val="000000" w:themeColor="text1"/>
          <w:sz w:val="21"/>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rFonts w:ascii="SimSun" w:hAnsi="SimSun" w:eastAsia="SimSun" w:cs="SimSun"/>
          <w:color w:val="000000" w:themeColor="text1"/>
          <w:sz w:val="22"/>
        </w:rPr>
        <w:t xml:space="preserve">乙方如出现无故不履约的行为，甲方有权不予退还履约保证金。</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八、监管责任</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为保证乙方受托为甲方所从事的服务活动符合相关法律法规、标准和技术规范要求，甲方对委托范围内的事项有权进行现场检查及质量控制活动，乙方应无条件配合。对未达到快检能力验证要求的，正确率如低于</w:t>
      </w:r>
      <w:r>
        <w:rPr>
          <w:rFonts w:ascii="SimSun" w:hAnsi="SimSun" w:eastAsia="SimSun" w:cs="SimSun"/>
          <w:color w:val="000000" w:themeColor="text1"/>
          <w:sz w:val="21"/>
        </w:rPr>
        <w:t xml:space="preserve">85%，每低于5%</w:t>
      </w:r>
      <w:r>
        <w:rPr>
          <w:color w:val="000000" w:themeColor="text1"/>
        </w:rPr>
      </w:r>
      <w:r>
        <w:rPr>
          <w:rFonts w:ascii="SimSun" w:hAnsi="SimSun" w:eastAsia="SimSun" w:cs="SimSun"/>
          <w:color w:val="000000" w:themeColor="text1"/>
          <w:sz w:val="2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，有1次扣服务费用5%。出现低于75%的，中止合同，并按乙方违约处理。</w:t>
      </w: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九、不可抗力事件处理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1.在合同有效期内，任何一方因不可抗力事件导致不能履行合同，则合同履行期延长，其延长期与不可抗力影响期相同。</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2.不可抗力事件发生后，应立即通知对方，并寄送有关权威机构出具的证明。</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3.不可抗力事件延续120天以上，双方应通过友好协商，确定是否继续履行合同。</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十、诉讼</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双方在执行合同中所发生的一切争议，应通过协商解决。如协商不成，可向合同签订地法院起诉，合同签订地在此约定为盐城市。</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十、合同生效及其它</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1.合同经双方法定代表人或授权委托代表人签章并加盖单位公章。</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2.本合同未尽事宜，遵照《民法典》有关条文执行。</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3.本合同正本一式四份，具有同等法律效力，甲方、乙方各执</w:t>
      </w:r>
      <w:r>
        <w:rPr>
          <w:rFonts w:ascii="SimSun" w:hAnsi="SimSun" w:eastAsia="SimSun" w:cs="SimSun"/>
          <w:color w:val="000000" w:themeColor="text1"/>
          <w:sz w:val="22"/>
        </w:rPr>
        <w:t xml:space="preserve">二份。</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甲方（盖章）：乙方（盖章）：</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地址：地址：</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法定代表人或授权代表（签章）：法定代表人或授权代表（签章）：</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联系电话：联系电话：</w:t>
      </w:r>
      <w:r>
        <w:rPr>
          <w:color w:val="000000" w:themeColor="text1"/>
        </w:rPr>
      </w:r>
      <w:r/>
    </w:p>
    <w:p>
      <w:pPr>
        <w:ind w:left="0" w:right="0" w:firstLine="420"/>
        <w:jc w:val="both"/>
        <w:spacing w:before="145" w:after="14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签订日期：年月日签订日期：年月日</w:t>
      </w:r>
      <w:r>
        <w:rPr>
          <w:color w:val="000000" w:themeColor="text1"/>
        </w:rPr>
      </w:r>
      <w:r/>
    </w:p>
    <w:p>
      <w:pPr>
        <w:pStyle w:val="650"/>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 </w:t>
      </w:r>
      <w:r>
        <w:rPr>
          <w:color w:val="000000" w:themeColor="text1"/>
        </w:rPr>
      </w:r>
      <w:r/>
    </w:p>
    <w:p>
      <w:pPr>
        <w:pStyle w:val="650"/>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 </w:t>
      </w:r>
      <w:r>
        <w:rPr>
          <w:color w:val="000000" w:themeColor="text1"/>
        </w:rPr>
      </w:r>
      <w:r/>
    </w:p>
    <w:p>
      <w:pPr>
        <w:ind w:left="0" w:right="0" w:firstLine="309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309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第四章项目需求</w:t>
      </w:r>
      <w:r>
        <w:rPr>
          <w:color w:val="000000" w:themeColor="text1"/>
        </w:rPr>
      </w:r>
      <w:r/>
    </w:p>
    <w:p>
      <w:pPr>
        <w:ind w:left="0" w:right="0" w:firstLine="6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一、项目简要说明</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（一）项目概况</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rFonts w:ascii="SimSun" w:hAnsi="SimSun" w:eastAsia="SimSun" w:cs="SimSun"/>
          <w:color w:val="000000" w:themeColor="text1"/>
          <w:sz w:val="22"/>
        </w:rPr>
        <w:t xml:space="preserve">盐城市经济技术开发区农贸市场食用农产品</w:t>
      </w:r>
      <w:r>
        <w:rPr>
          <w:rFonts w:ascii="SimSun" w:hAnsi="SimSun" w:eastAsia="SimSun" w:cs="SimSun"/>
          <w:color w:val="000000" w:themeColor="text1"/>
          <w:sz w:val="22"/>
        </w:rPr>
        <w:t xml:space="preserve">及其他食品</w:t>
      </w:r>
      <w:r>
        <w:rPr>
          <w:rFonts w:ascii="SimSun" w:hAnsi="SimSun" w:eastAsia="SimSun" w:cs="SimSun"/>
          <w:color w:val="000000" w:themeColor="text1"/>
          <w:sz w:val="22"/>
        </w:rPr>
        <w:t xml:space="preserve">快速检测：</w:t>
      </w:r>
      <w:r>
        <w:rPr>
          <w:rFonts w:ascii="SimSun" w:hAnsi="SimSun" w:eastAsia="SimSun" w:cs="SimSun"/>
          <w:color w:val="000000" w:themeColor="text1"/>
          <w:sz w:val="22"/>
        </w:rPr>
        <w:t xml:space="preserve">范围涉及经济开发区（包括阳光世纪园市场、雨露市场、阳光康居园市场、惠民农贸市场、步凤农贸市场），食用农产品快速检测数量符合以下要求：农贸市场检测批次按市场规模大小划定：摊位数少于</w:t>
      </w:r>
      <w:r>
        <w:rPr>
          <w:rFonts w:ascii="SimSun" w:hAnsi="SimSun" w:eastAsia="SimSun" w:cs="SimSun"/>
          <w:color w:val="000000" w:themeColor="text1"/>
          <w:sz w:val="21"/>
        </w:rPr>
        <w:t xml:space="preserve">50个的，日均检测至少10批次，每增加10个摊位增加1批次/日，市场内摊位数少于10个的农贸市场每2-3天检测不少于10批次的快检项目，检测种类每周</w:t>
      </w:r>
      <w:r>
        <w:rPr>
          <w:rFonts w:ascii="SimSun" w:hAnsi="SimSun" w:eastAsia="SimSun" w:cs="SimSun"/>
          <w:color w:val="000000" w:themeColor="text1"/>
          <w:sz w:val="22"/>
        </w:rPr>
        <w:t xml:space="preserve">（水产品、其他食品除外，详见合同）全覆盖，其中农药残留检测批次</w:t>
      </w:r>
      <w:r>
        <w:rPr>
          <w:rFonts w:ascii="SimSun" w:hAnsi="SimSun" w:eastAsia="SimSun" w:cs="SimSun"/>
          <w:color w:val="000000" w:themeColor="text1"/>
          <w:sz w:val="22"/>
        </w:rPr>
        <w:t xml:space="preserve">不高于</w:t>
      </w:r>
      <w:r>
        <w:rPr>
          <w:rFonts w:ascii="SimSun" w:hAnsi="SimSun" w:eastAsia="SimSun" w:cs="SimSun"/>
          <w:color w:val="000000" w:themeColor="text1"/>
          <w:sz w:val="21"/>
        </w:rPr>
        <w:t xml:space="preserve">70%</w:t>
      </w:r>
      <w:r>
        <w:rPr>
          <w:rFonts w:ascii="SimSun" w:hAnsi="SimSun" w:eastAsia="SimSun" w:cs="SimSun"/>
          <w:color w:val="000000" w:themeColor="text1"/>
          <w:sz w:val="22"/>
        </w:rPr>
        <w:t xml:space="preserve">（其中胶体金法检测占比不少于总数的</w:t>
      </w:r>
      <w:r>
        <w:rPr>
          <w:rFonts w:ascii="SimSun" w:hAnsi="SimSun" w:eastAsia="SimSun" w:cs="SimSun"/>
          <w:color w:val="000000" w:themeColor="text1"/>
          <w:sz w:val="21"/>
        </w:rPr>
        <w:t xml:space="preserve">10%</w:t>
      </w:r>
      <w:r>
        <w:rPr>
          <w:rFonts w:ascii="SimSun" w:hAnsi="SimSun" w:eastAsia="SimSun" w:cs="SimSun"/>
          <w:color w:val="000000" w:themeColor="text1"/>
          <w:sz w:val="22"/>
        </w:rPr>
        <w:t xml:space="preserve">）</w:t>
      </w:r>
      <w:r>
        <w:rPr>
          <w:rFonts w:ascii="SimSun" w:hAnsi="SimSun" w:eastAsia="SimSun" w:cs="SimSun"/>
          <w:color w:val="000000" w:themeColor="text1"/>
          <w:sz w:val="22"/>
        </w:rPr>
        <w:t xml:space="preserve">，畜禽肉兽药残留检测批次不低于</w:t>
      </w:r>
      <w:r>
        <w:rPr>
          <w:rFonts w:ascii="SimSun" w:hAnsi="SimSun" w:eastAsia="SimSun" w:cs="SimSun"/>
          <w:color w:val="000000" w:themeColor="text1"/>
          <w:sz w:val="21"/>
        </w:rPr>
        <w:t xml:space="preserve">15%，水产类检测批次不低于5%</w:t>
      </w:r>
      <w:r>
        <w:rPr>
          <w:rFonts w:ascii="SimSun" w:hAnsi="SimSun" w:eastAsia="SimSun" w:cs="SimSun"/>
          <w:color w:val="000000" w:themeColor="text1"/>
          <w:sz w:val="22"/>
        </w:rPr>
        <w:t xml:space="preserve">，</w:t>
      </w:r>
      <w:r>
        <w:rPr>
          <w:rFonts w:ascii="SimSun" w:hAnsi="SimSun" w:eastAsia="SimSun" w:cs="SimSun"/>
          <w:color w:val="000000" w:themeColor="text1"/>
          <w:sz w:val="22"/>
        </w:rPr>
        <w:t xml:space="preserve">禽蛋检测批次不低于</w:t>
      </w:r>
      <w:r>
        <w:rPr>
          <w:rFonts w:ascii="SimSun" w:hAnsi="SimSun" w:eastAsia="SimSun" w:cs="SimSun"/>
          <w:color w:val="000000" w:themeColor="text1"/>
          <w:sz w:val="21"/>
        </w:rPr>
        <w:t xml:space="preserve">5%</w:t>
      </w:r>
      <w:r>
        <w:rPr>
          <w:rFonts w:ascii="SimSun" w:hAnsi="SimSun" w:eastAsia="SimSun" w:cs="SimSun"/>
          <w:color w:val="000000" w:themeColor="text1"/>
          <w:sz w:val="22"/>
        </w:rPr>
        <w:t xml:space="preserve">，其它产品检测不少于</w:t>
      </w:r>
      <w:r>
        <w:rPr>
          <w:rFonts w:ascii="SimSun" w:hAnsi="SimSun" w:eastAsia="SimSun" w:cs="SimSun"/>
          <w:color w:val="000000" w:themeColor="text1"/>
          <w:sz w:val="21"/>
        </w:rPr>
        <w:t xml:space="preserve">5%</w:t>
      </w:r>
      <w:r>
        <w:rPr>
          <w:rFonts w:ascii="SimSun" w:hAnsi="SimSun" w:eastAsia="SimSun" w:cs="SimSun"/>
          <w:color w:val="000000" w:themeColor="text1"/>
          <w:sz w:val="22"/>
        </w:rPr>
        <w:t xml:space="preserve">。</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结合当前各市场快检室运行情况，由采购人、各农贸市场、中标供应商共同协调，由各农贸市场提供现有的场所、设备。人员、检测试剂耗材、购样费、交通等费用由中标供应商负责。中标供应商</w:t>
      </w:r>
      <w:r>
        <w:rPr>
          <w:rFonts w:ascii="SimSun" w:hAnsi="SimSun" w:eastAsia="SimSun" w:cs="SimSun"/>
          <w:color w:val="000000" w:themeColor="text1"/>
          <w:sz w:val="22"/>
        </w:rPr>
        <w:t xml:space="preserve">也</w:t>
      </w:r>
      <w:r>
        <w:rPr>
          <w:rFonts w:ascii="SimSun" w:hAnsi="SimSun" w:eastAsia="SimSun" w:cs="SimSun"/>
          <w:color w:val="000000" w:themeColor="text1"/>
          <w:sz w:val="22"/>
        </w:rPr>
        <w:t xml:space="preserve">可自带检测设备。</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rFonts w:ascii="SimSun" w:hAnsi="SimSun" w:eastAsia="SimSun" w:cs="SimSun"/>
          <w:color w:val="000000" w:themeColor="text1"/>
          <w:sz w:val="22"/>
        </w:rPr>
        <w:t xml:space="preserve">合同履行期限：一年。</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（二）服务质量要求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1、符合国家现行的相关规范标准及盐城市市场监督管理局关于印发《2023 年为民办实事农贸（农批）市场“放心 菜篮子”工程实施方案》的通知的要求。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2、中标供应商每天上午10：00前完成当日全部快检工作并上传市局规定的网站，并把抽检点、抽检数量、抽检结果等报表发给采购人。</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3、采样、检测、通知单、报告单、数据汇总、上报等相关事宜均由中标供应商负责，且采样、检测和结果通知、阳性检品的处置等工作需当日完成。</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4、服务实施期间，随时接受采购人的飞行检查。</w:t>
      </w:r>
      <w:r>
        <w:rPr>
          <w:color w:val="000000" w:themeColor="text1"/>
        </w:rPr>
      </w:r>
      <w:r/>
    </w:p>
    <w:p>
      <w:pPr>
        <w:ind w:left="0" w:right="0" w:firstLine="42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5、检测项目和试剂参数：</w:t>
      </w:r>
      <w:r>
        <w:rPr>
          <w:color w:val="000000" w:themeColor="text1"/>
        </w:rPr>
      </w:r>
      <w:r/>
    </w:p>
    <w:p>
      <w:pPr>
        <w:ind w:left="0" w:right="0" w:firstLine="480"/>
        <w:jc w:val="both"/>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检测项目不少于以下项目，采购方可根据市市场监管部门相关要求调整检测项目。结合农产品季节特点及食用农产品风险评估完成检测项目、重点检查品种等。根据产品情况，一个检品可选做</w:t>
      </w:r>
      <w:r>
        <w:rPr>
          <w:rFonts w:ascii="SimSun" w:hAnsi="SimSun" w:eastAsia="SimSun" w:cs="SimSun"/>
          <w:color w:val="000000" w:themeColor="text1"/>
          <w:sz w:val="21"/>
        </w:rPr>
        <w:t xml:space="preserve">1-多个快检项目</w:t>
      </w:r>
      <w:r>
        <w:rPr>
          <w:rFonts w:ascii="SimSun" w:hAnsi="SimSun" w:eastAsia="SimSun" w:cs="SimSun"/>
          <w:color w:val="000000" w:themeColor="text1"/>
          <w:sz w:val="22"/>
        </w:rPr>
        <w:t xml:space="preserve">，每周要对蔬菜水果、畜禽肉的检测项目、重点检查品种全覆盖。每月要对水产品、其它食品的检测项目、重点检查品种全覆盖。对无法抽取的重点品种，如鳜、大菱鲆、乌鳢、石斑鱼、黄颡鱼、罗非鱼、花鲈、大口黑鲈、鲟鱼、黄鳝等鱼类；斑节对虾；白贝、青口、鲍鱼等贝类；海参、鱼皮、鹅肠等水发品；笋干、果干、蜜饯等可以以其他重点品种替代，但检测比例不变。</w:t>
      </w:r>
      <w:r>
        <w:rPr>
          <w:color w:val="000000" w:themeColor="text1"/>
        </w:rPr>
      </w:r>
      <w:r/>
    </w:p>
    <w:p>
      <w:pPr>
        <w:ind w:left="0" w:right="0" w:firstLine="42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1</w:t>
      </w:r>
      <w:r>
        <w:rPr>
          <w:rFonts w:ascii="SimSun" w:hAnsi="SimSun" w:eastAsia="SimSun" w:cs="SimSun"/>
          <w:color w:val="000000" w:themeColor="text1"/>
          <w:sz w:val="22"/>
        </w:rPr>
        <w:t xml:space="preserve">）蔬菜水果农药残留项目</w:t>
      </w:r>
      <w:r>
        <w:rPr>
          <w:color w:val="000000" w:themeColor="text1"/>
        </w:rPr>
      </w:r>
      <w:r/>
    </w:p>
    <w:p>
      <w:pPr>
        <w:ind w:left="0" w:right="0" w:firstLine="20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1353"/>
        <w:gridCol w:w="2345"/>
        <w:gridCol w:w="1806"/>
        <w:gridCol w:w="1715"/>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快检项目</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重点检测品种</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检测方法</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检出限（mg/kg）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毒死蜱</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韭菜、菠菜、普通白菜、大白菜、黄瓜、菜豆</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0.1</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氟虫氰</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韭菜、芹菜、普通白菜、油麦菜、辣椒、豇豆、菜豆、马铃薯、萝卜</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0.02</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三唑磷</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结球甘蓝、节瓜</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0.1</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杀螟硫磷</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韭菜、芹菜、辣椒、普通白菜、生姜、菠菜、西兰花、黄瓜</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0.2</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多菌灵</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黄瓜、韭菜、菜豆、辣椒</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克百威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芹菜、韭菜、菠菜、芥菜、油麦菜、蕹菜、菜心、黄花菜、黄瓜、西兰花、辣椒、茄子、生姜、豇豆、菜豆</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0.02</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吡虫啉</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韭菜、芹菜、大白菜、番茄、茄子、黄瓜、柑橘、苹果</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甲萘威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韭菜、芹菜、普通白菜、油麦菜、辣椒、豇豆、菜豆、马铃薯、</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甲氰菊酯</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结球甘蓝、莴苣、菠菜、普通白菜、芹菜、大白菜、韭菜</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啶虫脒</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韭菜、芹菜、大白菜、番茄、茄子、黄瓜、柑橘、苹果</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百菌清</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黄瓜、普通白菜、芹菜、莴苣</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6.0</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腐霉利</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韭菜、番茄、茄子、辣椒、黄瓜、葡萄、草莓</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0.2</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甲霜灵</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菜、番茄、茄子、辣椒、黄瓜、洋葱、胡萝卜、马铃薯、菠菜、葡萄、荔枝</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农药残留快速检测盒</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青菜、油菜、菠菜、芹菜、韭菜等叶菜类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酶抑制法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敌百虫：0.1</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丙溴磷：0.5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灭多威：0.2</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克百威：0.02</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敌敌畏：0.2</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2）畜禽肉及其制品兽药残留、蛋及蛋制品兽药残留和水产及水产制品兽药残留项目</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7"/>
        <w:gridCol w:w="1415"/>
        <w:gridCol w:w="2289"/>
        <w:gridCol w:w="1847"/>
        <w:gridCol w:w="173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快检项目</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快检重点抽检品种</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检测方法</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检出限（µg/kg）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孔雀石绿</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鳜、大菱鲆、乌鳢、石斑鱼、黄颡鱼、鲫鱼、罗非鱼、草鱼、花鲈、大口黑鲈、鳙鱼，鲟鱼、黄鳝等鱼类。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孔雀石绿：0.5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氯霉素</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鳜、大菱鲆、乌鳢、石斑鱼、黄颡鱼、鲫鱼、罗非鱼、草鱼、花鲈、大口黑鲈、鳙鱼，鲟鱼、黄鳝等鱼类；南美白对虾、斑节对虾、罗氏沼虾等虾类；花甲、白贝、花蛤、蛏子、螺、青口、鲍鱼等贝类；猪肉、牛肉、羊肉、鸡肉、鸭肉等畜禽肉。</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0.1</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硝基呋喃类代谢物（呋喃唑酮代谢物、呋喃西林代谢物、呋喃妥因代谢物、呋喃它酮代谢物）</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鳜、大菱鲆、乌鳢、石斑鱼、黄颡鱼、鲫鱼、罗非鱼、草鱼、花鲈、大口黑鲈、鳙鱼，鲟鱼、黄鳝等鱼类；南美白对虾、斑节对虾、罗氏沼虾等虾类；鲍鱼等贝类。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呋喃唑酮代谢物：0.5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呋喃西林代谢物：0.5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呋喃妥因代谢物：0.5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呋喃它酮代谢物：0.5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瘦肉精</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（克伦特罗、莱克多巴胺、沙丁胺醇）</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猪肉、牛肉、羊肉</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克伦特罗：0.5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莱克多巴胺：0.5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沙丁胺醇：0.5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氟喹诺酮类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禽肉、鲜蛋类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环丙沙星：5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恩诺沙星：20</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诺氟沙星：12</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培氟沙星：15</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氧氟沙星：50</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达氟沙星：20</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洛美沙星：30</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沙拉沙星：60</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噁喹酸：25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氟苯尼考</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禽肉、鲜蛋类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0.2</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恩诺沙星和环丙沙星</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鳜、大菱鲆、乌鳢、石斑鱼、黄颡鱼、鲫鱼、罗非鱼、草鱼、花鲈、大口黑鲈、鳙鱼，鲟鱼、黄鳝等鱼类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环丙沙星：60</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恩诺沙星：80</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水分</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肉类</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仪器法（现场检测）</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按仪器规定</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numPr>
          <w:ilvl w:val="0"/>
          <w:numId w:val="5"/>
        </w:numPr>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涉及其他食品的</w:t>
      </w:r>
      <w:r>
        <w:rPr>
          <w:rFonts w:ascii="SimSun" w:hAnsi="SimSun" w:eastAsia="SimSun" w:cs="SimSun"/>
          <w:color w:val="000000" w:themeColor="text1"/>
          <w:sz w:val="21"/>
        </w:rPr>
        <w:t xml:space="preserve">“两超一非”的食品添加剂及化学物质</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4"/>
        <w:gridCol w:w="1372"/>
        <w:gridCol w:w="2307"/>
        <w:gridCol w:w="1854"/>
        <w:gridCol w:w="17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快检项目</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快检重点抽检品种</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检测方法</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检出限</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甲醛</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虾仁、牛肚、牛百叶、海参、鱿鱼、鱼皮、木耳、腐竹、鹅肠等水产品及水发产品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化学法+分光光度</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液体样本：0.2mg/L</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固体样本：2mg/kg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二氧化硫</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白糖、粉丝、笋干、果干、蜜饯、银耳、海产品等</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化学法+分光光度</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双氧水</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鱿鱼、牛百叶、腐竹、牛肚等食品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化学法+分光光度</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液体样本：5mg/L</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固体样本：50mg/kg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吊白块</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各种米、面及其加工制品以及豆制品等</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化学法+分光光度</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硼砂</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肉制品（贡丸、牛肉丸、鱼丸等）、冻虾、米粽、面食类等食品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化学法+分光光度</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50 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亚硝酸盐</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香肠、腊肠、腊肉、火腿肠、酱腌菜、各类罐头和蔬菜等</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化学法+分光光度</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液体样本：0.1mg/L</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固体样本：1mg/kg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酸价、过氧化值</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食用油（煎炸油）等</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试纸比色法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3mgKOH/g</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0.25g/100g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苯甲酸</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豆制品、水果制品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胶体金免疫层析法</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100mg/kg</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铝的残留量</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包子、馒头、油条等面制品；粉丝等淀粉制品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化学法+分光光度</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200"/>
              <w:jc w:val="both"/>
              <w:spacing w:before="0" w:after="0" w:line="4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1mg/kg</w:t>
            </w:r>
            <w:r>
              <w:rPr>
                <w:color w:val="000000" w:themeColor="text1"/>
              </w:rPr>
            </w:r>
            <w:r/>
          </w:p>
        </w:tc>
      </w:tr>
    </w:tbl>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6.抽样品种:以生鲜蔬莱水果、生鲜畜禽肉类、禽蛋、水产品类等食用农产品为主，兼顾其他食品。检测种类每周全覆盖，其中农药残留检测批次不</w:t>
      </w:r>
      <w:r>
        <w:rPr>
          <w:rFonts w:ascii="SimSun" w:hAnsi="SimSun" w:eastAsia="SimSun" w:cs="SimSun"/>
          <w:color w:val="000000" w:themeColor="text1"/>
          <w:sz w:val="22"/>
        </w:rPr>
        <w:t xml:space="preserve">多于</w:t>
      </w:r>
      <w:r>
        <w:rPr>
          <w:rFonts w:ascii="SimSun" w:hAnsi="SimSun" w:eastAsia="SimSun" w:cs="SimSun"/>
          <w:color w:val="000000" w:themeColor="text1"/>
          <w:sz w:val="21"/>
        </w:rPr>
        <w:t xml:space="preserve">70%</w:t>
      </w:r>
      <w:r>
        <w:rPr>
          <w:rFonts w:ascii="SimSun" w:hAnsi="SimSun" w:eastAsia="SimSun" w:cs="SimSun"/>
          <w:color w:val="000000" w:themeColor="text1"/>
          <w:sz w:val="22"/>
        </w:rPr>
        <w:t xml:space="preserve">（其中胶体金法不少全部总量的</w:t>
      </w:r>
      <w:r>
        <w:rPr>
          <w:rFonts w:ascii="SimSun" w:hAnsi="SimSun" w:eastAsia="SimSun" w:cs="SimSun"/>
          <w:color w:val="000000" w:themeColor="text1"/>
          <w:sz w:val="21"/>
        </w:rPr>
        <w:t xml:space="preserve">10%</w:t>
      </w:r>
      <w:r>
        <w:rPr>
          <w:rFonts w:ascii="SimSun" w:hAnsi="SimSun" w:eastAsia="SimSun" w:cs="SimSun"/>
          <w:color w:val="000000" w:themeColor="text1"/>
          <w:sz w:val="22"/>
        </w:rPr>
        <w:t xml:space="preserve">），畜禽肉兽药残留检测批次不低于</w:t>
      </w:r>
      <w:r>
        <w:rPr>
          <w:rFonts w:ascii="SimSun" w:hAnsi="SimSun" w:eastAsia="SimSun" w:cs="SimSun"/>
          <w:color w:val="000000" w:themeColor="text1"/>
          <w:sz w:val="21"/>
        </w:rPr>
        <w:t xml:space="preserve">15%，水产类检测批次不低于5%，禽蛋</w:t>
      </w:r>
      <w:r>
        <w:rPr>
          <w:rFonts w:ascii="SimSun" w:hAnsi="SimSun" w:eastAsia="SimSun" w:cs="SimSun"/>
          <w:color w:val="000000" w:themeColor="text1"/>
          <w:sz w:val="22"/>
        </w:rPr>
        <w:t xml:space="preserve">检测批次不低于</w:t>
      </w:r>
      <w:r>
        <w:rPr>
          <w:rFonts w:ascii="SimSun" w:hAnsi="SimSun" w:eastAsia="SimSun" w:cs="SimSun"/>
          <w:color w:val="000000" w:themeColor="text1"/>
          <w:sz w:val="21"/>
        </w:rPr>
        <w:t xml:space="preserve">5%</w:t>
      </w:r>
      <w:r>
        <w:rPr>
          <w:rFonts w:ascii="SimSun" w:hAnsi="SimSun" w:eastAsia="SimSun" w:cs="SimSun"/>
          <w:color w:val="000000" w:themeColor="text1"/>
          <w:sz w:val="22"/>
        </w:rPr>
        <w:t xml:space="preserve">，其他检测批次不低于</w:t>
      </w:r>
      <w:r>
        <w:rPr>
          <w:rFonts w:ascii="SimSun" w:hAnsi="SimSun" w:eastAsia="SimSun" w:cs="SimSun"/>
          <w:color w:val="000000" w:themeColor="text1"/>
          <w:sz w:val="21"/>
        </w:rPr>
        <w:t xml:space="preserve">10%。</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7.检测要求:中标供应商搭建盐城市经济技术开发区食品安全</w:t>
      </w:r>
      <w:r>
        <w:rPr>
          <w:rFonts w:ascii="SimSun" w:hAnsi="SimSun" w:eastAsia="SimSun" w:cs="SimSun"/>
          <w:color w:val="000000" w:themeColor="text1"/>
          <w:sz w:val="22"/>
        </w:rPr>
        <w:t xml:space="preserve">快检监管平台，检测结果要上传至市局快检平台及自建平台。每半年进行一次检测结果的汇总与分析并形成书面报告。</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8.人员要求: 中标供应商投入本项目的检测人员须经过专业培训上岗的，每天须保证5</w:t>
      </w:r>
      <w:r>
        <w:rPr>
          <w:rFonts w:ascii="SimSun" w:hAnsi="SimSun" w:eastAsia="SimSun" w:cs="SimSun"/>
          <w:color w:val="000000" w:themeColor="text1"/>
          <w:sz w:val="22"/>
        </w:rPr>
        <w:t xml:space="preserve">名检测人员在岗并完成日常检测任务，</w:t>
      </w:r>
      <w:r>
        <w:rPr>
          <w:rFonts w:ascii="SimSun" w:hAnsi="SimSun" w:eastAsia="SimSun" w:cs="SimSun"/>
          <w:color w:val="000000" w:themeColor="text1"/>
          <w:sz w:val="22"/>
        </w:rPr>
        <w:t xml:space="preserve">如遇到特殊情况，要确保全天有一人在现场</w:t>
      </w:r>
      <w:r>
        <w:rPr>
          <w:rFonts w:ascii="SimSun" w:hAnsi="SimSun" w:eastAsia="SimSun" w:cs="SimSun"/>
          <w:color w:val="000000" w:themeColor="text1"/>
          <w:sz w:val="22"/>
        </w:rPr>
        <w:t xml:space="preserve">。并指定一人为项目负责人，负责与采购人进行沟通对接。除春节正月初一至初三外的节假日正常抽样快检。</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9.抽</w:t>
      </w:r>
      <w:r>
        <w:rPr>
          <w:rFonts w:ascii="SimSun" w:hAnsi="SimSun" w:eastAsia="SimSun" w:cs="SimSun"/>
          <w:color w:val="000000" w:themeColor="text1"/>
          <w:sz w:val="22"/>
        </w:rPr>
        <w:t xml:space="preserve">样、检验检测、留样、检测能力确认、阳性检品的处置等要符合省级食品安全示范城市创建的相关要求、要符合</w:t>
      </w:r>
      <w:r>
        <w:rPr>
          <w:rFonts w:ascii="SimSun" w:hAnsi="SimSun" w:eastAsia="SimSun" w:cs="SimSun"/>
          <w:color w:val="000000" w:themeColor="text1"/>
          <w:sz w:val="21"/>
        </w:rPr>
        <w:t xml:space="preserve">2023年盐城市市级为民办实事工作的相关要求。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（三）管理系统</w:t>
      </w:r>
      <w:r>
        <w:rPr>
          <w:color w:val="000000" w:themeColor="text1"/>
        </w:rPr>
      </w:r>
      <w:r/>
    </w:p>
    <w:p>
      <w:pPr>
        <w:ind w:left="0" w:right="0" w:firstLine="420"/>
        <w:jc w:val="both"/>
        <w:spacing w:before="0" w:after="0" w:line="4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中标供应商提供管理系统。不限于以下相关要求：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农贸市场食品安全检测监管系统应具备良好的软件架构设计，层次分明。监管系统需包含五大功能性：基础档案信息管理功能、平台管理功能、检测监管功能、检测结果公示功能、索证索票功能。具体功能需求如下：</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1.档案信息管理子系统：</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档案信息管理子系统包含了各经营主体及经营户档案信息的维护。包括如下功能：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1）经营主体档案管理：维护经营主体基本信息，包含主体类型、主体地址、负责人、负责人联系电话等。维护主体相关照片：包含环境照片、经营许可证和营业执照照片。</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2）经营户档案管理：包含经营户名称、摊位号、联系方式、主营项目。</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2.平台管理子系统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平台管理子系统为各级管理部门提供配置和管理功能，实现整个系统的配置以及监管，具体包括：</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1）部门管理：维护系统部门信息、包含部门名称、部门负责人、联系电话。</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2）用户管理：维护系统账号信息，包含角色、账号、密码、用户姓名、联系电话、所属单位。</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3）权限管理：维护系统角色信息。</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3.检测监管子系统</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检测监管子系统包含监管系统中检测相关的功能。监管平台对检测数据进行实时统计、分析。本子系统包含监管系统功能、监管小程序功能、采样互联功能、检测仪器互联功能：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1）监管系统包含以下功能：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项目运维：包含对各经营主体检测总量任务的下达。</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样品信息查询：样品信息查询包含按照起止日期、分局（所）、样品类型、样品名称、检测结果等筛选条件进行样品信息查询。</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检测信息查询：检测信息查询包含按照起止日期、分局（所）、样品类型、样品名称、检测类别、检测项目、检测结果等筛选条件进行检测信息查询。</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检测数据统计：检测数据统计对检测总量、快检合格率、任务完成率、检测类别、样品类别的数据统计。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2）采样互联包含以下功能：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样品采集：样品信息采集包括样品种类、经营户名称、样品名称、检测项目、采样照片、采样视频。</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3）检测仪器互联包含以下功能：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提供检测仪器数据对接端口，检测数据可以通过不同厂家的检测仪器实时上传、汇总、分析。</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4）检测结果公示功能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5）索证索票功能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注：管理软件必须和盐城市市场监管局快检平台无缝对接。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2"/>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二、采购标的的所属行业为</w:t>
      </w:r>
      <w:r>
        <w:rPr>
          <w:rFonts w:ascii="SimSun" w:hAnsi="SimSun" w:eastAsia="SimSun" w:cs="SimSun"/>
          <w:b/>
          <w:color w:val="000000" w:themeColor="text1"/>
          <w:sz w:val="22"/>
          <w:u w:val="single"/>
        </w:rPr>
        <w:t xml:space="preserve">其他未列明行业</w:t>
      </w:r>
      <w:r>
        <w:rPr>
          <w:rFonts w:ascii="SimSun" w:hAnsi="SimSun" w:eastAsia="SimSun" w:cs="SimSun"/>
          <w:b/>
          <w:color w:val="000000" w:themeColor="text1"/>
          <w:sz w:val="22"/>
        </w:rPr>
        <w:t xml:space="preserve">，根据《工业和信息化部、国家统计局、国家发展和改革委员会、财政部关于印发中小企业划型标准规定的通知》（工信部联企业</w:t>
      </w:r>
      <w:r>
        <w:rPr>
          <w:rFonts w:ascii="SimSun" w:hAnsi="SimSun" w:eastAsia="SimSun" w:cs="SimSun"/>
          <w:b/>
          <w:color w:val="000000" w:themeColor="text1"/>
          <w:sz w:val="21"/>
        </w:rPr>
        <w:t xml:space="preserve">[2011]300号）规定的划分标准填写。</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883"/>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883"/>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第五章定标原则与评标标准</w:t>
      </w:r>
      <w:r>
        <w:rPr>
          <w:color w:val="000000" w:themeColor="text1"/>
        </w:rPr>
      </w:r>
      <w:r/>
    </w:p>
    <w:p>
      <w:pPr>
        <w:ind w:left="0" w:right="0" w:firstLine="422"/>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一、评标方法与定标原则</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本项目采用</w:t>
      </w:r>
      <w:r>
        <w:rPr>
          <w:rFonts w:ascii="SimSun" w:hAnsi="SimSun" w:eastAsia="SimSun" w:cs="SimSun"/>
          <w:color w:val="000000" w:themeColor="text1"/>
          <w:sz w:val="21"/>
        </w:rPr>
        <w:t xml:space="preserve">“综合评分法”。</w:t>
      </w:r>
      <w:r>
        <w:rPr>
          <w:rFonts w:ascii="SimSun" w:hAnsi="SimSun" w:eastAsia="SimSun" w:cs="SimSun"/>
          <w:color w:val="000000" w:themeColor="text1"/>
          <w:sz w:val="22"/>
        </w:rPr>
        <w:t xml:space="preserve">投标文件满足招标文件全部实质性要求，且按照评审因素的量化指标评审得分最高的投标人为中标候选人。</w:t>
      </w:r>
      <w:r>
        <w:rPr>
          <w:color w:val="000000" w:themeColor="text1"/>
        </w:rPr>
      </w:r>
      <w:r/>
    </w:p>
    <w:p>
      <w:pPr>
        <w:ind w:left="0" w:right="-4"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rPr>
          <w:color w:val="000000" w:themeColor="text1"/>
        </w:rPr>
      </w:r>
      <w:r/>
    </w:p>
    <w:p>
      <w:pPr>
        <w:ind w:left="0" w:right="0" w:firstLine="42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☆采用综合评分法的，最低报价及任何单项因素的最优均不作为中标的必要条件。</w:t>
      </w:r>
      <w:r>
        <w:rPr>
          <w:color w:val="000000" w:themeColor="text1"/>
        </w:rPr>
      </w:r>
      <w:r/>
    </w:p>
    <w:p>
      <w:pPr>
        <w:ind w:left="0" w:right="0" w:firstLine="422"/>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二、对投标文件的初审</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投标文件初审分为资格审查和符合性审查。</w:t>
      </w:r>
      <w:r>
        <w:rPr>
          <w:color w:val="000000" w:themeColor="text1"/>
        </w:rPr>
      </w:r>
      <w:r/>
    </w:p>
    <w:p>
      <w:pPr>
        <w:ind w:left="0" w:right="0" w:firstLine="422"/>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资格审查</w:t>
      </w:r>
      <w:r>
        <w:rPr>
          <w:color w:val="000000" w:themeColor="text1"/>
        </w:rPr>
      </w:r>
      <w:r/>
    </w:p>
    <w:p>
      <w:pPr>
        <w:ind w:left="0" w:right="0" w:firstLine="422"/>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开标结束后，采购人依法对投标人的资格进行审查。</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审查投标文件中的资格、资信证明文件、投标保证金等，以确定投标人是否具备投标资格。（资格审查需提供的材料详见第六部分《资信证明文件要求》）</w:t>
      </w:r>
      <w:r>
        <w:rPr>
          <w:color w:val="000000" w:themeColor="text1"/>
        </w:rPr>
      </w:r>
      <w:r/>
    </w:p>
    <w:p>
      <w:pPr>
        <w:ind w:left="0" w:right="0" w:firstLine="422"/>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符合性审查</w:t>
      </w:r>
      <w:r>
        <w:rPr>
          <w:color w:val="000000" w:themeColor="text1"/>
        </w:rPr>
      </w:r>
      <w:r/>
    </w:p>
    <w:p>
      <w:pPr>
        <w:ind w:left="0" w:right="0" w:firstLine="422"/>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评标委员会对符合资格的投标人的投标文件进行符合性审查。</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依据招标文件的规定，从投标文件的有效性、完整性和对招标文件的响应程度进行审查，以确定其是否满足招标文件的实质性要求。</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明确响应的投标应该是与招标文件要求的全部条款、条件和规格相符，没有重大偏离或保留的投标。</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是否属于重大偏离由评标委员会按照少数服从多数的原则作出结论。评委决定投标文件的响应性只根据投标文件本身的内容，而不寻求外部的证据。</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如果投标文件没有明确响应招标文件的要求，评标委员会将按无效投标处理，投标人不得通过修改或撤销不合要求的偏离或保留而使其投标成为明确响应的投标。</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评标委员会将对确定为明确响应的投标进行进一步审核，投标文件报价出现前后不一致的，按招标文件及其他相关规定修正。</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评标委员会将按上述修正错误的方法调整投标文件中的投标报价，修正后的报价应当采用书面形式，并加盖公章，或者由法定代表人或其授权的代表签字，经投标人确认后产生约束力，投标人不确认的，其投标无效。</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r/>
    </w:p>
    <w:p>
      <w:pPr>
        <w:ind w:left="0" w:right="0" w:firstLine="42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三、</w:t>
      </w:r>
      <w:r>
        <w:rPr>
          <w:rFonts w:ascii="SimSun" w:hAnsi="SimSun" w:eastAsia="SimSun" w:cs="SimSun"/>
          <w:color w:val="000000" w:themeColor="text1"/>
          <w:sz w:val="21"/>
        </w:rPr>
        <w:t xml:space="preserve">★1、为进一步贯彻落实《省财政厅关于新冠肺炎疫情防控期间加大政府采购支持中小微企业力度的通知》（苏财购【2020】19号）、（盐财购【2020】7号）、《政府采购促进中小企业发展管理办法》（财库[2020]46号）文件精神，结合《关于印发中小企业划型标准规定的通知》（工信部联企业【2011】300号）要求，本项目现对小型和微型企业的产品价格给予20%的扣除，用扣除后的价格参与评审。</w:t>
      </w:r>
      <w:r>
        <w:rPr>
          <w:color w:val="000000" w:themeColor="text1"/>
        </w:rPr>
      </w:r>
      <w:r/>
    </w:p>
    <w:p>
      <w:pPr>
        <w:ind w:left="0" w:right="0" w:firstLine="42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2、供应商需按照</w:t>
      </w:r>
      <w:r>
        <w:rPr>
          <w:rFonts w:ascii="SimSun" w:hAnsi="SimSun" w:eastAsia="SimSun" w:cs="SimSun"/>
          <w:color w:val="000000" w:themeColor="text1"/>
          <w:sz w:val="22"/>
        </w:rPr>
        <w:t xml:space="preserve">招标文件的要求提供相应的《企业声明函》。</w:t>
      </w:r>
      <w:r>
        <w:rPr>
          <w:color w:val="000000" w:themeColor="text1"/>
        </w:rPr>
      </w:r>
      <w:r/>
    </w:p>
    <w:p>
      <w:pPr>
        <w:ind w:left="0" w:right="0" w:firstLine="42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3、企业标准请参照《关于印发中小企业划型标准规定的通知》（工信部联企业【2011】300号）文件规定自行填写。</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0"/>
        <w:gridCol w:w="7975"/>
      </w:tblGrid>
      <w:tr>
        <w:trPr>
          <w:trHeight w:val="5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评分项</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评分标准</w:t>
            </w:r>
            <w:r>
              <w:rPr>
                <w:color w:val="000000" w:themeColor="text1"/>
              </w:rPr>
            </w:r>
            <w:r/>
          </w:p>
        </w:tc>
      </w:tr>
      <w:tr>
        <w:trPr>
          <w:trHeight w:val="10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价格部分</w:t>
              <w:br/>
              <w:t xml:space="preserve">（20分）</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满足招标文件要求且投标价格最低的投标报价为评标基准价，其价格分为满分。其他投标人的价格分统一按照下列公式计算：</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投标报价得分=(评标基准价／投标报价)×20 （该结果四舍五入，保留两位小数）</w:t>
            </w:r>
            <w:r>
              <w:rPr>
                <w:color w:val="000000" w:themeColor="text1"/>
              </w:rPr>
            </w:r>
            <w:r/>
          </w:p>
        </w:tc>
      </w:tr>
      <w:tr>
        <w:trPr>
          <w:trHeight w:val="374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投标人综合实力（13分）</w:t>
            </w:r>
            <w:r>
              <w:rPr>
                <w:color w:val="000000" w:themeColor="text1"/>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9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投标人具有有效期内的ISO9001质量管理体系认证、ISO14001环境管理体系认证、ISO45001职业健康安全管理体系认证，每提供一份得2分，本项最高得6分。（以有效期内的证书扫描件并加盖供应商单位公章为依据，否则不得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2、投标人中标后所用试剂产品检测方法符合国家正式发布的食品快检方法/标准的评价报告(评价报告按食药监办科[2017]43 号《食品快速检测方法评价技术规范》要求进行盲样测试，评价结果符合国家食药总局快检方法要求（评价内容至少包括适用范围、灵敏度、特异性、假阳性率、假阴性率指标），每个产品提供一份报告得1分，累计本项最高得6分。注：提供专业机构出具的符合性证明材料扫描件并加盖供应商单位公章。一个产品仅接受一份报告，重复无效。</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使用的胶体金检测卡须具备数据上传的唯一性，并与检测仪器配套使用，实现检测卡检测结果数据信息不可重复读取上传，杜绝检测数据造假。胶体金检测卡应采用二维码验证，不能用贴纸等容易更换贴纸方式，本项最高得1分（投标时提供承诺书扫描件并加盖供应商单位公章，不承诺的此项不得分）。</w:t>
            </w:r>
            <w:r>
              <w:rPr>
                <w:color w:val="000000" w:themeColor="text1"/>
              </w:rPr>
            </w:r>
            <w:r/>
          </w:p>
        </w:tc>
      </w:tr>
      <w:tr>
        <w:trPr>
          <w:trHeight w:val="10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投标人业绩（20分）</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自2020年1月1日以来（以签订合同或委托任务日期为准）承担食品安全快检工作经历，且批次在1000批次以上的（合同（或委托任务书）中须提现该项指标或提供合同（或委托任务书）服务甲方出具的情况说明），每一份业绩得5分，最高得20分。（以提供合同或委托任务书扫描件并加盖投标人公章为准,未提供不得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注：同一年度内，同一甲方的业绩仅计1次。</w:t>
            </w:r>
            <w:r>
              <w:rPr>
                <w:color w:val="000000" w:themeColor="text1"/>
              </w:rPr>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现场盲样测试（20分）</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投标供应商须派将来人员到投标现场参加采购人组织的盲样测试，共计20组，本项得分=检测合格率*20分。</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检测设备及检测样品均由采购人提供，试剂由投标供应商自行携带（试剂须为中标后投入使用的同款试剂，如试剂必须和特定检测设备配套使用，投标供应商盲样测试时也可自备检测设备。如因投标供应商提供的试剂和采购人提供的检测设备不兼容而引起的各种问题，所造成的一切后果由投标供应商自行承担），投标供应商需派本单位正式职工并携带身份证到投标现场参加并盲样测试，投标文件中提供授权书及社保证明（不少于投标截止日前一个月），</w:t>
            </w:r>
            <w:r>
              <w:rPr>
                <w:rFonts w:ascii="SimSun" w:hAnsi="SimSun" w:eastAsia="SimSun" w:cs="SimSun"/>
                <w:color w:val="000000" w:themeColor="text1"/>
                <w:sz w:val="21"/>
              </w:rPr>
              <w:t xml:space="preserve">地点：盐城经济技术开发区新都路82号未来科技城9号楼政务服务中心（新都路与希望大道交叉口大转盘东北角）四楼评标室，时间:2024年</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月</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日</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时前,检测合格率低于50%或未按规定时间到达或不参加的，本项不得分。</w:t>
            </w:r>
            <w:r>
              <w:rPr>
                <w:color w:val="000000" w:themeColor="text1"/>
              </w:rPr>
            </w:r>
            <w:r/>
          </w:p>
        </w:tc>
      </w:tr>
      <w:tr>
        <w:trPr>
          <w:trHeight w:val="13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技术人员</w:t>
              <w:br/>
              <w:t xml:space="preserve">（4分）</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投标人为本项目提供专业管理或技术培训人员，专业管理或技术培训人员具有本科及以上学历（生物类、食品类、化学类、检测化验类等相关专业），每1人得2分，本项最高得4分（投标时提供证书扫描件加盖投标人公章，投标截止日前3个月的投标人为其连续缴纳社保的证明文件(可提供官网打印的具有二维码或验证码的缴费清单）扫描件并加盖供应商单位公章,未提供不得分）</w:t>
            </w:r>
            <w:r>
              <w:rPr>
                <w:color w:val="000000" w:themeColor="text1"/>
              </w:rPr>
            </w:r>
            <w:r/>
          </w:p>
        </w:tc>
      </w:tr>
      <w:tr>
        <w:trPr>
          <w:trHeight w:val="9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检测服务方案（23分）</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投标人提供的整体服务方案（至少包括：工作计划、人员配置、信息化管理方案、驻场服务承诺书等内容）进行综合评审。内容齐全得基本分4.5分，加分区间0-0.5分，以0.1分为记分单位（未提供方案的本项不得分）</w:t>
            </w:r>
            <w:r>
              <w:rPr>
                <w:color w:val="000000" w:themeColor="text1"/>
              </w:rPr>
            </w:r>
            <w:r/>
          </w:p>
        </w:tc>
      </w:tr>
      <w:tr>
        <w:trPr>
          <w:trHeight w:val="9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根据投标人提供的采样、检测的具体流程及检测质量的把控等方面表述与采购文件中服务要求对比进行评审。内容齐全得基本分4.5分，加分区间0-0.5分，以0.1分为记分单位（未提供方案的本项不得分）</w:t>
            </w:r>
            <w:r>
              <w:rPr>
                <w:color w:val="000000" w:themeColor="text1"/>
              </w:rPr>
            </w:r>
            <w:r/>
          </w:p>
        </w:tc>
      </w:tr>
      <w:tr>
        <w:trPr>
          <w:trHeight w:val="11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根据投标人提供的快速检测的保障能力、检测人员的培训等方面表述与采购文件中服务要求对比进行评审。内容齐全得基本分4.5分，加分区间0-0.5分，以0.1分为记分单位（未提供方案的本项不得分）</w:t>
            </w:r>
            <w:r>
              <w:rPr>
                <w:color w:val="000000" w:themeColor="text1"/>
              </w:rPr>
            </w:r>
            <w:r/>
          </w:p>
        </w:tc>
      </w:tr>
      <w:tr>
        <w:trPr>
          <w:trHeight w:val="84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结合项目需求，对投标人的应急处理方案进行评审。内容齐全得基本分3.5分，加分区间0-0.5分，以0.1分为记分单位（未提供方案的本项不得分）</w:t>
            </w:r>
            <w:r>
              <w:rPr>
                <w:color w:val="000000" w:themeColor="text1"/>
              </w:rPr>
            </w:r>
            <w:r/>
          </w:p>
        </w:tc>
      </w:tr>
      <w:tr>
        <w:trPr>
          <w:trHeight w:val="11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根据投标人提供的针对本项目的增值服务内容（至少包括：食品安全宣传、食品安全溯源等内容）进行评审。内容齐全得基本分3.5分，加分区间0-0.5分，以0.1分为记分单位（未提供方案的本项不得分）</w:t>
            </w:r>
            <w:r>
              <w:rPr>
                <w:color w:val="000000" w:themeColor="text1"/>
              </w:rPr>
            </w:r>
            <w:r/>
          </w:p>
        </w:tc>
      </w:tr>
    </w:tbl>
    <w:p>
      <w:pPr>
        <w:ind w:left="0" w:right="0" w:firstLine="200"/>
        <w:jc w:val="both"/>
        <w:spacing w:before="0" w:after="0" w:line="4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 </w:t>
      </w:r>
      <w:r>
        <w:rPr>
          <w:color w:val="000000" w:themeColor="text1"/>
        </w:rPr>
      </w:r>
      <w:r/>
    </w:p>
    <w:p>
      <w:pPr>
        <w:numPr>
          <w:ilvl w:val="0"/>
          <w:numId w:val="6"/>
        </w:numPr>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评分标准（满分</w:t>
      </w:r>
      <w:r>
        <w:rPr>
          <w:rFonts w:ascii="SimSun" w:hAnsi="SimSun" w:eastAsia="SimSun" w:cs="SimSun"/>
          <w:b/>
          <w:color w:val="000000" w:themeColor="text1"/>
          <w:sz w:val="21"/>
        </w:rPr>
        <w:t xml:space="preserve">100分）</w:t>
      </w:r>
      <w:r>
        <w:rPr>
          <w:color w:val="000000" w:themeColor="text1"/>
        </w:rPr>
      </w:r>
      <w:r/>
    </w:p>
    <w:p>
      <w:pPr>
        <w:ind w:left="0" w:right="0" w:firstLine="422"/>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说明：</w:t>
      </w:r>
      <w:r>
        <w:rPr>
          <w:rFonts w:ascii="SimSun" w:hAnsi="SimSun" w:eastAsia="SimSun" w:cs="SimSun"/>
          <w:color w:val="000000" w:themeColor="text1"/>
          <w:sz w:val="21"/>
        </w:rPr>
        <w:t xml:space="preserve">1、针对评分标准中评分的每一条内容，投标人应提供相关资料并作出相应说明供评委评审，未提供相关资料的视为不具备该项得分的条件。所有上传的材料扫描件必须清晰完整，真实有效，否则评委有权作出不利于投标人的认定。</w:t>
      </w:r>
      <w:r>
        <w:rPr>
          <w:color w:val="000000" w:themeColor="text1"/>
        </w:rPr>
      </w:r>
      <w:r/>
    </w:p>
    <w:p>
      <w:pPr>
        <w:ind w:left="0" w:right="0" w:firstLine="420"/>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2、投标报价超过本项目预算（最高限价）的为无效响应。</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3、投标人需确保所提供商务、技术、业绩、证书等资料全部真实有效，若提供虚假资料，一经查实作无效投标处理，同时视作投标人自动放弃投标及中标资格，并报相关部门作相关处罚。</w:t>
      </w:r>
      <w:r>
        <w:rPr>
          <w:color w:val="000000" w:themeColor="text1"/>
        </w:rPr>
      </w:r>
      <w:r/>
    </w:p>
    <w:p>
      <w:pPr>
        <w:ind w:left="0" w:right="0" w:firstLine="0"/>
        <w:jc w:val="center"/>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盐城经济技术开发区市场监督管理局2024年度农贸市场食品安全快速检测服务项目盲样测试方案</w:t>
      </w:r>
      <w:r>
        <w:rPr>
          <w:color w:val="000000" w:themeColor="text1"/>
        </w:rPr>
      </w:r>
      <w:r/>
    </w:p>
    <w:p>
      <w:pPr>
        <w:numPr>
          <w:ilvl w:val="0"/>
          <w:numId w:val="7"/>
        </w:numPr>
        <w:jc w:val="both"/>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参加人员</w:t>
      </w:r>
      <w:r>
        <w:rPr>
          <w:color w:val="000000" w:themeColor="text1"/>
        </w:rPr>
      </w:r>
      <w:r/>
    </w:p>
    <w:p>
      <w:pPr>
        <w:ind w:left="0" w:right="0" w:firstLine="640"/>
        <w:jc w:val="both"/>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须为投标供应商本单位的正式职工并携带身份证。如中标后，参与农贸市场检测人员不是同一人的，需要经盲样检测人员的培训并确认两者的检测结果无明显差异。</w:t>
      </w:r>
      <w:r>
        <w:rPr>
          <w:color w:val="000000" w:themeColor="text1"/>
        </w:rPr>
      </w:r>
      <w:r/>
    </w:p>
    <w:p>
      <w:pPr>
        <w:ind w:left="0" w:right="0" w:firstLine="0"/>
        <w:jc w:val="both"/>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二、盲样测试内容</w:t>
      </w:r>
      <w:r>
        <w:rPr>
          <w:color w:val="000000" w:themeColor="text1"/>
        </w:rPr>
      </w:r>
      <w:r/>
    </w:p>
    <w:p>
      <w:pPr>
        <w:ind w:left="0" w:right="0" w:firstLine="640"/>
        <w:jc w:val="both"/>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1、考核项目包含有机磷及氨基甲酸酯类、克仑特罗、恩诺沙星、硝基呋喃类代谢物4种，详见下表。</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241"/>
        <w:gridCol w:w="1947"/>
        <w:gridCol w:w="1673"/>
        <w:gridCol w:w="1844"/>
        <w:gridCol w:w="1572"/>
      </w:tblGrid>
      <w:tr>
        <w:trPr>
          <w:trHeight w:val="6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检测对象</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检测用量（mL）</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检测项目</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考核样数（个）</w:t>
            </w:r>
            <w:r>
              <w:rPr>
                <w:color w:val="000000" w:themeColor="text1"/>
              </w:rPr>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检测方法</w:t>
            </w:r>
            <w:r>
              <w:rPr>
                <w:color w:val="000000" w:themeColor="text1"/>
              </w:rPr>
            </w:r>
            <w:r/>
          </w:p>
        </w:tc>
      </w:tr>
      <w:tr>
        <w:trPr>
          <w:trHeight w:val="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提取液</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有机磷及氨基酸甲酯</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酶抑制剂法</w:t>
            </w:r>
            <w:r>
              <w:rPr>
                <w:color w:val="000000" w:themeColor="text1"/>
              </w:rPr>
            </w:r>
            <w:r/>
          </w:p>
        </w:tc>
      </w:tr>
      <w:tr>
        <w:trPr>
          <w:trHeight w:val="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提取液</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克仑特罗</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胶体金法</w:t>
            </w:r>
            <w:r>
              <w:rPr>
                <w:color w:val="000000" w:themeColor="text1"/>
              </w:rPr>
            </w:r>
            <w:r/>
          </w:p>
        </w:tc>
      </w:tr>
      <w:tr>
        <w:trPr>
          <w:trHeight w:val="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提取液</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恩诺沙星</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胶体金法</w:t>
            </w:r>
            <w:r>
              <w:rPr>
                <w:color w:val="000000" w:themeColor="text1"/>
              </w:rPr>
            </w:r>
            <w:r/>
          </w:p>
        </w:tc>
      </w:tr>
      <w:tr>
        <w:trPr>
          <w:trHeight w:val="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提取液</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硝基呋喃类</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胶体金法</w:t>
            </w:r>
            <w:r>
              <w:rPr>
                <w:color w:val="000000" w:themeColor="text1"/>
              </w:rPr>
            </w:r>
            <w:r/>
          </w:p>
        </w:tc>
      </w:tr>
    </w:tbl>
    <w:p>
      <w:pPr>
        <w:ind w:left="0" w:right="0" w:firstLine="640"/>
        <w:jc w:val="both"/>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2、投标供应商随机抽取4组样品中的其中1组，共20个样品，交由现场快检人员进行检测，并按照表格记录下检测结果，检验人员签字确认。</w:t>
      </w:r>
      <w:r>
        <w:rPr>
          <w:color w:val="000000" w:themeColor="text1"/>
        </w:rPr>
      </w:r>
      <w:r/>
    </w:p>
    <w:p>
      <w:pPr>
        <w:ind w:left="0" w:right="0" w:firstLine="640"/>
        <w:jc w:val="both"/>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3、为便于考核，本次测试盲样不需要前处理，样品均为已制备好的样本提取液，只需按用量取样后依据快检试剂说明书配制反应溶液进行试验即可。</w:t>
      </w:r>
      <w:r>
        <w:rPr>
          <w:color w:val="000000" w:themeColor="text1"/>
        </w:rPr>
      </w:r>
      <w:r/>
    </w:p>
    <w:p>
      <w:pPr>
        <w:ind w:left="0" w:right="0" w:firstLine="640"/>
        <w:jc w:val="both"/>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检测项目：序号1~10样品（取2mL样品溶液后检测）采用农药残留快速检测盒酶抑制剂法检测有机磷及氨基甲酸酯类；序号11~15样品（取2mL样品溶液后检测）采用胶体金法检测克仑特罗；序号16~18样品（取2mL样品溶液后检测）采用胶体金法检测恩诺沙星；序号19~20样品（取2mL样品溶液后检测）采用胶体金法检测硝基呋喃类。</w:t>
      </w:r>
      <w:r>
        <w:rPr>
          <w:color w:val="000000" w:themeColor="text1"/>
        </w:rPr>
      </w:r>
      <w:r/>
    </w:p>
    <w:p>
      <w:pPr>
        <w:ind w:left="0" w:right="0" w:firstLine="640"/>
        <w:jc w:val="both"/>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5、每个项目仅允许重复做2次。</w:t>
      </w:r>
      <w:r>
        <w:rPr>
          <w:color w:val="000000" w:themeColor="text1"/>
        </w:rPr>
      </w:r>
      <w:r/>
    </w:p>
    <w:p>
      <w:pPr>
        <w:ind w:left="0" w:right="0" w:firstLine="640"/>
        <w:jc w:val="both"/>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6、结果应表述为阳性（+）或阴性（-），不允许仅填写符号或仅填写文字，字迹不得潦草。</w:t>
      </w:r>
      <w:r>
        <w:rPr>
          <w:color w:val="000000" w:themeColor="text1"/>
        </w:rPr>
      </w:r>
      <w:r/>
    </w:p>
    <w:p>
      <w:pPr>
        <w:ind w:left="0" w:right="0" w:firstLine="640"/>
        <w:jc w:val="both"/>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7、检验人员尽量控制在1小时内完成。</w:t>
      </w:r>
      <w:r>
        <w:rPr>
          <w:color w:val="000000" w:themeColor="text1"/>
        </w:rPr>
      </w:r>
      <w:r/>
    </w:p>
    <w:p>
      <w:pPr>
        <w:ind w:left="0" w:right="0" w:firstLine="422"/>
        <w:jc w:val="both"/>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三、考核评分</w:t>
      </w:r>
      <w:r>
        <w:rPr>
          <w:color w:val="000000" w:themeColor="text1"/>
        </w:rPr>
      </w:r>
      <w:r/>
    </w:p>
    <w:p>
      <w:pPr>
        <w:ind w:left="0" w:right="0" w:firstLine="640"/>
        <w:jc w:val="both"/>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本次盲样测试共</w:t>
      </w:r>
      <w:r>
        <w:rPr>
          <w:rFonts w:ascii="SimSun" w:hAnsi="SimSun" w:eastAsia="SimSun" w:cs="SimSun"/>
          <w:color w:val="000000" w:themeColor="text1"/>
          <w:sz w:val="21"/>
        </w:rPr>
        <w:t xml:space="preserve">20个样品，每个样品计5分，总分100分，结果错误不得分，最终统计检测合格率（例如：错误2个，合格率90%）。最终结果由投标人、检验人员、评委等现场签字确认。</w:t>
      </w:r>
      <w:r>
        <w:rPr>
          <w:color w:val="000000" w:themeColor="text1"/>
        </w:rPr>
      </w:r>
      <w:r/>
    </w:p>
    <w:p>
      <w:pPr>
        <w:ind w:left="0" w:right="0" w:firstLine="640"/>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四、仪器设备及试剂。</w:t>
      </w:r>
      <w:r>
        <w:rPr>
          <w:color w:val="000000" w:themeColor="text1"/>
        </w:rPr>
      </w:r>
      <w:r/>
    </w:p>
    <w:p>
      <w:pPr>
        <w:ind w:left="0" w:right="0" w:firstLine="640"/>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现场提供杭州南开日新生物技术有限公司多参数检测仪（型号：</w:t>
      </w:r>
      <w:r>
        <w:rPr>
          <w:rFonts w:ascii="SimSun" w:hAnsi="SimSun" w:eastAsia="SimSun" w:cs="SimSun"/>
          <w:color w:val="000000" w:themeColor="text1"/>
          <w:sz w:val="21"/>
        </w:rPr>
        <w:t xml:space="preserve">NK-T310III）、手持式胶体金读数仪、微量移液器、烧杯、锥形瓶、离心机、离心管、样本浓缩仪、水浴加热、超声波清洗机、吸管等；试剂由投标供应商自行携带（试剂须为中标后投入使用的同款试剂，如试剂必须和特定检测设备配套使用，投标供应商盲样测试时也可自备检测设备。如因投标供应商提供的试剂和采购人提供的检测设备不兼容而引起的各种问题，所造成的一切后果由投标供应商自行承担）</w:t>
      </w:r>
      <w:r>
        <w:rPr>
          <w:color w:val="000000" w:themeColor="text1"/>
        </w:rPr>
      </w:r>
      <w:r/>
    </w:p>
    <w:p>
      <w:pPr>
        <w:ind w:left="0" w:right="0" w:firstLine="640"/>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五、现场提供的相关文件</w:t>
      </w:r>
      <w:r>
        <w:rPr>
          <w:color w:val="000000" w:themeColor="text1"/>
        </w:rPr>
      </w:r>
      <w:r/>
    </w:p>
    <w:p>
      <w:pPr>
        <w:ind w:left="0" w:right="0" w:firstLine="640"/>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投标供应商盲样检测时应提供的</w:t>
      </w:r>
      <w:r>
        <w:rPr>
          <w:rFonts w:ascii="SimSun" w:hAnsi="SimSun" w:eastAsia="SimSun" w:cs="SimSun"/>
          <w:color w:val="000000" w:themeColor="text1"/>
          <w:sz w:val="21"/>
        </w:rPr>
        <w:t xml:space="preserve">“投标供应商使用试剂、设备信息汇总表”（须盖章确认），盲样检测时投标供应商单独提交。</w:t>
      </w:r>
      <w:r>
        <w:rPr>
          <w:color w:val="000000" w:themeColor="text1"/>
        </w:rPr>
      </w:r>
      <w:r/>
    </w:p>
    <w:p>
      <w:pPr>
        <w:ind w:left="0" w:right="0" w:firstLine="640"/>
        <w:spacing w:before="0" w:after="0" w:line="55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1"/>
        <w:gridCol w:w="1435"/>
        <w:gridCol w:w="2774"/>
        <w:gridCol w:w="2034"/>
      </w:tblGrid>
      <w:tr>
        <w:trPr>
          <w:trHeight w:val="819"/>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投标供应商使用试剂、设备信息汇总表</w:t>
            </w:r>
            <w:r>
              <w:rPr>
                <w:color w:val="000000" w:themeColor="text1"/>
              </w:rPr>
            </w:r>
            <w:r/>
          </w:p>
        </w:tc>
      </w:tr>
      <w:tr>
        <w:trPr>
          <w:trHeight w:val="801"/>
        </w:trPr>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111" w:type="dxa"/>
            <w:vAlign w:val="center"/>
            <w:textDirection w:val="lrTb"/>
            <w:noWrap/>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投标人 ：</w:t>
            </w:r>
            <w:r>
              <w:rPr>
                <w:color w:val="000000" w:themeColor="text1"/>
              </w:r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435" w:type="dxa"/>
            <w:vAlign w:val="center"/>
            <w:textDirection w:val="lrTb"/>
            <w:noWrap/>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774" w:type="dxa"/>
            <w:vAlign w:val="center"/>
            <w:textDirection w:val="lrTb"/>
            <w:noWrap/>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034" w:type="dxa"/>
            <w:vAlign w:val="center"/>
            <w:textDirection w:val="lrTb"/>
            <w:noWrap/>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1" w:type="dxa"/>
            <w:vAlign w:val="center"/>
            <w:vMerge w:val="restart"/>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试剂</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名称</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生产企业</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备注</w:t>
            </w:r>
            <w:r>
              <w:rPr>
                <w:color w:val="000000" w:themeColor="text1"/>
              </w:rPr>
            </w:r>
            <w:r/>
          </w:p>
        </w:tc>
      </w:tr>
      <w:tr>
        <w:trPr>
          <w:trHeight w:val="80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tcPr>
          <w:p>
            <w:pPr>
              <w:spacing w:before="0" w:after="0" w:line="57" w:lineRule="atLeast"/>
              <w:rPr>
                <w:color w:val="000000" w:themeColor="text1"/>
              </w:rPr>
            </w:pPr>
            <w:r>
              <w:rPr>
                <w:color w:val="000000" w:themeColor="text1"/>
              </w:rPr>
            </w:r>
            <w:r/>
          </w:p>
        </w:tc>
      </w:tr>
      <w:tr>
        <w:trPr>
          <w:trHeight w:val="80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tcPr>
          <w:p>
            <w:pPr>
              <w:spacing w:before="0" w:after="0" w:line="57" w:lineRule="atLeast"/>
              <w:rPr>
                <w:color w:val="000000" w:themeColor="text1"/>
              </w:rPr>
            </w:pPr>
            <w:r>
              <w:rPr>
                <w:color w:val="000000" w:themeColor="text1"/>
              </w:rPr>
            </w:r>
            <w:r/>
          </w:p>
        </w:tc>
      </w:tr>
      <w:tr>
        <w:trPr>
          <w:trHeight w:val="80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tcPr>
          <w:p>
            <w:pPr>
              <w:spacing w:before="0" w:after="0" w:line="57" w:lineRule="atLeast"/>
              <w:rPr>
                <w:color w:val="000000" w:themeColor="text1"/>
              </w:rPr>
            </w:pPr>
            <w:r>
              <w:rPr>
                <w:color w:val="000000" w:themeColor="text1"/>
              </w:rPr>
            </w:r>
            <w:r/>
          </w:p>
        </w:tc>
      </w:tr>
      <w:tr>
        <w:trPr>
          <w:trHeight w:val="80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tcPr>
          <w:p>
            <w:pPr>
              <w:spacing w:before="0" w:after="0" w:line="57" w:lineRule="atLeast"/>
              <w:rPr>
                <w:color w:val="000000" w:themeColor="text1"/>
              </w:rPr>
            </w:pPr>
            <w:r>
              <w:rPr>
                <w:color w:val="000000" w:themeColor="text1"/>
              </w:rPr>
            </w:r>
            <w:r/>
          </w:p>
        </w:tc>
      </w:tr>
      <w:tr>
        <w:trPr>
          <w:trHeight w:val="80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tcPr>
          <w:p>
            <w:pPr>
              <w:spacing w:before="0" w:after="0" w:line="57" w:lineRule="atLeast"/>
              <w:rPr>
                <w:color w:val="000000" w:themeColor="text1"/>
              </w:rPr>
            </w:pPr>
            <w:r>
              <w:rPr>
                <w:color w:val="000000" w:themeColor="text1"/>
              </w:rPr>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1" w:type="dxa"/>
            <w:vAlign w:val="center"/>
            <w:vMerge w:val="restart"/>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设备</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名称</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生产企业</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备注</w:t>
            </w:r>
            <w:r>
              <w:rPr>
                <w:color w:val="000000" w:themeColor="text1"/>
              </w:rPr>
            </w:r>
            <w:r/>
          </w:p>
        </w:tc>
      </w:tr>
      <w:tr>
        <w:trPr>
          <w:trHeight w:val="80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tcPr>
          <w:p>
            <w:pPr>
              <w:spacing w:before="0" w:after="0" w:line="57" w:lineRule="atLeast"/>
              <w:rPr>
                <w:color w:val="000000" w:themeColor="text1"/>
              </w:rPr>
            </w:pPr>
            <w:r>
              <w:rPr>
                <w:color w:val="000000" w:themeColor="text1"/>
              </w:rPr>
            </w:r>
            <w:r/>
          </w:p>
        </w:tc>
      </w:tr>
      <w:tr>
        <w:trPr>
          <w:trHeight w:val="80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tcPr>
          <w:p>
            <w:pPr>
              <w:spacing w:before="0" w:after="0" w:line="57" w:lineRule="atLeast"/>
              <w:rPr>
                <w:color w:val="000000" w:themeColor="text1"/>
              </w:rPr>
            </w:pPr>
            <w:r>
              <w:rPr>
                <w:color w:val="000000" w:themeColor="text1"/>
              </w:rPr>
            </w:r>
            <w:r/>
          </w:p>
        </w:tc>
      </w:tr>
      <w:tr>
        <w:trPr>
          <w:trHeight w:val="80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tcPr>
          <w:p>
            <w:pPr>
              <w:spacing w:before="0" w:after="0" w:line="57" w:lineRule="atLeast"/>
              <w:rPr>
                <w:color w:val="000000" w:themeColor="text1"/>
              </w:rPr>
            </w:pPr>
            <w:r>
              <w:rPr>
                <w:color w:val="000000" w:themeColor="text1"/>
              </w:rPr>
            </w:r>
            <w:r/>
          </w:p>
        </w:tc>
      </w:tr>
      <w:tr>
        <w:trPr>
          <w:trHeight w:val="80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spacing w:before="0" w:after="0" w:line="57" w:lineRule="atLeast"/>
              <w:rPr>
                <w:color w:val="000000" w:themeColor="text1"/>
              </w:rPr>
            </w:pP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tcPr>
          <w:p>
            <w:pPr>
              <w:spacing w:before="0" w:after="0" w:line="57" w:lineRule="atLeast"/>
              <w:rPr>
                <w:color w:val="000000" w:themeColor="text1"/>
              </w:rPr>
            </w:pPr>
            <w:r>
              <w:rPr>
                <w:color w:val="000000" w:themeColor="text1"/>
              </w:rPr>
            </w:r>
            <w:r/>
          </w:p>
        </w:tc>
      </w:tr>
    </w:tbl>
    <w:p>
      <w:pPr>
        <w:ind w:left="0" w:right="0" w:firstLine="200"/>
        <w:jc w:val="both"/>
        <w:spacing w:before="0" w:after="0" w:line="4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883"/>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 </w:t>
      </w:r>
      <w:r>
        <w:rPr>
          <w:color w:val="000000" w:themeColor="text1"/>
        </w:rPr>
      </w:r>
      <w:r/>
    </w:p>
    <w:p>
      <w:pPr>
        <w:ind w:left="0" w:right="0" w:firstLine="1044"/>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第六章投标文件格式</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7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72"/>
        </w:rPr>
        <w:t xml:space="preserve">投标文件</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（正或副本）</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7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1084"/>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项 目 名 称：</w:t>
      </w:r>
      <w:r>
        <w:rPr>
          <w:rFonts w:ascii="SimSun" w:hAnsi="SimSun" w:eastAsia="SimSun" w:cs="SimSun"/>
          <w:b/>
          <w:color w:val="000000" w:themeColor="text1"/>
          <w:sz w:val="36"/>
          <w:u w:val="single"/>
        </w:rPr>
        <w:t xml:space="preserve">               </w:t>
      </w:r>
      <w:r>
        <w:rPr>
          <w:color w:val="000000" w:themeColor="text1"/>
        </w:rPr>
      </w:r>
      <w:r/>
    </w:p>
    <w:p>
      <w:pPr>
        <w:ind w:left="0" w:right="0" w:firstLine="1084"/>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招 标 编 号：</w:t>
      </w:r>
      <w:r>
        <w:rPr>
          <w:rFonts w:ascii="SimSun" w:hAnsi="SimSun" w:eastAsia="SimSun" w:cs="SimSun"/>
          <w:b/>
          <w:color w:val="000000" w:themeColor="text1"/>
          <w:sz w:val="36"/>
          <w:u w:val="single"/>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投标人名称 ：</w:t>
      </w:r>
      <w:r>
        <w:rPr>
          <w:rFonts w:ascii="SimSun" w:hAnsi="SimSun" w:eastAsia="SimSun" w:cs="SimSun"/>
          <w:b/>
          <w:color w:val="000000" w:themeColor="text1"/>
          <w:sz w:val="36"/>
          <w:u w:val="single"/>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日期 ：</w:t>
      </w:r>
      <w:r>
        <w:rPr>
          <w:rFonts w:ascii="SimSun" w:hAnsi="SimSun" w:eastAsia="SimSun" w:cs="SimSun"/>
          <w:b/>
          <w:color w:val="000000" w:themeColor="text1"/>
          <w:sz w:val="36"/>
          <w:u w:val="single"/>
        </w:rPr>
        <w:t xml:space="preserve">               </w:t>
      </w:r>
      <w:r>
        <w:rPr>
          <w:color w:val="000000" w:themeColor="text1"/>
        </w:rPr>
      </w:r>
      <w:r/>
    </w:p>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评分索引表</w:t>
      </w:r>
      <w:r>
        <w:rPr>
          <w:color w:val="000000" w:themeColor="text1"/>
        </w:rPr>
      </w:r>
      <w:r/>
    </w:p>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5"/>
        <w:gridCol w:w="3379"/>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jc w:val="center"/>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评分项目</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在投标文件中的页码位置</w:t>
            </w:r>
            <w:r>
              <w:rPr>
                <w:color w:val="000000" w:themeColor="text1"/>
              </w:rPr>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jc w:val="center"/>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4" w:type="dxa"/>
            <w:vAlign w:val="top"/>
            <w:textDirection w:val="lrTb"/>
            <w:noWrap w:val="false"/>
          </w:tcPr>
          <w:p>
            <w:pPr>
              <w:ind w:left="420" w:right="0" w:firstLine="0"/>
              <w:jc w:val="both"/>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4" w:type="dxa"/>
            <w:vAlign w:val="top"/>
            <w:textDirection w:val="lrTb"/>
            <w:noWrap w:val="false"/>
          </w:tcPr>
          <w:p>
            <w:pPr>
              <w:ind w:left="420" w:right="0" w:firstLine="0"/>
              <w:jc w:val="both"/>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4" w:type="dxa"/>
            <w:vAlign w:val="top"/>
            <w:textDirection w:val="lrTb"/>
            <w:noWrap w:val="false"/>
          </w:tcPr>
          <w:p>
            <w:pPr>
              <w:ind w:left="420" w:right="0" w:firstLine="0"/>
              <w:jc w:val="both"/>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420" w:right="0" w:firstLine="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4" w:type="dxa"/>
            <w:vAlign w:val="top"/>
            <w:textDirection w:val="lrTb"/>
            <w:noWrap w:val="false"/>
          </w:tcPr>
          <w:p>
            <w:pPr>
              <w:ind w:left="420" w:right="0" w:firstLine="0"/>
              <w:jc w:val="both"/>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0" w:right="0" w:firstLine="48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5" w:type="dxa"/>
            <w:vAlign w:val="top"/>
            <w:textDirection w:val="lrTb"/>
            <w:noWrap w:val="false"/>
          </w:tcPr>
          <w:p>
            <w:pPr>
              <w:ind w:left="0" w:right="0" w:firstLine="480"/>
              <w:spacing w:before="200" w:after="200" w:line="26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bl>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1084"/>
        <w:jc w:val="center"/>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1084"/>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投标主要文件目录</w:t>
      </w:r>
      <w:r>
        <w:rPr>
          <w:color w:val="000000" w:themeColor="text1"/>
        </w:rPr>
      </w:r>
      <w:r/>
    </w:p>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一、资信证明文件要求</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二、资格性审查响应对照表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三、符合性检查响应对照表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四、投标函</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五、开标一览表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六、报价清单</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七、技术参数响应及偏离表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八、商务条款响应及偏离表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九、项目实施方案</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十、盐城经济技术开发区政府采购事前信用承诺书</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十一、投标人其它投标响应材料</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一、</w:t>
      </w:r>
      <w:r>
        <w:rPr>
          <w:rFonts w:ascii="SimSun" w:hAnsi="SimSun" w:eastAsia="SimSun" w:cs="SimSun"/>
          <w:b/>
          <w:color w:val="000000" w:themeColor="text1"/>
          <w:sz w:val="32"/>
        </w:rPr>
        <w:t xml:space="preserve">资信证明文件要求</w:t>
      </w:r>
      <w:r>
        <w:rPr>
          <w:color w:val="000000" w:themeColor="text1"/>
        </w:rPr>
      </w:r>
      <w:r/>
    </w:p>
    <w:p>
      <w:pPr>
        <w:ind w:left="0" w:right="0" w:firstLine="0"/>
        <w:jc w:val="both"/>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i/>
          <w:color w:val="000000" w:themeColor="text1"/>
          <w:sz w:val="22"/>
          <w:u w:val="single"/>
        </w:rPr>
        <w:t xml:space="preserve"> </w:t>
      </w:r>
      <w:r>
        <w:rPr>
          <w:color w:val="000000" w:themeColor="text1"/>
        </w:rPr>
      </w:r>
      <w:r/>
    </w:p>
    <w:p>
      <w:pPr>
        <w:ind w:left="0" w:right="0" w:firstLine="0"/>
        <w:jc w:val="both"/>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rPr>
        <w:t xml:space="preserve"> </w:t>
      </w:r>
      <w:r>
        <w:rPr>
          <w:rFonts w:ascii="SimSun" w:hAnsi="SimSun" w:eastAsia="SimSun" w:cs="SimSun"/>
          <w:b/>
          <w:color w:val="000000" w:themeColor="text1"/>
          <w:sz w:val="24"/>
        </w:rPr>
        <w:t xml:space="preserve">1、实质性资格证明文件目录</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文件</w:t>
      </w:r>
      <w:r>
        <w:rPr>
          <w:rFonts w:ascii="SimSun" w:hAnsi="SimSun" w:eastAsia="SimSun" w:cs="SimSun"/>
          <w:color w:val="000000" w:themeColor="text1"/>
          <w:sz w:val="21"/>
        </w:rPr>
        <w:t xml:space="preserve">1  法人或者其他组织的营业执照等证明文件，自然人的身份证明（复印件）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文件</w:t>
      </w:r>
      <w:r>
        <w:rPr>
          <w:rFonts w:ascii="SimSun" w:hAnsi="SimSun" w:eastAsia="SimSun" w:cs="SimSun"/>
          <w:color w:val="000000" w:themeColor="text1"/>
          <w:sz w:val="21"/>
        </w:rPr>
        <w:t xml:space="preserve">2  </w:t>
      </w:r>
      <w:r>
        <w:rPr>
          <w:rFonts w:ascii="SimSun" w:hAnsi="SimSun" w:eastAsia="SimSun" w:cs="SimSun"/>
          <w:color w:val="000000" w:themeColor="text1"/>
          <w:sz w:val="21"/>
        </w:rPr>
        <w:t xml:space="preserve">上一年度的财务状况报告</w:t>
      </w:r>
      <w:r>
        <w:rPr>
          <w:rFonts w:ascii="SimSun" w:hAnsi="SimSun" w:eastAsia="SimSun" w:cs="SimSun"/>
          <w:color w:val="000000" w:themeColor="text1"/>
          <w:sz w:val="21"/>
        </w:rPr>
        <w:t xml:space="preserve">（复印件，成立不满一年不需提供）</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文件</w:t>
      </w:r>
      <w:r>
        <w:rPr>
          <w:rFonts w:ascii="SimSun" w:hAnsi="SimSun" w:eastAsia="SimSun" w:cs="SimSun"/>
          <w:color w:val="000000" w:themeColor="text1"/>
          <w:sz w:val="21"/>
        </w:rPr>
        <w:t xml:space="preserve">3  依法缴纳税收和社会保障资金的相关材料（复印件）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文件</w:t>
      </w:r>
      <w:r>
        <w:rPr>
          <w:rFonts w:ascii="SimSun" w:hAnsi="SimSun" w:eastAsia="SimSun" w:cs="SimSun"/>
          <w:color w:val="000000" w:themeColor="text1"/>
          <w:sz w:val="21"/>
        </w:rPr>
        <w:t xml:space="preserve">4  具备履行合同所必需的设备和专业技术能力证明材料</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文件</w:t>
      </w:r>
      <w:r>
        <w:rPr>
          <w:rFonts w:ascii="SimSun" w:hAnsi="SimSun" w:eastAsia="SimSun" w:cs="SimSun"/>
          <w:color w:val="000000" w:themeColor="text1"/>
          <w:sz w:val="21"/>
        </w:rPr>
        <w:t xml:space="preserve">5  参加政府采购活动前 3 年内在经营活动中没有重大违法记录的书面声明</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文件</w:t>
      </w:r>
      <w:r>
        <w:rPr>
          <w:rFonts w:ascii="SimSun" w:hAnsi="SimSun" w:eastAsia="SimSun" w:cs="SimSun"/>
          <w:color w:val="000000" w:themeColor="text1"/>
          <w:sz w:val="21"/>
        </w:rPr>
        <w:t xml:space="preserve">6  法人授权书</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文件</w:t>
      </w:r>
      <w:r>
        <w:rPr>
          <w:rFonts w:ascii="SimSun" w:hAnsi="SimSun" w:eastAsia="SimSun" w:cs="SimSun"/>
          <w:color w:val="000000" w:themeColor="text1"/>
          <w:sz w:val="21"/>
        </w:rPr>
        <w:t xml:space="preserve">7 招标文件中规定要求提供的证明材料和投标人认为需要提供的其他材料</w:t>
      </w:r>
      <w:r>
        <w:rPr>
          <w:color w:val="000000" w:themeColor="text1"/>
        </w:rPr>
      </w:r>
      <w:r/>
    </w:p>
    <w:p>
      <w:pPr>
        <w:ind w:left="0" w:right="0" w:firstLine="0"/>
        <w:spacing w:before="50" w:after="14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themeColor="text1"/>
          <w:sz w:val="24"/>
          <w:u w:val="single"/>
        </w:rPr>
        <w:t xml:space="preserve"> </w:t>
      </w:r>
      <w:r>
        <w:rPr>
          <w:color w:val="000000" w:themeColor="text1"/>
        </w:rPr>
      </w:r>
      <w:r/>
    </w:p>
    <w:p>
      <w:pPr>
        <w:ind w:left="0" w:right="0" w:firstLine="241"/>
        <w:jc w:val="both"/>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2、非实质性资信证明文件目录</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格式1  《企业申明函》</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pStyle w:val="654"/>
        <w:ind w:left="0" w:right="0" w:firstLine="0"/>
        <w:jc w:val="center"/>
        <w:spacing w:before="260" w:after="260" w:line="55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具备履行合同所必需的设备和专业技术能力的书面声明</w:t>
      </w:r>
      <w:r>
        <w:rPr>
          <w:color w:val="000000" w:themeColor="text1"/>
        </w:rPr>
      </w:r>
      <w:r/>
    </w:p>
    <w:p>
      <w:pPr>
        <w:ind w:left="0" w:right="0" w:firstLine="492"/>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我公司郑重声明：我公司具备履行本项采购合同所必需的设备和专业技术能力，为履行本项采购合同我公司具备如下主要设备和主要专业技术能力：</w:t>
      </w:r>
      <w:r>
        <w:rPr>
          <w:color w:val="000000" w:themeColor="text1"/>
        </w:rPr>
      </w:r>
      <w:r/>
    </w:p>
    <w:p>
      <w:pPr>
        <w:ind w:left="0" w:right="0" w:firstLine="492"/>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主要设备有：</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w:t>
      </w:r>
      <w:r>
        <w:rPr>
          <w:color w:val="000000" w:themeColor="text1"/>
        </w:rPr>
      </w:r>
      <w:r/>
    </w:p>
    <w:p>
      <w:pPr>
        <w:ind w:left="0" w:right="0" w:firstLine="492"/>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主要专业技术能力有：</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w:t>
      </w:r>
      <w:r>
        <w:rPr>
          <w:color w:val="000000" w:themeColor="text1"/>
        </w:rPr>
      </w:r>
      <w:r/>
    </w:p>
    <w:p>
      <w:pPr>
        <w:ind w:left="0" w:right="0" w:firstLine="492"/>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92"/>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92"/>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供应商名称（公章）：</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日期：</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年</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月</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日</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pStyle w:val="654"/>
        <w:ind w:left="0" w:right="0" w:firstLine="0"/>
        <w:jc w:val="center"/>
        <w:spacing w:before="260" w:after="260" w:line="55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参加政府采购活动前 3 年内在经营活动中没有重大违法记录的书面声明</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rFonts w:ascii="SimSun" w:hAnsi="SimSun" w:eastAsia="SimSun" w:cs="SimSun"/>
          <w:b/>
          <w:color w:val="000000" w:themeColor="text1"/>
          <w:sz w:val="4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                   声明</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rFonts w:ascii="SimSun" w:hAnsi="SimSun" w:eastAsia="SimSun" w:cs="SimSun"/>
          <w:color w:val="000000" w:themeColor="text1"/>
          <w:sz w:val="24"/>
        </w:rPr>
        <w:t xml:space="preserve">我公司郑重声明：参加本次政府采购活动前 3 年内，我公司在经营活动中没有因违法经营受到刑事处罚或者责令停产停业、吊销许可证或者执照、较大数额罚款等行政处罚。</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供应商名称（公章）：</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授权代表签字：_______________________</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日期：______年</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月</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日</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pStyle w:val="654"/>
        <w:ind w:left="0" w:right="0" w:firstLine="0"/>
        <w:jc w:val="both"/>
        <w:spacing w:before="260" w:after="260" w:line="55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pStyle w:val="654"/>
        <w:ind w:left="0" w:right="0" w:firstLine="0"/>
        <w:jc w:val="center"/>
        <w:spacing w:before="260" w:after="260" w:line="55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法人授权书</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本授权书声明：____________（供应商名称）授权________________（被授权人的姓名）为我方就</w:t>
      </w:r>
      <w:r>
        <w:rPr>
          <w:rFonts w:ascii="SimSun" w:hAnsi="SimSun" w:eastAsia="SimSun" w:cs="SimSun"/>
          <w:color w:val="000000" w:themeColor="text1"/>
          <w:sz w:val="21"/>
          <w:u w:val="single"/>
        </w:rPr>
        <w:t xml:space="preserve">       </w:t>
      </w:r>
      <w:r>
        <w:rPr>
          <w:rFonts w:ascii="SimSun" w:hAnsi="SimSun" w:eastAsia="SimSun" w:cs="SimSun"/>
          <w:color w:val="000000" w:themeColor="text1"/>
          <w:sz w:val="24"/>
        </w:rPr>
        <w:t xml:space="preserve">号项目采购活动的合法代理人，以本公司名义全权处理一切与该项目采购有关的事务。</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本授权书于______年____月____日起生效，特此声明。</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代理人（被授权人）：_______________________</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单位名称：_____________________________________</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授权单位盖章：_________________________________</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单位名称：_____________________________________</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地址：</w:t>
      </w:r>
      <w:r>
        <w:rPr>
          <w:rFonts w:ascii="SimSun" w:hAnsi="SimSun" w:eastAsia="SimSun" w:cs="SimSun"/>
          <w:color w:val="000000" w:themeColor="text1"/>
          <w:sz w:val="24"/>
          <w:u w:val="single"/>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日期：</w:t>
      </w:r>
      <w:r>
        <w:rPr>
          <w:color w:val="000000" w:themeColor="text1"/>
        </w:rPr>
      </w:r>
      <w:r/>
    </w:p>
    <w:p>
      <w:pPr>
        <w:pStyle w:val="654"/>
        <w:ind w:left="0" w:right="0" w:firstLine="0"/>
        <w:jc w:val="both"/>
        <w:spacing w:before="260" w:after="260" w:line="55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附</w:t>
      </w:r>
      <w:r>
        <w:rPr>
          <w:rFonts w:ascii="SimSun" w:hAnsi="SimSun" w:eastAsia="SimSun" w:cs="SimSun"/>
          <w:b/>
          <w:color w:val="000000" w:themeColor="text1"/>
          <w:sz w:val="21"/>
        </w:rPr>
        <w:t xml:space="preserve">1</w:t>
      </w:r>
      <w:r>
        <w:rPr>
          <w:color w:val="000000" w:themeColor="text1"/>
        </w:rPr>
      </w:r>
      <w:r/>
    </w:p>
    <w:p>
      <w:pPr>
        <w:ind w:left="0" w:right="0" w:firstLine="0"/>
        <w:jc w:val="center"/>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中小企业声明函（服务）</w:t>
      </w:r>
      <w:r>
        <w:rPr>
          <w:color w:val="000000" w:themeColor="text1"/>
        </w:rPr>
      </w:r>
      <w:r/>
    </w:p>
    <w:p>
      <w:pPr>
        <w:ind w:left="0" w:right="0" w:firstLine="48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本公司郑重声明，根据《政府采购促进中小企业发展管理办法》（财库﹝2020﹞46 号）的规定，本公司参加（单位名称）的（项目名称）采购活动，服务全部由符合政策要求的中小企业承接）。相关企业（含联合体中的中小企业、签订分包意向协议的中小企业）的具体情况如下：</w:t>
      </w:r>
      <w:r>
        <w:rPr>
          <w:color w:val="000000" w:themeColor="text1"/>
        </w:rPr>
      </w:r>
      <w:r/>
    </w:p>
    <w:p>
      <w:pPr>
        <w:ind w:left="0" w:right="0" w:firstLine="48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i/>
          <w:color w:val="000000" w:themeColor="text1"/>
          <w:sz w:val="24"/>
          <w:u w:val="single"/>
        </w:rPr>
        <w:t xml:space="preserve">（标的名称） </w:t>
      </w:r>
      <w:r>
        <w:rPr>
          <w:rFonts w:ascii="SimSun" w:hAnsi="SimSun" w:eastAsia="SimSun" w:cs="SimSun"/>
          <w:color w:val="000000" w:themeColor="text1"/>
          <w:sz w:val="24"/>
        </w:rPr>
        <w:t xml:space="preserve">，属于</w:t>
      </w:r>
      <w:r>
        <w:rPr>
          <w:rFonts w:ascii="SimSun" w:hAnsi="SimSun" w:eastAsia="SimSun" w:cs="SimSun"/>
          <w:color w:val="000000" w:themeColor="text1"/>
          <w:sz w:val="24"/>
          <w:u w:val="single"/>
        </w:rPr>
        <w:t xml:space="preserve">其他未列明行业</w:t>
      </w:r>
      <w:r>
        <w:rPr>
          <w:rFonts w:ascii="SimSun" w:hAnsi="SimSun" w:eastAsia="SimSun" w:cs="SimSun"/>
          <w:color w:val="000000" w:themeColor="text1"/>
          <w:sz w:val="24"/>
        </w:rPr>
        <w:t xml:space="preserve">；服务单位为</w:t>
      </w:r>
      <w:r>
        <w:rPr>
          <w:rFonts w:ascii="SimSun" w:hAnsi="SimSun" w:eastAsia="SimSun" w:cs="SimSun"/>
          <w:i/>
          <w:color w:val="000000" w:themeColor="text1"/>
          <w:sz w:val="24"/>
          <w:u w:val="single"/>
        </w:rPr>
        <w:t xml:space="preserve">（企业名称）</w:t>
      </w:r>
      <w:r>
        <w:rPr>
          <w:rFonts w:ascii="SimSun" w:hAnsi="SimSun" w:eastAsia="SimSun" w:cs="SimSun"/>
          <w:color w:val="000000" w:themeColor="text1"/>
          <w:sz w:val="24"/>
        </w:rPr>
        <w:t xml:space="preserve">，从业人员</w:t>
      </w:r>
      <w:r>
        <w:rPr>
          <w:rFonts w:ascii="SimSun" w:hAnsi="SimSun" w:eastAsia="SimSun" w:cs="SimSun"/>
          <w:i/>
          <w:color w:val="000000" w:themeColor="text1"/>
          <w:sz w:val="24"/>
          <w:u w:val="single"/>
        </w:rPr>
        <w:t xml:space="preserve">        </w:t>
      </w:r>
      <w:r>
        <w:rPr>
          <w:rFonts w:ascii="SimSun" w:hAnsi="SimSun" w:eastAsia="SimSun" w:cs="SimSun"/>
          <w:color w:val="000000" w:themeColor="text1"/>
          <w:sz w:val="24"/>
        </w:rPr>
        <w:t xml:space="preserve">人，营业收入为</w:t>
      </w:r>
      <w:r>
        <w:rPr>
          <w:rFonts w:ascii="SimSun" w:hAnsi="SimSun" w:eastAsia="SimSun" w:cs="SimSun"/>
          <w:i/>
          <w:color w:val="000000" w:themeColor="text1"/>
          <w:sz w:val="24"/>
          <w:u w:val="single"/>
        </w:rPr>
        <w:t xml:space="preserve">        </w:t>
      </w:r>
      <w:r>
        <w:rPr>
          <w:rFonts w:ascii="SimSun" w:hAnsi="SimSun" w:eastAsia="SimSun" w:cs="SimSun"/>
          <w:color w:val="000000" w:themeColor="text1"/>
          <w:sz w:val="24"/>
        </w:rPr>
        <w:t xml:space="preserve">万元，资产总额为</w:t>
      </w:r>
      <w:r>
        <w:rPr>
          <w:rFonts w:ascii="SimSun" w:hAnsi="SimSun" w:eastAsia="SimSun" w:cs="SimSun"/>
          <w:i/>
          <w:color w:val="000000" w:themeColor="text1"/>
          <w:sz w:val="24"/>
          <w:u w:val="single"/>
        </w:rPr>
        <w:t xml:space="preserve">        </w:t>
      </w:r>
      <w:r>
        <w:rPr>
          <w:rFonts w:ascii="SimSun" w:hAnsi="SimSun" w:eastAsia="SimSun" w:cs="SimSun"/>
          <w:color w:val="000000" w:themeColor="text1"/>
          <w:sz w:val="24"/>
        </w:rPr>
        <w:t xml:space="preserve">万元，属于</w:t>
      </w:r>
      <w:r>
        <w:rPr>
          <w:rFonts w:ascii="SimSun" w:hAnsi="SimSun" w:eastAsia="SimSun" w:cs="SimSun"/>
          <w:i/>
          <w:color w:val="000000" w:themeColor="text1"/>
          <w:sz w:val="24"/>
          <w:u w:val="single"/>
        </w:rPr>
        <w:t xml:space="preserve">（中型企业、小型企业、微型企业）</w:t>
      </w:r>
      <w:r>
        <w:rPr>
          <w:rFonts w:ascii="SimSun" w:hAnsi="SimSun" w:eastAsia="SimSun" w:cs="SimSun"/>
          <w:color w:val="000000" w:themeColor="text1"/>
          <w:sz w:val="24"/>
        </w:rPr>
        <w:t xml:space="preserve">；</w:t>
      </w:r>
      <w:r>
        <w:rPr>
          <w:color w:val="000000" w:themeColor="text1"/>
        </w:rPr>
      </w:r>
      <w:r/>
    </w:p>
    <w:p>
      <w:pPr>
        <w:ind w:left="0" w:right="0" w:firstLine="48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以上企业，不属于大企业的分支机构，不存在控股股东为大企业的情形，也不存在与大企业的负责人为同一人的情形。</w:t>
      </w:r>
      <w:r>
        <w:rPr>
          <w:color w:val="000000" w:themeColor="text1"/>
        </w:rPr>
      </w:r>
      <w:r/>
    </w:p>
    <w:p>
      <w:pPr>
        <w:ind w:left="0" w:right="0" w:firstLine="48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本企业对上述声明内容的真实性负责。如有虚假，将依法承担相应责任。</w:t>
      </w:r>
      <w:r>
        <w:rPr>
          <w:color w:val="000000" w:themeColor="text1"/>
        </w:rPr>
      </w:r>
      <w:r/>
    </w:p>
    <w:p>
      <w:pPr>
        <w:ind w:left="0" w:right="0" w:firstLine="408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企业名称（盖章）：</w:t>
      </w:r>
      <w:r>
        <w:rPr>
          <w:color w:val="000000" w:themeColor="text1"/>
        </w:rPr>
      </w:r>
      <w:r/>
    </w:p>
    <w:p>
      <w:pPr>
        <w:ind w:left="0" w:right="0" w:firstLine="408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color w:val="000000" w:themeColor="text1"/>
        </w:rPr>
      </w:r>
      <w:r/>
    </w:p>
    <w:p>
      <w:pPr>
        <w:ind w:left="0" w:right="0" w:firstLine="408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4"/>
        </w:rPr>
        <w:t xml:space="preserve"> </w:t>
      </w:r>
      <w:r>
        <w:rPr>
          <w:color w:val="000000" w:themeColor="text1"/>
        </w:rPr>
      </w:r>
      <w:r/>
    </w:p>
    <w:p>
      <w:pPr>
        <w:ind w:left="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p>
      <w:pPr>
        <w:ind w:left="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p>
      <w:pPr>
        <w:ind w:left="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注：</w:t>
      </w:r>
      <w:r>
        <w:rPr>
          <w:rFonts w:ascii="SimSun" w:hAnsi="SimSun" w:eastAsia="SimSun" w:cs="SimSun"/>
          <w:b/>
          <w:color w:val="000000" w:themeColor="text1"/>
          <w:sz w:val="21"/>
        </w:rPr>
        <w:t xml:space="preserve">1、从业人员、营业收入、资产总额填报上一年度数据，无上一年度数据的新成立企业可不填报。</w:t>
      </w:r>
      <w:r>
        <w:rPr>
          <w:color w:val="000000" w:themeColor="text1"/>
        </w:rPr>
      </w:r>
      <w:r/>
    </w:p>
    <w:p>
      <w:pPr>
        <w:ind w:left="0" w:right="0" w:firstLine="422"/>
        <w:jc w:val="both"/>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2、所属行业，投标人根据《工业和信息化部、国家统计局、国家发展和改革委员会、财政部关于印发中小企业划型标准规定的通知》（工信部联企业【2011】300号）规定的划分标准填写。</w:t>
      </w:r>
      <w:r>
        <w:rPr>
          <w:color w:val="000000" w:themeColor="text1"/>
        </w:rPr>
      </w:r>
      <w:r/>
    </w:p>
    <w:p>
      <w:pPr>
        <w:ind w:left="0" w:right="0" w:firstLine="422"/>
        <w:jc w:val="both"/>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3、供应商如不提供此声明函，价格将不做相应扣除。</w:t>
      </w:r>
      <w:r>
        <w:rPr>
          <w:color w:val="000000" w:themeColor="text1"/>
        </w:rPr>
      </w:r>
      <w:r/>
    </w:p>
    <w:p>
      <w:pPr>
        <w:ind w:left="0" w:right="0" w:firstLine="3120"/>
        <w:spacing w:before="100" w:after="1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center"/>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附件2</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center"/>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残疾人福利性单位声明函</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48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left="0" w:right="0" w:firstLine="48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本单位对上述声明的真实性负责。如有虚假，将依法承担相应责任。</w:t>
      </w:r>
      <w:r>
        <w:rPr>
          <w:color w:val="000000" w:themeColor="text1"/>
        </w:rPr>
      </w:r>
      <w:r/>
    </w:p>
    <w:p>
      <w:pPr>
        <w:ind w:left="0" w:right="0" w:firstLine="396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残疾人福利性单位名称（盖章）：</w:t>
      </w:r>
      <w:r>
        <w:rPr>
          <w:rFonts w:ascii="SimSun" w:hAnsi="SimSun" w:eastAsia="SimSun" w:cs="SimSun"/>
          <w:color w:val="000000" w:themeColor="text1"/>
          <w:sz w:val="24"/>
          <w:u w:val="single"/>
        </w:rPr>
        <w:t xml:space="preserve">                </w:t>
      </w:r>
      <w:r>
        <w:rPr>
          <w:color w:val="000000" w:themeColor="text1"/>
        </w:rPr>
      </w:r>
      <w:r/>
    </w:p>
    <w:p>
      <w:pPr>
        <w:ind w:left="0" w:right="0" w:firstLine="408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  期：</w:t>
      </w:r>
      <w:r>
        <w:rPr>
          <w:rFonts w:ascii="SimSun" w:hAnsi="SimSun" w:eastAsia="SimSun" w:cs="SimSun"/>
          <w:color w:val="000000" w:themeColor="text1"/>
          <w:sz w:val="24"/>
          <w:u w:val="single"/>
        </w:rPr>
        <w:t xml:space="preserve">                              </w:t>
      </w:r>
      <w:r>
        <w:rPr>
          <w:color w:val="000000" w:themeColor="text1"/>
        </w:rPr>
      </w:r>
      <w:r/>
    </w:p>
    <w:p>
      <w:pPr>
        <w:ind w:left="0" w:right="0" w:firstLine="0"/>
        <w:jc w:val="center"/>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二、资格性审查响应对照表（格式）</w:t>
      </w:r>
      <w:r>
        <w:rPr>
          <w:color w:val="000000" w:themeColor="text1"/>
        </w:rPr>
      </w:r>
      <w:r/>
    </w:p>
    <w:p>
      <w:pPr>
        <w:ind w:left="0" w:right="0" w:firstLine="309"/>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投标人全称（加盖公章）：</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9"/>
        <w:gridCol w:w="4867"/>
        <w:gridCol w:w="1543"/>
        <w:gridCol w:w="1612"/>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line="2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center"/>
              <w:spacing w:before="0" w:after="0" w:line="2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资格性审查响应内容</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2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是否响应</w:t>
            </w:r>
            <w:r>
              <w:rPr>
                <w:color w:val="000000" w:themeColor="text1"/>
              </w:rPr>
            </w:r>
            <w:r/>
          </w:p>
          <w:p>
            <w:pPr>
              <w:ind w:left="0" w:right="0" w:firstLine="0"/>
              <w:jc w:val="center"/>
              <w:spacing w:before="0" w:after="0" w:line="2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（填是或者否）</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line="2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投标文件中的</w:t>
            </w:r>
            <w:r>
              <w:rPr>
                <w:color w:val="000000" w:themeColor="text1"/>
              </w:rPr>
            </w:r>
            <w:r/>
          </w:p>
          <w:p>
            <w:pPr>
              <w:ind w:left="0" w:right="0" w:firstLine="0"/>
              <w:jc w:val="center"/>
              <w:spacing w:before="0" w:after="0" w:line="2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页码位置</w:t>
            </w:r>
            <w:r>
              <w:rPr>
                <w:color w:val="000000" w:themeColor="text1"/>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both"/>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both"/>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both"/>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2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1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both"/>
              <w:spacing w:before="0" w:after="0" w:line="59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both"/>
              <w:spacing w:before="0" w:after="0" w:line="59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both"/>
              <w:spacing w:before="0" w:after="0" w:line="59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bl>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rPr>
        <w:t xml:space="preserve"> </w:t>
      </w:r>
      <w:r>
        <w:rPr>
          <w:color w:val="000000" w:themeColor="text1"/>
        </w:rPr>
      </w:r>
      <w:r/>
    </w:p>
    <w:p>
      <w:pPr>
        <w:ind w:left="0" w:right="0" w:firstLine="0"/>
        <w:jc w:val="both"/>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rPr>
        <w:t xml:space="preserve"> </w:t>
      </w:r>
      <w:r>
        <w:rPr>
          <w:color w:val="000000" w:themeColor="text1"/>
        </w:rPr>
      </w:r>
      <w:r/>
    </w:p>
    <w:p>
      <w:pPr>
        <w:ind w:left="0" w:right="0" w:firstLine="0"/>
        <w:jc w:val="both"/>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rPr>
        <w:t xml:space="preserve"> </w:t>
      </w:r>
      <w:r>
        <w:rPr>
          <w:color w:val="000000" w:themeColor="text1"/>
        </w:rPr>
      </w:r>
      <w:r/>
    </w:p>
    <w:p>
      <w:pPr>
        <w:ind w:left="0" w:right="0" w:firstLine="0"/>
        <w:jc w:val="both"/>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rPr>
        <w:t xml:space="preserve"> </w:t>
      </w:r>
      <w:r>
        <w:rPr>
          <w:color w:val="000000" w:themeColor="text1"/>
        </w:rPr>
      </w:r>
      <w:r/>
    </w:p>
    <w:p>
      <w:pPr>
        <w:ind w:left="0" w:right="0" w:firstLine="0"/>
        <w:jc w:val="both"/>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三、符合性检查响应对照表（格式）</w:t>
      </w:r>
      <w:r>
        <w:rPr>
          <w:color w:val="000000" w:themeColor="text1"/>
        </w:rPr>
      </w:r>
      <w:r/>
    </w:p>
    <w:p>
      <w:pPr>
        <w:ind w:left="0" w:right="0" w:firstLine="309"/>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投标人全称（加盖公章）：</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9"/>
        <w:gridCol w:w="4867"/>
        <w:gridCol w:w="1543"/>
        <w:gridCol w:w="1612"/>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line="2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center"/>
              <w:spacing w:before="0" w:after="0" w:line="2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符合性检查响应内容</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2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是否响应</w:t>
            </w:r>
            <w:r>
              <w:rPr>
                <w:color w:val="000000" w:themeColor="text1"/>
              </w:rPr>
            </w:r>
            <w:r/>
          </w:p>
          <w:p>
            <w:pPr>
              <w:ind w:left="0" w:right="0" w:firstLine="0"/>
              <w:jc w:val="center"/>
              <w:spacing w:before="0" w:after="0" w:line="2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（填是或者否）</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line="2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投标文件中的</w:t>
            </w:r>
            <w:r>
              <w:rPr>
                <w:color w:val="000000" w:themeColor="text1"/>
              </w:rPr>
            </w:r>
            <w:r/>
          </w:p>
          <w:p>
            <w:pPr>
              <w:ind w:left="0" w:right="0" w:firstLine="0"/>
              <w:jc w:val="center"/>
              <w:spacing w:before="0" w:after="0" w:line="2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页码位置</w:t>
            </w:r>
            <w:r>
              <w:rPr>
                <w:color w:val="000000" w:themeColor="text1"/>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both"/>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both"/>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both"/>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2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1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both"/>
              <w:spacing w:before="0" w:after="0" w:line="59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both"/>
              <w:spacing w:before="0" w:after="0" w:line="59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both"/>
              <w:spacing w:before="0" w:after="0" w:line="59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招标文件中的其他实质性要求</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bl>
    <w:p>
      <w:pPr>
        <w:ind w:left="0" w:right="0" w:firstLine="0"/>
        <w:jc w:val="both"/>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rPr>
        <w:t xml:space="preserve"> </w:t>
      </w:r>
      <w:r>
        <w:rPr>
          <w:color w:val="000000" w:themeColor="text1"/>
        </w:rPr>
      </w:r>
      <w:r/>
    </w:p>
    <w:p>
      <w:pPr>
        <w:ind w:left="0" w:right="0" w:firstLine="0"/>
        <w:jc w:val="both"/>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rPr>
        <w:t xml:space="preserve"> </w:t>
      </w:r>
      <w:r>
        <w:rPr>
          <w:color w:val="000000" w:themeColor="text1"/>
        </w:rPr>
      </w:r>
      <w:r/>
    </w:p>
    <w:p>
      <w:pPr>
        <w:ind w:left="0" w:right="0" w:firstLine="0"/>
        <w:jc w:val="both"/>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rPr>
        <w:t xml:space="preserve"> </w:t>
      </w:r>
      <w:r>
        <w:rPr>
          <w:color w:val="000000" w:themeColor="text1"/>
        </w:rPr>
      </w:r>
      <w:r/>
    </w:p>
    <w:p>
      <w:pPr>
        <w:ind w:left="0" w:right="0" w:firstLine="0"/>
        <w:jc w:val="both"/>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四、投标函（格式）</w:t>
      </w:r>
      <w:r>
        <w:rPr>
          <w:color w:val="000000" w:themeColor="text1"/>
        </w:rPr>
      </w:r>
      <w:r/>
    </w:p>
    <w:p>
      <w:pPr>
        <w:ind w:left="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致：</w:t>
      </w:r>
      <w:r>
        <w:rPr>
          <w:rFonts w:ascii="SimSun" w:hAnsi="SimSun" w:eastAsia="SimSun" w:cs="SimSun"/>
          <w:color w:val="000000" w:themeColor="text1"/>
          <w:sz w:val="24"/>
          <w:u w:val="single"/>
        </w:rPr>
        <w:t xml:space="preserve">    （采购人名称）</w:t>
      </w:r>
      <w:r>
        <w:rPr>
          <w:color w:val="000000" w:themeColor="text1"/>
        </w:rPr>
      </w:r>
      <w:r/>
    </w:p>
    <w:p>
      <w:pPr>
        <w:ind w:left="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根据贵方的</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号招标文件，正式授权下述签字人_________________(姓名)代表我方______________（投标人的名称），全权处理本次项目投标的有关事宜。</w:t>
      </w:r>
      <w:r>
        <w:rPr>
          <w:color w:val="000000" w:themeColor="text1"/>
        </w:rPr>
      </w:r>
      <w:r/>
    </w:p>
    <w:p>
      <w:pPr>
        <w:ind w:left="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据此函，__________签字人兹宣布同意如下：</w:t>
      </w:r>
      <w:r>
        <w:rPr>
          <w:color w:val="000000" w:themeColor="text1"/>
        </w:rPr>
      </w:r>
      <w:r/>
    </w:p>
    <w:p>
      <w:pPr>
        <w:ind w:left="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1.按招标文件规定的各项要求，向买方提供所需货物与服务。</w:t>
      </w:r>
      <w:r>
        <w:rPr>
          <w:color w:val="000000" w:themeColor="text1"/>
        </w:rPr>
      </w:r>
      <w:r/>
    </w:p>
    <w:p>
      <w:pPr>
        <w:ind w:left="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2.我们完全理解贵方不一定将合同授予最低报价的投标人。</w:t>
      </w:r>
      <w:r>
        <w:rPr>
          <w:color w:val="000000" w:themeColor="text1"/>
        </w:rPr>
      </w:r>
      <w:r/>
    </w:p>
    <w:p>
      <w:pPr>
        <w:ind w:left="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3.我们已详细审核全部招标文件及其有效补充文件，我们知道必须放弃提出含糊不清或误解问题的权利。</w:t>
      </w:r>
      <w:r>
        <w:rPr>
          <w:color w:val="000000" w:themeColor="text1"/>
        </w:rPr>
      </w:r>
      <w:r/>
    </w:p>
    <w:p>
      <w:pPr>
        <w:ind w:left="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4.我们同意从规定的开标日期起遵循本投标文件，并在规定的投标有效期期满之前均具有约束力。</w:t>
      </w:r>
      <w:r>
        <w:rPr>
          <w:color w:val="000000" w:themeColor="text1"/>
        </w:rPr>
      </w:r>
      <w:r/>
    </w:p>
    <w:p>
      <w:pPr>
        <w:ind w:left="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5.如果在开标后规定的投标有效期内撤回投标或中标后拒绝签订合同，则按照国家相关法律法规受到相应处罚。</w:t>
      </w:r>
      <w:r>
        <w:rPr>
          <w:color w:val="000000" w:themeColor="text1"/>
        </w:rPr>
      </w:r>
      <w:r/>
    </w:p>
    <w:p>
      <w:pPr>
        <w:ind w:left="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6.同意向贵方提供贵方可能另外要求的与投标有关的任何证据或资料，并保证我方已提供和将要提供的文件是真实的、准确的。</w:t>
      </w:r>
      <w:r>
        <w:rPr>
          <w:color w:val="000000" w:themeColor="text1"/>
        </w:rPr>
      </w:r>
      <w:r/>
    </w:p>
    <w:p>
      <w:pPr>
        <w:ind w:left="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7.一旦我方中标,我方将根据招标文件的规定，严格履行合同的责任和义务,并保证在招标文件规定的时间完成项目，交付买方验收、使用。</w:t>
      </w:r>
      <w:r>
        <w:rPr>
          <w:color w:val="000000" w:themeColor="text1"/>
        </w:rPr>
      </w:r>
      <w:r/>
    </w:p>
    <w:p>
      <w:pPr>
        <w:ind w:left="425"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8.与本投标有关的正式通讯地址为：</w:t>
      </w:r>
      <w:r>
        <w:rPr>
          <w:color w:val="000000" w:themeColor="text1"/>
        </w:rPr>
      </w:r>
      <w:r/>
    </w:p>
    <w:p>
      <w:pPr>
        <w:ind w:left="42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w:t>
      </w:r>
      <w:r>
        <w:rPr>
          <w:color w:val="000000" w:themeColor="text1"/>
        </w:rPr>
      </w:r>
      <w:r/>
    </w:p>
    <w:p>
      <w:pPr>
        <w:ind w:left="42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邮编：</w:t>
      </w:r>
      <w:r>
        <w:rPr>
          <w:color w:val="000000" w:themeColor="text1"/>
        </w:rPr>
      </w:r>
      <w:r/>
    </w:p>
    <w:p>
      <w:pPr>
        <w:ind w:left="42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电话：</w:t>
      </w:r>
      <w:r>
        <w:rPr>
          <w:color w:val="000000" w:themeColor="text1"/>
        </w:rPr>
      </w:r>
      <w:r/>
    </w:p>
    <w:p>
      <w:pPr>
        <w:ind w:left="42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传真：</w:t>
      </w:r>
      <w:r>
        <w:rPr>
          <w:color w:val="000000" w:themeColor="text1"/>
        </w:rPr>
      </w:r>
      <w:r/>
    </w:p>
    <w:p>
      <w:pPr>
        <w:ind w:left="42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投标人开户行：</w:t>
      </w:r>
      <w:r>
        <w:rPr>
          <w:color w:val="000000" w:themeColor="text1"/>
        </w:rPr>
      </w:r>
      <w:r/>
    </w:p>
    <w:p>
      <w:pPr>
        <w:ind w:left="42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账户： </w:t>
      </w:r>
      <w:r>
        <w:rPr>
          <w:color w:val="000000" w:themeColor="text1"/>
        </w:rPr>
      </w:r>
      <w:r/>
    </w:p>
    <w:p>
      <w:pPr>
        <w:ind w:left="42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投标人授权代表姓名（签字）： </w:t>
      </w:r>
      <w:r>
        <w:rPr>
          <w:color w:val="000000" w:themeColor="text1"/>
        </w:rPr>
      </w:r>
      <w:r/>
    </w:p>
    <w:p>
      <w:pPr>
        <w:ind w:left="42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投标人名称（公章）： </w:t>
      </w:r>
      <w:r>
        <w:rPr>
          <w:color w:val="000000" w:themeColor="text1"/>
        </w:rPr>
      </w:r>
      <w:r/>
    </w:p>
    <w:p>
      <w:pPr>
        <w:ind w:left="420" w:right="0" w:firstLine="0"/>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日期：________年____月____日</w:t>
      </w:r>
      <w:r>
        <w:rPr>
          <w:color w:val="000000" w:themeColor="text1"/>
        </w:rPr>
      </w:r>
      <w:r/>
    </w:p>
    <w:p>
      <w:pPr>
        <w:ind w:left="0" w:right="0" w:firstLine="0"/>
        <w:spacing w:before="50" w:after="14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五、开标一览表</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51"/>
        <w:gridCol w:w="6685"/>
      </w:tblGrid>
      <w:tr>
        <w:trPr>
          <w:trHeight w:val="7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 目 编 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center"/>
              <w:spacing w:before="100" w:after="1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 目 名 称</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both"/>
              <w:spacing w:before="100" w:after="1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6"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项目投标报价：（大写）</w:t>
            </w:r>
            <w:r>
              <w:rPr>
                <w:rFonts w:ascii="SimSun" w:hAnsi="SimSun" w:eastAsia="SimSun" w:cs="SimSun"/>
                <w:b/>
                <w:color w:val="000000" w:themeColor="text1"/>
                <w:sz w:val="21"/>
                <w:u w:val="single"/>
              </w:rPr>
              <w:t xml:space="preserve">                       </w:t>
            </w:r>
            <w:r>
              <w:rPr>
                <w:rFonts w:ascii="SimSun" w:hAnsi="SimSun" w:eastAsia="SimSun" w:cs="SimSun"/>
                <w:b/>
                <w:color w:val="000000" w:themeColor="text1"/>
                <w:sz w:val="21"/>
              </w:rPr>
              <w:t xml:space="preserve">，小写：</w:t>
            </w:r>
            <w:r>
              <w:rPr>
                <w:rFonts w:ascii="SimSun" w:hAnsi="SimSun" w:eastAsia="SimSun" w:cs="SimSun"/>
                <w:b/>
                <w:color w:val="000000" w:themeColor="text1"/>
                <w:sz w:val="21"/>
                <w:u w:val="single"/>
              </w:rPr>
              <w:t xml:space="preserve">                     </w:t>
            </w:r>
            <w:r>
              <w:rPr>
                <w:rFonts w:ascii="SimSun" w:hAnsi="SimSun" w:eastAsia="SimSun" w:cs="SimSun"/>
                <w:b/>
                <w:color w:val="000000" w:themeColor="text1"/>
                <w:sz w:val="21"/>
              </w:rPr>
              <w:t xml:space="preserve"> </w:t>
            </w:r>
            <w:r>
              <w:rPr>
                <w:color w:val="000000" w:themeColor="text1"/>
              </w:rPr>
            </w:r>
            <w:r/>
          </w:p>
        </w:tc>
      </w:tr>
      <w:tr>
        <w:trPr>
          <w:trHeight w:val="8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授权委托人</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tc>
      </w:tr>
      <w:tr>
        <w:trPr>
          <w:trHeight w:val="8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项目负责人</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tc>
      </w:tr>
      <w:tr>
        <w:trPr>
          <w:trHeight w:val="8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6"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是否提供《企业类型声明函》：</w:t>
            </w:r>
            <w:r>
              <w:rPr>
                <w:rFonts w:ascii="SimSun" w:hAnsi="SimSun" w:eastAsia="SimSun" w:cs="SimSun"/>
                <w:b/>
                <w:color w:val="000000" w:themeColor="text1"/>
                <w:sz w:val="21"/>
                <w:u w:val="single"/>
              </w:rPr>
              <w:t xml:space="preserve">  是/否   </w:t>
            </w:r>
            <w:r>
              <w:rPr>
                <w:rFonts w:ascii="SimSun" w:hAnsi="SimSun" w:eastAsia="SimSun" w:cs="SimSun"/>
                <w:b/>
                <w:color w:val="000000" w:themeColor="text1"/>
                <w:sz w:val="21"/>
              </w:rPr>
              <w:t xml:space="preserve">           见</w:t>
            </w:r>
            <w:r>
              <w:rPr>
                <w:rFonts w:ascii="SimSun" w:hAnsi="SimSun" w:eastAsia="SimSun" w:cs="SimSun"/>
                <w:b/>
                <w:color w:val="000000" w:themeColor="text1"/>
                <w:sz w:val="21"/>
                <w:u w:val="single"/>
              </w:rPr>
              <w:t xml:space="preserve">（          ）</w:t>
            </w:r>
            <w:r>
              <w:rPr>
                <w:rFonts w:ascii="SimSun" w:hAnsi="SimSun" w:eastAsia="SimSun" w:cs="SimSun"/>
                <w:b/>
                <w:color w:val="000000" w:themeColor="text1"/>
                <w:sz w:val="21"/>
              </w:rPr>
              <w:t xml:space="preserve">页</w:t>
            </w:r>
            <w:r>
              <w:rPr>
                <w:color w:val="000000" w:themeColor="text1"/>
              </w:rPr>
            </w:r>
            <w:r/>
          </w:p>
        </w:tc>
      </w:tr>
      <w:tr>
        <w:trPr>
          <w:trHeight w:val="8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6"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合同履行期限：</w:t>
            </w:r>
            <w:r>
              <w:rPr>
                <w:color w:val="000000" w:themeColor="text1"/>
              </w:rPr>
            </w:r>
            <w:r/>
          </w:p>
        </w:tc>
      </w:tr>
    </w:tbl>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填写说明：</w:t>
      </w:r>
      <w:r>
        <w:rPr>
          <w:color w:val="000000" w:themeColor="text1"/>
        </w:rPr>
      </w:r>
      <w:r/>
    </w:p>
    <w:p>
      <w:pPr>
        <w:ind w:left="480" w:right="0" w:hanging="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1、开标一览表不得填报选择性报价，否则将作为无效投标；</w:t>
      </w:r>
      <w:r>
        <w:rPr>
          <w:color w:val="000000" w:themeColor="text1"/>
        </w:rPr>
      </w:r>
      <w:r/>
    </w:p>
    <w:p>
      <w:pPr>
        <w:ind w:left="480" w:right="0" w:hanging="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2、开标一览表中报价与投标分项明细报价表中不符时时，以开标一览表为准；</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64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rPr>
        <w:t xml:space="preserve"> </w:t>
      </w:r>
      <w:r>
        <w:rPr>
          <w:color w:val="000000" w:themeColor="text1"/>
        </w:rPr>
      </w:r>
      <w:r/>
    </w:p>
    <w:p>
      <w:pPr>
        <w:ind w:left="0" w:right="0" w:firstLine="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right"/>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供应商名称（公章）：</w:t>
      </w:r>
      <w:r>
        <w:rPr>
          <w:color w:val="000000" w:themeColor="text1"/>
        </w:rPr>
      </w:r>
      <w:r/>
    </w:p>
    <w:p>
      <w:pPr>
        <w:ind w:left="0" w:right="0" w:firstLine="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日期：</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年</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月</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日</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b/>
          <w:color w:val="000000" w:themeColor="text1"/>
          <w:sz w:val="32"/>
        </w:rPr>
        <w:t xml:space="preserve">六、</w:t>
      </w:r>
      <w:r>
        <w:rPr>
          <w:rFonts w:ascii="SimSun" w:hAnsi="SimSun" w:eastAsia="SimSun" w:cs="SimSun"/>
          <w:b/>
          <w:color w:val="000000" w:themeColor="text1"/>
          <w:sz w:val="32"/>
        </w:rPr>
        <w:t xml:space="preserve">报价清单</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9"/>
        <w:gridCol w:w="2288"/>
        <w:gridCol w:w="1388"/>
        <w:gridCol w:w="1519"/>
        <w:gridCol w:w="1803"/>
        <w:gridCol w:w="1544"/>
      </w:tblGrid>
      <w:tr>
        <w:trPr>
          <w:trHeight w:val="703"/>
        </w:trPr>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72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228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名称</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138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数量</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单位</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综合单价（元）</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合价（元）</w:t>
            </w:r>
            <w:r>
              <w:rPr>
                <w:color w:val="000000" w:themeColor="text1"/>
              </w:rPr>
            </w:r>
            <w:r/>
          </w:p>
        </w:tc>
      </w:tr>
      <w:tr>
        <w:trPr>
          <w:trHeight w:val="70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2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8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农贸市场食品安全快速检测</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38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18000</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批次</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4" w:type="dxa"/>
            <w:vAlign w:val="center"/>
            <w:textDirection w:val="lrTb"/>
            <w:noWrap w:val="false"/>
          </w:tcPr>
          <w:p>
            <w:pPr>
              <w:ind w:left="0" w:right="0" w:firstLine="84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70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2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8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管理系统</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38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项</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4" w:type="dxa"/>
            <w:vAlign w:val="center"/>
            <w:textDirection w:val="lrTb"/>
            <w:noWrap w:val="false"/>
          </w:tcPr>
          <w:p>
            <w:pPr>
              <w:ind w:left="0" w:right="0" w:firstLine="84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70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2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合计</w:t>
            </w:r>
            <w:r>
              <w:rPr>
                <w:color w:val="000000" w:themeColor="text1"/>
              </w:rPr>
            </w:r>
            <w:r/>
          </w:p>
        </w:tc>
        <w:tc>
          <w:tcPr>
            <w:gridSpan w:val="5"/>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8542" w:type="dxa"/>
            <w:vAlign w:val="center"/>
            <w:textDirection w:val="lrTb"/>
            <w:noWrap w:val="false"/>
          </w:tcPr>
          <w:p>
            <w:pPr>
              <w:ind w:left="0" w:right="0" w:firstLine="8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报价（大写）</w:t>
            </w:r>
            <w:r>
              <w:rPr>
                <w:rFonts w:ascii="SimSun" w:hAnsi="SimSun" w:eastAsia="SimSun" w:cs="SimSun"/>
                <w:color w:val="000000" w:themeColor="text1"/>
                <w:sz w:val="22"/>
                <w:u w:val="single"/>
              </w:rPr>
              <w:t xml:space="preserve">                   </w:t>
            </w:r>
            <w:r>
              <w:rPr>
                <w:rFonts w:ascii="SimSun" w:hAnsi="SimSun" w:eastAsia="SimSun" w:cs="SimSun"/>
                <w:color w:val="000000" w:themeColor="text1"/>
                <w:sz w:val="22"/>
              </w:rPr>
              <w:t xml:space="preserve">          小写：</w:t>
            </w:r>
            <w:r>
              <w:rPr>
                <w:rFonts w:ascii="SimSun" w:hAnsi="SimSun" w:eastAsia="SimSun" w:cs="SimSun"/>
                <w:color w:val="000000" w:themeColor="text1"/>
                <w:sz w:val="22"/>
                <w:u w:val="single"/>
              </w:rPr>
              <w:t xml:space="preserve">           </w:t>
            </w:r>
            <w:r>
              <w:rPr>
                <w:rFonts w:ascii="SimSun" w:hAnsi="SimSun" w:eastAsia="SimSun" w:cs="SimSun"/>
                <w:color w:val="000000" w:themeColor="text1"/>
                <w:sz w:val="22"/>
              </w:rPr>
              <w:t xml:space="preserve">元</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法定代表人或者授权代表（签字或盖章）：</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供应商全称（盖章）：</w:t>
      </w:r>
      <w:r>
        <w:rPr>
          <w:rFonts w:ascii="SimSun" w:hAnsi="SimSun" w:eastAsia="SimSun" w:cs="SimSun"/>
          <w:color w:val="000000" w:themeColor="text1"/>
          <w:sz w:val="24"/>
          <w:u w:val="single"/>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日期：年月日</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七、技术参数响应及偏离表（如有）</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投标人全称（加盖公章）：</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1"/>
        <w:gridCol w:w="2457"/>
        <w:gridCol w:w="2457"/>
        <w:gridCol w:w="1183"/>
        <w:gridCol w:w="10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7"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招标要求</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7"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投标响应</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超出、符合或偏离</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原因</w:t>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bl>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法定代表人或授权代表签字：</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注：1、按照基本技术要求详细填列。</w:t>
      </w:r>
      <w:r>
        <w:rPr>
          <w:color w:val="000000" w:themeColor="text1"/>
        </w:rPr>
      </w:r>
      <w:r/>
    </w:p>
    <w:p>
      <w:pPr>
        <w:numPr>
          <w:ilvl w:val="0"/>
          <w:numId w:val="8"/>
        </w:numPr>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行数不够，可自行添加。</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3、如无超出或偏离项目，此表无需填写。</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shd w:val="nil" w:color="auto"/>
        <w:rPr>
          <w:rFonts w:ascii="Times New Roman" w:hAnsi="Times New Roman" w:eastAsia="Times New Roman" w:cs="Times New Roman"/>
          <w:color w:val="000000" w:themeColor="text1"/>
          <w:sz w:val="22"/>
          <w:szCs w:val="22"/>
        </w:rPr>
      </w:pPr>
      <w:r>
        <w:rPr>
          <w:rFonts w:ascii="SimSun" w:hAnsi="SimSun" w:eastAsia="SimSun" w:cs="SimSun"/>
          <w:b/>
          <w:color w:val="000000" w:themeColor="text1"/>
          <w:sz w:val="32"/>
          <w:highlight w:val="none"/>
        </w:rPr>
        <w:br w:type="page" w:clear="all"/>
      </w:r>
      <w:r>
        <w:rPr>
          <w:rFonts w:ascii="SimSun" w:hAnsi="SimSun" w:eastAsia="SimSun" w:cs="SimSun"/>
          <w:b/>
          <w:color w:val="000000" w:themeColor="text1"/>
          <w:sz w:val="32"/>
          <w:highlight w:val="none"/>
        </w:rPr>
      </w:r>
      <w:r/>
    </w:p>
    <w:p>
      <w:pPr>
        <w:ind w:left="0" w:right="0" w:firstLine="0"/>
        <w:jc w:val="center"/>
        <w:spacing w:before="50" w:after="50"/>
        <w:rPr>
          <w:rFonts w:ascii="SimSun" w:hAnsi="SimSun" w:eastAsia="SimSun" w:cs="SimSun"/>
          <w:b/>
          <w:bCs/>
          <w:color w:val="000000" w:themeColor="text1"/>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八、商务条款响应及偏离表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投标人全称（加盖公章）：</w:t>
      </w:r>
      <w:r>
        <w:rPr>
          <w:color w:val="000000" w:themeColor="text1"/>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4"/>
        <w:gridCol w:w="2392"/>
        <w:gridCol w:w="1137"/>
        <w:gridCol w:w="2677"/>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92"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招标文件要求</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7"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是否响应</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投标人的承诺或说明</w:t>
            </w:r>
            <w:r>
              <w:rPr>
                <w:color w:val="000000" w:themeColor="text1"/>
              </w:rPr>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售后技术服务要求</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交货时间</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top"/>
            <w:textDirection w:val="lrTb"/>
            <w:noWrap w:val="false"/>
          </w:tcPr>
          <w:p>
            <w:pPr>
              <w:ind w:left="43"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43"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交货方式</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top"/>
            <w:textDirection w:val="lrTb"/>
            <w:noWrap w:val="false"/>
          </w:tcPr>
          <w:p>
            <w:pPr>
              <w:ind w:left="43"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43"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交货地点</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top"/>
            <w:textDirection w:val="lrTb"/>
            <w:noWrap w:val="false"/>
          </w:tcPr>
          <w:p>
            <w:pPr>
              <w:ind w:left="43"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43"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付款方式</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投标货币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both"/>
              <w:spacing w:before="14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bl>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法定代表人或授权代表签字：</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both"/>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九、项目实施方案</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（按评标办法的内容进行编制）</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50" w:after="5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0"/>
        <w:jc w:val="center"/>
        <w:spacing w:before="260" w:after="260" w:line="340"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260" w:after="26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十、盐城经济技术开发区政府采购事前信用承诺书</w:t>
      </w:r>
      <w:r>
        <w:rPr>
          <w:color w:val="000000" w:themeColor="text1"/>
        </w:rPr>
      </w:r>
      <w:r/>
    </w:p>
    <w:p>
      <w:pPr>
        <w:ind w:left="0" w:right="0" w:firstLine="640"/>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 </w:t>
      </w:r>
      <w:r>
        <w:rPr>
          <w:color w:val="000000" w:themeColor="text1"/>
        </w:rPr>
      </w:r>
      <w:r/>
    </w:p>
    <w:p>
      <w:pPr>
        <w:ind w:left="0" w:right="0" w:firstLine="480"/>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为营造盐城经济技术开发区公开、公平、公正、诚实守信的政府采购交易环境，树立诚信守法的投标人形象，本人代表本单位作出以下承诺：</w:t>
      </w:r>
      <w:r>
        <w:rPr>
          <w:color w:val="000000" w:themeColor="text1"/>
        </w:rPr>
      </w:r>
      <w:r/>
    </w:p>
    <w:p>
      <w:pPr>
        <w:ind w:left="0" w:right="0" w:firstLine="0"/>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color w:val="000000" w:themeColor="text1"/>
        </w:rPr>
      </w:r>
      <w:r/>
    </w:p>
    <w:p>
      <w:pPr>
        <w:ind w:left="0" w:right="0" w:firstLine="480"/>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color w:val="000000" w:themeColor="text1"/>
        </w:rPr>
      </w:r>
      <w:r/>
    </w:p>
    <w:p>
      <w:pPr>
        <w:ind w:left="0" w:right="0" w:firstLine="0"/>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（三）严格依照国家和省、市关于政府采购的法律、法规、规章、规范性文件，参加政府采购投标活动；积极履行社会责任，促进廉政建设； </w:t>
      </w:r>
      <w:r>
        <w:rPr>
          <w:color w:val="000000" w:themeColor="text1"/>
        </w:rPr>
      </w:r>
      <w:r/>
    </w:p>
    <w:p>
      <w:pPr>
        <w:ind w:left="0" w:right="0" w:firstLine="0"/>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rPr>
          <w:color w:val="000000" w:themeColor="text1"/>
        </w:rPr>
      </w:r>
      <w:r/>
    </w:p>
    <w:p>
      <w:pPr>
        <w:ind w:left="0" w:right="0" w:firstLine="0"/>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（五）自觉接受政府、行业组织、社会公众、新闻舆论的监督；</w:t>
      </w:r>
      <w:r>
        <w:rPr>
          <w:color w:val="000000" w:themeColor="text1"/>
        </w:rPr>
      </w:r>
      <w:r/>
    </w:p>
    <w:p>
      <w:pPr>
        <w:ind w:left="0" w:right="0" w:firstLine="480"/>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rPr>
          <w:color w:val="000000" w:themeColor="text1"/>
        </w:rPr>
      </w:r>
      <w:r/>
    </w:p>
    <w:p>
      <w:pPr>
        <w:ind w:left="0" w:right="0" w:firstLine="0"/>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（七）本人已认真阅读了上述承诺，并向本单位员工作了宣传教育。</w:t>
      </w:r>
      <w:r>
        <w:rPr>
          <w:color w:val="000000" w:themeColor="text1"/>
        </w:rPr>
      </w:r>
      <w:r/>
    </w:p>
    <w:p>
      <w:pPr>
        <w:ind w:left="0" w:right="0" w:firstLine="0"/>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法定代表人签名：</w:t>
      </w:r>
      <w:r>
        <w:rPr>
          <w:color w:val="000000" w:themeColor="text1"/>
        </w:rPr>
      </w:r>
      <w:r/>
    </w:p>
    <w:p>
      <w:pPr>
        <w:ind w:left="0" w:right="0" w:firstLine="0"/>
        <w:jc w:val="center"/>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单位名称（盖章）：</w:t>
      </w:r>
      <w:r>
        <w:rPr>
          <w:color w:val="000000" w:themeColor="text1"/>
        </w:rPr>
      </w:r>
      <w:r/>
    </w:p>
    <w:p>
      <w:pPr>
        <w:ind w:left="0" w:right="0" w:firstLine="0"/>
        <w:jc w:val="center"/>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年月日</w:t>
      </w:r>
      <w:r>
        <w:rPr>
          <w:color w:val="000000" w:themeColor="text1"/>
        </w:rPr>
      </w:r>
      <w:r/>
    </w:p>
    <w:p>
      <w:pPr>
        <w:pStyle w:val="654"/>
        <w:ind w:left="0" w:right="0" w:firstLine="0"/>
        <w:jc w:val="both"/>
        <w:spacing w:before="260" w:after="260" w:line="55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0"/>
        <w:jc w:val="center"/>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0"/>
        <w:jc w:val="center"/>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0"/>
        <w:jc w:val="center"/>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十一、投标人其它投标响应材料</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2"/>
        </w:rPr>
        <w:t xml:space="preserve"> </w:t>
      </w:r>
      <w:r>
        <w:rPr>
          <w:color w:val="000000" w:themeColor="text1"/>
        </w:rPr>
      </w:r>
      <w:r/>
    </w:p>
    <w:p>
      <w:pPr>
        <w:rPr>
          <w:color w:val="000000" w:themeColor="text1"/>
        </w:rPr>
      </w:pPr>
      <w:r>
        <w:rPr>
          <w:color w:val="000000" w:themeColor="text1"/>
        </w:rPr>
      </w:r>
      <w:r>
        <w:rPr>
          <w:color w:val="000000" w:themeColor="text1"/>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986" w:hanging="504"/>
      </w:p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basedOn w:val="826"/>
    <w:next w:val="826"/>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basedOn w:val="826"/>
    <w:next w:val="826"/>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basedOn w:val="826"/>
    <w:next w:val="826"/>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basedOn w:val="826"/>
    <w:next w:val="826"/>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basedOn w:val="826"/>
    <w:next w:val="826"/>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basedOn w:val="826"/>
    <w:next w:val="82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basedOn w:val="826"/>
    <w:next w:val="826"/>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basedOn w:val="826"/>
    <w:next w:val="826"/>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basedOn w:val="826"/>
    <w:next w:val="826"/>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Title"/>
    <w:basedOn w:val="826"/>
    <w:next w:val="826"/>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basedOn w:val="826"/>
    <w:next w:val="826"/>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basedOn w:val="826"/>
    <w:next w:val="826"/>
    <w:link w:val="673"/>
    <w:uiPriority w:val="29"/>
    <w:qFormat/>
    <w:pPr>
      <w:ind w:left="720" w:right="720"/>
    </w:pPr>
    <w:rPr>
      <w:i/>
    </w:rPr>
  </w:style>
  <w:style w:type="character" w:styleId="673">
    <w:name w:val="Quote Char"/>
    <w:link w:val="672"/>
    <w:uiPriority w:val="29"/>
    <w:rPr>
      <w:i/>
    </w:rPr>
  </w:style>
  <w:style w:type="paragraph" w:styleId="674">
    <w:name w:val="Intense Quote"/>
    <w:basedOn w:val="826"/>
    <w:next w:val="826"/>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basedOn w:val="826"/>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basedOn w:val="826"/>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basedOn w:val="826"/>
    <w:next w:val="826"/>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basedOn w:val="82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basedOn w:val="8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basedOn w:val="8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basedOn w:val="8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basedOn w:val="8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basedOn w:val="8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basedOn w:val="8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9">
    <w:name w:val="Grid Table 5 Dark - Accent 2"/>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0">
    <w:name w:val="Grid Table 5 Dark - Accent 3"/>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1">
    <w:name w:val="Grid Table 5 Dark- Accent 4"/>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2">
    <w:name w:val="Grid Table 5 Dark - Accent 5"/>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3">
    <w:name w:val="Grid Table 5 Dark - Accent 6"/>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4">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basedOn w:val="8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basedOn w:val="8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basedOn w:val="8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0">
    <w:name w:val="Grid Table 6 Colorful - Accent 6"/>
    <w:basedOn w:val="8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1">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basedOn w:val="8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basedOn w:val="8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basedOn w:val="8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basedOn w:val="8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basedOn w:val="8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basedOn w:val="8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basedOn w:val="82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basedOn w:val="8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basedOn w:val="8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basedOn w:val="8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basedOn w:val="82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basedOn w:val="8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basedOn w:val="8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basedOn w:val="8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basedOn w:val="8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basedOn w:val="8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basedOn w:val="8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basedOn w:val="8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basedOn w:val="8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4">
    <w:name w:val="List Table 3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5">
    <w:name w:val="List Table 3 - Accent 3"/>
    <w:basedOn w:val="8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6">
    <w:name w:val="List Table 3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7">
    <w:name w:val="List Table 3 - Accent 5"/>
    <w:basedOn w:val="8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8">
    <w:name w:val="List Table 3 - Accent 6"/>
    <w:basedOn w:val="8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9">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basedOn w:val="8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1">
    <w:name w:val="List Table 4 - Accent 2"/>
    <w:basedOn w:val="8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2">
    <w:name w:val="List Table 4 - Accent 3"/>
    <w:basedOn w:val="8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3">
    <w:name w:val="List Table 4 - Accent 4"/>
    <w:basedOn w:val="8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4">
    <w:name w:val="List Table 4 - Accent 5"/>
    <w:basedOn w:val="8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5">
    <w:name w:val="List Table 4 - Accent 6"/>
    <w:basedOn w:val="8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6">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basedOn w:val="8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basedOn w:val="8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basedOn w:val="8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basedOn w:val="8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basedOn w:val="8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basedOn w:val="8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basedOn w:val="8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5">
    <w:name w:val="List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6">
    <w:name w:val="List Table 6 Colorful - Accent 3"/>
    <w:basedOn w:val="8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7">
    <w:name w:val="List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8">
    <w:name w:val="List Table 6 Colorful - Accent 5"/>
    <w:basedOn w:val="8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9">
    <w:name w:val="List Table 6 Colorful - Accent 6"/>
    <w:basedOn w:val="8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0">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basedOn w:val="8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2">
    <w:name w:val="List Table 7 Colorful - Accent 2"/>
    <w:basedOn w:val="8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3">
    <w:name w:val="List Table 7 Colorful - Accent 3"/>
    <w:basedOn w:val="8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4">
    <w:name w:val="List Table 7 Colorful - Accent 4"/>
    <w:basedOn w:val="8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5">
    <w:name w:val="List Table 7 Colorful - Accent 5"/>
    <w:basedOn w:val="8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6">
    <w:name w:val="List Table 7 Colorful - Accent 6"/>
    <w:basedOn w:val="8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7">
    <w:name w:val="Lined - Accent"/>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9">
    <w:name w:val="Lined - Accent 2"/>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0">
    <w:name w:val="Lined - Accent 3"/>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1">
    <w:name w:val="Lined - Accent 4"/>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2">
    <w:name w:val="Lined - Accent 5"/>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3">
    <w:name w:val="Lined - Accent 6"/>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4">
    <w:name w:val="Bordered &amp; Lined - Accent"/>
    <w:basedOn w:val="8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basedOn w:val="8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6">
    <w:name w:val="Bordered &amp; Lined - Accent 2"/>
    <w:basedOn w:val="8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7">
    <w:name w:val="Bordered &amp; Lined - Accent 3"/>
    <w:basedOn w:val="8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8">
    <w:name w:val="Bordered &amp; Lined - Accent 4"/>
    <w:basedOn w:val="8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9">
    <w:name w:val="Bordered &amp; Lined - Accent 5"/>
    <w:basedOn w:val="8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0">
    <w:name w:val="Bordered &amp; Lined - Accent 6"/>
    <w:basedOn w:val="8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1">
    <w:name w:val="Bordered"/>
    <w:basedOn w:val="8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basedOn w:val="826"/>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basedOn w:val="826"/>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basedOn w:val="826"/>
    <w:next w:val="826"/>
    <w:uiPriority w:val="39"/>
    <w:unhideWhenUsed/>
    <w:pPr>
      <w:ind w:left="0" w:right="0" w:firstLine="0"/>
      <w:spacing w:after="57"/>
    </w:pPr>
  </w:style>
  <w:style w:type="paragraph" w:styleId="816">
    <w:name w:val="toc 2"/>
    <w:basedOn w:val="826"/>
    <w:next w:val="826"/>
    <w:uiPriority w:val="39"/>
    <w:unhideWhenUsed/>
    <w:pPr>
      <w:ind w:left="283" w:right="0" w:firstLine="0"/>
      <w:spacing w:after="57"/>
    </w:pPr>
  </w:style>
  <w:style w:type="paragraph" w:styleId="817">
    <w:name w:val="toc 3"/>
    <w:basedOn w:val="826"/>
    <w:next w:val="826"/>
    <w:uiPriority w:val="39"/>
    <w:unhideWhenUsed/>
    <w:pPr>
      <w:ind w:left="567" w:right="0" w:firstLine="0"/>
      <w:spacing w:after="57"/>
    </w:pPr>
  </w:style>
  <w:style w:type="paragraph" w:styleId="818">
    <w:name w:val="toc 4"/>
    <w:basedOn w:val="826"/>
    <w:next w:val="826"/>
    <w:uiPriority w:val="39"/>
    <w:unhideWhenUsed/>
    <w:pPr>
      <w:ind w:left="850" w:right="0" w:firstLine="0"/>
      <w:spacing w:after="57"/>
    </w:pPr>
  </w:style>
  <w:style w:type="paragraph" w:styleId="819">
    <w:name w:val="toc 5"/>
    <w:basedOn w:val="826"/>
    <w:next w:val="826"/>
    <w:uiPriority w:val="39"/>
    <w:unhideWhenUsed/>
    <w:pPr>
      <w:ind w:left="1134" w:right="0" w:firstLine="0"/>
      <w:spacing w:after="57"/>
    </w:pPr>
  </w:style>
  <w:style w:type="paragraph" w:styleId="820">
    <w:name w:val="toc 6"/>
    <w:basedOn w:val="826"/>
    <w:next w:val="826"/>
    <w:uiPriority w:val="39"/>
    <w:unhideWhenUsed/>
    <w:pPr>
      <w:ind w:left="1417" w:right="0" w:firstLine="0"/>
      <w:spacing w:after="57"/>
    </w:pPr>
  </w:style>
  <w:style w:type="paragraph" w:styleId="821">
    <w:name w:val="toc 7"/>
    <w:basedOn w:val="826"/>
    <w:next w:val="826"/>
    <w:uiPriority w:val="39"/>
    <w:unhideWhenUsed/>
    <w:pPr>
      <w:ind w:left="1701" w:right="0" w:firstLine="0"/>
      <w:spacing w:after="57"/>
    </w:pPr>
  </w:style>
  <w:style w:type="paragraph" w:styleId="822">
    <w:name w:val="toc 8"/>
    <w:basedOn w:val="826"/>
    <w:next w:val="826"/>
    <w:uiPriority w:val="39"/>
    <w:unhideWhenUsed/>
    <w:pPr>
      <w:ind w:left="1984" w:right="0" w:firstLine="0"/>
      <w:spacing w:after="57"/>
    </w:pPr>
  </w:style>
  <w:style w:type="paragraph" w:styleId="823">
    <w:name w:val="toc 9"/>
    <w:basedOn w:val="826"/>
    <w:next w:val="826"/>
    <w:uiPriority w:val="39"/>
    <w:unhideWhenUsed/>
    <w:pPr>
      <w:ind w:left="2268" w:right="0" w:firstLine="0"/>
      <w:spacing w:after="57"/>
    </w:pPr>
  </w:style>
  <w:style w:type="paragraph" w:styleId="824">
    <w:name w:val="TOC Heading"/>
    <w:uiPriority w:val="39"/>
    <w:unhideWhenUsed/>
  </w:style>
  <w:style w:type="paragraph" w:styleId="825">
    <w:name w:val="table of figures"/>
    <w:basedOn w:val="826"/>
    <w:next w:val="826"/>
    <w:uiPriority w:val="99"/>
    <w:unhideWhenUsed/>
    <w:pPr>
      <w:spacing w:after="0" w:afterAutospacing="0"/>
    </w:pPr>
  </w:style>
  <w:style w:type="paragraph" w:styleId="826" w:default="1">
    <w:name w:val="Normal"/>
    <w:qFormat/>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paragraph" w:styleId="829">
    <w:name w:val="No Spacing"/>
    <w:basedOn w:val="826"/>
    <w:uiPriority w:val="1"/>
    <w:qFormat/>
    <w:pPr>
      <w:spacing w:after="0" w:line="240" w:lineRule="auto"/>
    </w:pPr>
  </w:style>
  <w:style w:type="paragraph" w:styleId="830">
    <w:name w:val="List Paragraph"/>
    <w:basedOn w:val="826"/>
    <w:uiPriority w:val="34"/>
    <w:qFormat/>
    <w:pPr>
      <w:contextualSpacing/>
      <w:ind w:left="720"/>
    </w:pPr>
  </w:style>
  <w:style w:type="character" w:styleId="831"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吴竹慧</cp:lastModifiedBy>
  <cp:revision>3</cp:revision>
  <dcterms:modified xsi:type="dcterms:W3CDTF">2024-05-22T09:36:45Z</dcterms:modified>
</cp:coreProperties>
</file>