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1040" w:lineRule="exact"/>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淮安市洪泽区政府采购</w:t>
      </w:r>
      <w:r/>
    </w:p>
    <w:p>
      <w:pPr>
        <w:jc w:val="center"/>
        <w:spacing w:line="1040" w:lineRule="exact"/>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公开招标文件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pacing w:val="-23"/>
          <w:sz w:val="36"/>
          <w:highlight w:val="none"/>
        </w:rPr>
      </w:pPr>
      <w:r>
        <w:rPr>
          <w:rFonts w:hint="eastAsia" w:ascii="宋体" w:hAnsi="宋体" w:eastAsia="宋体" w:cs="宋体"/>
          <w:b/>
          <w:color w:val="auto"/>
          <w:sz w:val="36"/>
          <w:highlight w:val="none"/>
        </w:rPr>
        <w:t xml:space="preserve">项目名称: </w:t>
      </w:r>
      <w:r>
        <w:rPr>
          <w:rFonts w:hint="eastAsia" w:ascii="宋体" w:hAnsi="宋体" w:eastAsia="宋体" w:cs="宋体"/>
          <w:b/>
          <w:bCs/>
          <w:color w:val="auto"/>
          <w:spacing w:val="-23"/>
          <w:sz w:val="36"/>
          <w:szCs w:val="36"/>
          <w:highlight w:val="none"/>
          <w:lang w:eastAsia="zh-CN"/>
        </w:rPr>
        <w:t xml:space="preserve">2024年洪泽区居家和社区基本养老服务提升行动项目</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 </w:t>
      </w:r>
      <w:r>
        <w:rPr>
          <w:rFonts w:hint="eastAsia" w:ascii="宋体" w:hAnsi="宋体" w:cs="宋体"/>
          <w:b/>
          <w:color w:val="auto"/>
          <w:sz w:val="36"/>
          <w:highlight w:val="none"/>
          <w:lang w:eastAsia="zh-CN"/>
        </w:rPr>
        <w:t xml:space="preserve">JSZC-320813-JHGS-G2024-0010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46"/>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采</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购</w:t>
      </w:r>
      <w:r>
        <w:rPr>
          <w:rFonts w:hint="eastAsia" w:ascii="宋体" w:hAnsi="宋体" w:eastAsia="宋体" w:cs="宋体"/>
          <w:b/>
          <w:color w:val="auto"/>
          <w:sz w:val="36"/>
          <w:szCs w:val="36"/>
          <w:highlight w:val="none"/>
          <w:lang w:val="en-US" w:eastAsia="zh-CN"/>
        </w:rPr>
        <w:t xml:space="preserve"> 人</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淮安市洪泽区民政局</w:t>
      </w:r>
      <w:r/>
    </w:p>
    <w:p>
      <w:pPr>
        <w:ind w:firstLine="1446"/>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代理机构：</w:t>
      </w:r>
      <w:r>
        <w:rPr>
          <w:rFonts w:hint="eastAsia" w:ascii="宋体" w:hAnsi="宋体" w:eastAsia="宋体" w:cs="宋体"/>
          <w:b/>
          <w:color w:val="auto"/>
          <w:sz w:val="36"/>
          <w:szCs w:val="36"/>
          <w:highlight w:val="none"/>
          <w:lang w:eastAsia="zh-CN"/>
        </w:rPr>
        <w:t xml:space="preserve">江苏嘉华工程咨询有限公司</w:t>
      </w:r>
      <w:r/>
    </w:p>
    <w:p>
      <w:pPr>
        <w:ind w:firstLine="1446"/>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日    期：</w:t>
      </w:r>
      <w:r>
        <w:rPr>
          <w:rFonts w:hint="eastAsia" w:ascii="宋体" w:hAnsi="宋体" w:eastAsia="宋体" w:cs="宋体"/>
          <w:b/>
          <w:color w:val="auto"/>
          <w:sz w:val="36"/>
          <w:szCs w:val="36"/>
          <w:highlight w:val="none"/>
        </w:rPr>
        <w:t xml:space="preserve">二〇二</w:t>
      </w:r>
      <w:r>
        <w:rPr>
          <w:rFonts w:hint="eastAsia" w:ascii="宋体" w:hAnsi="宋体" w:eastAsia="宋体" w:cs="宋体"/>
          <w:b/>
          <w:color w:val="auto"/>
          <w:sz w:val="36"/>
          <w:szCs w:val="36"/>
          <w:highlight w:val="none"/>
          <w:lang w:val="en-US" w:eastAsia="zh-CN"/>
        </w:rPr>
        <w:t xml:space="preserve">四</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lang w:val="en-US" w:eastAsia="zh-CN"/>
        </w:rPr>
        <w:t xml:space="preserve">十一</w:t>
      </w:r>
      <w:r>
        <w:rPr>
          <w:rFonts w:hint="eastAsia" w:ascii="宋体" w:hAnsi="宋体" w:eastAsia="宋体" w:cs="宋体"/>
          <w:b/>
          <w:color w:val="auto"/>
          <w:sz w:val="36"/>
          <w:szCs w:val="36"/>
          <w:highlight w:val="none"/>
        </w:rPr>
        <w:t xml:space="preserve">月</w:t>
      </w:r>
      <w:r/>
    </w:p>
    <w:p>
      <w:pPr>
        <w:jc w:val="center"/>
        <w:pageBreakBefore/>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第一章   投标邀请</w:t>
      </w:r>
      <w:r/>
    </w:p>
    <w:p>
      <w:pPr>
        <w:ind w:firstLine="480"/>
        <w:keepLines w:val="0"/>
        <w:keepNext w:val="0"/>
        <w:pageBreakBefore w:val="0"/>
        <w:spacing w:line="348" w:lineRule="auto"/>
        <w:rPr>
          <w:rFonts w:hint="eastAsia" w:ascii="宋体" w:hAnsi="宋体" w:eastAsia="宋体" w:cs="宋体"/>
          <w:bCs w:val="0"/>
          <w:color w:val="auto"/>
          <w:sz w:val="24"/>
          <w:szCs w:val="22"/>
          <w:highlight w:val="none"/>
        </w:rPr>
      </w:pPr>
      <w:r>
        <w:rPr>
          <w:rFonts w:hint="eastAsia" w:ascii="宋体" w:hAnsi="宋体" w:eastAsia="宋体" w:cs="宋体"/>
          <w:bCs w:val="0"/>
          <w:color w:val="auto"/>
          <w:sz w:val="24"/>
          <w:szCs w:val="22"/>
          <w:highlight w:val="none"/>
        </w:rPr>
        <w:t xml:space="preserve">受</w:t>
      </w:r>
      <w:r>
        <w:rPr>
          <w:rFonts w:hint="eastAsia" w:ascii="宋体" w:hAnsi="宋体" w:eastAsia="宋体" w:cs="宋体"/>
          <w:color w:val="auto"/>
          <w:sz w:val="24"/>
          <w:szCs w:val="22"/>
          <w:highlight w:val="none"/>
          <w:lang w:eastAsia="zh-CN"/>
        </w:rPr>
        <w:t xml:space="preserve">淮安市洪泽区民政局</w:t>
      </w:r>
      <w:r>
        <w:rPr>
          <w:rFonts w:hint="eastAsia" w:ascii="宋体" w:hAnsi="宋体" w:eastAsia="宋体" w:cs="宋体"/>
          <w:bCs w:val="0"/>
          <w:color w:val="auto"/>
          <w:sz w:val="24"/>
          <w:szCs w:val="22"/>
          <w:highlight w:val="none"/>
        </w:rPr>
        <w:t xml:space="preserve">的委托，</w:t>
      </w:r>
      <w:r>
        <w:rPr>
          <w:rFonts w:hint="eastAsia" w:ascii="宋体" w:hAnsi="宋体" w:eastAsia="宋体" w:cs="宋体"/>
          <w:bCs w:val="0"/>
          <w:color w:val="auto"/>
          <w:sz w:val="24"/>
          <w:szCs w:val="22"/>
          <w:highlight w:val="none"/>
          <w:lang w:eastAsia="zh-CN"/>
        </w:rPr>
        <w:t xml:space="preserve">江苏嘉华工程咨询有限公司</w:t>
      </w:r>
      <w:r>
        <w:rPr>
          <w:rFonts w:hint="eastAsia" w:ascii="宋体" w:hAnsi="宋体" w:eastAsia="宋体" w:cs="宋体"/>
          <w:bCs w:val="0"/>
          <w:color w:val="auto"/>
          <w:sz w:val="24"/>
          <w:szCs w:val="22"/>
          <w:highlight w:val="none"/>
        </w:rPr>
        <w:t xml:space="preserve">就</w:t>
      </w:r>
      <w:r>
        <w:rPr>
          <w:rFonts w:hint="eastAsia" w:ascii="宋体" w:hAnsi="宋体" w:eastAsia="宋体" w:cs="宋体"/>
          <w:bCs w:val="0"/>
          <w:color w:val="auto"/>
          <w:sz w:val="24"/>
          <w:szCs w:val="22"/>
          <w:highlight w:val="none"/>
          <w:lang w:val="en-US" w:eastAsia="zh-CN"/>
        </w:rPr>
        <w:t xml:space="preserve">该单位</w:t>
      </w:r>
      <w:r>
        <w:rPr>
          <w:rFonts w:hint="eastAsia" w:ascii="宋体" w:hAnsi="宋体" w:eastAsia="宋体" w:cs="宋体"/>
          <w:color w:val="auto"/>
          <w:sz w:val="24"/>
          <w:szCs w:val="24"/>
          <w:highlight w:val="none"/>
          <w:lang w:eastAsia="zh-CN"/>
        </w:rPr>
        <w:t xml:space="preserve">2024年洪泽区居家和社区基本养老服务提升行动项目</w:t>
      </w:r>
      <w:r>
        <w:rPr>
          <w:rFonts w:hint="eastAsia" w:ascii="宋体" w:hAnsi="宋体" w:eastAsia="宋体" w:cs="宋体"/>
          <w:color w:val="auto"/>
          <w:sz w:val="24"/>
          <w:szCs w:val="22"/>
          <w:highlight w:val="none"/>
        </w:rPr>
        <w:t xml:space="preserve">进行公开招标</w:t>
      </w:r>
      <w:r>
        <w:rPr>
          <w:rFonts w:hint="eastAsia" w:ascii="宋体" w:hAnsi="宋体" w:eastAsia="宋体" w:cs="宋体"/>
          <w:bCs w:val="0"/>
          <w:color w:val="auto"/>
          <w:sz w:val="24"/>
          <w:szCs w:val="22"/>
          <w:highlight w:val="none"/>
        </w:rPr>
        <w:t xml:space="preserve">，现邀请符合条件的投标人参加投标。</w:t>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7"/>
      </w:tblGrid>
      <w:tr>
        <w:trPr>
          <w:jc w:val="center"/>
        </w:trPr>
        <w:tc>
          <w:tcPr>
            <w:tcW w:w="5000" w:type="pct"/>
            <w:vAlign w:val="top"/>
            <w:textDirection w:val="lrTb"/>
            <w:noWrap w:val="false"/>
          </w:tcPr>
          <w:p>
            <w:pPr>
              <w:ind w:left="0" w:right="0" w:firstLine="480"/>
              <w:keepLines w:val="0"/>
              <w:keepNext w:val="0"/>
              <w:pageBreakBefore w:val="0"/>
              <w:spacing w:before="0" w:beforeAutospacing="0" w:after="0" w:afterAutospacing="0" w:line="348" w:lineRule="auto"/>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项目概况：</w:t>
            </w:r>
            <w:r/>
          </w:p>
          <w:p>
            <w:pPr>
              <w:ind w:left="0" w:right="0" w:firstLine="482"/>
              <w:keepLines w:val="0"/>
              <w:keepNext w:val="0"/>
              <w:pageBreakBefore w:val="0"/>
              <w:spacing w:before="0" w:beforeAutospacing="0" w:after="0" w:afterAutospacing="0" w:line="348" w:lineRule="auto"/>
              <w:rPr>
                <w:rFonts w:hint="eastAsia" w:ascii="宋体" w:hAnsi="宋体" w:eastAsia="宋体" w:cs="宋体"/>
                <w:color w:val="auto"/>
                <w:sz w:val="24"/>
                <w:szCs w:val="22"/>
                <w:highlight w:val="none"/>
              </w:rPr>
              <w:suppressLineNumbers w:val="0"/>
            </w:pPr>
            <w:r>
              <w:rPr>
                <w:rFonts w:hint="eastAsia" w:ascii="宋体" w:hAnsi="宋体" w:eastAsia="宋体" w:cs="宋体"/>
                <w:b/>
                <w:bCs/>
                <w:color w:val="auto"/>
                <w:sz w:val="24"/>
                <w:szCs w:val="22"/>
                <w:highlight w:val="none"/>
                <w:u w:val="single"/>
                <w:lang w:eastAsia="zh-CN"/>
              </w:rPr>
              <w:t xml:space="preserve">2024年洪泽区居家和社区基本养老服务提升行动项目</w:t>
            </w:r>
            <w:r>
              <w:rPr>
                <w:rFonts w:hint="eastAsia" w:ascii="宋体" w:hAnsi="宋体" w:eastAsia="宋体" w:cs="宋体"/>
                <w:color w:val="auto"/>
                <w:sz w:val="24"/>
                <w:szCs w:val="22"/>
                <w:highlight w:val="none"/>
              </w:rPr>
              <w:t xml:space="preserve">的潜在投标人</w:t>
            </w:r>
            <w:r>
              <w:rPr>
                <w:rFonts w:hint="eastAsia" w:ascii="宋体" w:hAnsi="宋体" w:eastAsia="宋体" w:cs="宋体"/>
                <w:color w:val="auto"/>
                <w:sz w:val="24"/>
                <w:highlight w:val="none"/>
              </w:rPr>
              <w:t xml:space="preserve">可在“淮安市政府采购网”</w:t>
            </w:r>
            <w:r>
              <w:rPr>
                <w:rFonts w:hint="eastAsia" w:ascii="宋体" w:hAnsi="宋体" w:eastAsia="宋体" w:cs="宋体"/>
                <w:color w:val="auto"/>
                <w:sz w:val="24"/>
                <w:highlight w:val="none"/>
                <w:u w:val="none"/>
              </w:rPr>
              <w:t xml:space="preserve">自行免费下载</w:t>
            </w: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szCs w:val="22"/>
                <w:highlight w:val="none"/>
              </w:rPr>
              <w:t xml:space="preserve">，并于</w:t>
            </w:r>
            <w:r>
              <w:rPr>
                <w:rFonts w:hint="eastAsia" w:ascii="宋体" w:hAnsi="宋体" w:eastAsia="宋体" w:cs="宋体"/>
                <w:b/>
                <w:bCs/>
                <w:color w:val="auto"/>
                <w:sz w:val="24"/>
                <w:szCs w:val="22"/>
                <w:highlight w:val="none"/>
                <w:u w:val="single"/>
              </w:rPr>
              <w:t xml:space="preserve">202</w:t>
            </w:r>
            <w:r>
              <w:rPr>
                <w:rFonts w:hint="eastAsia" w:ascii="宋体" w:hAnsi="宋体" w:eastAsia="宋体" w:cs="宋体"/>
                <w:b/>
                <w:bCs/>
                <w:color w:val="auto"/>
                <w:sz w:val="24"/>
                <w:szCs w:val="22"/>
                <w:highlight w:val="none"/>
                <w:u w:val="single"/>
                <w:lang w:val="en-US" w:eastAsia="zh-CN"/>
              </w:rPr>
              <w:t xml:space="preserve">4</w:t>
            </w:r>
            <w:r>
              <w:rPr>
                <w:rFonts w:hint="eastAsia" w:ascii="宋体" w:hAnsi="宋体" w:eastAsia="宋体" w:cs="宋体"/>
                <w:b/>
                <w:bCs/>
                <w:color w:val="auto"/>
                <w:sz w:val="24"/>
                <w:szCs w:val="22"/>
                <w:highlight w:val="none"/>
                <w:u w:val="single"/>
              </w:rPr>
              <w:t xml:space="preserve">年</w:t>
            </w:r>
            <w:r>
              <w:rPr>
                <w:rFonts w:hint="eastAsia" w:ascii="宋体" w:hAnsi="宋体" w:eastAsia="宋体" w:cs="宋体"/>
                <w:b/>
                <w:bCs/>
                <w:color w:val="auto"/>
                <w:sz w:val="24"/>
                <w:szCs w:val="22"/>
                <w:highlight w:val="none"/>
                <w:u w:val="single"/>
                <w:lang w:val="en-US" w:eastAsia="zh-CN"/>
              </w:rPr>
              <w:t xml:space="preserve">1</w:t>
            </w:r>
            <w:r>
              <w:rPr>
                <w:rFonts w:hint="eastAsia" w:ascii="宋体" w:hAnsi="宋体" w:cs="宋体"/>
                <w:b/>
                <w:bCs/>
                <w:color w:val="auto"/>
                <w:sz w:val="24"/>
                <w:szCs w:val="22"/>
                <w:highlight w:val="none"/>
                <w:u w:val="single"/>
                <w:lang w:val="en-US" w:eastAsia="zh-CN"/>
              </w:rPr>
              <w:t xml:space="preserve">2</w:t>
            </w:r>
            <w:r>
              <w:rPr>
                <w:rFonts w:hint="eastAsia" w:ascii="宋体" w:hAnsi="宋体" w:eastAsia="宋体" w:cs="宋体"/>
                <w:b/>
                <w:bCs/>
                <w:color w:val="auto"/>
                <w:sz w:val="24"/>
                <w:szCs w:val="22"/>
                <w:highlight w:val="none"/>
                <w:u w:val="single"/>
              </w:rPr>
              <w:t xml:space="preserve">月</w:t>
            </w:r>
            <w:r>
              <w:rPr>
                <w:rFonts w:hint="eastAsia" w:ascii="宋体" w:hAnsi="宋体" w:cs="宋体"/>
                <w:b/>
                <w:bCs/>
                <w:color w:val="auto"/>
                <w:sz w:val="24"/>
                <w:szCs w:val="22"/>
                <w:highlight w:val="none"/>
                <w:u w:val="single"/>
                <w:lang w:val="en-US" w:eastAsia="zh-CN"/>
              </w:rPr>
              <w:t xml:space="preserve">6</w:t>
            </w:r>
            <w:r>
              <w:rPr>
                <w:rFonts w:hint="eastAsia" w:ascii="宋体" w:hAnsi="宋体" w:eastAsia="宋体" w:cs="宋体"/>
                <w:b/>
                <w:bCs/>
                <w:color w:val="auto"/>
                <w:sz w:val="24"/>
                <w:szCs w:val="22"/>
                <w:highlight w:val="none"/>
                <w:u w:val="single"/>
              </w:rPr>
              <w:t xml:space="preserve">日</w:t>
            </w:r>
            <w:r>
              <w:rPr>
                <w:rFonts w:hint="eastAsia" w:ascii="宋体" w:hAnsi="宋体" w:eastAsia="宋体" w:cs="宋体"/>
                <w:b/>
                <w:bCs/>
                <w:color w:val="auto"/>
                <w:sz w:val="24"/>
                <w:szCs w:val="22"/>
                <w:highlight w:val="none"/>
                <w:u w:val="single"/>
                <w:lang w:eastAsia="zh-CN"/>
              </w:rPr>
              <w:t xml:space="preserve">上午</w:t>
            </w:r>
            <w:r>
              <w:rPr>
                <w:rFonts w:hint="eastAsia" w:ascii="宋体" w:hAnsi="宋体" w:eastAsia="宋体" w:cs="宋体"/>
                <w:b/>
                <w:bCs/>
                <w:color w:val="auto"/>
                <w:sz w:val="24"/>
                <w:szCs w:val="22"/>
                <w:highlight w:val="none"/>
                <w:u w:val="single"/>
                <w:lang w:val="en-US" w:eastAsia="zh-CN"/>
              </w:rPr>
              <w:t xml:space="preserve">09:00</w:t>
            </w:r>
            <w:r>
              <w:rPr>
                <w:rFonts w:hint="eastAsia" w:ascii="宋体" w:hAnsi="宋体" w:eastAsia="宋体" w:cs="宋体"/>
                <w:b/>
                <w:bCs/>
                <w:color w:val="auto"/>
                <w:sz w:val="24"/>
                <w:szCs w:val="22"/>
                <w:highlight w:val="none"/>
                <w:u w:val="single"/>
              </w:rPr>
              <w:t xml:space="preserve">分</w:t>
            </w:r>
            <w:r>
              <w:rPr>
                <w:rFonts w:hint="eastAsia" w:ascii="宋体" w:hAnsi="宋体" w:eastAsia="宋体" w:cs="宋体"/>
                <w:color w:val="auto"/>
                <w:sz w:val="24"/>
                <w:szCs w:val="22"/>
                <w:highlight w:val="none"/>
              </w:rPr>
              <w:t xml:space="preserve">（北京时间）前递交投标文件。</w:t>
            </w:r>
            <w:r/>
          </w:p>
        </w:tc>
      </w:tr>
    </w:tbl>
    <w:p>
      <w:pPr>
        <w:ind w:firstLine="48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JSZC-320813-JHGS-G2024-0010 </w:t>
      </w:r>
      <w:r/>
    </w:p>
    <w:p>
      <w:pPr>
        <w:ind w:firstLine="480"/>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2024年洪泽区居家和社区基本养老服务提升行动项目</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竞争性</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 </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询价</w:t>
      </w:r>
      <w:r/>
    </w:p>
    <w:p>
      <w:pPr>
        <w:ind w:firstLine="480"/>
        <w:keepLines w:val="0"/>
        <w:keepNext w:val="0"/>
        <w:pageBreakBefore w:val="0"/>
        <w:spacing w:line="34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（四）</w:t>
      </w:r>
      <w:r>
        <w:rPr>
          <w:rFonts w:hint="eastAsia" w:ascii="宋体" w:hAnsi="宋体" w:eastAsia="宋体" w:cs="宋体"/>
          <w:b w:val="0"/>
          <w:bCs w:val="0"/>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壹佰零肆万伍仟</w:t>
      </w:r>
      <w:r>
        <w:rPr>
          <w:rFonts w:hint="eastAsia" w:ascii="宋体" w:hAnsi="宋体" w:eastAsia="宋体" w:cs="宋体"/>
          <w:b w:val="0"/>
          <w:bCs w:val="0"/>
          <w:color w:val="auto"/>
          <w:sz w:val="24"/>
          <w:szCs w:val="24"/>
          <w:highlight w:val="none"/>
        </w:rPr>
        <w:t xml:space="preserve">元整</w:t>
      </w:r>
      <w:r/>
    </w:p>
    <w:p>
      <w:pPr>
        <w:ind w:firstLine="480"/>
        <w:keepLines w:val="0"/>
        <w:keepNext w:val="0"/>
        <w:pageBreakBefore w:val="0"/>
        <w:spacing w:line="34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（五）</w:t>
      </w:r>
      <w:r>
        <w:rPr>
          <w:rFonts w:hint="eastAsia" w:ascii="宋体" w:hAnsi="宋体" w:eastAsia="宋体" w:cs="宋体"/>
          <w:b w:val="0"/>
          <w:bCs w:val="0"/>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本次改造部分采用单价报价，居家养老上门服务1200元/人为固定单价（无需报价），投标人报价不得超过分项单价的最高限价（见采购需求）</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2024年洪泽区居家和社区基本养老服务提升行动项目</w:t>
      </w:r>
      <w:r>
        <w:rPr>
          <w:rFonts w:hint="eastAsia" w:ascii="宋体" w:hAnsi="宋体" w:eastAsia="宋体" w:cs="宋体"/>
          <w:color w:val="auto"/>
          <w:sz w:val="24"/>
          <w:szCs w:val="24"/>
          <w:highlight w:val="none"/>
        </w:rPr>
        <w:t xml:space="preserve">，详细要求见</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文件第一章第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部分。</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2025年6月底前完成。</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本项目不接受联合体。</w:t>
      </w:r>
      <w:r/>
    </w:p>
    <w:p>
      <w:pPr>
        <w:ind w:firstLine="484"/>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24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24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二</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落实政府采购政策需满足的资格要求:本项目按照以下</w:t>
      </w:r>
      <w:r>
        <w:rPr>
          <w:rFonts w:hint="eastAsia" w:ascii="宋体" w:hAnsi="宋体" w:eastAsia="宋体" w:cs="宋体"/>
          <w:b/>
          <w:bCs/>
          <w:color w:val="auto"/>
          <w:sz w:val="24"/>
          <w:szCs w:val="24"/>
          <w:highlight w:val="none"/>
          <w:shd w:val="clear" w:color="auto" w:fill="ffffff"/>
          <w:lang w:bidi="ar"/>
        </w:rPr>
        <w:t xml:space="preserve">第</w:t>
      </w:r>
      <w:r>
        <w:rPr>
          <w:rFonts w:hint="eastAsia" w:ascii="宋体" w:hAnsi="宋体" w:eastAsia="宋体" w:cs="宋体"/>
          <w:b/>
          <w:bCs/>
          <w:color w:val="auto"/>
          <w:sz w:val="24"/>
          <w:szCs w:val="24"/>
          <w:highlight w:val="none"/>
          <w:u w:val="single"/>
          <w:shd w:val="clear" w:color="auto" w:fill="ffffff"/>
          <w:lang w:val="en-US" w:eastAsia="zh-CN" w:bidi="ar"/>
        </w:rPr>
        <w:t xml:space="preserve">1</w:t>
      </w:r>
      <w:r>
        <w:rPr>
          <w:rFonts w:hint="eastAsia" w:ascii="宋体" w:hAnsi="宋体" w:eastAsia="宋体" w:cs="宋体"/>
          <w:b/>
          <w:bCs/>
          <w:color w:val="auto"/>
          <w:sz w:val="24"/>
          <w:szCs w:val="24"/>
          <w:highlight w:val="none"/>
          <w:shd w:val="clear" w:color="auto" w:fill="ffffff"/>
          <w:lang w:bidi="ar"/>
        </w:rPr>
        <w:t xml:space="preserve">种</w:t>
      </w:r>
      <w:r>
        <w:rPr>
          <w:rFonts w:hint="eastAsia" w:ascii="宋体" w:hAnsi="宋体" w:eastAsia="宋体" w:cs="宋体"/>
          <w:color w:val="auto"/>
          <w:sz w:val="24"/>
          <w:szCs w:val="24"/>
          <w:highlight w:val="none"/>
          <w:shd w:val="clear" w:color="auto" w:fill="ffffff"/>
          <w:lang w:bidi="ar"/>
        </w:rPr>
        <w:t xml:space="preserve">方式落实政府采购促进中小企业发展的要求</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keepLines w:val="0"/>
        <w:keepNext w:val="0"/>
        <w:pageBreakBefore w:val="0"/>
        <w:spacing w:line="348" w:lineRule="auto"/>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1、</w:t>
      </w:r>
      <w:r>
        <w:rPr>
          <w:rFonts w:hint="eastAsia" w:ascii="宋体" w:hAnsi="宋体" w:eastAsia="宋体" w:cs="宋体"/>
          <w:b w:val="0"/>
          <w:bCs w:val="0"/>
          <w:i w:val="0"/>
          <w:iCs w:val="0"/>
          <w:caps w:val="0"/>
          <w:color w:val="auto"/>
          <w:spacing w:val="0"/>
          <w:sz w:val="24"/>
          <w:szCs w:val="24"/>
          <w:highlight w:val="none"/>
          <w:shd w:val="clear" w:color="auto" w:fill="ffffff"/>
        </w:rPr>
        <w:t xml:space="preserve">本项目为专门面向中小企业采购的项目,</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 xml:space="preserve">投标人</w:t>
      </w:r>
      <w:r>
        <w:rPr>
          <w:rFonts w:hint="eastAsia" w:ascii="宋体" w:hAnsi="宋体" w:eastAsia="宋体" w:cs="宋体"/>
          <w:b w:val="0"/>
          <w:bCs w:val="0"/>
          <w:i w:val="0"/>
          <w:iCs w:val="0"/>
          <w:caps w:val="0"/>
          <w:color w:val="auto"/>
          <w:spacing w:val="0"/>
          <w:sz w:val="24"/>
          <w:szCs w:val="24"/>
          <w:highlight w:val="none"/>
          <w:shd w:val="clear" w:color="auto" w:fill="ffffff"/>
        </w:rPr>
        <w:t xml:space="preserve">必须为中小企业，不接受非中小型企业参与本项目投标。</w:t>
      </w:r>
      <w:r/>
    </w:p>
    <w:p>
      <w:pPr>
        <w:ind w:firstLine="48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bidi="ar"/>
        </w:rPr>
        <w:t xml:space="preserve">本项目通过以下第</w:t>
      </w:r>
      <w:r>
        <w:rPr>
          <w:rFonts w:hint="eastAsia" w:ascii="宋体" w:hAnsi="宋体" w:eastAsia="宋体" w:cs="宋体"/>
          <w:color w:val="auto"/>
          <w:sz w:val="24"/>
          <w:szCs w:val="24"/>
          <w:highlight w:val="none"/>
          <w:u w:val="single"/>
          <w:shd w:val="clear" w:color="auto" w:fill="ffffff"/>
          <w:lang w:bidi="ar"/>
        </w:rPr>
        <w:t xml:space="preserve"> </w:t>
      </w:r>
      <w:r>
        <w:rPr>
          <w:rFonts w:hint="eastAsia" w:ascii="宋体" w:hAnsi="宋体" w:eastAsia="宋体" w:cs="宋体"/>
          <w:color w:val="auto"/>
          <w:sz w:val="24"/>
          <w:szCs w:val="24"/>
          <w:highlight w:val="none"/>
          <w:u w:val="single"/>
          <w:shd w:val="clear" w:color="auto" w:fill="ffffff"/>
          <w:lang w:val="en-US" w:eastAsia="zh-CN" w:bidi="ar"/>
        </w:rPr>
        <w:t xml:space="preserve">   </w:t>
      </w:r>
      <w:r>
        <w:rPr>
          <w:rFonts w:hint="eastAsia" w:ascii="宋体" w:hAnsi="宋体" w:eastAsia="宋体" w:cs="宋体"/>
          <w:color w:val="auto"/>
          <w:sz w:val="24"/>
          <w:szCs w:val="24"/>
          <w:highlight w:val="none"/>
          <w:u w:val="singl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 xml:space="preserve">种方式预留部分采购份额采购中小企业服务：</w:t>
      </w:r>
      <w:r/>
    </w:p>
    <w:p>
      <w:pPr>
        <w:ind w:firstLine="48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fldChar w:fldCharType="begin"/>
      </w:r>
      <w:r>
        <w:rPr>
          <w:rFonts w:hint="eastAsia" w:ascii="宋体" w:hAnsi="宋体" w:eastAsia="宋体" w:cs="宋体"/>
          <w:color w:val="auto"/>
          <w:sz w:val="24"/>
          <w:szCs w:val="24"/>
          <w:highlight w:val="none"/>
          <w:shd w:val="clear" w:color="auto" w:fill="ffffff"/>
          <w:lang w:bidi="ar"/>
        </w:rPr>
        <w:instrText xml:space="preserve"> = 1 \* GB3 \* MERGEFORMAT </w:instrText>
      </w:r>
      <w:r>
        <w:rPr>
          <w:rFonts w:hint="eastAsia" w:ascii="宋体" w:hAnsi="宋体" w:eastAsia="宋体" w:cs="宋体"/>
          <w:color w:val="auto"/>
          <w:sz w:val="24"/>
          <w:szCs w:val="24"/>
          <w:highlight w:val="none"/>
          <w:shd w:val="clear" w:color="auto" w:fill="ffffff"/>
          <w:lang w:bidi="ar"/>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shd w:val="clear" w:color="auto" w:fill="ffffff"/>
          <w:lang w:bidi="ar"/>
        </w:rPr>
        <w:fldChar w:fldCharType="end"/>
      </w:r>
      <w:r>
        <w:rPr>
          <w:rFonts w:hint="eastAsia" w:ascii="宋体" w:hAnsi="宋体" w:eastAsia="宋体" w:cs="宋体"/>
          <w:color w:val="auto"/>
          <w:sz w:val="24"/>
          <w:szCs w:val="24"/>
          <w:highlight w:val="none"/>
          <w:shd w:val="clear" w:color="auto" w:fill="ffffff"/>
          <w:lang w:bidi="ar"/>
        </w:rPr>
        <w:t xml:space="preserve">本项目要求</w:t>
      </w:r>
      <w:r>
        <w:rPr>
          <w:rFonts w:hint="eastAsia" w:ascii="宋体" w:hAnsi="宋体" w:eastAsia="宋体" w:cs="宋体"/>
          <w:color w:val="auto"/>
          <w:sz w:val="24"/>
          <w:szCs w:val="24"/>
          <w:highlight w:val="none"/>
          <w:shd w:val="clear" w:color="auto" w:fill="ffffff"/>
          <w:lang w:eastAsia="zh-CN" w:bidi="ar"/>
        </w:rPr>
        <w:t xml:space="preserve">投标人</w:t>
      </w:r>
      <w:r>
        <w:rPr>
          <w:rFonts w:hint="eastAsia" w:ascii="宋体" w:hAnsi="宋体" w:eastAsia="宋体" w:cs="宋体"/>
          <w:color w:val="auto"/>
          <w:sz w:val="24"/>
          <w:szCs w:val="24"/>
          <w:highlight w:val="none"/>
          <w:shd w:val="clear" w:color="auto" w:fill="ffffff"/>
          <w:lang w:bidi="ar"/>
        </w:rPr>
        <w:t xml:space="preserve">以联合体形式参加，中小企业合同金额应当达到的比例为</w:t>
      </w:r>
      <w:r>
        <w:rPr>
          <w:rFonts w:hint="eastAsia" w:ascii="宋体" w:hAnsi="宋体" w:eastAsia="宋体" w:cs="宋体"/>
          <w:color w:val="auto"/>
          <w:sz w:val="24"/>
          <w:szCs w:val="24"/>
          <w:highlight w:val="none"/>
          <w:u w:val="singl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 xml:space="preserve">，其中小微企业所占比例应为</w:t>
      </w:r>
      <w:r>
        <w:rPr>
          <w:rFonts w:hint="eastAsia" w:ascii="宋体" w:hAnsi="宋体" w:eastAsia="宋体" w:cs="宋体"/>
          <w:color w:val="auto"/>
          <w:sz w:val="24"/>
          <w:szCs w:val="24"/>
          <w:highlight w:val="none"/>
          <w:u w:val="singl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 xml:space="preserve">（两项比例均应符合《政府采购促进中小企业发展管理办法》第八条规定）。</w:t>
      </w:r>
      <w:r/>
    </w:p>
    <w:p>
      <w:pPr>
        <w:ind w:firstLine="48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fldChar w:fldCharType="begin"/>
      </w:r>
      <w:r>
        <w:rPr>
          <w:rFonts w:hint="eastAsia" w:ascii="宋体" w:hAnsi="宋体" w:eastAsia="宋体" w:cs="宋体"/>
          <w:color w:val="auto"/>
          <w:sz w:val="24"/>
          <w:szCs w:val="24"/>
          <w:highlight w:val="none"/>
          <w:shd w:val="clear" w:color="auto" w:fill="ffffff"/>
          <w:lang w:bidi="ar"/>
        </w:rPr>
        <w:instrText xml:space="preserve"> = 2 \* GB3 \* MERGEFORMAT </w:instrText>
      </w:r>
      <w:r>
        <w:rPr>
          <w:rFonts w:hint="eastAsia" w:ascii="宋体" w:hAnsi="宋体" w:eastAsia="宋体" w:cs="宋体"/>
          <w:color w:val="auto"/>
          <w:sz w:val="24"/>
          <w:szCs w:val="24"/>
          <w:highlight w:val="none"/>
          <w:shd w:val="clear" w:color="auto" w:fill="ffffff"/>
          <w:lang w:bidi="ar"/>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shd w:val="clear" w:color="auto" w:fill="ffffff"/>
          <w:lang w:bidi="ar"/>
        </w:rPr>
        <w:fldChar w:fldCharType="end"/>
      </w:r>
      <w:r>
        <w:rPr>
          <w:rFonts w:hint="eastAsia" w:ascii="宋体" w:hAnsi="宋体" w:eastAsia="宋体" w:cs="宋体"/>
          <w:color w:val="auto"/>
          <w:sz w:val="24"/>
          <w:szCs w:val="24"/>
          <w:highlight w:val="none"/>
          <w:shd w:val="clear" w:color="auto" w:fill="ffffff"/>
          <w:lang w:bidi="ar"/>
        </w:rPr>
        <w:t xml:space="preserve">本项目要求</w:t>
      </w:r>
      <w:r>
        <w:rPr>
          <w:rFonts w:hint="eastAsia" w:ascii="宋体" w:hAnsi="宋体" w:eastAsia="宋体" w:cs="宋体"/>
          <w:color w:val="auto"/>
          <w:sz w:val="24"/>
          <w:szCs w:val="24"/>
          <w:highlight w:val="none"/>
          <w:shd w:val="clear" w:color="auto" w:fill="ffffff"/>
          <w:lang w:eastAsia="zh-CN" w:bidi="ar"/>
        </w:rPr>
        <w:t xml:space="preserve">投标人</w:t>
      </w:r>
      <w:r>
        <w:rPr>
          <w:rFonts w:hint="eastAsia" w:ascii="宋体" w:hAnsi="宋体" w:eastAsia="宋体" w:cs="宋体"/>
          <w:color w:val="auto"/>
          <w:sz w:val="24"/>
          <w:szCs w:val="24"/>
          <w:highlight w:val="none"/>
          <w:shd w:val="clear" w:color="auto" w:fill="ffffff"/>
          <w:lang w:bidi="ar"/>
        </w:rPr>
        <w:t xml:space="preserve">进行合同分包，中小企业合同金额应当达到的比例为</w:t>
      </w:r>
      <w:r>
        <w:rPr>
          <w:rFonts w:hint="eastAsia" w:ascii="宋体" w:hAnsi="宋体" w:eastAsia="宋体" w:cs="宋体"/>
          <w:color w:val="auto"/>
          <w:sz w:val="24"/>
          <w:szCs w:val="24"/>
          <w:highlight w:val="none"/>
          <w:u w:val="singl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 xml:space="preserve">，其中小微企业所占比例应为</w:t>
      </w:r>
      <w:r>
        <w:rPr>
          <w:rFonts w:hint="eastAsia" w:ascii="宋体" w:hAnsi="宋体" w:eastAsia="宋体" w:cs="宋体"/>
          <w:color w:val="auto"/>
          <w:sz w:val="24"/>
          <w:szCs w:val="24"/>
          <w:highlight w:val="none"/>
          <w:u w:val="single"/>
          <w:shd w:val="clear" w:color="auto" w:fill="ffffff"/>
          <w:lang w:bidi="ar"/>
        </w:rPr>
        <w:t xml:space="preserve"> %</w:t>
      </w:r>
      <w:r>
        <w:rPr>
          <w:rFonts w:hint="eastAsia" w:ascii="宋体" w:hAnsi="宋体" w:eastAsia="宋体" w:cs="宋体"/>
          <w:color w:val="auto"/>
          <w:sz w:val="24"/>
          <w:szCs w:val="24"/>
          <w:highlight w:val="none"/>
          <w:shd w:val="clear" w:color="auto" w:fill="ffffff"/>
          <w:lang w:bidi="ar"/>
        </w:rPr>
        <w:t xml:space="preserve">（两项比例均应符合《政府采购促进中小企业发展管理办法》第八条规定）。</w:t>
      </w:r>
      <w:r/>
    </w:p>
    <w:p>
      <w:pPr>
        <w:numPr>
          <w:ilvl w:val="0"/>
          <w:numId w:val="7"/>
        </w:numPr>
        <w:ind w:firstLine="48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本</w:t>
      </w:r>
      <w:r>
        <w:rPr>
          <w:rFonts w:hint="eastAsia" w:ascii="宋体" w:hAnsi="宋体" w:eastAsia="宋体" w:cs="宋体"/>
          <w:color w:val="auto"/>
          <w:sz w:val="24"/>
          <w:szCs w:val="24"/>
          <w:highlight w:val="none"/>
          <w:shd w:val="clear" w:color="auto" w:fill="ffffff"/>
          <w:lang w:bidi="ar"/>
        </w:rPr>
        <w:t xml:space="preserve">项目</w:t>
      </w:r>
      <w:r>
        <w:rPr>
          <w:rFonts w:hint="eastAsia" w:ascii="宋体" w:hAnsi="宋体" w:eastAsia="宋体" w:cs="宋体"/>
          <w:color w:val="auto"/>
          <w:sz w:val="24"/>
          <w:szCs w:val="24"/>
          <w:highlight w:val="none"/>
          <w:shd w:val="clear" w:color="auto" w:fill="ffffff"/>
          <w:lang w:val="en-US" w:eastAsia="zh-CN" w:bidi="ar"/>
        </w:rPr>
        <w:t xml:space="preserve">为</w:t>
      </w:r>
      <w:r>
        <w:rPr>
          <w:rFonts w:hint="eastAsia" w:ascii="宋体" w:hAnsi="宋体" w:eastAsia="宋体" w:cs="宋体"/>
          <w:color w:val="auto"/>
          <w:sz w:val="24"/>
          <w:szCs w:val="24"/>
          <w:highlight w:val="none"/>
          <w:shd w:val="clear" w:color="auto" w:fill="ffffff"/>
          <w:lang w:bidi="ar"/>
        </w:rPr>
        <w:t xml:space="preserve">非预留份额的采购项目，对小微企业报价给予</w:t>
      </w:r>
      <w:r>
        <w:rPr>
          <w:rFonts w:hint="eastAsia" w:ascii="宋体" w:hAnsi="宋体" w:eastAsia="宋体" w:cs="宋体"/>
          <w:color w:val="auto"/>
          <w:sz w:val="24"/>
          <w:szCs w:val="24"/>
          <w:highlight w:val="none"/>
          <w:shd w:val="clear" w:color="auto" w:fill="ffffff"/>
          <w:lang w:val="en-US" w:eastAsia="zh-CN" w:bidi="ar"/>
        </w:rPr>
        <w:t xml:space="preserve">20%价格</w:t>
      </w:r>
      <w:r>
        <w:rPr>
          <w:rFonts w:hint="eastAsia" w:ascii="宋体" w:hAnsi="宋体" w:eastAsia="宋体" w:cs="宋体"/>
          <w:color w:val="auto"/>
          <w:sz w:val="24"/>
          <w:szCs w:val="24"/>
          <w:highlight w:val="none"/>
          <w:shd w:val="clear" w:color="auto" w:fill="ffffff"/>
          <w:lang w:bidi="ar"/>
        </w:rPr>
        <w:t xml:space="preserve">扣除，用扣除后的价格参加评审。</w:t>
      </w:r>
      <w:r/>
    </w:p>
    <w:p>
      <w:pPr>
        <w:ind w:firstLine="480"/>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）采购人根据采购项目的特别要求，规定投标人还须具备的条件：</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具有在有效期内的营业执照副本、税务登记证副本、组织机构代码证副本或三证合一的营业执照；</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提供法定代表人资格证明或法定代表人授权委托书（被授权人必须提供</w:t>
      </w:r>
      <w:r>
        <w:rPr>
          <w:rFonts w:hint="eastAsia" w:ascii="宋体" w:hAnsi="宋体" w:eastAsia="宋体" w:cs="宋体"/>
          <w:color w:val="auto"/>
          <w:sz w:val="24"/>
          <w:szCs w:val="24"/>
          <w:highlight w:val="none"/>
          <w:lang w:val="en-US" w:eastAsia="zh-CN"/>
        </w:rPr>
        <w:t xml:space="preserve">开标前六</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由人社部门出具的由本单位缴纳的养老保险证明）；</w:t>
      </w:r>
      <w:r/>
    </w:p>
    <w:p>
      <w:pPr>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拒绝下述条件的投标人参加本次采购活动:</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1、投标人单位负责人为同一人或者存在直接控股、管理关系的不同投标人，不得同时参加同一合同项下的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采购活动。</w:t>
      </w:r>
      <w:r/>
    </w:p>
    <w:p>
      <w:pPr>
        <w:ind w:firstLine="480"/>
        <w:keepLines w:val="0"/>
        <w:keepNext w:val="0"/>
        <w:pageBreakBefore w:val="0"/>
        <w:spacing w:line="348" w:lineRule="auto"/>
        <w:rPr>
          <w:rFonts w:hint="eastAsia" w:ascii="宋体" w:hAnsi="宋体" w:eastAsia="宋体" w:cs="宋体"/>
          <w:b/>
          <w:i/>
          <w:color w:val="auto"/>
          <w:sz w:val="24"/>
          <w:szCs w:val="24"/>
          <w:highlight w:val="none"/>
        </w:rPr>
      </w:pPr>
      <w:r>
        <w:rPr>
          <w:rFonts w:hint="eastAsia" w:ascii="宋体" w:hAnsi="宋体" w:eastAsia="宋体" w:cs="宋体"/>
          <w:color w:val="auto"/>
          <w:sz w:val="24"/>
          <w:szCs w:val="24"/>
          <w:highlight w:val="none"/>
        </w:rPr>
        <w:t xml:space="preserve">2、凡为采购项目提供整体设计、规范编制或者项目管理、监理、检测等服务的投标人，不得再参加本项目的采购活动。</w:t>
      </w:r>
      <w:r/>
    </w:p>
    <w:p>
      <w:pPr>
        <w:ind w:firstLine="480"/>
        <w:keepLines w:val="0"/>
        <w:keepNext w:val="0"/>
        <w:pageBreakBefore w:val="0"/>
        <w:spacing w:line="34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3、投标人被“信用中国”网站列入失信被执行人、重大税收违法失信主体、政府采购严重违法失信行为记录名单</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被“中国政府采购网”政府采购严重违法失信行为记录名单；</w:t>
      </w:r>
      <w:r/>
    </w:p>
    <w:p>
      <w:pPr>
        <w:ind w:firstLine="482"/>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注:资质审查时要求提供的资格证明文件详见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招标</w:t>
      </w:r>
      <w:r>
        <w:rPr>
          <w:rFonts w:hint="eastAsia" w:ascii="宋体" w:hAnsi="宋体" w:eastAsia="宋体" w:cs="宋体"/>
          <w:b/>
          <w:bCs/>
          <w:color w:val="000000" w:themeColor="text1"/>
          <w:sz w:val="24"/>
          <w:szCs w:val="24"/>
          <w:highlight w:val="none"/>
          <w14:textFill>
            <w14:solidFill>
              <w14:schemeClr w14:val="tx1"/>
            </w14:solidFill>
          </w14:textFill>
        </w:rPr>
        <w:t xml:space="preserve">文</w:t>
      </w:r>
      <w:r>
        <w:rPr>
          <w:rFonts w:hint="eastAsia" w:ascii="宋体" w:hAnsi="宋体" w:eastAsia="宋体" w:cs="宋体"/>
          <w:b/>
          <w:bCs/>
          <w:color w:val="auto"/>
          <w:sz w:val="24"/>
          <w:szCs w:val="24"/>
          <w:highlight w:val="none"/>
        </w:rPr>
        <w:t xml:space="preserve">件第</w:t>
      </w: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章第</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部分。</w:t>
      </w:r>
      <w:r/>
    </w:p>
    <w:p>
      <w:pPr>
        <w:ind w:firstLine="48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4"/>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时间:自招标文件公告发布之日起5个工作日。</w:t>
      </w:r>
      <w:r/>
    </w:p>
    <w:p>
      <w:pPr>
        <w:ind w:right="0" w:firstLine="480"/>
        <w:jc w:val="both"/>
        <w:keepLines w:val="0"/>
        <w:keepNext w:val="0"/>
        <w:pageBreakBefore w:val="0"/>
        <w:spacing w:before="0" w:after="0" w:line="34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获取方式:在“淮安市政府采购网”自行免费下载招标文件。</w:t>
      </w:r>
      <w:r/>
    </w:p>
    <w:p>
      <w:pPr>
        <w:ind w:firstLine="48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keepLines w:val="0"/>
        <w:keepNext w:val="0"/>
        <w:pageBreakBefore w:val="0"/>
        <w:spacing w:line="348"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投标文件提交截止时间及开标时间:</w:t>
      </w:r>
      <w:r>
        <w:rPr>
          <w:rFonts w:hint="eastAsia" w:ascii="宋体" w:hAnsi="宋体" w:eastAsia="宋体" w:cs="宋体"/>
          <w:b w:val="0"/>
          <w:bCs w:val="0"/>
          <w:color w:val="auto"/>
          <w:sz w:val="24"/>
          <w:szCs w:val="22"/>
          <w:highlight w:val="none"/>
          <w:u w:val="none"/>
        </w:rPr>
        <w:t xml:space="preserve">202</w:t>
      </w:r>
      <w:r>
        <w:rPr>
          <w:rFonts w:hint="eastAsia" w:ascii="宋体" w:hAnsi="宋体" w:eastAsia="宋体" w:cs="宋体"/>
          <w:b w:val="0"/>
          <w:bCs w:val="0"/>
          <w:color w:val="auto"/>
          <w:sz w:val="24"/>
          <w:szCs w:val="22"/>
          <w:highlight w:val="none"/>
          <w:u w:val="none"/>
          <w:lang w:val="en-US" w:eastAsia="zh-CN"/>
        </w:rPr>
        <w:t xml:space="preserve">4</w:t>
      </w:r>
      <w:r>
        <w:rPr>
          <w:rFonts w:hint="eastAsia" w:ascii="宋体" w:hAnsi="宋体" w:eastAsia="宋体" w:cs="宋体"/>
          <w:b w:val="0"/>
          <w:bCs w:val="0"/>
          <w:color w:val="auto"/>
          <w:sz w:val="24"/>
          <w:szCs w:val="22"/>
          <w:highlight w:val="none"/>
          <w:u w:val="none"/>
        </w:rPr>
        <w:t xml:space="preserve">年</w:t>
      </w:r>
      <w:r>
        <w:rPr>
          <w:rFonts w:hint="eastAsia" w:ascii="宋体" w:hAnsi="宋体" w:eastAsia="宋体" w:cs="宋体"/>
          <w:b w:val="0"/>
          <w:bCs w:val="0"/>
          <w:color w:val="auto"/>
          <w:sz w:val="24"/>
          <w:szCs w:val="22"/>
          <w:highlight w:val="none"/>
          <w:u w:val="none"/>
          <w:lang w:val="en-US" w:eastAsia="zh-CN"/>
        </w:rPr>
        <w:t xml:space="preserve">1</w:t>
      </w:r>
      <w:r>
        <w:rPr>
          <w:rFonts w:hint="eastAsia" w:ascii="宋体" w:hAnsi="宋体" w:cs="宋体"/>
          <w:b w:val="0"/>
          <w:bCs w:val="0"/>
          <w:color w:val="auto"/>
          <w:sz w:val="24"/>
          <w:szCs w:val="22"/>
          <w:highlight w:val="none"/>
          <w:u w:val="none"/>
          <w:lang w:val="en-US" w:eastAsia="zh-CN"/>
        </w:rPr>
        <w:t xml:space="preserve">2</w:t>
      </w:r>
      <w:r>
        <w:rPr>
          <w:rFonts w:hint="eastAsia" w:ascii="宋体" w:hAnsi="宋体" w:eastAsia="宋体" w:cs="宋体"/>
          <w:b w:val="0"/>
          <w:bCs w:val="0"/>
          <w:color w:val="auto"/>
          <w:sz w:val="24"/>
          <w:szCs w:val="22"/>
          <w:highlight w:val="none"/>
          <w:u w:val="none"/>
        </w:rPr>
        <w:t xml:space="preserve">月</w:t>
      </w:r>
      <w:r>
        <w:rPr>
          <w:rFonts w:hint="eastAsia" w:ascii="宋体" w:hAnsi="宋体" w:cs="宋体"/>
          <w:b w:val="0"/>
          <w:bCs w:val="0"/>
          <w:color w:val="auto"/>
          <w:sz w:val="24"/>
          <w:szCs w:val="22"/>
          <w:highlight w:val="none"/>
          <w:u w:val="none"/>
          <w:lang w:val="en-US" w:eastAsia="zh-CN"/>
        </w:rPr>
        <w:t xml:space="preserve">6</w:t>
      </w:r>
      <w:r>
        <w:rPr>
          <w:rFonts w:hint="eastAsia" w:ascii="宋体" w:hAnsi="宋体" w:eastAsia="宋体" w:cs="宋体"/>
          <w:b w:val="0"/>
          <w:bCs w:val="0"/>
          <w:color w:val="auto"/>
          <w:sz w:val="24"/>
          <w:szCs w:val="22"/>
          <w:highlight w:val="none"/>
          <w:u w:val="none"/>
        </w:rPr>
        <w:t xml:space="preserve">日</w:t>
      </w:r>
      <w:r>
        <w:rPr>
          <w:rFonts w:hint="eastAsia" w:ascii="宋体" w:hAnsi="宋体" w:eastAsia="宋体" w:cs="宋体"/>
          <w:b w:val="0"/>
          <w:bCs w:val="0"/>
          <w:color w:val="auto"/>
          <w:sz w:val="24"/>
          <w:szCs w:val="22"/>
          <w:highlight w:val="none"/>
          <w:u w:val="none"/>
          <w:lang w:eastAsia="zh-CN"/>
        </w:rPr>
        <w:t xml:space="preserve">上午</w:t>
      </w:r>
      <w:r>
        <w:rPr>
          <w:rFonts w:hint="eastAsia" w:ascii="宋体" w:hAnsi="宋体" w:eastAsia="宋体" w:cs="宋体"/>
          <w:b w:val="0"/>
          <w:bCs w:val="0"/>
          <w:color w:val="auto"/>
          <w:sz w:val="24"/>
          <w:szCs w:val="22"/>
          <w:highlight w:val="none"/>
          <w:u w:val="none"/>
          <w:lang w:val="en-US" w:eastAsia="zh-CN"/>
        </w:rPr>
        <w:t xml:space="preserve">09:00</w:t>
      </w:r>
      <w:r>
        <w:rPr>
          <w:rFonts w:hint="eastAsia" w:ascii="宋体" w:hAnsi="宋体" w:eastAsia="宋体" w:cs="宋体"/>
          <w:b w:val="0"/>
          <w:bCs w:val="0"/>
          <w:color w:val="auto"/>
          <w:sz w:val="24"/>
          <w:szCs w:val="22"/>
          <w:highlight w:val="none"/>
          <w:u w:val="none"/>
        </w:rPr>
        <w:t xml:space="preserve">分</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开标地点:</w:t>
      </w:r>
      <w:r>
        <w:rPr>
          <w:rFonts w:hint="eastAsia" w:ascii="宋体" w:hAnsi="宋体" w:eastAsia="宋体" w:cs="宋体"/>
          <w:color w:val="auto"/>
          <w:sz w:val="24"/>
          <w:highlight w:val="none"/>
        </w:rPr>
        <w:t xml:space="preserve">淮安市公共资源交易中心洪泽分中心一楼</w:t>
      </w:r>
      <w:r>
        <w:rPr>
          <w:rFonts w:hint="eastAsia" w:ascii="宋体" w:hAnsi="宋体" w:cs="宋体"/>
          <w:color w:val="auto"/>
          <w:sz w:val="24"/>
          <w:highlight w:val="none"/>
          <w:u w:val="single"/>
          <w:lang w:val="en-US" w:eastAsia="zh-CN"/>
        </w:rPr>
        <w:t xml:space="preserve">不见面</w:t>
      </w:r>
      <w:r>
        <w:rPr>
          <w:rFonts w:hint="eastAsia" w:ascii="宋体" w:hAnsi="宋体" w:eastAsia="宋体" w:cs="宋体"/>
          <w:color w:val="auto"/>
          <w:sz w:val="24"/>
          <w:highlight w:val="none"/>
          <w:lang w:eastAsia="zh-CN"/>
        </w:rPr>
        <w:t xml:space="preserve">开标室（</w:t>
      </w:r>
      <w:r>
        <w:rPr>
          <w:rFonts w:hint="eastAsia" w:ascii="宋体" w:hAnsi="宋体" w:eastAsia="宋体" w:cs="宋体"/>
          <w:color w:val="auto"/>
          <w:sz w:val="24"/>
          <w:szCs w:val="24"/>
          <w:highlight w:val="none"/>
        </w:rPr>
        <w:t xml:space="preserve">“苏采云”政府采购交易系统网上开标大厅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7"/>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4"/>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8"/>
        </w:numPr>
        <w:ind w:firstLine="487"/>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其他补充事宜：</w:t>
      </w:r>
      <w:r/>
    </w:p>
    <w:p>
      <w:pPr>
        <w:numPr>
          <w:ilvl w:val="0"/>
          <w:numId w:val="0"/>
        </w:num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本项目仅采购非进口产品（注:本文件所称进口产品是指通过中国海关报关验放进入中国境内且产自关境外的产品）。</w:t>
      </w:r>
      <w:r/>
    </w:p>
    <w:p>
      <w:pPr>
        <w:ind w:firstLine="487"/>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lang w:eastAsia="zh-CN"/>
        </w:rPr>
        <w:t xml:space="preserve">淮安市洪泽区民政局</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联系</w:t>
      </w:r>
      <w:r>
        <w:rPr>
          <w:rFonts w:hint="eastAsia" w:ascii="宋体" w:hAnsi="宋体" w:eastAsia="宋体" w:cs="宋体"/>
          <w:color w:val="auto"/>
          <w:sz w:val="24"/>
          <w:szCs w:val="22"/>
          <w:highlight w:val="none"/>
        </w:rPr>
        <w:t xml:space="preserve">地址：淮安市</w:t>
      </w:r>
      <w:r>
        <w:rPr>
          <w:rFonts w:hint="eastAsia" w:ascii="宋体" w:hAnsi="宋体" w:eastAsia="宋体" w:cs="宋体"/>
          <w:color w:val="auto"/>
          <w:sz w:val="24"/>
          <w:szCs w:val="22"/>
          <w:highlight w:val="none"/>
          <w:lang w:eastAsia="zh-CN"/>
        </w:rPr>
        <w:t xml:space="preserve">洪泽区</w:t>
      </w:r>
      <w:r>
        <w:rPr>
          <w:rFonts w:hint="eastAsia" w:ascii="宋体" w:hAnsi="宋体" w:eastAsia="宋体" w:cs="宋体"/>
          <w:color w:val="auto"/>
          <w:sz w:val="24"/>
          <w:szCs w:val="22"/>
          <w:highlight w:val="none"/>
          <w:lang w:val="en-US" w:eastAsia="zh-CN"/>
        </w:rPr>
        <w:t xml:space="preserve">大庆南路57号</w:t>
      </w:r>
      <w:r>
        <w:rPr>
          <w:rFonts w:hint="eastAsia" w:ascii="宋体" w:hAnsi="宋体" w:eastAsia="宋体" w:cs="宋体"/>
          <w:color w:val="auto"/>
          <w:sz w:val="24"/>
          <w:szCs w:val="22"/>
          <w:highlight w:val="none"/>
        </w:rPr>
        <w:t xml:space="preserve">　　　　　　　　　</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联系方式</w:t>
      </w:r>
      <w:r>
        <w:rPr>
          <w:rFonts w:hint="eastAsia" w:ascii="宋体" w:hAnsi="宋体" w:eastAsia="宋体" w:cs="宋体"/>
          <w:color w:val="auto"/>
          <w:sz w:val="24"/>
          <w:szCs w:val="22"/>
          <w:highlight w:val="none"/>
        </w:rPr>
        <w:t xml:space="preserve">：</w:t>
      </w:r>
      <w:r>
        <w:rPr>
          <w:rFonts w:hint="eastAsia" w:ascii="宋体" w:hAnsi="宋体"/>
          <w:sz w:val="24"/>
          <w:lang w:val="en-US" w:eastAsia="zh-CN"/>
        </w:rPr>
        <w:t xml:space="preserve">梁国松</w:t>
      </w:r>
      <w:r>
        <w:rPr>
          <w:rFonts w:hint="eastAsia" w:ascii="宋体" w:hAnsi="宋体" w:eastAsia="宋体" w:cs="宋体"/>
          <w:color w:val="auto"/>
          <w:sz w:val="24"/>
          <w:szCs w:val="22"/>
          <w:highlight w:val="none"/>
          <w:lang w:val="en-US" w:eastAsia="zh-CN"/>
        </w:rPr>
        <w:t xml:space="preserve">        电话：</w:t>
      </w:r>
      <w:r>
        <w:rPr>
          <w:rFonts w:hint="eastAsia" w:ascii="宋体" w:hAnsi="宋体" w:eastAsia="宋体" w:cs="宋体"/>
          <w:i w:val="0"/>
          <w:iCs w:val="0"/>
          <w:caps w:val="0"/>
          <w:color w:val="auto"/>
          <w:spacing w:val="0"/>
          <w:sz w:val="24"/>
          <w:szCs w:val="24"/>
          <w:highlight w:val="none"/>
          <w:shd w:val="clear" w:color="auto" w:fill="ffffff"/>
        </w:rPr>
        <w:t xml:space="preserve">0517-87223695</w:t>
      </w:r>
      <w:r/>
    </w:p>
    <w:p>
      <w:pPr>
        <w:ind w:firstLine="484"/>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采购代理机构信息</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称：江苏嘉华工程咨询有限公司　　　　　　　　　　　　</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淮安市洪泽区丽景花园</w:t>
      </w:r>
      <w:r>
        <w:rPr>
          <w:rFonts w:hint="eastAsia" w:ascii="宋体" w:hAnsi="宋体" w:eastAsia="宋体" w:cs="宋体"/>
          <w:color w:val="auto"/>
          <w:sz w:val="24"/>
          <w:szCs w:val="24"/>
          <w:highlight w:val="none"/>
          <w:lang w:val="en-US" w:eastAsia="zh-CN"/>
        </w:rPr>
        <w:t xml:space="preserve">9-103号</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华工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18852350018</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rPr>
      </w:pPr>
      <w:r/>
      <w:bookmarkStart w:id="0" w:name="_Toc28359021"/>
      <w:r/>
      <w:bookmarkStart w:id="1" w:name="_Toc28359098"/>
      <w:r/>
      <w:bookmarkStart w:id="2" w:name="_Toc35393808"/>
      <w:r/>
      <w:bookmarkStart w:id="3" w:name="_Toc35393639"/>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项目联系方式</w:t>
      </w:r>
      <w:bookmarkEnd w:id="0"/>
      <w:r/>
      <w:bookmarkEnd w:id="1"/>
      <w:r/>
      <w:bookmarkEnd w:id="2"/>
      <w:r/>
      <w:bookmarkEnd w:id="3"/>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华工</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lang w:val="en-US" w:eastAsia="zh-CN"/>
        </w:rPr>
        <w:t xml:space="preserve">18852350018</w:t>
      </w:r>
      <w:r>
        <w:rPr>
          <w:rFonts w:hint="eastAsia" w:ascii="宋体" w:hAnsi="宋体" w:eastAsia="宋体" w:cs="宋体"/>
          <w:color w:val="auto"/>
          <w:sz w:val="24"/>
          <w:szCs w:val="24"/>
          <w:highlight w:val="none"/>
        </w:rPr>
        <w:t xml:space="preserve">　　　　　　</w:t>
      </w:r>
      <w:r/>
    </w:p>
    <w:p>
      <w:pPr>
        <w:numPr>
          <w:ilvl w:val="0"/>
          <w:numId w:val="0"/>
        </w:numPr>
        <w:ind w:right="0"/>
        <w:jc w:val="both"/>
        <w:keepLines w:val="0"/>
        <w:keepNext w:val="0"/>
        <w:pageBreakBefore w:val="0"/>
        <w:spacing w:before="145" w:after="145" w:line="348"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w:t>
      </w:r>
      <w:r/>
    </w:p>
    <w:p>
      <w:pPr>
        <w:ind w:firstLine="44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11"/>
          <w:sz w:val="24"/>
          <w:szCs w:val="24"/>
          <w:highlight w:val="none"/>
          <w:lang w:eastAsia="zh-CN"/>
        </w:rPr>
        <w:t xml:space="preserve">、</w:t>
      </w:r>
      <w:r>
        <w:rPr>
          <w:rFonts w:hint="eastAsia" w:ascii="宋体" w:hAnsi="宋体" w:eastAsia="宋体" w:cs="宋体"/>
          <w:color w:val="auto"/>
          <w:spacing w:val="-11"/>
          <w:sz w:val="24"/>
          <w:szCs w:val="24"/>
          <w:highlight w:val="none"/>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w:t>
      </w:r>
      <w:r>
        <w:rPr>
          <w:rFonts w:hint="eastAsia" w:ascii="宋体" w:hAnsi="宋体" w:eastAsia="宋体" w:cs="宋体"/>
          <w:color w:val="auto"/>
          <w:spacing w:val="-23"/>
          <w:sz w:val="24"/>
          <w:szCs w:val="24"/>
          <w:highlight w:val="none"/>
        </w:rPr>
        <w:t xml:space="preserve">具体办理指南和操作手册见链接：http://www.ccgp-jiangsu.gov.cn/jiangsu/zlxz/ee/ee3a4bc5a3454aa2b0d9312230633ce9.html。</w:t>
      </w:r>
      <w:r/>
    </w:p>
    <w:p>
      <w:pPr>
        <w:ind w:firstLine="484"/>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4"/>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有关本次招标的事项若存在变动或修改，敬请及时关注淮安市政府采购中心在“淮安市政府采购网”发布的更正公告。</w:t>
      </w:r>
      <w:r/>
    </w:p>
    <w:p>
      <w:pPr>
        <w:ind w:firstLine="484"/>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本次招标不收取投标保证金。</w:t>
      </w:r>
      <w:r/>
    </w:p>
    <w:p>
      <w:pPr>
        <w:jc w:val="center"/>
        <w:pageBreakBefore/>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第二章  投标人须知</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一、总则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1.适用</w:t>
      </w:r>
      <w:r>
        <w:rPr>
          <w:rFonts w:hint="eastAsia" w:ascii="宋体" w:hAnsi="宋体" w:eastAsia="宋体" w:cs="宋体"/>
          <w:color w:val="auto"/>
          <w:sz w:val="24"/>
          <w:szCs w:val="24"/>
          <w:highlight w:val="none"/>
          <w:lang w:eastAsia="zh-CN"/>
        </w:rPr>
        <w:t xml:space="preserve">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本招标文件仅适用于本次投标邀请中所述项目的采购。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2.合格的投标人</w:t>
      </w:r>
      <w:r/>
    </w:p>
    <w:p>
      <w:pPr>
        <w:ind w:firstLine="5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满足第一章投标邀请中投标人资格要求的规定。 </w:t>
      </w:r>
      <w:r/>
    </w:p>
    <w:p>
      <w:pPr>
        <w:ind w:firstLine="5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满足招标文件中实质性条款的规定。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《中华人民共和国政府采购法》、《中华人民共和国政府采购法实施条例》、《政府采购货物和服务招标投标管理办法》等有关法律、规章和规定等。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r/>
    </w:p>
    <w:p>
      <w:pPr>
        <w:ind w:firstLine="5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4.1投标人应自行承担所有与参加投标有关的费用。不论投标的结果如何，</w:t>
      </w:r>
      <w:r>
        <w:rPr>
          <w:rFonts w:hint="eastAsia" w:ascii="宋体" w:hAnsi="宋体" w:eastAsia="宋体" w:cs="宋体"/>
          <w:color w:val="auto"/>
          <w:sz w:val="24"/>
          <w:szCs w:val="24"/>
          <w:highlight w:val="none"/>
          <w:lang w:eastAsia="zh-CN"/>
        </w:rPr>
        <w:t xml:space="preserve">淮安市洪泽区民政局（以下简称采购人）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江苏嘉华工程咨询有限公司（以下简称采购代理机构）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55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4.2招标服务费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成交价1.5%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此项费用含在投标报价中，无需单独立项，由中标单位在中标公示结束后两日内支付给采购代理机构</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5.4合同格式及条款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5.5项目采购需求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5.6投标文件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6.1任何要求对招标文件进行澄清的投标人，均应在投标截止时间十日前通过以书面形式通知采购人和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对投标截止时间前十日收到的任何澄清要求将以书面形式予以答复（邮寄或传真）。由于投标人所留联系方式有问题而导致采购人和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无法通知的，其责任由投标人自行承担（逾期递交对招标文件要求进行澄清的采购人将不予收理）。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7.招标文件的更正或补充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7.1在投标截止时间十五日前，采购人可主动或在解答投标人提出的澄清问题时对招标文件用更正公告的方式进行修正。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7.2对招标文件的更正将在</w:t>
      </w:r>
      <w:r>
        <w:rPr>
          <w:rFonts w:hint="eastAsia" w:ascii="宋体" w:hAnsi="宋体" w:eastAsia="宋体" w:cs="宋体"/>
          <w:color w:val="auto"/>
          <w:sz w:val="24"/>
          <w:szCs w:val="24"/>
          <w:highlight w:val="none"/>
          <w:lang w:eastAsia="zh-CN"/>
        </w:rPr>
        <w:t xml:space="preserve">淮安市政府采购网</w:t>
      </w:r>
      <w:r>
        <w:rPr>
          <w:rFonts w:hint="eastAsia" w:ascii="宋体" w:hAnsi="宋体" w:eastAsia="宋体" w:cs="宋体"/>
          <w:color w:val="auto"/>
          <w:sz w:val="24"/>
          <w:szCs w:val="24"/>
          <w:highlight w:val="none"/>
        </w:rPr>
        <w:t xml:space="preserve">进行公告。更正公告将作为招标文件的组成部分，对所有参加本次投标的投标人都具有约束力。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7.3为使投标人有足够的时间按招标文件的更正要求修正投标文件，采购人有权按照相关法定的要求推迟投标截止时间和开标日期。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三、投标文件的编制</w:t>
      </w:r>
      <w:r/>
    </w:p>
    <w:p>
      <w:pPr>
        <w:spacing w:line="520" w:lineRule="exact"/>
        <w:rPr>
          <w:rFonts w:hint="eastAsia" w:ascii="宋体" w:hAnsi="宋体" w:eastAsia="宋体" w:cs="宋体"/>
          <w:color w:val="auto"/>
          <w:sz w:val="24"/>
          <w:szCs w:val="24"/>
          <w:highlight w:val="none"/>
        </w:rPr>
      </w:pPr>
      <w:r/>
      <w:bookmarkStart w:id="4" w:name="_Toc16938530"/>
      <w:r/>
      <w:bookmarkStart w:id="5" w:name="_Toc513029214"/>
      <w:r/>
      <w:bookmarkStart w:id="6" w:name="_Toc462564073"/>
      <w:r/>
      <w:bookmarkStart w:id="7" w:name="_Toc20823286"/>
      <w:r>
        <w:rPr>
          <w:rFonts w:hint="eastAsia" w:ascii="宋体" w:hAnsi="宋体" w:eastAsia="宋体" w:cs="宋体"/>
          <w:color w:val="auto"/>
          <w:sz w:val="24"/>
          <w:szCs w:val="24"/>
          <w:highlight w:val="none"/>
        </w:rPr>
        <w:t xml:space="preserve">8.投标文件的语言及度量衡单位</w:t>
      </w:r>
      <w:bookmarkEnd w:id="4"/>
      <w:r/>
      <w:bookmarkEnd w:id="5"/>
      <w:r/>
      <w:bookmarkEnd w:id="6"/>
      <w:r/>
      <w:bookmarkEnd w:id="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投标人提交的投标文件以及投标人与采购中心就有关投标的所有来往通知、函件和文件均应使用简体中文。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9.投标文件构成</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9.1 投标人编写的投标文件应包括资格证明文件、符合性证明文件、</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、技术要求响应及偏离表、其他证明文件、投标函、开标一览表等部分。</w:t>
      </w:r>
      <w:r>
        <w:rPr>
          <w:rFonts w:hint="eastAsia" w:ascii="宋体" w:hAnsi="宋体" w:eastAsia="宋体" w:cs="宋体"/>
          <w:b/>
          <w:bCs/>
          <w:color w:val="auto"/>
          <w:sz w:val="24"/>
          <w:szCs w:val="24"/>
          <w:highlight w:val="none"/>
          <w:lang w:val="zh-CN"/>
        </w:rPr>
        <w:t xml:space="preserve">请投标人根据本招标文件的要求在指定模块中上传响应的投标材料，未按招标文件要求在指定模块上传响应的投标材料的，</w:t>
      </w:r>
      <w:r>
        <w:rPr>
          <w:rFonts w:hint="eastAsia" w:ascii="宋体" w:hAnsi="宋体" w:eastAsia="宋体" w:cs="宋体"/>
          <w:b/>
          <w:bCs/>
          <w:color w:val="auto"/>
          <w:sz w:val="24"/>
          <w:szCs w:val="24"/>
          <w:highlight w:val="none"/>
        </w:rPr>
        <w:t xml:space="preserve">视同未提交该投标材料处理。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如标书制作工具中格式和内容与“淮安市政府采购网”发布的招标文件不一致，请以“淮安市政府采购网”发布的招标文件为准。</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10.证明投标人及投标标的符合招标文件规定的文件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投标人应按照招标文件要求提交证明文件，证明其及投标标的符合招标文件规定。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10.2招标文件对证明文件无明确形式要求的，证明文件可以以文字资料、图纸和数据等形式提交。</w:t>
      </w:r>
      <w:r/>
    </w:p>
    <w:p>
      <w:pPr>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投标报价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本项目采用总承包方式，投标人的报价应包含所有</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、包装费、运杂费 (运抵买方指定位置) 、所有辅材费、税费、售后服务费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认为需要的一切费用</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投标人的任何错漏、优惠、竞争性报价不得作为减轻责任、减少服务、增加收费、降低质量的理由。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不接受备选的投标方案或有选择</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的报价。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投标人应按照招标文件规定格式填报</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投标人需对招标文件中的技术要求与商务要求逐项作出响应或偏离，并说明原因。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投标人可在投标文件中提供认为需要的其他技术文件或说明。</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13.服务承诺、培训计划、人员安排及其他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投标人需根据招标文件要求提供有关售后服务的管理制度，售后服务机构的分布情况，售后服务人员的数量、素质、技术水平及售后服务的反应能力等。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投标人需根据招标文件要求提供培训计划。</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13.3投标人需根据招标文件要求提供所投标的的主要组成部分、功能设计、实现思路及关键技术等。</w:t>
      </w:r>
      <w:r/>
    </w:p>
    <w:p>
      <w:pPr>
        <w:spacing w:line="520" w:lineRule="exact"/>
        <w:rPr>
          <w:rFonts w:hint="eastAsia" w:ascii="宋体" w:hAnsi="宋体" w:eastAsia="宋体" w:cs="宋体"/>
          <w:color w:val="auto"/>
          <w:sz w:val="24"/>
          <w:szCs w:val="24"/>
          <w:highlight w:val="none"/>
        </w:rPr>
      </w:pPr>
      <w:r/>
      <w:bookmarkStart w:id="8" w:name="_Toc49090510"/>
      <w:r/>
      <w:bookmarkStart w:id="9" w:name="_Toc14577359"/>
      <w:r>
        <w:rPr>
          <w:rFonts w:hint="eastAsia" w:ascii="宋体" w:hAnsi="宋体" w:eastAsia="宋体" w:cs="宋体"/>
          <w:color w:val="auto"/>
          <w:sz w:val="24"/>
          <w:szCs w:val="24"/>
          <w:highlight w:val="none"/>
        </w:rPr>
        <w:t xml:space="preserve">14.投标函和开标一览表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中的投标总报价一致，如不一致，不作为无效投标处理，但评标时按开标一览表中价格为准。</w:t>
      </w:r>
      <w:bookmarkEnd w:id="8"/>
      <w:bookmarkEnd w:id="9"/>
      <w:r/>
    </w:p>
    <w:p>
      <w:pPr>
        <w:spacing w:line="520" w:lineRule="exact"/>
        <w:rPr>
          <w:rFonts w:hint="eastAsia" w:ascii="宋体" w:hAnsi="宋体" w:eastAsia="宋体" w:cs="宋体"/>
          <w:color w:val="auto"/>
          <w:sz w:val="24"/>
          <w:szCs w:val="24"/>
          <w:highlight w:val="none"/>
        </w:rPr>
      </w:pPr>
      <w:r/>
      <w:bookmarkStart w:id="10" w:name="_Toc49090511"/>
      <w:r/>
      <w:bookmarkStart w:id="11" w:name="_Toc14577360"/>
      <w:r>
        <w:rPr>
          <w:rFonts w:hint="eastAsia" w:ascii="宋体" w:hAnsi="宋体" w:eastAsia="宋体" w:cs="宋体"/>
          <w:color w:val="auto"/>
          <w:sz w:val="24"/>
          <w:szCs w:val="24"/>
          <w:highlight w:val="none"/>
        </w:rPr>
        <w:t xml:space="preserve">15.投标有效期</w:t>
      </w:r>
      <w:bookmarkEnd w:id="10"/>
      <w:r/>
      <w:bookmarkEnd w:id="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0）天。投标有效期比规定短的将被视为未实质性响应招标文件而予以拒绝。</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四、投标文件上传</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.投标文件的上传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.1投标人应当按照《操作手册》规定，在投标截止时间前制作并上传电子投标文件。</w:t>
      </w:r>
      <w:r/>
    </w:p>
    <w:p>
      <w:pPr>
        <w:ind w:firstLine="480"/>
        <w:spacing w:line="52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.2投标人上传的电子投标文件内容不清楚或不清晰的（含扫描</w:t>
      </w:r>
      <w:r>
        <w:rPr>
          <w:rFonts w:hint="eastAsia" w:ascii="宋体" w:hAnsi="宋体" w:eastAsia="宋体" w:cs="宋体"/>
          <w:bCs/>
          <w:color w:val="auto"/>
          <w:sz w:val="24"/>
          <w:szCs w:val="24"/>
          <w:highlight w:val="none"/>
        </w:rPr>
        <w:t xml:space="preserve">件），造成无法评审或部分影响评审的，</w:t>
      </w:r>
      <w:r>
        <w:rPr>
          <w:rFonts w:hint="eastAsia" w:ascii="宋体" w:hAnsi="宋体" w:eastAsia="宋体" w:cs="宋体"/>
          <w:bCs/>
          <w:color w:val="auto"/>
          <w:sz w:val="24"/>
          <w:szCs w:val="24"/>
          <w:highlight w:val="none"/>
          <w:lang w:val="zh-CN"/>
        </w:rPr>
        <w:t xml:space="preserve">责任由</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zh-CN"/>
        </w:rPr>
        <w:t xml:space="preserve">自负。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.3投标人上传电子投标文件的时间不得迟于投标邀请中规定的截止时间。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.4采购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宋体" w:hAnsi="宋体" w:eastAsia="宋体" w:cs="宋体"/>
          <w:color w:val="auto"/>
          <w:sz w:val="24"/>
          <w:szCs w:val="24"/>
          <w:highlight w:val="none"/>
        </w:rPr>
      </w:pPr>
      <w:r/>
      <w:bookmarkStart w:id="12" w:name="_Toc162083530"/>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.投标文件被拒绝接收的情形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.1在招标文件规定的提交投标文件截止时间后上传的电子投标文件。</w:t>
      </w:r>
      <w:r/>
    </w:p>
    <w:p>
      <w:pPr>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19.1投标人在上传电子投标文件后可以对其修改或撤回，但这种修改和撤回，必须在规定的开标时间之前，具体操作方法见《操作手册》。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19.2投标人不得在开标时间以后修改电子投标文件。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19.3投标人不得在提交电子投标文件截止时间起至投标有效期满前撤回电子投标文件。</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五、开标及评标</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20.开标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20.2开标仪式由</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20.3投标人在开标过程中涉及到的投标文件解密、开标结果确认等工作，应按照《操作手册》规定执行。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20.4投标人如果对开标过程和开标记录有</w:t>
      </w:r>
      <w:r>
        <w:rPr>
          <w:rFonts w:hint="eastAsia" w:ascii="宋体" w:hAnsi="宋体" w:eastAsia="宋体" w:cs="宋体"/>
          <w:color w:val="auto"/>
          <w:sz w:val="24"/>
          <w:szCs w:val="24"/>
          <w:highlight w:val="none"/>
          <w:lang w:eastAsia="zh-CN"/>
        </w:rPr>
        <w:t xml:space="preserve">异议</w:t>
      </w:r>
      <w:r>
        <w:rPr>
          <w:rFonts w:hint="eastAsia" w:ascii="宋体" w:hAnsi="宋体" w:eastAsia="宋体" w:cs="宋体"/>
          <w:color w:val="auto"/>
          <w:sz w:val="24"/>
          <w:szCs w:val="24"/>
          <w:highlight w:val="none"/>
        </w:rPr>
        <w:t xml:space="preserve">，应当根据《操作手册》规定提出，如苏采云系统中《开标记录表》宣布后5分钟内未提出的，视同认可开标结果。</w:t>
      </w:r>
      <w:bookmarkEnd w:id="12"/>
      <w:r/>
    </w:p>
    <w:p>
      <w:pPr>
        <w:spacing w:line="520" w:lineRule="exact"/>
        <w:rPr>
          <w:rFonts w:hint="eastAsia" w:ascii="宋体" w:hAnsi="宋体" w:eastAsia="宋体" w:cs="宋体"/>
          <w:color w:val="auto"/>
          <w:sz w:val="24"/>
          <w:szCs w:val="24"/>
          <w:highlight w:val="none"/>
        </w:rPr>
      </w:pPr>
      <w:r/>
      <w:bookmarkStart w:id="13" w:name="_Toc16938547"/>
      <w:r/>
      <w:bookmarkStart w:id="14" w:name="_Toc513029231"/>
      <w:r/>
      <w:bookmarkStart w:id="15" w:name="_Toc20823303"/>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.评标委员会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.1开标后，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评委会由有关技术、经济等方面的专家组成，且人员构成符合政府采购有关规定。</w:t>
      </w:r>
      <w:r/>
    </w:p>
    <w:p>
      <w:pPr>
        <w:ind w:firstLine="24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.3评委会独立工作，负责评审所有投标文件并确定中标侯选人。</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．评标过程的保密与公正</w:t>
      </w:r>
      <w:bookmarkEnd w:id="13"/>
      <w:r/>
      <w:bookmarkEnd w:id="14"/>
      <w:r/>
      <w:bookmarkEnd w:id="1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.2在评标过程中，投标人不得以任何行为影响评标过程，否则其投标文件将被作为无效投标文件。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采用综合评分法的项目，未中标的投标人可于中标结果公告期限届满之日起通过苏采云系统查看自己的评审得分及排序情况。</w:t>
      </w:r>
      <w:r/>
    </w:p>
    <w:p>
      <w:pPr>
        <w:spacing w:line="520" w:lineRule="exact"/>
        <w:rPr>
          <w:rFonts w:hint="eastAsia" w:ascii="宋体" w:hAnsi="宋体" w:eastAsia="宋体" w:cs="宋体"/>
          <w:color w:val="auto"/>
          <w:sz w:val="24"/>
          <w:szCs w:val="24"/>
          <w:highlight w:val="none"/>
        </w:rPr>
      </w:pPr>
      <w:r/>
      <w:bookmarkStart w:id="16" w:name="_Toc20823304"/>
      <w:r/>
      <w:bookmarkStart w:id="17" w:name="_Toc513029232"/>
      <w:r/>
      <w:bookmarkStart w:id="18" w:name="_Toc16938548"/>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．投标文件的澄清</w:t>
      </w:r>
      <w:bookmarkEnd w:id="16"/>
      <w:r/>
      <w:bookmarkEnd w:id="17"/>
      <w:r/>
      <w:bookmarkEnd w:id="1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进行澄清、说明和补正的，评委会将通过苏采云系统向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接到评委会澄清、说明和补正要求的投标人如未按规定做出澄清、说明和补正，其风险由投标人自行承担。</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.对投标文件的初审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.1投标文件初审分为资格审查和符合性审查。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 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.4评委会将对确定为实质性响应的投标进行进一步审核，看其是否有计算上或累加上的算术错误，修正错误的原则如下：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w:t>
      </w:r>
      <w:r>
        <w:rPr>
          <w:rFonts w:hint="eastAsia" w:ascii="宋体" w:hAnsi="宋体" w:eastAsia="宋体" w:cs="宋体"/>
          <w:color w:val="auto"/>
          <w:sz w:val="24"/>
          <w:szCs w:val="24"/>
          <w:highlight w:val="none"/>
          <w:lang w:val="en-US" w:eastAsia="zh-CN"/>
        </w:rPr>
        <w:t xml:space="preserve">综合评分法</w:t>
      </w:r>
      <w:r>
        <w:rPr>
          <w:rFonts w:hint="eastAsia" w:ascii="宋体" w:hAnsi="宋体" w:eastAsia="宋体" w:cs="宋体"/>
          <w:color w:val="auto"/>
          <w:sz w:val="24"/>
          <w:szCs w:val="24"/>
          <w:highlight w:val="none"/>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w:t>
      </w:r>
      <w:r>
        <w:rPr>
          <w:rFonts w:hint="eastAsia" w:ascii="宋体" w:hAnsi="宋体" w:eastAsia="宋体" w:cs="宋体"/>
          <w:color w:val="auto"/>
          <w:sz w:val="24"/>
          <w:szCs w:val="24"/>
          <w:highlight w:val="none"/>
          <w:lang w:val="en-US" w:eastAsia="zh-CN"/>
        </w:rPr>
        <w:t xml:space="preserve">电动护理床</w:t>
      </w:r>
      <w:r>
        <w:rPr>
          <w:rFonts w:hint="eastAsia" w:ascii="宋体" w:hAnsi="宋体" w:eastAsia="宋体" w:cs="宋体"/>
          <w:color w:val="auto"/>
          <w:sz w:val="24"/>
          <w:szCs w:val="24"/>
          <w:highlight w:val="none"/>
        </w:rPr>
        <w:t xml:space="preserve">）。多家投标人提供的核心产品品牌相同的，按前两款规定处理。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.7投标人在开、评标全过程中应保持通讯畅通，及时登录苏采云系统查阅、答复相关信息，并安排专人与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.无效投标条款和废标条款</w:t>
      </w:r>
      <w:r/>
    </w:p>
    <w:p>
      <w:pPr>
        <w:ind w:firstLine="480"/>
        <w:spacing w:line="520" w:lineRule="exact"/>
        <w:rPr>
          <w:rFonts w:hint="eastAsia" w:ascii="宋体" w:hAnsi="宋体" w:eastAsia="宋体" w:cs="宋体"/>
          <w:color w:val="auto"/>
          <w:sz w:val="24"/>
          <w:szCs w:val="24"/>
          <w:highlight w:val="none"/>
        </w:rPr>
      </w:pPr>
      <w:r/>
      <w:bookmarkStart w:id="19" w:name="_Toc16938551"/>
      <w:r/>
      <w:bookmarkStart w:id="20" w:name="_Toc513029235"/>
      <w:r/>
      <w:bookmarkStart w:id="21" w:name="_Toc20823307"/>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.1无效投标条款</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投标人在苏采云系统规定的时间内未成功解密电子投标文件的。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.1.3同一投标人提交两个（含两个）以上不同的投标报价的。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.1.4投标人不具备招标文件中规定资格要求的。</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.1.5投标人的报价超过了采购预算或最高限价的。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.1.6未通过符合性审查的。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.1.7不符合招标文件中规定的实质性要求和条件的。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.1.8 投标人被 “信用中国”网站（www.creditchina.gov.cn）列入失信被执行人或</w:t>
      </w:r>
      <w:r>
        <w:rPr>
          <w:rFonts w:hint="eastAsia" w:ascii="宋体" w:hAnsi="宋体" w:eastAsia="宋体" w:cs="宋体"/>
          <w:color w:val="auto"/>
          <w:sz w:val="24"/>
          <w:szCs w:val="24"/>
          <w:highlight w:val="none"/>
          <w:lang w:eastAsia="zh-CN"/>
        </w:rPr>
        <w:t xml:space="preserve">重大税收违法失信主体</w:t>
      </w:r>
      <w:r>
        <w:rPr>
          <w:rFonts w:hint="eastAsia" w:ascii="宋体" w:hAnsi="宋体" w:eastAsia="宋体" w:cs="宋体"/>
          <w:color w:val="auto"/>
          <w:sz w:val="24"/>
          <w:szCs w:val="24"/>
          <w:highlight w:val="none"/>
        </w:rPr>
        <w:t xml:space="preserve">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.1.9  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投标文件未按照招标文件要求加盖CA电子公章的。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其他法律、法规及本招标文件规定的属无效投标的情形。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.2废标条款</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.2.1符合专业条件的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或者对招标文件作实质响应的供应商不足三家的。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.2.2出现影响采购公正的违法、违规行为的。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.2.3因重大变故，采购任务取消的。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.2.4评标委员会认定招标文件存在歧义、重大缺陷导致评审工作无法进行。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 因苏采云系统系统故障原因造成开标不成功的。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投标截止时间结束后参加投标的供应商不足三家的处理：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.3.1如出现投标截止时间结束后参加投标的供应商或者在评标期间对招标文件做出实质响应的供应商不足三家情况，按政府采购相关规定执行。</w:t>
      </w:r>
      <w:bookmarkEnd w:id="19"/>
      <w:bookmarkEnd w:id="20"/>
      <w:bookmarkEnd w:id="21"/>
      <w:r/>
    </w:p>
    <w:p>
      <w:pPr>
        <w:numPr>
          <w:ilvl w:val="0"/>
          <w:numId w:val="0"/>
        </w:numPr>
        <w:spacing w:line="520" w:lineRule="exact"/>
        <w:rPr>
          <w:rFonts w:hint="eastAsia" w:ascii="宋体" w:hAnsi="宋体" w:eastAsia="宋体" w:cs="宋体"/>
          <w:b/>
          <w:color w:val="auto"/>
          <w:sz w:val="32"/>
          <w:szCs w:val="32"/>
          <w:highlight w:val="none"/>
        </w:rPr>
      </w:pPr>
      <w:r/>
      <w:bookmarkStart w:id="22" w:name="_Toc120614219"/>
      <w:r>
        <w:rPr>
          <w:rFonts w:hint="eastAsia" w:ascii="宋体" w:hAnsi="宋体" w:eastAsia="宋体" w:cs="宋体"/>
          <w:b/>
          <w:color w:val="auto"/>
          <w:sz w:val="32"/>
          <w:szCs w:val="32"/>
          <w:highlight w:val="none"/>
          <w:lang w:eastAsia="zh-CN"/>
        </w:rPr>
        <w:t xml:space="preserve">六、</w:t>
      </w:r>
      <w:r>
        <w:rPr>
          <w:rFonts w:hint="eastAsia" w:ascii="宋体" w:hAnsi="宋体" w:eastAsia="宋体" w:cs="宋体"/>
          <w:b/>
          <w:color w:val="auto"/>
          <w:sz w:val="32"/>
          <w:szCs w:val="32"/>
          <w:highlight w:val="none"/>
        </w:rPr>
        <w:t xml:space="preserve">定标</w:t>
      </w:r>
      <w:bookmarkEnd w:id="22"/>
      <w:r/>
      <w:r/>
    </w:p>
    <w:p>
      <w:pPr>
        <w:spacing w:line="520" w:lineRule="exact"/>
        <w:rPr>
          <w:rFonts w:hint="eastAsia" w:ascii="宋体" w:hAnsi="宋体" w:eastAsia="宋体" w:cs="宋体"/>
          <w:color w:val="auto"/>
          <w:sz w:val="24"/>
          <w:szCs w:val="24"/>
          <w:highlight w:val="none"/>
        </w:rPr>
      </w:pPr>
      <w:r/>
      <w:bookmarkStart w:id="23" w:name="_Toc513029238"/>
      <w:r/>
      <w:bookmarkStart w:id="24" w:name="_Toc16938554"/>
      <w:r/>
      <w:bookmarkStart w:id="25" w:name="_Toc20823310"/>
      <w:r>
        <w:rPr>
          <w:rFonts w:hint="eastAsia" w:ascii="宋体" w:hAnsi="宋体" w:eastAsia="宋体" w:cs="宋体"/>
          <w:color w:val="auto"/>
          <w:sz w:val="24"/>
          <w:szCs w:val="24"/>
          <w:highlight w:val="none"/>
        </w:rPr>
        <w:t xml:space="preserve">2</w:t>
      </w:r>
      <w:bookmarkEnd w:id="23"/>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w:t>
      </w:r>
      <w:bookmarkEnd w:id="24"/>
      <w:r/>
      <w:bookmarkEnd w:id="25"/>
      <w:r>
        <w:rPr>
          <w:rFonts w:hint="eastAsia" w:ascii="宋体" w:hAnsi="宋体" w:eastAsia="宋体" w:cs="宋体"/>
          <w:color w:val="auto"/>
          <w:sz w:val="24"/>
          <w:szCs w:val="24"/>
          <w:highlight w:val="none"/>
        </w:rPr>
        <w:t xml:space="preserve">中标单位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.1中标候选人的选取原则和数量见招标文件第三章规定。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采购人应根据评委会推荐的中标候选人确定中标人。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将在“淮安市政府采购网”发布中标公告，公告期限为1个工作日。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若有充分证据证明，中标人出现下列情况之一的，一经查实，将被取消中标资格：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.4.1提供虚假材料谋取中标的。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.4.2向采购人行贿或者提供其他不正当利益的。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.4.3属于本文件规定的无效条件，但在评标过程中又未被评委会发现的。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.4.4与采购人或者其他供应商恶意串通的。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.4.5采取不正当手段诋毁、排挤其他供应商的。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.5.有下列情形之一的，视为投标人串通投标，投标无效：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.5.1不同投标人的投标文件由同一单位或者个人编制；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.5.2不同投标人委托同一单位或者个人办理投标事宜；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.5.3 不同投标人的投标文件载明的项目管理成员或者联系人员为同一人；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.5.4不同投标人的投标文件异常一致或者投标报价呈规律性差异；</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七、质疑处理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.质疑处理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投标人认为采购文件、采购过程和中标结果使自己的权益受到损害的，可以在知道或者应知其权益受到损害之日起七个工作日内，以书面形式向采购人、</w:t>
      </w:r>
      <w:r>
        <w:rPr>
          <w:rFonts w:hint="eastAsia" w:ascii="宋体" w:hAnsi="宋体" w:eastAsia="宋体" w:cs="宋体"/>
          <w:color w:val="auto"/>
          <w:sz w:val="24"/>
          <w:szCs w:val="22"/>
          <w:highlight w:val="none"/>
          <w:lang w:eastAsia="zh-CN"/>
        </w:rPr>
        <w:t xml:space="preserve">采购代理机构</w:t>
      </w:r>
      <w:r>
        <w:rPr>
          <w:rFonts w:hint="eastAsia" w:ascii="宋体" w:hAnsi="宋体" w:eastAsia="宋体" w:cs="宋体"/>
          <w:color w:val="auto"/>
          <w:sz w:val="24"/>
          <w:szCs w:val="24"/>
          <w:highlight w:val="none"/>
        </w:rPr>
        <w:t xml:space="preserve">提出质疑。非书面形式、七个工作日之外以及匿名的质疑将不予受理。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27.2.1</w:t>
      </w:r>
      <w:r>
        <w:rPr>
          <w:rFonts w:hint="eastAsia" w:ascii="宋体" w:hAnsi="宋体" w:eastAsia="宋体" w:cs="宋体"/>
          <w:color w:val="auto"/>
          <w:sz w:val="24"/>
          <w:szCs w:val="24"/>
          <w:highlight w:val="none"/>
        </w:rPr>
        <w:t xml:space="preserve">对招标文件提出质疑的，为收到采购文件之日或者采购文件公告期限届满之日起计算；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27.2.2</w:t>
      </w:r>
      <w:r>
        <w:rPr>
          <w:rFonts w:hint="eastAsia" w:ascii="宋体" w:hAnsi="宋体" w:eastAsia="宋体" w:cs="宋体"/>
          <w:color w:val="auto"/>
          <w:sz w:val="24"/>
          <w:szCs w:val="24"/>
          <w:highlight w:val="none"/>
        </w:rPr>
        <w:t xml:space="preserve">对采购过程提出质疑的，为各采购程序环节结束之日起计算；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27.2.3</w:t>
      </w:r>
      <w:r>
        <w:rPr>
          <w:rFonts w:hint="eastAsia" w:ascii="宋体" w:hAnsi="宋体" w:eastAsia="宋体" w:cs="宋体"/>
          <w:color w:val="auto"/>
          <w:sz w:val="24"/>
          <w:szCs w:val="24"/>
          <w:highlight w:val="none"/>
        </w:rPr>
        <w:t xml:space="preserve">对中标结果提出质疑的，为中标结果公告期限届满之日起计算。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质疑投标人是指直接参加本次投标活动的投标人，未参加投标活动的投标人或在投标活动中自身权益未受到损害的投标人所提出的质疑不予受理。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质疑投标人在法定质疑期内应当一次性提出针对同一采购环节提出质疑。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szCs w:val="22"/>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 质疑函应当包括以下主要内容，</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rPr>
        <w:t xml:space="preserve">按照“谁主张、谁举证”的原则，附上相关证明材料。否则，</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szCs w:val="22"/>
          <w:highlight w:val="none"/>
          <w:lang w:eastAsia="zh-CN"/>
        </w:rPr>
        <w:t xml:space="preserve">采购代理机构</w:t>
      </w:r>
      <w:r>
        <w:rPr>
          <w:rFonts w:hint="eastAsia" w:ascii="宋体" w:hAnsi="宋体" w:eastAsia="宋体" w:cs="宋体"/>
          <w:color w:val="auto"/>
          <w:sz w:val="24"/>
          <w:szCs w:val="24"/>
          <w:highlight w:val="none"/>
        </w:rPr>
        <w:t xml:space="preserve">不予受理。（采购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质疑范本：http://www.mof.gov.cn/gp/xxgkml/gks/201802/t20180201_2804587.html）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（1）质疑投标人的名称、地址、邮编、联系人及联系电话；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（3）具体、明确的质疑事项和与质疑事实相关的请求；</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（6）提起质疑的日期；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（7）质疑函应当署名:应当由法定代表人签字并加盖单位公章。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.7 </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szCs w:val="22"/>
          <w:highlight w:val="none"/>
          <w:lang w:eastAsia="zh-CN"/>
        </w:rPr>
        <w:t xml:space="preserve">采购代理机构</w:t>
      </w:r>
      <w:r>
        <w:rPr>
          <w:rFonts w:hint="eastAsia" w:ascii="宋体" w:hAnsi="宋体" w:eastAsia="宋体" w:cs="宋体"/>
          <w:color w:val="auto"/>
          <w:sz w:val="24"/>
          <w:szCs w:val="24"/>
          <w:highlight w:val="none"/>
        </w:rPr>
        <w:t xml:space="preserve">收到质疑函后，将对质疑的形式和内容进行审查，如质疑函内容、格式不符合规定，</w:t>
      </w:r>
      <w:r>
        <w:rPr>
          <w:rFonts w:hint="eastAsia" w:ascii="宋体" w:hAnsi="宋体" w:eastAsia="宋体" w:cs="宋体"/>
          <w:color w:val="auto"/>
          <w:sz w:val="24"/>
          <w:szCs w:val="24"/>
          <w:highlight w:val="none"/>
          <w:lang w:eastAsia="zh-CN"/>
        </w:rPr>
        <w:t xml:space="preserve">采购人或</w:t>
      </w:r>
      <w:r>
        <w:rPr>
          <w:rFonts w:hint="eastAsia" w:ascii="宋体" w:hAnsi="宋体" w:eastAsia="宋体" w:cs="宋体"/>
          <w:color w:val="auto"/>
          <w:sz w:val="24"/>
          <w:szCs w:val="22"/>
          <w:highlight w:val="none"/>
          <w:lang w:eastAsia="zh-CN"/>
        </w:rPr>
        <w:t xml:space="preserve">采购代理机构</w:t>
      </w:r>
      <w:r>
        <w:rPr>
          <w:rFonts w:hint="eastAsia" w:ascii="宋体" w:hAnsi="宋体" w:eastAsia="宋体" w:cs="宋体"/>
          <w:color w:val="auto"/>
          <w:sz w:val="24"/>
          <w:szCs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szCs w:val="22"/>
          <w:highlight w:val="none"/>
          <w:lang w:eastAsia="zh-CN"/>
        </w:rPr>
        <w:t xml:space="preserve">采购代理机构</w:t>
      </w:r>
      <w:r>
        <w:rPr>
          <w:rFonts w:hint="eastAsia" w:ascii="宋体" w:hAnsi="宋体" w:eastAsia="宋体" w:cs="宋体"/>
          <w:color w:val="auto"/>
          <w:sz w:val="24"/>
          <w:szCs w:val="24"/>
          <w:highlight w:val="none"/>
        </w:rPr>
        <w:t xml:space="preserve">有权不予受理。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.8对于内容、格式符合规定的质疑函，采购人将在七个工作日内以书面形式或者电子文件形式作出答复。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.9 投标人提出书面质疑必须有理、有据，不得恶意质疑或提交虚假质疑。否则，一经查实，采购人有权依据有关规定，报请</w:t>
      </w:r>
      <w:r>
        <w:rPr>
          <w:rFonts w:hint="eastAsia" w:ascii="宋体" w:hAnsi="宋体" w:eastAsia="宋体" w:cs="宋体"/>
          <w:color w:val="auto"/>
          <w:sz w:val="24"/>
          <w:szCs w:val="24"/>
          <w:highlight w:val="none"/>
          <w:lang w:eastAsia="zh-CN"/>
        </w:rPr>
        <w:t xml:space="preserve">洪泽区财政</w:t>
      </w:r>
      <w:r>
        <w:rPr>
          <w:rFonts w:hint="eastAsia" w:ascii="宋体" w:hAnsi="宋体" w:eastAsia="宋体" w:cs="宋体"/>
          <w:color w:val="auto"/>
          <w:sz w:val="24"/>
          <w:szCs w:val="24"/>
          <w:highlight w:val="none"/>
        </w:rPr>
        <w:t xml:space="preserve">局对该投标人列入失信行为或不良行为记录名单，进行相应的行政处罚。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.中标通知书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.l中标结果确定后，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、授予合同</w:t>
      </w:r>
      <w:r/>
    </w:p>
    <w:p>
      <w:pPr>
        <w:ind w:left="0" w:right="0" w:firstLine="600"/>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 签订合同</w:t>
      </w:r>
      <w:r/>
    </w:p>
    <w:p>
      <w:pPr>
        <w:ind w:left="0" w:right="0" w:firstLine="600"/>
        <w:jc w:val="both"/>
        <w:spacing w:before="0" w:after="0"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.l中标人应当在中标通知书发出之日起</w:t>
      </w:r>
      <w:r>
        <w:rPr>
          <w:rFonts w:hint="eastAsia" w:ascii="宋体" w:hAnsi="宋体" w:eastAsia="宋体" w:cs="宋体"/>
          <w:color w:val="auto"/>
          <w:sz w:val="24"/>
          <w:szCs w:val="24"/>
          <w:highlight w:val="none"/>
          <w:lang w:val="en-US" w:eastAsia="zh-CN"/>
        </w:rPr>
        <w:t xml:space="preserve">十五</w:t>
      </w:r>
      <w:r>
        <w:rPr>
          <w:rFonts w:hint="eastAsia" w:ascii="宋体" w:hAnsi="宋体" w:eastAsia="宋体" w:cs="宋体"/>
          <w:color w:val="auto"/>
          <w:sz w:val="24"/>
          <w:szCs w:val="24"/>
          <w:highlight w:val="none"/>
        </w:rPr>
        <w:t xml:space="preserve">日内，按照招标文件确定的事项与采购人签订政府采购合同。</w:t>
      </w:r>
      <w:r/>
    </w:p>
    <w:p>
      <w:pPr>
        <w:ind w:left="0" w:right="0" w:firstLine="600"/>
        <w:jc w:val="both"/>
        <w:spacing w:before="0" w:after="0"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.2招标文件、中标人的投标文件及招标过程中有关澄清、承诺文件均应作为合同附件。</w:t>
      </w:r>
      <w:r/>
    </w:p>
    <w:p>
      <w:pPr>
        <w:ind w:left="0" w:right="0" w:firstLine="600"/>
        <w:jc w:val="both"/>
        <w:spacing w:before="0" w:after="0"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right="0" w:firstLine="480"/>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货物（包含与货物相关的服务）的追加</w:t>
      </w:r>
      <w:r/>
    </w:p>
    <w:p>
      <w:pPr>
        <w:ind w:left="0" w:right="0" w:firstLine="480"/>
        <w:jc w:val="both"/>
        <w:spacing w:before="0" w:after="0"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0" w:after="0"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政府采购履约资金扶持政策</w:t>
      </w:r>
      <w:r/>
    </w:p>
    <w:p>
      <w:pPr>
        <w:ind w:left="0" w:right="0" w:firstLine="555"/>
        <w:jc w:val="both"/>
        <w:spacing w:before="0" w:after="0" w:line="49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可凭政府采购合同办理融资贷款，详情请见江苏政府采购网“政采贷”专栏。</w:t>
      </w:r>
      <w:r/>
    </w:p>
    <w:p>
      <w:pP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lang w:val="en-US" w:eastAsia="zh-CN"/>
        </w:rPr>
        <w:t xml:space="preserve">九</w:t>
      </w:r>
      <w:r>
        <w:rPr>
          <w:rFonts w:hint="eastAsia" w:ascii="宋体" w:hAnsi="宋体" w:eastAsia="宋体" w:cs="宋体"/>
          <w:b/>
          <w:bCs/>
          <w:color w:val="auto"/>
          <w:sz w:val="28"/>
          <w:szCs w:val="24"/>
          <w:highlight w:val="none"/>
        </w:rPr>
        <w:t xml:space="preserve">、采购政策功能落实</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本项目面向中小微企业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1中</w:t>
      </w:r>
      <w:r>
        <w:rPr>
          <w:rFonts w:hint="eastAsia" w:ascii="宋体" w:hAnsi="宋体" w:eastAsia="宋体" w:cs="宋体"/>
          <w:color w:val="auto"/>
          <w:sz w:val="24"/>
          <w:szCs w:val="24"/>
          <w:highlight w:val="none"/>
        </w:rPr>
        <w:t xml:space="preserve">小微型企业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（1）投标人须按照招标文件的要求提供相应的《企业声明函》，详见招标文件第六章示范格式。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（2）企业标准请参照《政府采购促进中小企业发展管理办法》（财库【2020】46号）文件规定自行填写。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残疾人福利单位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（1）残疾人福利单位需按照招标文件的要求提供《残疾人福利性单位声明函》，详见招标文件第六章示范格式。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（2）残疾人福利单位标准请参照《关于促进残疾人就业政府采购政策的通知》（财库〔2017〕141号）。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监狱和戒毒企业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（2）监狱企业标准请参照《关于政府采购支持监狱企业发展有关问题的通知》（财库[2014]68号）。</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 节能、环保政策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.2节能产品（本项目不涉及）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(采购产品)</w:t>
      </w:r>
      <w:r>
        <w:rPr>
          <w:rFonts w:hint="eastAsia" w:ascii="宋体" w:hAnsi="宋体" w:eastAsia="宋体" w:cs="宋体"/>
          <w:color w:val="auto"/>
          <w:sz w:val="24"/>
          <w:szCs w:val="24"/>
          <w:highlight w:val="none"/>
        </w:rPr>
        <w:t xml:space="preserve">被列入“节能产品品目清单”的，实行</w:t>
      </w:r>
      <w:r>
        <w:rPr>
          <w:rFonts w:hint="eastAsia" w:ascii="宋体" w:hAnsi="宋体" w:eastAsia="宋体" w:cs="宋体"/>
          <w:color w:val="auto"/>
          <w:sz w:val="24"/>
          <w:szCs w:val="24"/>
          <w:highlight w:val="none"/>
          <w:u w:val="single"/>
        </w:rPr>
        <w:t xml:space="preserve">（优先采购/强制采购）</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.3环保产品（本项目不涉及）</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本项目中 (采购产品)被列入“环境标志产品品目清单”的，评标价相同且技术指标优劣相等的情况下，获得有效期内国家规定的认证机构出具的环境标志产品认证证书的产品，实行优先采购</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作无效投标处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 xml:space="preserve">通知》（财库〔2019〕19号）执行。国家对品目清单进行调整的，按照最新调整的品目清单执行。</w:t>
      </w:r>
      <w:r/>
    </w:p>
    <w:p>
      <w:pPr>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．政府绿色采购</w:t>
      </w:r>
      <w:r/>
    </w:p>
    <w:p>
      <w:pPr>
        <w:ind w:firstLine="24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.1本项目为货物类采购项目的，所提供的产品需综合考虑节能环保、节水、循环再生、低碳、有机等因素</w:t>
      </w:r>
      <w:r>
        <w:rPr>
          <w:rFonts w:hint="eastAsia" w:ascii="宋体" w:hAnsi="宋体" w:eastAsia="宋体" w:cs="宋体"/>
          <w:color w:val="auto"/>
          <w:sz w:val="24"/>
          <w:szCs w:val="24"/>
          <w:highlight w:val="none"/>
          <w:lang w:eastAsia="zh-CN"/>
        </w:rPr>
        <w:t xml:space="preserve">。</w:t>
      </w:r>
      <w:r/>
    </w:p>
    <w:p>
      <w:pPr>
        <w:pStyle w:val="722"/>
        <w:ind w:left="0" w:firstLine="56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22"/>
        <w:ind w:left="0"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p>
    <w:p>
      <w:pPr>
        <w:pStyle w:val="722"/>
        <w:ind w:left="0" w:firstLine="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履约资金扶持政策</w:t>
      </w:r>
      <w:r/>
    </w:p>
    <w:p>
      <w:pPr>
        <w:pStyle w:val="722"/>
        <w:ind w:left="0" w:firstLine="56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22"/>
        <w:ind w:left="0"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722"/>
        <w:ind w:left="0" w:firstLine="560"/>
        <w:spacing w:after="0"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95"/>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pageBreakBefore/>
        <w:spacing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第三章  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二、评委会将依据下列评标标准进行评标，本评标标准的总分为</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按评审后得分由高到低顺序排列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得分相同的，按投标报价由低到高顺序排列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得分且投标报价相同的,由评标委员会通过</w:t>
      </w:r>
      <w:r>
        <w:rPr>
          <w:rFonts w:hint="eastAsia" w:ascii="宋体" w:hAnsi="宋体" w:eastAsia="宋体" w:cs="宋体"/>
          <w:color w:val="auto"/>
          <w:sz w:val="24"/>
          <w:szCs w:val="24"/>
          <w:highlight w:val="none"/>
          <w:lang w:val="en-US" w:eastAsia="zh-CN"/>
        </w:rPr>
        <w:t xml:space="preserve">技术部分优劣</w:t>
      </w:r>
      <w:r>
        <w:rPr>
          <w:rFonts w:hint="eastAsia" w:ascii="宋体" w:hAnsi="宋体" w:eastAsia="宋体" w:cs="宋体"/>
          <w:color w:val="auto"/>
          <w:sz w:val="24"/>
          <w:szCs w:val="24"/>
          <w:highlight w:val="none"/>
        </w:rPr>
        <w:t xml:space="preserve">的方式确定。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2"/>
          <w:highlight w:val="none"/>
        </w:rPr>
        <w:t xml:space="preserve">三、具体标准:</w:t>
      </w:r>
      <w:r/>
    </w:p>
    <w:p>
      <w:pPr>
        <w:pStyle w:val="71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3"/>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2"/>
      </w:tblGrid>
      <w:tr>
        <w:trPr>
          <w:jc w:val="center"/>
          <w:trHeight w:val="416"/>
        </w:trPr>
        <w:tc>
          <w:tcPr>
            <w:tcW w:w="10152" w:type="dxa"/>
            <w:vAlign w:val="top"/>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一、投标报价：</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tc>
      </w:tr>
      <w:tr>
        <w:trPr>
          <w:jc w:val="center"/>
          <w:trHeight w:val="1018"/>
        </w:trPr>
        <w:tc>
          <w:tcPr>
            <w:tcW w:w="10152" w:type="dxa"/>
            <w:vAlign w:val="top"/>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文件要求且投标价格最低为评标基准价，其价格分为满分。其他</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的价格分按照下列公式计算（小数点保留两位）:</w:t>
            </w:r>
            <w:r/>
          </w:p>
          <w:p>
            <w:pPr>
              <w:ind w:left="0" w:right="0" w:firstLine="42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p>
            <w:pPr>
              <w:pStyle w:val="695"/>
              <w:ind w:left="0" w:right="0"/>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rPr>
              <w:t xml:space="preserve">居家养老上门服务1200元/人为固定单价（无需报价），</w:t>
            </w:r>
            <w:r>
              <w:rPr>
                <w:rFonts w:hint="eastAsia" w:ascii="宋体" w:hAnsi="宋体" w:eastAsia="宋体" w:cs="宋体"/>
                <w:b/>
                <w:bCs/>
                <w:color w:val="auto"/>
                <w:sz w:val="21"/>
                <w:szCs w:val="21"/>
                <w:highlight w:val="none"/>
              </w:rPr>
              <w:t xml:space="preserve">本项目在计算价格分时，以投标</w:t>
            </w:r>
            <w:r>
              <w:rPr>
                <w:rFonts w:hint="eastAsia" w:ascii="宋体" w:hAnsi="宋体" w:eastAsia="宋体" w:cs="宋体"/>
                <w:b/>
                <w:bCs/>
                <w:color w:val="auto"/>
                <w:sz w:val="21"/>
                <w:szCs w:val="21"/>
                <w:highlight w:val="none"/>
                <w:lang w:val="en-US" w:eastAsia="zh-CN"/>
              </w:rPr>
              <w:t xml:space="preserve">人</w:t>
            </w:r>
            <w:r>
              <w:rPr>
                <w:rFonts w:hint="eastAsia" w:ascii="宋体" w:hAnsi="宋体" w:eastAsia="宋体" w:cs="宋体"/>
                <w:b/>
                <w:bCs/>
                <w:color w:val="auto"/>
                <w:sz w:val="21"/>
                <w:szCs w:val="21"/>
                <w:highlight w:val="none"/>
              </w:rPr>
              <w:t xml:space="preserve">单价汇总金额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家庭养老床位建设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作为价格分计算</w:t>
            </w:r>
            <w:r>
              <w:rPr>
                <w:rFonts w:hint="eastAsia" w:ascii="宋体" w:hAnsi="宋体" w:eastAsia="宋体" w:cs="宋体"/>
                <w:b/>
                <w:bCs/>
                <w:color w:val="auto"/>
                <w:sz w:val="21"/>
                <w:szCs w:val="21"/>
                <w:highlight w:val="none"/>
                <w:lang w:eastAsia="zh-CN"/>
              </w:rPr>
              <w:t xml:space="preserve">基数</w:t>
            </w:r>
            <w:r>
              <w:rPr>
                <w:rFonts w:hint="eastAsia" w:ascii="宋体" w:hAnsi="宋体" w:eastAsia="宋体" w:cs="宋体"/>
                <w:b/>
                <w:bCs/>
                <w:color w:val="auto"/>
                <w:sz w:val="21"/>
                <w:szCs w:val="21"/>
                <w:highlight w:val="none"/>
              </w:rPr>
              <w:t xml:space="preserve">。</w:t>
            </w:r>
            <w:r/>
          </w:p>
        </w:tc>
      </w:tr>
      <w:tr>
        <w:trPr>
          <w:jc w:val="center"/>
          <w:trHeight w:val="90"/>
        </w:trPr>
        <w:tc>
          <w:tcPr>
            <w:tcW w:w="10152" w:type="dxa"/>
            <w:vAlign w:val="top"/>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 二、技术部分：</w:t>
            </w: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lang w:val="en-US" w:eastAsia="zh-CN"/>
              </w:rPr>
              <w:t xml:space="preserve">分</w:t>
            </w:r>
            <w:r/>
          </w:p>
        </w:tc>
      </w:tr>
      <w:tr>
        <w:trPr>
          <w:jc w:val="center"/>
          <w:trHeight w:val="636"/>
        </w:trPr>
        <w:tc>
          <w:tcPr>
            <w:tcW w:w="10152" w:type="dxa"/>
            <w:vAlign w:val="top"/>
            <w:textDirection w:val="lrTb"/>
            <w:noWrap w:val="false"/>
          </w:tcPr>
          <w:p>
            <w:pPr>
              <w:pStyle w:val="932"/>
              <w:ind w:left="0" w:right="93"/>
              <w:keepLines w:val="0"/>
              <w:keepNext w:val="0"/>
              <w:pageBreakBefore w:val="0"/>
              <w:spacing w:before="0" w:beforeAutospacing="0" w:after="0" w:afterAutospacing="0" w:line="288"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所投产品的技术参数</w:t>
            </w:r>
            <w:r>
              <w:rPr>
                <w:rFonts w:hint="eastAsia" w:ascii="宋体" w:hAnsi="宋体" w:eastAsia="宋体" w:cs="宋体"/>
                <w:color w:val="auto"/>
                <w:sz w:val="21"/>
                <w:szCs w:val="21"/>
                <w:highlight w:val="none"/>
                <w:lang w:val="en-US" w:eastAsia="zh-CN"/>
              </w:rPr>
              <w:t xml:space="preserve">完全</w:t>
            </w: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招标文件参数</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的得</w:t>
            </w:r>
            <w:r>
              <w:rPr>
                <w:rFonts w:hint="eastAsia"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如有缺项、漏项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负偏离的，有</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，扣完为止。</w:t>
            </w:r>
            <w:r/>
          </w:p>
          <w:p>
            <w:pPr>
              <w:numPr>
                <w:ilvl w:val="0"/>
                <w:numId w:val="0"/>
              </w:numPr>
              <w:ind w:left="0" w:right="0" w:firstLine="0"/>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提供偏离表，扫描</w:t>
            </w:r>
            <w:r>
              <w:rPr>
                <w:rFonts w:hint="eastAsia" w:ascii="宋体" w:hAnsi="宋体" w:eastAsia="宋体" w:cs="宋体"/>
                <w:b/>
                <w:bCs/>
                <w:color w:val="auto"/>
                <w:sz w:val="21"/>
                <w:szCs w:val="21"/>
                <w:highlight w:val="none"/>
                <w:lang w:val="en-US" w:eastAsia="zh-CN"/>
              </w:rPr>
              <w:t xml:space="preserve">上传到电子标书中并按要求进行电子签章。</w:t>
            </w:r>
            <w:r/>
          </w:p>
        </w:tc>
      </w:tr>
      <w:tr>
        <w:trPr>
          <w:jc w:val="center"/>
          <w:trHeight w:val="257"/>
        </w:trPr>
        <w:tc>
          <w:tcPr>
            <w:tcW w:w="10152" w:type="dxa"/>
            <w:vAlign w:val="top"/>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三、商务部分：</w:t>
            </w:r>
            <w:r>
              <w:rPr>
                <w:rFonts w:hint="eastAsia" w:ascii="宋体" w:hAnsi="宋体" w:cs="宋体"/>
                <w:b/>
                <w:bCs/>
                <w:color w:val="auto"/>
                <w:sz w:val="21"/>
                <w:szCs w:val="21"/>
                <w:highlight w:val="none"/>
                <w:lang w:val="en-US" w:eastAsia="zh-CN" w:bidi="ar"/>
              </w:rPr>
              <w:t xml:space="preserve">8</w:t>
            </w:r>
            <w:r>
              <w:rPr>
                <w:rFonts w:hint="eastAsia" w:ascii="宋体" w:hAnsi="宋体" w:eastAsia="宋体" w:cs="宋体"/>
                <w:b/>
                <w:bCs/>
                <w:color w:val="auto"/>
                <w:sz w:val="21"/>
                <w:szCs w:val="21"/>
                <w:highlight w:val="none"/>
                <w:lang w:val="en-US" w:eastAsia="zh-CN" w:bidi="ar"/>
              </w:rPr>
              <w:t xml:space="preserve">分</w:t>
            </w:r>
            <w:r/>
          </w:p>
        </w:tc>
      </w:tr>
      <w:tr>
        <w:trPr>
          <w:jc w:val="center"/>
          <w:trHeight w:val="257"/>
        </w:trPr>
        <w:tc>
          <w:tcPr>
            <w:tcW w:w="10152" w:type="dxa"/>
            <w:vAlign w:val="top"/>
            <w:textDirection w:val="lrTb"/>
            <w:noWrap w:val="false"/>
          </w:tcPr>
          <w:p>
            <w:pPr>
              <w:ind w:left="0" w:right="0"/>
              <w:keepLines w:val="0"/>
              <w:keepNext w:val="0"/>
              <w:pageBreakBefore w:val="0"/>
              <w:spacing w:before="0" w:beforeAutospacing="0" w:after="0" w:afterAutospacing="0" w:line="288"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1.投标人</w:t>
            </w:r>
            <w:r>
              <w:rPr>
                <w:rFonts w:hint="eastAsia" w:ascii="宋体" w:hAnsi="宋体" w:eastAsia="宋体" w:cs="宋体"/>
                <w:b w:val="0"/>
                <w:bCs w:val="0"/>
                <w:color w:val="auto"/>
                <w:sz w:val="21"/>
                <w:szCs w:val="21"/>
                <w:highlight w:val="none"/>
              </w:rPr>
              <w:t xml:space="preserve">具有质量管理体系认证证书、环境管理体系认证证书、职业健康安全管理体系认证证书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信息技术服务管理体系认证证书</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且</w:t>
            </w:r>
            <w:r>
              <w:rPr>
                <w:rFonts w:hint="eastAsia" w:ascii="宋体" w:hAnsi="宋体" w:eastAsia="宋体" w:cs="宋体"/>
                <w:color w:val="auto"/>
                <w:sz w:val="21"/>
                <w:szCs w:val="21"/>
                <w:highlight w:val="none"/>
                <w:lang w:eastAsia="zh-CN"/>
              </w:rPr>
              <w:t xml:space="preserve">认证范围须包含养老服务相关内容，</w:t>
            </w:r>
            <w:r>
              <w:rPr>
                <w:rFonts w:hint="eastAsia" w:ascii="宋体" w:hAnsi="宋体" w:eastAsia="宋体" w:cs="宋体"/>
                <w:b w:val="0"/>
                <w:bCs w:val="0"/>
                <w:color w:val="auto"/>
                <w:sz w:val="21"/>
                <w:szCs w:val="21"/>
                <w:highlight w:val="none"/>
                <w:lang w:val="en-US" w:eastAsia="zh-CN"/>
              </w:rPr>
              <w:t xml:space="preserve">每提供一个证书</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本项最高限得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p>
          <w:p>
            <w:pPr>
              <w:numPr>
                <w:ilvl w:val="0"/>
                <w:numId w:val="0"/>
              </w:numPr>
              <w:ind w:left="0" w:right="0"/>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年以来承担类似本项目</w:t>
            </w:r>
            <w:r>
              <w:rPr>
                <w:rFonts w:hint="eastAsia" w:ascii="宋体" w:hAnsi="宋体" w:eastAsia="宋体" w:cs="宋体"/>
                <w:color w:val="auto"/>
                <w:sz w:val="21"/>
                <w:szCs w:val="21"/>
                <w:highlight w:val="none"/>
                <w:lang w:val="en-US" w:eastAsia="zh-CN"/>
              </w:rPr>
              <w:t xml:space="preserve">(同类提升行动项目或家庭养老床位建设项目或居家养老上门服务项目)</w:t>
            </w:r>
            <w:r>
              <w:rPr>
                <w:rFonts w:hint="eastAsia" w:ascii="宋体" w:hAnsi="宋体" w:eastAsia="宋体" w:cs="宋体"/>
                <w:color w:val="auto"/>
                <w:sz w:val="21"/>
                <w:szCs w:val="21"/>
                <w:highlight w:val="none"/>
              </w:rPr>
              <w:t xml:space="preserve">的成功案例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每提供一个案例得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分，本项最高限得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ind w:left="0" w:right="0" w:firstLine="0"/>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eastAsia="zh-CN"/>
              </w:rPr>
              <w:t xml:space="preserve">项目负责人具有10年（含）及以上养老行业从业经验</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得2分；具备5年（含）-10（不包含）年养老行业从业经验</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得1分。</w:t>
            </w:r>
            <w:r/>
          </w:p>
          <w:p>
            <w:pPr>
              <w:ind w:left="0" w:right="0"/>
              <w:keepLines w:val="0"/>
              <w:keepNext w:val="0"/>
              <w:pageBreakBefore w:val="0"/>
              <w:spacing w:before="0" w:beforeAutospacing="0" w:after="0" w:afterAutospacing="0" w:line="288"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除项目负责人外，项目组成员中具有老年人能力评估师、电工、社会工作师、护士、医学或护理学专业人员、康复治疗师（士）、心理咨询师、养老护理员，每提供一类证书得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分，本项最高限得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keepLines w:val="0"/>
              <w:keepNext w:val="0"/>
              <w:pageBreakBefore w:val="0"/>
              <w:spacing w:before="0" w:beforeAutospacing="0" w:after="0" w:afterAutospacing="0" w:line="288"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注：1项提供</w:t>
            </w:r>
            <w:r>
              <w:rPr>
                <w:rFonts w:hint="eastAsia" w:ascii="宋体" w:hAnsi="宋体" w:eastAsia="宋体" w:cs="宋体"/>
                <w:b/>
                <w:bCs/>
                <w:color w:val="auto"/>
                <w:sz w:val="21"/>
                <w:szCs w:val="21"/>
                <w:highlight w:val="none"/>
                <w:lang w:eastAsia="zh-CN"/>
              </w:rPr>
              <w:t xml:space="preserve">有效</w:t>
            </w:r>
            <w:r>
              <w:rPr>
                <w:rFonts w:hint="eastAsia" w:ascii="宋体" w:hAnsi="宋体" w:eastAsia="宋体" w:cs="宋体"/>
                <w:b/>
                <w:bCs/>
                <w:color w:val="auto"/>
                <w:sz w:val="21"/>
                <w:szCs w:val="21"/>
                <w:highlight w:val="none"/>
                <w:lang w:val="en-US" w:eastAsia="zh-CN"/>
              </w:rPr>
              <w:t xml:space="preserve">证书</w:t>
            </w:r>
            <w:r>
              <w:rPr>
                <w:rFonts w:hint="eastAsia" w:ascii="宋体" w:hAnsi="宋体" w:eastAsia="宋体" w:cs="宋体"/>
                <w:b/>
                <w:bCs/>
                <w:color w:val="auto"/>
                <w:sz w:val="21"/>
                <w:szCs w:val="21"/>
                <w:highlight w:val="none"/>
              </w:rPr>
              <w:t xml:space="preserve">扫描</w:t>
            </w:r>
            <w:r>
              <w:rPr>
                <w:rFonts w:hint="eastAsia" w:ascii="宋体" w:hAnsi="宋体" w:eastAsia="宋体" w:cs="宋体"/>
                <w:b/>
                <w:bCs/>
                <w:color w:val="auto"/>
                <w:sz w:val="21"/>
                <w:szCs w:val="21"/>
                <w:highlight w:val="none"/>
                <w:lang w:eastAsia="zh-CN"/>
              </w:rPr>
              <w:t xml:space="preserve">件</w:t>
            </w:r>
            <w:r>
              <w:rPr>
                <w:rFonts w:hint="eastAsia" w:ascii="宋体" w:hAnsi="宋体" w:eastAsia="宋体" w:cs="宋体"/>
                <w:b/>
                <w:bCs/>
                <w:color w:val="auto"/>
                <w:sz w:val="21"/>
                <w:szCs w:val="21"/>
                <w:highlight w:val="none"/>
                <w:lang w:val="en-US" w:eastAsia="zh-CN"/>
              </w:rPr>
              <w:t xml:space="preserve">及</w:t>
            </w:r>
            <w:r>
              <w:rPr>
                <w:rFonts w:hint="eastAsia" w:ascii="宋体" w:hAnsi="宋体" w:eastAsia="宋体" w:cs="宋体"/>
                <w:b/>
                <w:bCs/>
                <w:color w:val="auto"/>
                <w:sz w:val="21"/>
                <w:szCs w:val="21"/>
                <w:highlight w:val="none"/>
              </w:rPr>
              <w:t xml:space="preserve">认监委官网（http://cx.cnca.cn）证书查询截图。</w:t>
            </w:r>
            <w:r/>
          </w:p>
          <w:p>
            <w:pPr>
              <w:ind w:left="0" w:right="0" w:firstLine="422"/>
              <w:keepLines w:val="0"/>
              <w:keepNext w:val="0"/>
              <w:pageBreakBefore w:val="0"/>
              <w:spacing w:before="0" w:beforeAutospacing="0" w:after="0" w:afterAutospacing="0" w:line="288" w:lineRule="auto"/>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val="en-US" w:eastAsia="zh-CN"/>
              </w:rPr>
              <w:t xml:space="preserve">2项提供</w:t>
            </w:r>
            <w:r>
              <w:rPr>
                <w:rFonts w:hint="eastAsia" w:ascii="宋体" w:hAnsi="宋体" w:eastAsia="宋体" w:cs="宋体"/>
                <w:b/>
                <w:bCs/>
                <w:color w:val="auto"/>
                <w:sz w:val="21"/>
                <w:szCs w:val="21"/>
                <w:highlight w:val="none"/>
              </w:rPr>
              <w:t xml:space="preserve">合同、中标</w:t>
            </w:r>
            <w:r>
              <w:rPr>
                <w:rFonts w:hint="eastAsia" w:ascii="宋体" w:hAnsi="宋体" w:eastAsia="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通知书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缺一不得分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案例时间以合同签订时间为准</w:t>
            </w:r>
            <w:r>
              <w:rPr>
                <w:rFonts w:hint="eastAsia" w:ascii="宋体" w:hAnsi="宋体" w:eastAsia="宋体" w:cs="宋体"/>
                <w:b/>
                <w:bCs/>
                <w:color w:val="auto"/>
                <w:sz w:val="21"/>
                <w:szCs w:val="21"/>
                <w:highlight w:val="none"/>
                <w:lang w:eastAsia="zh-CN"/>
              </w:rPr>
              <w:t xml:space="preserve">。</w:t>
            </w:r>
            <w:r/>
          </w:p>
          <w:p>
            <w:pPr>
              <w:pStyle w:val="739"/>
              <w:ind w:left="0" w:right="0" w:firstLine="422"/>
              <w:keepLines w:val="0"/>
              <w:keepNext w:val="0"/>
              <w:spacing w:before="0" w:beforeAutospacing="0" w:after="0" w:afterAutospacing="0"/>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3-4项提供相关证书及开标前六个月任意一个月由供应商为其缴纳的社保证明或劳动合同证明（以上人员不得重复计分，同一人员证书不重复计分，同一类别证书不重复计分）。</w:t>
            </w:r>
            <w:r/>
          </w:p>
          <w:p>
            <w:pPr>
              <w:pStyle w:val="739"/>
              <w:ind w:left="0" w:right="0" w:firstLine="422"/>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上述材料</w:t>
            </w:r>
            <w:r>
              <w:rPr>
                <w:rFonts w:hint="eastAsia" w:ascii="宋体" w:hAnsi="宋体" w:eastAsia="宋体" w:cs="宋体"/>
                <w:b/>
                <w:bCs/>
                <w:color w:val="auto"/>
                <w:sz w:val="21"/>
                <w:szCs w:val="21"/>
                <w:highlight w:val="none"/>
              </w:rPr>
              <w:t xml:space="preserve">扫描</w:t>
            </w:r>
            <w:r>
              <w:rPr>
                <w:rFonts w:hint="eastAsia" w:ascii="宋体" w:hAnsi="宋体" w:eastAsia="宋体" w:cs="宋体"/>
                <w:b/>
                <w:bCs/>
                <w:color w:val="auto"/>
                <w:sz w:val="21"/>
                <w:szCs w:val="21"/>
                <w:highlight w:val="none"/>
              </w:rPr>
              <w:t xml:space="preserve">上传到电子标书中并按要求进行电子签章</w:t>
            </w:r>
            <w:r>
              <w:rPr>
                <w:rFonts w:hint="eastAsia" w:ascii="宋体" w:hAnsi="宋体" w:eastAsia="宋体" w:cs="宋体"/>
                <w:b/>
                <w:bCs/>
                <w:color w:val="auto"/>
                <w:sz w:val="21"/>
                <w:szCs w:val="21"/>
                <w:highlight w:val="none"/>
                <w:lang w:eastAsia="zh-CN"/>
              </w:rPr>
              <w:t xml:space="preserve">。</w:t>
            </w:r>
            <w:r/>
          </w:p>
        </w:tc>
      </w:tr>
      <w:tr>
        <w:trPr>
          <w:jc w:val="center"/>
          <w:trHeight w:val="257"/>
        </w:trPr>
        <w:tc>
          <w:tcPr>
            <w:tcW w:w="10152" w:type="dxa"/>
            <w:vAlign w:val="top"/>
            <w:textDirection w:val="lrTb"/>
            <w:noWrap w:val="false"/>
          </w:tcPr>
          <w:p>
            <w:pPr>
              <w:numPr>
                <w:ilvl w:val="0"/>
                <w:numId w:val="0"/>
              </w:num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四、实施方案：</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分</w:t>
            </w:r>
            <w:r/>
          </w:p>
        </w:tc>
      </w:tr>
      <w:tr>
        <w:trPr>
          <w:jc w:val="center"/>
          <w:trHeight w:val="257"/>
        </w:trPr>
        <w:tc>
          <w:tcPr>
            <w:tcW w:w="10152" w:type="dxa"/>
            <w:vAlign w:val="top"/>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1.家床建设</w:t>
            </w:r>
            <w:r>
              <w:rPr>
                <w:rFonts w:hint="eastAsia" w:ascii="宋体" w:hAnsi="宋体" w:eastAsia="宋体" w:cs="宋体"/>
                <w:color w:val="auto"/>
                <w:sz w:val="21"/>
                <w:szCs w:val="21"/>
                <w:highlight w:val="none"/>
                <w:lang w:eastAsia="zh-CN"/>
              </w:rPr>
              <w:t xml:space="preserve">实施方案（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）：根据供应商提供的</w:t>
            </w:r>
            <w:r>
              <w:rPr>
                <w:rFonts w:hint="eastAsia" w:ascii="宋体" w:hAnsi="宋体" w:eastAsia="宋体" w:cs="宋体"/>
                <w:color w:val="auto"/>
                <w:sz w:val="21"/>
                <w:szCs w:val="21"/>
                <w:highlight w:val="none"/>
                <w:lang w:val="en-US" w:eastAsia="zh-CN"/>
              </w:rPr>
              <w:t xml:space="preserve">家床建设</w:t>
            </w:r>
            <w:r>
              <w:rPr>
                <w:rFonts w:hint="eastAsia" w:ascii="宋体" w:hAnsi="宋体" w:eastAsia="宋体" w:cs="宋体"/>
                <w:color w:val="auto"/>
                <w:sz w:val="21"/>
                <w:szCs w:val="21"/>
                <w:highlight w:val="none"/>
                <w:lang w:eastAsia="zh-CN"/>
              </w:rPr>
              <w:t xml:space="preserve">实施方案进行综合评审，包含但不限于以下内容：入户调查评估</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建设改造</w:t>
            </w: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、进度计划和</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lang w:eastAsia="zh-CN"/>
              </w:rPr>
              <w:t xml:space="preserve">措施、</w:t>
            </w:r>
            <w:r>
              <w:rPr>
                <w:rFonts w:hint="eastAsia" w:ascii="宋体" w:hAnsi="宋体" w:eastAsia="宋体" w:cs="宋体"/>
                <w:color w:val="auto"/>
                <w:sz w:val="21"/>
                <w:szCs w:val="21"/>
                <w:highlight w:val="none"/>
                <w:lang w:val="en-US" w:eastAsia="zh-CN"/>
              </w:rPr>
              <w:t xml:space="preserve">团队人员配备方案、售后服务方案</w:t>
            </w:r>
            <w:r>
              <w:rPr>
                <w:rFonts w:hint="eastAsia" w:ascii="宋体" w:hAnsi="宋体" w:eastAsia="宋体" w:cs="宋体"/>
                <w:color w:val="auto"/>
                <w:sz w:val="21"/>
                <w:szCs w:val="21"/>
                <w:highlight w:val="none"/>
                <w:lang w:eastAsia="zh-CN"/>
              </w:rPr>
              <w:t xml:space="preserve">。</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上门服务实施</w:t>
            </w:r>
            <w:r>
              <w:rPr>
                <w:rFonts w:hint="eastAsia" w:ascii="宋体" w:hAnsi="宋体" w:eastAsia="宋体" w:cs="宋体"/>
                <w:color w:val="auto"/>
                <w:sz w:val="21"/>
                <w:szCs w:val="21"/>
                <w:highlight w:val="none"/>
                <w:lang w:eastAsia="zh-CN"/>
              </w:rPr>
              <w:t xml:space="preserve">方案（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）：根据供应商提供的</w:t>
            </w:r>
            <w:r>
              <w:rPr>
                <w:rFonts w:hint="eastAsia" w:ascii="宋体" w:hAnsi="宋体" w:eastAsia="宋体" w:cs="宋体"/>
                <w:color w:val="auto"/>
                <w:sz w:val="21"/>
                <w:szCs w:val="21"/>
                <w:highlight w:val="none"/>
                <w:lang w:val="en-US" w:eastAsia="zh-CN"/>
              </w:rPr>
              <w:t xml:space="preserve">上门服务</w:t>
            </w:r>
            <w:r>
              <w:rPr>
                <w:rFonts w:hint="eastAsia" w:ascii="宋体" w:hAnsi="宋体" w:eastAsia="宋体" w:cs="宋体"/>
                <w:color w:val="auto"/>
                <w:sz w:val="21"/>
                <w:szCs w:val="21"/>
                <w:highlight w:val="none"/>
                <w:lang w:eastAsia="zh-CN"/>
              </w:rPr>
              <w:t xml:space="preserve">实施方案进行综合评审，包含但不限于以下内容：</w:t>
            </w:r>
            <w:r>
              <w:rPr>
                <w:rFonts w:hint="eastAsia" w:ascii="宋体" w:hAnsi="宋体" w:eastAsia="宋体" w:cs="宋体"/>
                <w:color w:val="auto"/>
                <w:sz w:val="21"/>
                <w:szCs w:val="21"/>
                <w:highlight w:val="none"/>
                <w:lang w:val="en-US" w:eastAsia="zh-CN"/>
              </w:rPr>
              <w:t xml:space="preserve">个性化服务方案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服务团队管理方案、服务计划和保障措施、突发事件应急预案、服务质量保障方案</w:t>
            </w:r>
            <w:r>
              <w:rPr>
                <w:rFonts w:hint="eastAsia" w:ascii="宋体" w:hAnsi="宋体" w:eastAsia="宋体" w:cs="宋体"/>
                <w:color w:val="auto"/>
                <w:sz w:val="21"/>
                <w:szCs w:val="21"/>
                <w:highlight w:val="none"/>
                <w:lang w:eastAsia="zh-CN"/>
              </w:rPr>
              <w:t xml:space="preserve">。</w:t>
            </w:r>
            <w:r/>
          </w:p>
          <w:p>
            <w:pPr>
              <w:numPr>
                <w:ilvl w:val="0"/>
                <w:numId w:val="0"/>
              </w:num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注：评审时针对各供应商提交的实施方案进行横向比较酌情打分，实施方案如无重大偏差，每项评分应不少于该项目分值的60%。未提供方案、方案存在漏项或经三分之二评委认定方案存在重大偏离的本项不得分。</w:t>
            </w:r>
            <w:r/>
          </w:p>
        </w:tc>
      </w:tr>
      <w:tr>
        <w:trPr>
          <w:jc w:val="center"/>
          <w:trHeight w:val="266"/>
        </w:trPr>
        <w:tc>
          <w:tcPr>
            <w:tcW w:w="10152" w:type="dxa"/>
            <w:vAlign w:val="center"/>
            <w:textDirection w:val="lrTb"/>
            <w:noWrap w:val="false"/>
          </w:tcPr>
          <w:p>
            <w:pPr>
              <w:pStyle w:val="721"/>
              <w:ind w:left="0" w:right="0" w:firstLine="0"/>
              <w:jc w:val="center"/>
              <w:keepLines w:val="0"/>
              <w:keepNext w:val="0"/>
              <w:pageBreakBefore w:val="0"/>
              <w:spacing w:before="0" w:beforeAutospacing="0" w:afterAutospacing="0" w:line="288"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五、售后部分：</w:t>
            </w:r>
            <w:r>
              <w:rPr>
                <w:rFonts w:hint="eastAsia" w:asci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p>
        </w:tc>
      </w:tr>
      <w:tr>
        <w:trPr>
          <w:jc w:val="center"/>
          <w:trHeight w:val="257"/>
        </w:trPr>
        <w:tc>
          <w:tcPr>
            <w:tcW w:w="10152" w:type="dxa"/>
            <w:vAlign w:val="top"/>
            <w:textDirection w:val="lrTb"/>
            <w:noWrap w:val="false"/>
          </w:tcPr>
          <w:p>
            <w:pPr>
              <w:ind w:left="0" w:right="0"/>
              <w:keepLines w:val="0"/>
              <w:keepNext w:val="0"/>
              <w:pageBreakBefore w:val="0"/>
              <w:spacing w:before="0" w:beforeAutospacing="0" w:after="0" w:afterAutospacing="0" w:line="288"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承诺全年无节假日7*24服务，30分钟响应回复，1小时内到达现场，2-4小时内故障修复的得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left="0" w:right="0"/>
              <w:keepLines w:val="0"/>
              <w:keepNext w:val="0"/>
              <w:pageBreakBefore w:val="0"/>
              <w:spacing w:before="0" w:beforeAutospacing="0" w:after="0" w:afterAutospacing="0" w:line="288" w:lineRule="auto"/>
              <w:widowControl w:val="off"/>
              <w:rPr>
                <w:rFonts w:hint="eastAsia" w:ascii="宋体" w:hAnsi="宋体" w:eastAsia="宋体" w:cs="宋体"/>
                <w:b w:val="0"/>
                <w:bCs w:val="0"/>
                <w:color w:val="auto"/>
                <w:spacing w:val="-6"/>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b w:val="0"/>
                <w:bCs w:val="0"/>
                <w:color w:val="auto"/>
                <w:spacing w:val="3"/>
                <w:sz w:val="21"/>
                <w:szCs w:val="21"/>
                <w:highlight w:val="none"/>
              </w:rPr>
              <w:t xml:space="preserve">免费质保期在完</w:t>
            </w:r>
            <w:bookmarkStart w:id="30" w:name="_GoBack"/>
            <w:r/>
            <w:bookmarkEnd w:id="30"/>
            <w:r>
              <w:rPr>
                <w:rFonts w:hint="eastAsia" w:ascii="宋体" w:hAnsi="宋体" w:eastAsia="宋体" w:cs="宋体"/>
                <w:b w:val="0"/>
                <w:bCs w:val="0"/>
                <w:color w:val="auto"/>
                <w:spacing w:val="3"/>
                <w:sz w:val="21"/>
                <w:szCs w:val="21"/>
                <w:highlight w:val="none"/>
              </w:rPr>
              <w:t xml:space="preserve">全满足</w:t>
            </w:r>
            <w:r>
              <w:rPr>
                <w:rFonts w:hint="eastAsia" w:ascii="宋体" w:hAnsi="宋体" w:eastAsia="宋体" w:cs="宋体"/>
                <w:b w:val="0"/>
                <w:bCs w:val="0"/>
                <w:color w:val="auto"/>
                <w:spacing w:val="3"/>
                <w:sz w:val="21"/>
                <w:szCs w:val="21"/>
                <w:highlight w:val="none"/>
                <w:lang w:val="en-US" w:eastAsia="zh-CN"/>
              </w:rPr>
              <w:t xml:space="preserve">招标</w:t>
            </w:r>
            <w:r>
              <w:rPr>
                <w:rFonts w:hint="eastAsia" w:ascii="宋体" w:hAnsi="宋体" w:eastAsia="宋体" w:cs="宋体"/>
                <w:b w:val="0"/>
                <w:bCs w:val="0"/>
                <w:color w:val="auto"/>
                <w:spacing w:val="3"/>
                <w:sz w:val="21"/>
                <w:szCs w:val="21"/>
                <w:highlight w:val="none"/>
              </w:rPr>
              <w:t xml:space="preserve">文件要求的基础上承诺</w:t>
            </w:r>
            <w:r>
              <w:rPr>
                <w:rFonts w:hint="eastAsia" w:ascii="宋体" w:hAnsi="宋体" w:eastAsia="宋体" w:cs="宋体"/>
                <w:b w:val="0"/>
                <w:bCs w:val="0"/>
                <w:color w:val="auto"/>
                <w:spacing w:val="-12"/>
                <w:sz w:val="21"/>
                <w:szCs w:val="21"/>
                <w:highlight w:val="none"/>
              </w:rPr>
              <w:t xml:space="preserve">每增加一</w:t>
            </w:r>
            <w:r>
              <w:rPr>
                <w:rFonts w:hint="eastAsia" w:ascii="宋体" w:hAnsi="宋体" w:eastAsia="宋体" w:cs="宋体"/>
                <w:b w:val="0"/>
                <w:bCs w:val="0"/>
                <w:color w:val="auto"/>
                <w:spacing w:val="-9"/>
                <w:sz w:val="21"/>
                <w:szCs w:val="21"/>
                <w:highlight w:val="none"/>
              </w:rPr>
              <w:t xml:space="preserve">年</w:t>
            </w:r>
            <w:r>
              <w:rPr>
                <w:rFonts w:hint="eastAsia" w:ascii="宋体" w:hAnsi="宋体" w:eastAsia="宋体" w:cs="宋体"/>
                <w:b w:val="0"/>
                <w:bCs w:val="0"/>
                <w:color w:val="auto"/>
                <w:spacing w:val="-6"/>
                <w:sz w:val="21"/>
                <w:szCs w:val="21"/>
                <w:highlight w:val="none"/>
              </w:rPr>
              <w:t xml:space="preserve">得 </w:t>
            </w:r>
            <w:r>
              <w:rPr>
                <w:rFonts w:hint="eastAsia" w:ascii="宋体" w:hAnsi="宋体" w:cs="宋体"/>
                <w:b w:val="0"/>
                <w:bCs w:val="0"/>
                <w:color w:val="auto"/>
                <w:spacing w:val="-6"/>
                <w:sz w:val="21"/>
                <w:szCs w:val="21"/>
                <w:highlight w:val="none"/>
                <w:lang w:val="en-US" w:eastAsia="zh-CN"/>
              </w:rPr>
              <w:t xml:space="preserve">1</w:t>
            </w:r>
            <w:r>
              <w:rPr>
                <w:rFonts w:hint="eastAsia" w:ascii="宋体" w:hAnsi="宋体" w:eastAsia="宋体" w:cs="宋体"/>
                <w:b w:val="0"/>
                <w:bCs w:val="0"/>
                <w:color w:val="auto"/>
                <w:spacing w:val="-6"/>
                <w:sz w:val="21"/>
                <w:szCs w:val="21"/>
                <w:highlight w:val="none"/>
                <w:lang w:val="en-US" w:eastAsia="zh-CN"/>
              </w:rPr>
              <w:t xml:space="preserve">分</w:t>
            </w:r>
            <w:r>
              <w:rPr>
                <w:rFonts w:hint="eastAsia" w:ascii="宋体" w:hAnsi="宋体" w:eastAsia="宋体" w:cs="宋体"/>
                <w:b w:val="0"/>
                <w:bCs w:val="0"/>
                <w:color w:val="auto"/>
                <w:spacing w:val="-6"/>
                <w:sz w:val="21"/>
                <w:szCs w:val="21"/>
                <w:highlight w:val="none"/>
              </w:rPr>
              <w:t xml:space="preserve">，本项最</w:t>
            </w:r>
            <w:r>
              <w:rPr>
                <w:rFonts w:hint="eastAsia" w:ascii="宋体" w:hAnsi="宋体" w:eastAsia="宋体" w:cs="宋体"/>
                <w:b w:val="0"/>
                <w:bCs w:val="0"/>
                <w:color w:val="auto"/>
                <w:spacing w:val="-6"/>
                <w:sz w:val="21"/>
                <w:szCs w:val="21"/>
                <w:highlight w:val="none"/>
                <w:lang w:val="en-US" w:eastAsia="zh-CN"/>
              </w:rPr>
              <w:t xml:space="preserve">高限</w:t>
            </w:r>
            <w:r>
              <w:rPr>
                <w:rFonts w:hint="eastAsia" w:ascii="宋体" w:hAnsi="宋体" w:eastAsia="宋体" w:cs="宋体"/>
                <w:b w:val="0"/>
                <w:bCs w:val="0"/>
                <w:color w:val="auto"/>
                <w:spacing w:val="-6"/>
                <w:sz w:val="21"/>
                <w:szCs w:val="21"/>
                <w:highlight w:val="none"/>
              </w:rPr>
              <w:t xml:space="preserve">得</w:t>
            </w:r>
            <w:r>
              <w:rPr>
                <w:rFonts w:hint="eastAsia" w:ascii="宋体" w:hAnsi="宋体" w:cs="宋体"/>
                <w:b w:val="0"/>
                <w:bCs w:val="0"/>
                <w:color w:val="auto"/>
                <w:spacing w:val="-6"/>
                <w:sz w:val="21"/>
                <w:szCs w:val="21"/>
                <w:highlight w:val="none"/>
                <w:lang w:val="en-US" w:eastAsia="zh-CN"/>
              </w:rPr>
              <w:t xml:space="preserve">2</w:t>
            </w:r>
            <w:r>
              <w:rPr>
                <w:rFonts w:hint="eastAsia" w:ascii="宋体" w:hAnsi="宋体" w:eastAsia="宋体" w:cs="宋体"/>
                <w:b w:val="0"/>
                <w:bCs w:val="0"/>
                <w:color w:val="auto"/>
                <w:spacing w:val="-6"/>
                <w:sz w:val="21"/>
                <w:szCs w:val="21"/>
                <w:highlight w:val="none"/>
                <w:lang w:val="en-US" w:eastAsia="zh-CN"/>
              </w:rPr>
              <w:t xml:space="preserve">分</w:t>
            </w:r>
            <w:r>
              <w:rPr>
                <w:rFonts w:hint="eastAsia" w:ascii="宋体" w:hAnsi="宋体" w:eastAsia="宋体" w:cs="宋体"/>
                <w:b w:val="0"/>
                <w:bCs w:val="0"/>
                <w:color w:val="auto"/>
                <w:spacing w:val="-6"/>
                <w:sz w:val="21"/>
                <w:szCs w:val="21"/>
                <w:highlight w:val="none"/>
              </w:rPr>
              <w:t xml:space="preserve">。</w:t>
            </w:r>
            <w:r/>
          </w:p>
          <w:p>
            <w:pPr>
              <w:pStyle w:val="721"/>
              <w:ind w:left="0" w:right="0" w:firstLine="0"/>
              <w:jc w:val="both"/>
              <w:keepLines w:val="0"/>
              <w:keepNext w:val="0"/>
              <w:pageBreakBefore w:val="0"/>
              <w:spacing w:before="0" w:beforeAutospacing="0" w:afterAutospacing="0" w:line="288" w:lineRule="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注：提供承诺上传到电子标书中并按要求进行电子签章。</w:t>
            </w:r>
            <w:r/>
          </w:p>
        </w:tc>
      </w:tr>
    </w:tbl>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2"/>
          <w:szCs w:val="32"/>
          <w:highlight w:val="none"/>
          <w:lang w:eastAsia="zh-CN"/>
        </w:rPr>
      </w:r>
      <w:r>
        <w:rPr>
          <w:rFonts w:hint="eastAsia" w:ascii="宋体" w:hAnsi="宋体" w:eastAsia="宋体" w:cs="宋体"/>
          <w:b/>
          <w:color w:val="auto"/>
          <w:sz w:val="32"/>
          <w:szCs w:val="32"/>
          <w:highlight w:val="none"/>
          <w:lang w:eastAsia="zh-CN"/>
        </w:rP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rPr>
          <w:rFonts w:hint="eastAsia" w:ascii="宋体" w:hAnsi="宋体" w:eastAsia="宋体" w:cs="宋体"/>
          <w:b/>
          <w:bCs/>
          <w:color w:val="auto"/>
          <w:sz w:val="32"/>
          <w:szCs w:val="32"/>
          <w:highlight w:val="none"/>
          <w:lang w:eastAsia="zh-CN"/>
        </w:rP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rPr>
          <w:rFonts w:hint="eastAsia" w:ascii="宋体" w:hAnsi="宋体" w:eastAsia="宋体" w:cs="宋体"/>
          <w:b/>
          <w:bCs/>
          <w:color w:val="auto"/>
          <w:sz w:val="32"/>
          <w:szCs w:val="32"/>
          <w:highlight w:val="none"/>
          <w:lang w:eastAsia="zh-CN"/>
        </w:rP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rPr>
          <w:rFonts w:hint="eastAsia" w:ascii="宋体" w:hAnsi="宋体" w:eastAsia="宋体" w:cs="宋体"/>
          <w:b/>
          <w:bCs/>
          <w:color w:val="auto"/>
          <w:sz w:val="32"/>
          <w:szCs w:val="32"/>
          <w:highlight w:val="none"/>
          <w:lang w:eastAsia="zh-CN"/>
        </w:rP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合同格式及条款</w:t>
      </w:r>
      <w:r/>
    </w:p>
    <w:p>
      <w:pPr>
        <w:ind w:firstLine="560"/>
        <w:spacing w:line="520" w:lineRule="exact"/>
        <w:tabs>
          <w:tab w:val="left" w:pos="18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7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一、合同格式</w:t>
      </w:r>
      <w:r/>
    </w:p>
    <w:p>
      <w:pPr>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pStyle w:val="9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pStyle w:val="970"/>
        <w:ind w:firstLine="63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采购项目公开招标采购结果及招标文件的要求,经协商一致,达成如下购销合同:</w:t>
      </w:r>
      <w:r/>
    </w:p>
    <w:p>
      <w:pPr>
        <w:pStyle w:val="970"/>
        <w:ind w:left="-359" w:firstLine="96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一、货物及数量</w:t>
      </w:r>
      <w:r/>
    </w:p>
    <w:p>
      <w:pPr>
        <w:pStyle w:val="970"/>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本合同所提供的货物及数量详见“项目采购需求”。</w:t>
      </w:r>
      <w:r/>
    </w:p>
    <w:p>
      <w:pPr>
        <w:pStyle w:val="970"/>
        <w:ind w:left="-359" w:firstLine="96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pStyle w:val="970"/>
        <w:ind w:firstLine="49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本合同的总金额(大写)为___________元人民币，分项价格详见乙方提交的投标报价明细表。</w:t>
      </w:r>
      <w:r/>
    </w:p>
    <w:p>
      <w:pPr>
        <w:pStyle w:val="970"/>
        <w:ind w:firstLine="49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三、供货时间和地点</w:t>
      </w:r>
      <w:r/>
    </w:p>
    <w:p>
      <w:pPr>
        <w:pStyle w:val="970"/>
        <w:ind w:firstLine="495"/>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1、家庭养老床位建设：2025年2月底前完成家庭养老床位建设。</w:t>
      </w:r>
      <w:r/>
    </w:p>
    <w:p>
      <w:pPr>
        <w:pStyle w:val="970"/>
        <w:ind w:firstLine="495"/>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2、居家养老上门服务：2025年6月底前完成居家养老上门服务内容。</w:t>
      </w:r>
      <w:r/>
    </w:p>
    <w:p>
      <w:pPr>
        <w:pStyle w:val="970"/>
        <w:ind w:left="-357" w:firstLine="96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四、付款</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SA"/>
        </w:rPr>
        <w:t xml:space="preserve">（一）家庭养老床位建设：</w:t>
      </w:r>
      <w:r>
        <w:rPr>
          <w:rFonts w:hint="eastAsia" w:ascii="宋体" w:hAnsi="宋体" w:eastAsia="宋体" w:cs="宋体"/>
          <w:color w:val="auto"/>
          <w:sz w:val="24"/>
          <w:szCs w:val="24"/>
          <w:highlight w:val="none"/>
        </w:rPr>
        <w:t xml:space="preserve">合同签订生效后向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支付合同总价款的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%作为预付款</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bidi="ar"/>
        </w:rPr>
        <w:t xml:space="preserve">在签订合同时，</w:t>
      </w: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明确表示无需预付款或者主动要求降低预付款比例的除外）；</w:t>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其余合同款在项目</w:t>
      </w:r>
      <w:r>
        <w:rPr>
          <w:rFonts w:hint="eastAsia" w:ascii="宋体" w:hAnsi="宋体" w:eastAsia="宋体" w:cs="宋体"/>
          <w:color w:val="auto"/>
          <w:spacing w:val="8"/>
          <w:sz w:val="24"/>
          <w:szCs w:val="24"/>
          <w:highlight w:val="none"/>
          <w:lang w:val="en-US" w:eastAsia="zh-CN" w:bidi="ar-SA"/>
        </w:rPr>
        <w:t xml:space="preserve">验收合格后，据实结算，据实结算将根据：</w:t>
      </w:r>
      <w:r>
        <w:rPr>
          <w:rFonts w:hint="eastAsia" w:ascii="宋体" w:hAnsi="宋体" w:eastAsia="宋体" w:cs="宋体"/>
          <w:color w:val="auto"/>
          <w:sz w:val="24"/>
          <w:szCs w:val="24"/>
          <w:highlight w:val="none"/>
          <w:lang w:val="en-US" w:eastAsia="zh-CN" w:bidi="ar-SA"/>
        </w:rPr>
        <w:t xml:space="preserve">验收综合得分95分（含95分）以上的，全额支付建设费用；综合得分90分-95分（不含95分）的，将扣除10%的合同价款后，支付剩余建设费用；综合得分85分-90分（不含90分）的，将扣除20%的合同价款后，支付剩余建设费用；综合得分低于85分（不含85分）的，将不予支付本项目的建设费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（二）居家养老上门服务：合同签订生效后，按确定的实际服务人数与考核结果按季度结算。考核详细内容参照《洪泽区政府购买居家养老上门服务工作考核办法（试行）》。</w:t>
      </w:r>
      <w:r/>
    </w:p>
    <w:p>
      <w:pPr>
        <w:ind w:firstLine="482"/>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注：当采购数量与实际使用数量不一致时，乙方应根据实际使用量供货，合同的最终结算金额按实际使用数量乘以成交单价进行计算。</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五、验收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甲方按招标文件相关要求进行。如</w:t>
      </w:r>
      <w:r>
        <w:rPr>
          <w:rFonts w:hint="eastAsia" w:ascii="宋体" w:hAnsi="宋体" w:eastAsia="宋体" w:cs="宋体"/>
          <w:color w:val="auto"/>
          <w:sz w:val="24"/>
          <w:szCs w:val="24"/>
          <w:highlight w:val="none"/>
        </w:rPr>
        <w:t xml:space="preserve">需委托第三方验收，第三方是指: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，验收费用由甲方承担。因乙方交付的货物不符合标准导致甲方重复支出的验收费用，由乙方承担。 </w:t>
      </w:r>
      <w:r/>
    </w:p>
    <w:p>
      <w:pPr>
        <w:pStyle w:val="970"/>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pStyle w:val="970"/>
        <w:ind w:firstLine="7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1、乙方交纳人民币_________元作为本合同的履约保证金。（合同金额的</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numPr>
          <w:ilvl w:val="0"/>
          <w:numId w:val="9"/>
        </w:num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乙方提供的履约保证金可以是人民币形式（银行本票、汇票、支票、电汇），或银行保函、担保公司的保证担保或保险公司的保证保险等多种形式。</w:t>
      </w:r>
      <w:r/>
    </w:p>
    <w:p>
      <w:pPr>
        <w:numPr>
          <w:ilvl w:val="0"/>
          <w:numId w:val="9"/>
        </w:num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乙方选取银行保函、担保公司的保证担保或保险公司的保证保险等形式的向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缴纳的，如保函（担保、保险等）的约定期到期但乙方履约仍未结束的，乙方须进行续保。</w:t>
      </w:r>
      <w:r/>
    </w:p>
    <w:p>
      <w:pPr>
        <w:numPr>
          <w:ilvl w:val="0"/>
          <w:numId w:val="9"/>
        </w:num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乙方选取以履约保函（保险）形式向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缴纳的，按照《关于在全省政府采购领域推行电子履约保函（保险）的通知》（苏财购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2023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150号）的要求，登录“政府采购电子履约保函（保险）平台”，选择第三方机构并提交保函（保险）申请，经审核通过后支付相关费用。</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5、如乙方未能履行合同规定的义务，甲方有权从履约保证金中取得补偿。</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7、履约保证金在合同约定期间内不予退还或者应完全有效，履约保证金在项目验收合格后无息退还给乙方。</w:t>
      </w:r>
      <w:r/>
    </w:p>
    <w:p>
      <w:pPr>
        <w:pStyle w:val="702"/>
        <w:ind w:left="-357" w:firstLine="829"/>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双方权利与义务</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（一）甲方的权利与义务</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1.甲方有权利监督、检查乙方按时完成</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工作，对不符合甲方要求的事项，有权要求乙方及时纠正。</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2.甲方应对乙方工作情况进行满意度调查，满意度结果作为拨付经费的依据。</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3.甲方要为乙方开展工作提供必要的工作条件，并按约定拨付乙方的经费。</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4.甲方根据需要可以对执行的项目的时间、地点或内容作出调整，但应及时通知乙方。</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5.甲方应及时向乙方提供执行活动需要的应由甲方提供的有关资料，包括但不限于文字材料、图案标识和物品等。</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（二）乙方的权利与义务</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1.乙方应认真完成合同约定的各项</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内容，保证良好的工作质量。 </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2.乙方应自觉接受甲方的业务指导和检查监督,按照甲方的要求提供所需的资料。</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3.如甲方对执行项目的时间、地点或内容作出调整，乙方应在接到通知后立即按调整后的方案开展工作。</w:t>
      </w:r>
      <w:r/>
    </w:p>
    <w:p>
      <w:pPr>
        <w:ind w:firstLine="539"/>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4.乙方应按照甲方的要求，认真填报各类报表、统计数据等，不得擅自涂改、仿造、销毁。</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合同纠纷处理</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本合同执行过程中发生纠纷，由甲乙双方协商解决，若协商不成，作如下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处理: </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1、申请仲裁。选定仲裁机构为淮安市仲裁委员会。 </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2、提起诉讼。约定由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所在地法院管辖。 </w:t>
      </w:r>
      <w:r/>
    </w:p>
    <w:p>
      <w:pPr>
        <w:ind w:firstLine="54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、合同生效及其它</w:t>
      </w:r>
      <w:r/>
    </w:p>
    <w:p>
      <w:pPr>
        <w:ind w:firstLine="56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1、质保期：不低于二年（以乙方投标文件承诺时间为准，自验收合格之日起算）。</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本合同经甲、乙双方加盖电子签章后生效。如有变动，必须经甲方、乙方协商一致后，方可更改。</w:t>
      </w:r>
      <w:r/>
    </w:p>
    <w:p>
      <w:pPr>
        <w:ind w:firstLine="54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、组成本合同的文件包括</w:t>
      </w:r>
      <w:r/>
    </w:p>
    <w:p>
      <w:pPr>
        <w:ind w:firstLine="56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1、合同格式及条款；</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2、招标文件和乙方的投标文件； </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3、中标通知书； </w:t>
      </w:r>
      <w:r/>
    </w:p>
    <w:p>
      <w:pPr>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4、甲乙双方商定的其他必要文件。 上述合同文件内容互为补充，如有不明确，由甲方负责解释。</w:t>
      </w:r>
      <w:r/>
    </w:p>
    <w:p>
      <w:pPr>
        <w:pStyle w:val="9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w:t>
      </w:r>
      <w:r/>
    </w:p>
    <w:p>
      <w:pPr>
        <w:pStyle w:val="9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单位盖章:（电子签章）              单位盖章:（电子签章）</w:t>
      </w:r>
      <w:r/>
    </w:p>
    <w:p>
      <w:pPr>
        <w:pStyle w:val="9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代表签字:                          代表签字:</w:t>
      </w:r>
      <w:r/>
    </w:p>
    <w:p>
      <w:pPr>
        <w:pStyle w:val="9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签定日期:                          签定日期:</w:t>
      </w:r>
      <w:r/>
    </w:p>
    <w:p>
      <w:pPr>
        <w:pStyle w:val="97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29"/>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520" w:lineRule="exact"/>
        <w:tabs>
          <w:tab w:val="left" w:pos="1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二、合同条款</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1.定义</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本合同中下列术语应解释为:</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（1）“合同”系指甲方和乙方（以下简称合同双方）签署的、合同格式中列明的合同双方所达成的协议，包括所有的附件、附录和构成合同的所有文件。</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（2）“合同价”系指根据合同规定，乙方在完全履行合同义务后甲方应支付给乙方的价格。</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（3）“货物（含软件及相关服务）”系指乙方按合同要求，须向甲方提供的一切设备、机械、仪表、备件、工具、技术及手册等有关材料。</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（4）“服务”系指根据合同规定乙方承担与供货有关的所有辅助服务，如运输、保险以及其它的服务，如安装、调试、提供技术援助、培训和其他类似的义务。</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（5）“甲方”系指购买货物（含软件及相关服务）的单位。</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（6）“乙方”系指根据合同规定提供货物（含软件及相关服务）和服务的投标人。</w:t>
      </w:r>
      <w:r/>
    </w:p>
    <w:p>
      <w:pPr>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2.技术规范</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3.专利权</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4.包装要求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4.3每件包装箱内应附一份详细装箱单和质量合格证。</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5.装运标志</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乙方应在每一包装箱邻接的四侧用不褪色的油漆以醒目的中文字样做出下列标记: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（1）收货人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（2）合同号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（3）装运标志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（4）收货人代号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（5）目的地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（6）货物（含软件及相关服务）名称、品目号和箱号</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（7）毛重／净重 </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（8）尺寸（长X宽X高，以厘米计） </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5.3因缺少装运标志或者装运标志不明确导致货物在运输、装卸过程中产生的损失，乙方应承担相应的过错责任。</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6.付款方式</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6.1本合同以人民币付款。</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（1）发票；</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（2）制造厂家出具的质量检验证书等；</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（3）装箱单；</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（4）验收合格证；</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（5）使用方加盖公章证明货物交付使用合格的验收表。</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6.3甲方将按招标文件中规定的付款方式安排付款。</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7.1乙方应按照国家有关规定和合同中所附的服务承诺提供服务。</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7.2除第7.1条规定外，乙方还应提供下列服务: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（1）货物的现场安装和启动监督；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（2）提供货物组装和维修所需的工具；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（4）在项目交货现场就货物的安装、启动、运行、维护对甲方人员进行培训。</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7.3伴随服务的费用应含在合同价中，不单独进行支付。</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8.质量保证</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乙方在收到通知后三十天内应免费维修或更换有缺陷的货物（含软件及相关服务）或部件。 </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如果乙方在收到通知后三十天内没有弥补缺陷，甲方可采取必要的补救措施，但风险和费用将由乙方承担。</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 除合同专用条款规定外，合同项下货物（含软件及相关服务）的质量保证期为自货物（含软件及相关服务）通过最终验收起12个月。</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9.检验及安装</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甲方有权提出在货物（含软件及相关服务）制造过程中派人到制造厂进行监造，乙方有义务为甲方监造人员提供方便。</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制造厂对所供货物（含软件及相关服务）进行机械运转试验和性能试验时，必须提前通知甲方。 </w:t>
      </w:r>
      <w:r/>
    </w:p>
    <w:p>
      <w:pPr>
        <w:ind w:firstLine="6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 货物（含软件及相关服务）的安装按招标文件要求进行。</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10.索赔</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在第 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11.拖延交货</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乙方应按照合同专用条款中规定的交货期交货和提供服务。 </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如果乙方毫无理由地拖延交货，将受到以下制裁:没收履约保证金，加收违约损失赔偿</w:t>
      </w:r>
      <w:r>
        <w:rPr>
          <w:rFonts w:hint="eastAsia" w:ascii="宋体" w:hAnsi="宋体" w:eastAsia="宋体" w:cs="宋体"/>
          <w:color w:val="auto"/>
          <w:sz w:val="24"/>
          <w:szCs w:val="24"/>
          <w:highlight w:val="none"/>
          <w:u w:val="single"/>
        </w:rPr>
        <w:t xml:space="preserve">和／或</w:t>
      </w:r>
      <w:r>
        <w:rPr>
          <w:rFonts w:hint="eastAsia" w:ascii="宋体" w:hAnsi="宋体" w:eastAsia="宋体" w:cs="宋体"/>
          <w:color w:val="auto"/>
          <w:sz w:val="24"/>
          <w:szCs w:val="24"/>
          <w:highlight w:val="none"/>
        </w:rPr>
        <w:t xml:space="preserve">终止合同。 </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12.误期赔偿</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13.不可抗力</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14.税费</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14.1中国政府根据现行税法规定对甲方征收的与本合同有关的一切税费，均由甲方负担。</w:t>
      </w:r>
      <w:r/>
    </w:p>
    <w:p>
      <w:pPr>
        <w:ind w:firstLine="56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14.2中国政府根据现行税法规定对乙方征收的与本合同有关的一切税费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均由乙方负担。</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15.仲裁</w:t>
      </w:r>
      <w:r/>
    </w:p>
    <w:p>
      <w:pPr>
        <w:ind w:firstLine="5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买卖双方应通过友好协商，解决在执行本合同中所发生的或与本合同有关的一切争端，如果协商仍得不到解决，任何一方均可按“中华人民共和国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”规定提交调解和仲裁。 </w:t>
      </w:r>
      <w:r/>
    </w:p>
    <w:p>
      <w:pPr>
        <w:ind w:firstLine="5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仲裁裁决应为终局裁决，对双方均具有约束力。 </w:t>
      </w:r>
      <w:r/>
    </w:p>
    <w:p>
      <w:pPr>
        <w:ind w:firstLine="5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仲裁费除仲裁机构另有裁决外应由败诉方负担。</w:t>
      </w:r>
      <w:r/>
    </w:p>
    <w:p>
      <w:pPr>
        <w:ind w:firstLine="5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在仲裁期间，除正在进行仲裁的部分外，合同其它部分继续执行。</w:t>
      </w:r>
      <w:r>
        <w:rPr>
          <w:rFonts w:hint="eastAsia" w:ascii="宋体" w:hAnsi="宋体" w:eastAsia="宋体" w:cs="宋体"/>
          <w:b/>
          <w:color w:val="auto"/>
          <w:sz w:val="24"/>
          <w:szCs w:val="24"/>
          <w:highlight w:val="none"/>
        </w:rPr>
        <w:t xml:space="preserve">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16.违约终止合同</w:t>
      </w:r>
      <w:r/>
    </w:p>
    <w:p>
      <w:pPr>
        <w:pStyle w:val="852"/>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852"/>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（1）如果乙方未能在合同规定的期限或甲方同意延期的限期内提供全部或部分货物（含软件及相关服务）； </w:t>
      </w:r>
      <w:r/>
    </w:p>
    <w:p>
      <w:pPr>
        <w:pStyle w:val="852"/>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（2）如果乙方未能履行合同规定的其它义务。 </w:t>
      </w:r>
      <w:r/>
    </w:p>
    <w:p>
      <w:pPr>
        <w:pStyle w:val="852"/>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17.破产中止合同</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18.转让</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18.1 除甲方事先书面同意外，乙方不得部分转让或全部转让其应履行的合同义务。</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19.合同生效及其它</w:t>
      </w:r>
      <w:r/>
    </w:p>
    <w:p>
      <w:pPr>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19.1</w:t>
      </w:r>
      <w:r>
        <w:rPr>
          <w:rFonts w:hint="eastAsia" w:ascii="宋体" w:hAnsi="宋体" w:eastAsia="宋体" w:cs="宋体"/>
          <w:color w:val="auto"/>
          <w:sz w:val="24"/>
          <w:szCs w:val="24"/>
          <w:highlight w:val="none"/>
          <w:lang w:val="en-US" w:eastAsia="zh-CN"/>
        </w:rPr>
        <w:t xml:space="preserve">甲方的</w:t>
      </w:r>
      <w:r>
        <w:rPr>
          <w:rFonts w:hint="eastAsia" w:ascii="宋体" w:hAnsi="宋体" w:eastAsia="宋体" w:cs="宋体"/>
          <w:color w:val="auto"/>
          <w:sz w:val="24"/>
          <w:szCs w:val="24"/>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702"/>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19.2本合同经甲、乙双方加盖电子签章后生效。    </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19.3合同货物交付使用后所发生的合同纠纷，甲方与乙方进行处理。</w:t>
      </w:r>
      <w:r/>
    </w:p>
    <w:p>
      <w:pPr>
        <w:pStyle w:val="70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19.4如需修改或补充合同内容，应经乙方、甲方协商，签署书面修改或补充协议。该协议将作为本合同不可分割的一部分。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19.5本合同应按照中华人民共和国的现行法律进行解释。</w:t>
      </w:r>
      <w:r/>
    </w:p>
    <w:p>
      <w:pPr>
        <w:jc w:val="both"/>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both"/>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both"/>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both"/>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both"/>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both"/>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numPr>
          <w:ilvl w:val="0"/>
          <w:numId w:val="10"/>
        </w:numPr>
        <w:jc w:val="center"/>
        <w:keepLines w:val="0"/>
        <w:keepNext w:val="0"/>
        <w:pageBreakBefore w:val="0"/>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项目采购需求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为贯彻落实积极应对人口老龄化国家战略，推进完善居家社区机构相协调、医养康养相结合的养老服务体系，根据按照《民政部办公厅财政部办公厅关于开展2024年居家和社区基本养老服务提升行动项目申报和组织实施工作的通知》（民办函〔2024〕26号）、关于印发《淮安市居家和社区基本养老服务提升行动项目实施方案》的通知（淮民〔2024〕31号）文件精神及工作部署，为满足老年人多样化、多层次养老服务需求，使老年人获得感、幸福感、安全感明显提升，洪泽区将开展居家和社区基本养老服务提升行动项目工作。</w:t>
      </w:r>
      <w:r/>
    </w:p>
    <w:p>
      <w:pPr>
        <w:numPr>
          <w:ilvl w:val="0"/>
          <w:numId w:val="0"/>
        </w:numPr>
        <w:keepLines w:val="0"/>
        <w:keepNext w:val="0"/>
        <w:pageBreakBefore w:val="0"/>
        <w:spacing w:line="52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一、项目概况</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为推动 2024</w:t>
      </w:r>
      <w:r>
        <w:rPr>
          <w:rFonts w:hint="eastAsia" w:ascii="宋体" w:hAnsi="宋体" w:eastAsia="宋体" w:cs="宋体"/>
          <w:color w:val="auto"/>
          <w:sz w:val="24"/>
          <w:szCs w:val="24"/>
          <w:highlight w:val="none"/>
        </w:rPr>
        <w:t xml:space="preserve">年居家和社区基本养老服务提升行动项目规范、有序实施，</w:t>
      </w:r>
      <w:r>
        <w:rPr>
          <w:rFonts w:hint="eastAsia" w:ascii="宋体" w:hAnsi="宋体" w:eastAsia="宋体" w:cs="宋体"/>
          <w:color w:val="auto"/>
          <w:sz w:val="24"/>
          <w:szCs w:val="24"/>
          <w:highlight w:val="none"/>
          <w:lang w:eastAsia="zh-CN"/>
        </w:rPr>
        <w:t xml:space="preserve">面向具有</w:t>
      </w:r>
      <w:r>
        <w:rPr>
          <w:rFonts w:hint="eastAsia" w:ascii="宋体" w:hAnsi="宋体" w:eastAsia="宋体" w:cs="宋体"/>
          <w:color w:val="auto"/>
          <w:sz w:val="24"/>
          <w:szCs w:val="24"/>
          <w:highlight w:val="none"/>
          <w:lang w:val="en-US" w:eastAsia="zh-CN"/>
        </w:rPr>
        <w:t xml:space="preserve">洪泽区</w:t>
      </w:r>
      <w:r>
        <w:rPr>
          <w:rFonts w:hint="eastAsia" w:ascii="宋体" w:hAnsi="宋体" w:eastAsia="宋体" w:cs="宋体"/>
          <w:color w:val="auto"/>
          <w:sz w:val="24"/>
          <w:szCs w:val="24"/>
          <w:highlight w:val="none"/>
        </w:rPr>
        <w:t xml:space="preserve">户籍且实际居住在本区范围内的60周岁及以上的经济困难的失能、部分失能老年人家庭建设家庭养老床位</w:t>
      </w:r>
      <w:r>
        <w:rPr>
          <w:rFonts w:hint="eastAsia" w:ascii="宋体" w:hAnsi="宋体" w:eastAsia="宋体" w:cs="宋体"/>
          <w:color w:val="auto"/>
          <w:sz w:val="24"/>
          <w:szCs w:val="24"/>
          <w:highlight w:val="none"/>
          <w:lang w:eastAsia="zh-CN"/>
        </w:rPr>
        <w:t xml:space="preserve">，以及向</w:t>
      </w:r>
      <w:r>
        <w:rPr>
          <w:rFonts w:hint="eastAsia" w:ascii="宋体" w:hAnsi="宋体" w:eastAsia="宋体" w:cs="宋体"/>
          <w:color w:val="auto"/>
          <w:sz w:val="24"/>
          <w:szCs w:val="24"/>
          <w:highlight w:val="none"/>
        </w:rPr>
        <w:t xml:space="preserve">轻度失能及以上的经济困难老人提供居家上门服务。</w:t>
      </w:r>
      <w:r/>
    </w:p>
    <w:p>
      <w:pPr>
        <w:numPr>
          <w:ilvl w:val="0"/>
          <w:numId w:val="0"/>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二、服务实施</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（一）服务对象：</w:t>
      </w:r>
      <w:r/>
    </w:p>
    <w:p>
      <w:pPr>
        <w:ind w:firstLine="56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洪泽</w:t>
      </w:r>
      <w:r>
        <w:rPr>
          <w:rFonts w:hint="eastAsia" w:ascii="宋体" w:hAnsi="宋体" w:eastAsia="宋体" w:cs="宋体"/>
          <w:color w:val="auto"/>
          <w:sz w:val="24"/>
          <w:szCs w:val="24"/>
          <w:highlight w:val="none"/>
          <w:lang w:eastAsia="zh-CN"/>
        </w:rPr>
        <w:t xml:space="preserve">区</w:t>
      </w:r>
      <w:r>
        <w:rPr>
          <w:rFonts w:hint="eastAsia" w:ascii="宋体" w:hAnsi="宋体" w:eastAsia="宋体" w:cs="宋体"/>
          <w:color w:val="auto"/>
          <w:sz w:val="24"/>
          <w:szCs w:val="24"/>
          <w:highlight w:val="none"/>
        </w:rPr>
        <w:t xml:space="preserve">户籍且实际居住在本</w:t>
      </w:r>
      <w:r>
        <w:rPr>
          <w:rFonts w:hint="eastAsia" w:ascii="宋体" w:hAnsi="宋体" w:eastAsia="宋体" w:cs="宋体"/>
          <w:color w:val="auto"/>
          <w:sz w:val="24"/>
          <w:szCs w:val="24"/>
          <w:highlight w:val="none"/>
          <w:lang w:eastAsia="zh-CN"/>
        </w:rPr>
        <w:t xml:space="preserve">区</w:t>
      </w:r>
      <w:r>
        <w:rPr>
          <w:rFonts w:hint="eastAsia" w:ascii="宋体" w:hAnsi="宋体" w:eastAsia="宋体" w:cs="宋体"/>
          <w:color w:val="auto"/>
          <w:sz w:val="24"/>
          <w:szCs w:val="24"/>
          <w:highlight w:val="none"/>
        </w:rPr>
        <w:t xml:space="preserve">范围内的 60 周岁及以上的经济困难的失能、部分失能老年人，同时满足因各种原因无法或不愿入住养老机构的老年人。</w:t>
      </w:r>
      <w:r>
        <w:rPr>
          <w:rFonts w:hint="eastAsia" w:ascii="宋体" w:hAnsi="宋体" w:eastAsia="宋体" w:cs="宋体"/>
          <w:color w:val="auto"/>
          <w:sz w:val="24"/>
          <w:szCs w:val="24"/>
          <w:highlight w:val="none"/>
          <w:lang w:eastAsia="zh-CN"/>
        </w:rPr>
        <w:t xml:space="preserve">经济困难指家庭人均收入符合低保、低保边缘标准，可视情扩大到当地人均可支配收入统计口径的低收入组和中间偏下收入组（含特困供养人员）；失能、部分失能是指根据《老年人能力评估规范》（GB/T42195-2022）等标准评估为轻度失能及以上等级。</w:t>
      </w:r>
      <w:r/>
    </w:p>
    <w:p>
      <w:pPr>
        <w:ind w:firstLine="56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家庭养老床位硬件建设服务对象：综合其身体健康状况、居家环境条件、自我意愿等因素，对适宜建设家庭养老床位的，为其建设家庭养老床位；</w:t>
      </w:r>
      <w:r/>
    </w:p>
    <w:p>
      <w:pPr>
        <w:ind w:firstLine="56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居家养老上门服务对象：建设家庭养老床位服务对象，以及未建设家庭养老床位但有居家养老服务需求的服务对象。</w:t>
      </w:r>
      <w:r/>
    </w:p>
    <w:p>
      <w:pPr>
        <w:numPr>
          <w:ilvl w:val="0"/>
          <w:numId w:val="0"/>
        </w:numPr>
        <w:ind w:firstLine="56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根据我区经济困难的失能、部分失能老年人能力评估结果，</w:t>
      </w:r>
      <w:r>
        <w:rPr>
          <w:rFonts w:hint="eastAsia" w:ascii="宋体" w:hAnsi="宋体" w:eastAsia="宋体" w:cs="宋体"/>
          <w:color w:val="auto"/>
          <w:sz w:val="24"/>
          <w:szCs w:val="24"/>
          <w:highlight w:val="none"/>
        </w:rPr>
        <w:t xml:space="preserve">建设家庭养老床位</w:t>
      </w:r>
      <w:r>
        <w:rPr>
          <w:rFonts w:hint="eastAsia" w:ascii="宋体" w:hAnsi="宋体" w:eastAsia="宋体" w:cs="宋体"/>
          <w:color w:val="auto"/>
          <w:sz w:val="24"/>
          <w:szCs w:val="24"/>
          <w:highlight w:val="none"/>
          <w:shd w:val="clear" w:color="auto" w:fill="ffffff"/>
        </w:rPr>
        <w:t xml:space="preserve">对象清单和类别以</w:t>
      </w:r>
      <w:r>
        <w:rPr>
          <w:rFonts w:hint="eastAsia" w:ascii="宋体" w:hAnsi="宋体" w:eastAsia="宋体" w:cs="宋体"/>
          <w:color w:val="auto"/>
          <w:sz w:val="24"/>
          <w:szCs w:val="24"/>
          <w:highlight w:val="none"/>
          <w:shd w:val="clear" w:color="auto" w:fill="ffffff"/>
          <w:lang w:val="en-US" w:eastAsia="zh-CN"/>
        </w:rPr>
        <w:t xml:space="preserve">采购人</w:t>
      </w:r>
      <w:r>
        <w:rPr>
          <w:rFonts w:hint="eastAsia" w:ascii="宋体" w:hAnsi="宋体" w:eastAsia="宋体" w:cs="宋体"/>
          <w:color w:val="auto"/>
          <w:sz w:val="24"/>
          <w:szCs w:val="24"/>
          <w:highlight w:val="none"/>
          <w:shd w:val="clear" w:color="auto" w:fill="ffffff"/>
        </w:rPr>
        <w:t xml:space="preserve">提供的名单为准，</w:t>
      </w:r>
      <w:r>
        <w:rPr>
          <w:rFonts w:hint="eastAsia" w:ascii="宋体" w:hAnsi="宋体" w:eastAsia="宋体" w:cs="宋体"/>
          <w:color w:val="auto"/>
          <w:sz w:val="24"/>
          <w:szCs w:val="24"/>
          <w:highlight w:val="none"/>
          <w:shd w:val="clear" w:color="auto" w:fill="ffffff"/>
          <w:lang w:val="en-US" w:eastAsia="zh-CN"/>
        </w:rPr>
        <w:t xml:space="preserve">采购人</w:t>
      </w:r>
      <w:r>
        <w:rPr>
          <w:rFonts w:hint="eastAsia" w:ascii="宋体" w:hAnsi="宋体" w:eastAsia="宋体" w:cs="宋体"/>
          <w:color w:val="auto"/>
          <w:sz w:val="24"/>
          <w:szCs w:val="24"/>
          <w:highlight w:val="none"/>
          <w:shd w:val="clear" w:color="auto" w:fill="ffffff"/>
        </w:rPr>
        <w:t xml:space="preserve">结合实际可对分配的改造</w:t>
      </w:r>
      <w:r>
        <w:rPr>
          <w:rFonts w:hint="eastAsia" w:ascii="宋体" w:hAnsi="宋体" w:eastAsia="宋体" w:cs="宋体"/>
          <w:color w:val="auto"/>
          <w:sz w:val="24"/>
          <w:szCs w:val="24"/>
          <w:highlight w:val="none"/>
          <w:shd w:val="clear" w:color="auto" w:fill="ffffff"/>
          <w:lang w:eastAsia="zh-CN"/>
        </w:rPr>
        <w:t xml:space="preserve">户数和服务人</w:t>
      </w:r>
      <w:r>
        <w:rPr>
          <w:rFonts w:hint="eastAsia" w:ascii="宋体" w:hAnsi="宋体" w:eastAsia="宋体" w:cs="宋体"/>
          <w:color w:val="auto"/>
          <w:sz w:val="24"/>
          <w:szCs w:val="24"/>
          <w:highlight w:val="none"/>
          <w:shd w:val="clear" w:color="auto" w:fill="ffffff"/>
        </w:rPr>
        <w:t xml:space="preserve">数进行调整</w:t>
      </w:r>
      <w:r>
        <w:rPr>
          <w:rFonts w:hint="eastAsia" w:ascii="宋体" w:hAnsi="宋体" w:eastAsia="宋体" w:cs="宋体"/>
          <w:color w:val="auto"/>
          <w:sz w:val="24"/>
          <w:szCs w:val="24"/>
          <w:highlight w:val="none"/>
        </w:rPr>
        <w:t xml:space="preserve">。</w:t>
      </w:r>
      <w:r/>
    </w:p>
    <w:p>
      <w:pPr>
        <w:numPr>
          <w:ilvl w:val="0"/>
          <w:numId w:val="0"/>
        </w:numPr>
        <w:ind w:firstLine="560"/>
        <w:keepLines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（二）补助政策</w:t>
      </w:r>
      <w:r/>
    </w:p>
    <w:p>
      <w:pPr>
        <w:numPr>
          <w:ilvl w:val="0"/>
          <w:numId w:val="0"/>
        </w:numPr>
        <w:ind w:firstLine="560"/>
        <w:keepLines w:val="0"/>
        <w:pageBreakBefore w:val="0"/>
        <w:spacing w:line="52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1、家庭养老床位建设补助。</w:t>
      </w:r>
      <w:r>
        <w:rPr>
          <w:rFonts w:hint="eastAsia" w:ascii="宋体" w:hAnsi="宋体" w:eastAsia="宋体" w:cs="宋体"/>
          <w:color w:val="auto"/>
          <w:sz w:val="24"/>
          <w:szCs w:val="24"/>
          <w:highlight w:val="none"/>
          <w:lang w:val="en-US" w:eastAsia="zh-CN"/>
        </w:rPr>
        <w:t xml:space="preserve">补助标准每户不少于 7100 元。同一地址由两名或以上实施对象老年人建床的，对共同使用的适老</w:t>
      </w:r>
      <w:r>
        <w:rPr>
          <w:rFonts w:hint="eastAsia" w:ascii="宋体" w:hAnsi="宋体" w:eastAsia="宋体" w:cs="宋体"/>
          <w:color w:val="auto"/>
          <w:sz w:val="24"/>
          <w:szCs w:val="24"/>
          <w:highlight w:val="none"/>
          <w:lang w:eastAsia="zh-CN"/>
        </w:rPr>
        <w:t xml:space="preserve">化改造、智能化改造、设施设备安装等改造内容不重复补助。建设床位数不少于</w:t>
      </w: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lang w:eastAsia="zh-CN"/>
        </w:rPr>
        <w:t xml:space="preserve">张，总金额 </w:t>
      </w:r>
      <w:r>
        <w:rPr>
          <w:rFonts w:hint="eastAsia" w:ascii="宋体" w:hAnsi="宋体" w:eastAsia="宋体" w:cs="宋体"/>
          <w:color w:val="auto"/>
          <w:sz w:val="24"/>
          <w:szCs w:val="24"/>
          <w:highlight w:val="none"/>
          <w:lang w:val="en-US" w:eastAsia="zh-CN"/>
        </w:rPr>
        <w:t xml:space="preserve">781000</w:t>
      </w:r>
      <w:r>
        <w:rPr>
          <w:rFonts w:hint="eastAsia" w:ascii="宋体" w:hAnsi="宋体" w:eastAsia="宋体" w:cs="宋体"/>
          <w:color w:val="auto"/>
          <w:sz w:val="24"/>
          <w:szCs w:val="24"/>
          <w:highlight w:val="none"/>
          <w:lang w:eastAsia="zh-CN"/>
        </w:rPr>
        <w:t xml:space="preserve">元。</w:t>
      </w:r>
      <w:r/>
    </w:p>
    <w:p>
      <w:pPr>
        <w:pStyle w:val="973"/>
        <w:numPr>
          <w:ilvl w:val="0"/>
          <w:numId w:val="0"/>
        </w:numPr>
        <w:ind w:firstLine="560"/>
        <w:jc w:val="both"/>
        <w:keepLines w:val="0"/>
        <w:pageBreakBefore w:val="0"/>
        <w:spacing w:before="0" w:after="0" w:line="5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居家养老上门服务补助。为每位符合条件的老年人在项目周期内（2024年10月-2025年6月底前）提供总计不少于40次的居家养老上门服务（每次服务时间不低于1个小时）。享受服务的人数不少于220名，总金额264000元。</w:t>
      </w:r>
      <w:r/>
    </w:p>
    <w:p>
      <w:pPr>
        <w:pStyle w:val="973"/>
        <w:numPr>
          <w:ilvl w:val="0"/>
          <w:numId w:val="0"/>
        </w:numPr>
        <w:ind w:firstLine="560"/>
        <w:jc w:val="both"/>
        <w:keepLines w:val="0"/>
        <w:pageBreakBefore w:val="0"/>
        <w:spacing w:before="0" w:after="0" w:line="5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以上两项补助总计104.5万元，项目实施完成，按最终验收和评估考核结果按实结算。</w:t>
      </w:r>
      <w:r/>
    </w:p>
    <w:p>
      <w:pPr>
        <w:ind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三、基本要求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家庭养老床位建设：在对老年人能力评估基础上，根据服务对象失能状况、居家环境条件等情况，按照“一户一策”的原则，为家庭养老床位建设对象进行评估设计，对其居家环境关键区域或部位进行适老化改造，按需安装网络连接、紧急呼叫、活动监测等智能化设备，并视情配备助行、助餐、感知类老年用品（具体可参考附件1）。建设的家庭养老床位应有效增强服务对象居家生活的安全性、便利性和舒适性，并能够通过智能化手段进行远程监测和动态管理，对服务对象服务需求和异常情况及时响应和进行应急处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2、居家养老上门服务：在对老年人能力评估基础上，按照“一户一策”的原则，依据《淮安市居家和社区基本养老服务提升行动项目实施方案》的通知（淮民〔2024〕31号），</w:t>
      </w:r>
      <w:r>
        <w:rPr>
          <w:rFonts w:hint="eastAsia" w:ascii="宋体" w:hAnsi="宋体" w:eastAsia="宋体" w:cs="宋体"/>
          <w:color w:val="auto"/>
          <w:sz w:val="24"/>
          <w:szCs w:val="24"/>
          <w:highlight w:val="none"/>
          <w:lang w:val="en-US" w:eastAsia="zh-CN" w:bidi="ar"/>
        </w:rPr>
        <w:t xml:space="preserve">对接受居家养老上门服务的制定老年人服务计划，明确服务内容、服务方式和服务价格，</w:t>
      </w:r>
      <w:r>
        <w:rPr>
          <w:rFonts w:hint="eastAsia" w:ascii="宋体" w:hAnsi="宋体" w:eastAsia="宋体" w:cs="宋体"/>
          <w:color w:val="auto"/>
          <w:sz w:val="24"/>
          <w:szCs w:val="24"/>
          <w:highlight w:val="none"/>
          <w:lang w:val="en-US" w:eastAsia="zh-CN" w:bidi="ar"/>
        </w:rPr>
        <w:t xml:space="preserve">服务内容包括但不限于生活照料、基础照护、探访关爱、健康管理、委托代办、精神慰藉等服务（见附件2），帮助失能、部分失能老年人家庭人员掌握养老护理技能，提升居家老年人照护服务能力及水平，并根据服务对象身体状况和照护需求，经与服务对象或其监护人商议，及时调整服务计划，每名老年人完成上门服务不少于40次，每次服务不低于1小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四、工作要求</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家庭养老床位建设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实施要求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家庭养老床位的建设分基础项目和可选项目，基础项目是必须配置的项目，应根据老年人能力评估和改造意愿实施改造，不得过度改造造成资源浪费。同时在服务对象家中，以适当方式显著标明“彩票公益金资助”标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（2）服务对象满意度应不低于90%，否则应要求实施主体限期整改，情节严重收回已发放项目资金，并纳入行业黑名单公示发布。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（3）所有设施设备应有产品合格证，并符合国家、部门相关环保标准、安全标准、安装标准。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（4）所有智能化产品的实时服务数据确保对接至系统平台，同时推送到老人监护人手机端，并保证正常运营。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（5）中标供应商需完成 “金民工程”全国养老服务信息系统居家和社区基本养老服务提升行动项目”版块中的数据上传和维护。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2、质量要求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中标供应商应保证货物是全新、未使用过的原厂合格产品，并完全符合招标文件规定的质量、规格和参数的要求，符合国标（无国标的需达到行业标准）。在产品安装前，招标方有权要求中标供应商提供样品。验收过程中发现产品不符合或不配合上述要求的，将视作不合格产品，招标方有权终止合同，造成的一切损失由中标供应商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（2）中标供应商应保证提供的产品不得侵犯第三方专利权、商标权和设计权、版权等。否则，中标供应商应负全部责任，并承担由此引起的一切后果。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（3）中标供应商应采取必要的安全措施保证货物的运输及安装的安全，并承担货物的运输及安装过程中产生的风险及一切安全责任。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（4）所有报价的产品的各项技术标准应当符合现行相关国家（行业）标准和规范及招标文件的要求。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（5）供货时必须随产品提供出厂材料，包括但不限于检验报告（复印件）、产品合格证（原件）等。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（6）采购人将邀请专业人员，对安装到位的设备进行全面检查，发现使用不符合要求的产品，无条件更换。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3、售后服务要求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的质量保证期（简称“质保期”）：自项目验收交付之日起总体项目提供不少于2年质量保证期（包含2年服务费）（若国家和/或生产厂家对本项目所涉及货物的质量保证期的规定高于本项目的要求，应按国家和/或生产厂家的规定执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（2）中标供应商需有完善的安装实施、培训、维护方案。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3）设备系统发生故障，中标供应商应承诺30分钟内响应，8小时内派出维保人员到达现场处理问题，在质保期内非人为因素损坏设备，自采购单位报故障之时起，一般故障8小时内予以修复，重大故障12小时内予以修复；若无法排除故障，须提供备用设备于24小时内安装到位，在最短时间内恢复系统正常运行。保证用户正常使用，确保设备上线率。中标供应商接到故障报告后，应严格遵守服务合同约定，中标供应商应按承诺的服务水平和响应速度到达现场进行处理。因设施设备故障、未及时响应出现和发生的一切责任、问题、赔偿均由投标方承担，招标方概不负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（4）中标供应商应充分保证售后服务主要硬件维修所需的备件供应。更换的备件型号和规格应与被更换的完全一样或更优。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（5）中标供应商在每次预防性维护后，应针对设备的隐患，充分准备备件，并及时进行更换。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（6）中标供应商每完成一户改造，需提供售后服务卡给服务对象。售后服务卡内容包括但不限于：售后服务联系人、联系电话、监督人、监督电话等内容。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4、安全管理要求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为贯彻“安全第一，预防为主”方针，中标供应商应为现场施工人员购买不记名工程意外伤害保险。中标供应商在项目工程现场施工安装过程中，必须遵守国家和地方关于劳动安全、劳务用工等法律法规及规章制度，制定严格的安全措施，加强安全监督管理，对工程施工过程中发生的人身伤害、设备损坏事故承担安全责任，并按国家有关规定，为施工人员购买人身保险，配备合格的劳动防护用品、安全用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（2）若发生安全问题，由中标供应商自行负责处理并承担一切经济和法律责任，与采购人无关，同时按合同要求保证施工进度，按时完工。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（二）居家养老上门服务工作要求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1、服务要求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（1）在服务对象家中，以适当方式显著标明“彩票公益金资助”标识。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（2）服务对象满意度应不低于90%，否则应要求服务主体限期整改，情节严重收回已发放项目资金，并纳入行业黑名单公示发布。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（3）中标供应商需完成全国民政政务信息系统内的数据上传和维护。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中标供应商在项目实施过程中，国家对相关项目有资质要求的，进场单位和人员的资质、资格符合国家、省、市有关规定。实施期间中标供应商所发生的或中标供应商实施场地内发生的或中标供应商原因造成的安全事故，均应由中标供应商负责按有关规定处理善后事宜，并承担给采购人造成的损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2、服务人员要求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（1）服务人员要求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中标供应商须配备一定数量的养老护理员、健康管理师、社工师等相关服务人员。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（2）管理人员基本要求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1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了解国家和行业主管部门有关居家养老服务的法律、法规和规定；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2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掌握企业管理、经营项目的有关专业知识及专业技术；</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3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具有专科及以上文化程度；</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4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每年至少参加1次以上管理培训活动。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3、行为规范要求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1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仪表仪容端庄、大方、整洁；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2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统一着装、配备工号牌；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3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提倡使用普通话，语言文明、简洁、清晰；</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4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主动服务，符合相应岗位的服务礼仪规范；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fldChar w:fldCharType="begin"/>
      </w:r>
      <w:r>
        <w:rPr>
          <w:rFonts w:hint="eastAsia" w:ascii="宋体" w:hAnsi="宋体" w:eastAsia="宋体" w:cs="宋体"/>
          <w:color w:val="auto"/>
          <w:sz w:val="24"/>
          <w:szCs w:val="24"/>
          <w:highlight w:val="none"/>
          <w:lang w:val="en-US" w:eastAsia="zh-CN" w:bidi="ar"/>
        </w:rPr>
        <w:instrText xml:space="preserve"> = 5 \* GB3 \* MERGEFORMAT </w:instrText>
      </w:r>
      <w:r>
        <w:rPr>
          <w:rFonts w:hint="eastAsia" w:ascii="宋体" w:hAnsi="宋体" w:eastAsia="宋体" w:cs="宋体"/>
          <w:color w:val="auto"/>
          <w:sz w:val="24"/>
          <w:szCs w:val="24"/>
          <w:highlight w:val="none"/>
          <w:lang w:val="en-US" w:eastAsia="zh-CN" w:bidi="ar"/>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val="en-US" w:eastAsia="zh-CN" w:bidi="ar"/>
        </w:rPr>
        <w:fldChar w:fldCharType="end"/>
      </w:r>
      <w:r>
        <w:rPr>
          <w:rFonts w:hint="eastAsia" w:ascii="宋体" w:hAnsi="宋体" w:eastAsia="宋体" w:cs="宋体"/>
          <w:color w:val="auto"/>
          <w:sz w:val="24"/>
          <w:szCs w:val="24"/>
          <w:highlight w:val="none"/>
          <w:lang w:val="en-US" w:eastAsia="zh-CN" w:bidi="ar"/>
        </w:rPr>
        <w:t xml:space="preserve">尊老敬老，对老年人富有爱心。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8" w:orient="portrait"/>
          <w:pgMar w:top="1157" w:right="1236" w:bottom="1043" w:left="1519"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674"/>
        <w:ind w:left="0" w:firstLine="0"/>
        <w:spacing w:before="0" w:after="0" w:line="240" w:lineRule="auto"/>
        <w:widowControl/>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附件1：家庭养老床位基本项目参考清单</w:t>
      </w:r>
      <w:r/>
    </w:p>
    <w:tbl>
      <w:tblPr>
        <w:tblStyle w:val="683"/>
        <w:tblpPr w:horzAnchor="page" w:tblpX="1219" w:vertAnchor="text" w:tblpY="469" w:leftFromText="180" w:topFromText="0" w:rightFromText="180" w:bottomFromText="0"/>
        <w:tblW w:w="9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585"/>
        <w:gridCol w:w="750"/>
        <w:gridCol w:w="1275"/>
        <w:gridCol w:w="1155"/>
        <w:gridCol w:w="3540"/>
        <w:gridCol w:w="900"/>
        <w:gridCol w:w="615"/>
        <w:gridCol w:w="690"/>
      </w:tblGrid>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具体内容</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设备参数</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最高限价（元）</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项目类型</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gridSpan w:val="8"/>
            <w:tcBorders>
              <w:top w:val="single" w:color="auto" w:sz="4" w:space="0"/>
              <w:left w:val="single" w:color="auto" w:sz="4" w:space="0"/>
              <w:bottom w:val="single" w:color="auto" w:sz="4" w:space="0"/>
              <w:right w:val="single" w:color="auto" w:sz="4" w:space="0"/>
            </w:tcBorders>
            <w:tcW w:w="951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一、适老化改造</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地面</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改造</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防滑处理</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在卫生间、厨房、卧室等区域，铺设防滑砖或者防滑地胶</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防滑地垫</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 ≥56×88cm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2.材质：PVC</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3.厚度：≥7mm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690" w:type="dxa"/>
            <w:vAlign w:val="top"/>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防滑地胶</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采用 PVC 材质地胶，防湿滑系数为≥ R10，厚度≥2mm；抗菌防霉易清洗，适用于卫浴间、厨房等较湿滑地方；禁止使用便携式防滑地垫。</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74</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平方</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防滑地砖</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防滑砖。拆除原地面，找平，放线，瓷砖铺贴，嵌缝处理（含人工、主材、辅材；不含防水）</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208</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平方</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防滑拼接垫</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1.材质：环保软性PVC</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2.尺寸：300×300×8mm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3.拼接安装，便于清洁拆洗</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5"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高差处理</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铺设水泥坡道或者加设橡胶等材质的可移动式坡道</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移动坡道</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1、材质：橡塑材质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2、尺寸：根据每户评估结果配置</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690" w:type="dxa"/>
            <w:vAlign w:val="top"/>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水泥坡道</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1.材质：水泥、砂子</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2.尺寸：根据门厅、过道等处实际高低差（大于50mm）设计施工样式</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3.坡道坡度比≤1：8（根据现场实际情况定）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4.表面作防滑条纹处理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平方</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门改造</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门槛移除</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移除门槛，便利老年人进出</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门槛移除</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移除门槛，保证老年人进门无障碍，方便轮椅进出。</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5"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房门拓宽</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对卫生间、厨房等空间较窄的门洞进行拓宽，改善通过性，方便轮椅进出</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房门拓宽</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对卫生间、厨房等空间较窄的门洞进行拓宽，改善通过性，方便轮椅进出等。</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85"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下压式</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门把手改造</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可用单手手掌或者手指轻松操作，增加摩擦力和稳定性，方便老年人开门</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下压式门把手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1.拆除原有锁具</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2.安装下压式门把手</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3.根据老人家庭实际情况改造，满足老人需求。</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8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卧室</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改造</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安装床边</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护栏（抓杆）</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辅助老年人起身、上下床，防止翻身滚下床</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落地床边扶手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1.底座尺寸约：500mm×600mm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2.高度调节范围：≥750mm-850mm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3.材质：尼龙、不锈钢</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4.表面有花纹，能够防滑</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5.产品重量：≥13kg</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680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（二选一）</w:t>
            </w:r>
            <w:r/>
          </w:p>
        </w:tc>
      </w:tr>
      <w:tr>
        <w:trPr>
          <w:trHeight w:val="681"/>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床边抓杆</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1.材质：碳钢钢材</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2.可折叠，方便收纳</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配置护理床</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帮助失能老年人完成起身、侧翻、上下床、吃饭等动作，辅助喂食、处理排泄物等</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单摇护理床</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1.尺寸：长度≥2000mm、床面宽度≥900mm、地面到床面高度≥500mm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2.床框方管40*80*1.2mm，床脚采用50*50*1.2mm方管,床板采用冷轧钢板冲孔，金属部分表面处理采用双重涂层。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3.两侧配有全覆式铝合金材质护栏装置，配5根不锈钢鼓形护栏支柱，长1160mm*10mm、高350mm*10mm，铝合金表面经阳极氧化处理呈亮银色，表面光洁度高，易于清洗；</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4.床头床尾板采用ABS工程塑料注塑成型，床头床尾板坚固可靠，不变形；床头床尾板有防脱固定设置，床头床尾板不会因外力歪斜、损坏、晃动，扎实耐用，可快速拆卸；</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5.整床承重≥200kg。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6.有手动背框升起功能，起背角度0°～75°；</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7.5寸静音脚轮均带刹车，带防尘罩；</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8.整床配套与床面尺寸相同的床垫（床垫为30密度3公分海绵+3公分棕垫），带输液架，配餐桌板。</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张</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1200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left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双摇护理床</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规格：床体总长≥2000 mm，总宽≥960 mm，床面距地高度（不含垫）≤500 mm，起背角度75°±5°腿部调节0-45°±5°（手动）。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1.床体骨架采用 80*40 优质冷轧碳素钢管而成，先进的焊接工艺，焊接质量优质，床体外侧采用高密度木板包边坚固，可承载≥150kg;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2.床面：采用的C型钢板。多气孔设计，便于透气并具有防滑功能。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3.床体采用双重磷化+静电粉体涂装处理。床体涂料采用抗菌涂料，防菌抗菌，抗酸碱腐蚀，耐裉色，有效延长使用寿命.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4.床头床尾采用高密度材料制成，产品美观、坚固、轻便、易于清洁、环保无异味，对称式快速挂钩座，可快速拆卸，方便床体移动时的拆卸安装。</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5.双侧设有折叠式铝合金5档护栏，护栏长度≥140mm，护栏高度≥30mm，立柱采用铝合金，上下支架全套ABS模具化，带有锁件，防夹手装置，使用方便、安全、牢固，可承受上下≥100mm的拉力或压力等负荷。</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6、脚轮采用ABS静音轮，可单独刹车，方便移动。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7.床垫：采用防水布罩可防止液体污染内胆。内胆材料采用40mm硬质棕丝透气性好，20mm高密度海棉回弹力良好，床垫的厚度为60mm。并经防虫处理，外形美观，便于拆洗，舒适耐用。</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张</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电动护理床</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规格：床体总长≥2000 mm，总宽≥960 mm，床面距地高度（不含垫）≤500mm，起背角度75°±5°腿部调节0-45°±5°（电动）。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1.床体骨架采用 80*40 优质冷轧碳素钢管而成，先进的焊接工艺，焊接质量优质，床体外侧采用高密度木板包边坚固，可承载≥150kg;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2.床面：采用的C型钢板。多气孔设计，便于透气并具有防滑功能。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3.床体采用双重磷化+静电粉体涂装处理。床体涂料采用抗菌涂料，防菌抗菌，抗酸碱腐蚀，耐裉色，有效延长使用寿命.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4.床头床尾采用高密度材料制成，产品美观、坚固、轻便、易于清洁、环保无异味，对称式快速挂钩座，可快速拆卸，方便床体移动时的拆卸安装。</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5.双侧设有折叠式铝合金5档护栏，护栏长度≥140mm，护栏高度≥30mm，立柱采用铝合金，上下支架全套ABS模具化，带有锁件，防夹手装置，使用方便、安全、牢固，可承受上下≥100mm的拉力或压力等负荷。</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6、脚轮采用ABS静音轮，可单独刹车，方便移动。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7.床垫：采用防水布罩可防止液体污染内胆。内胆材料采用40mm硬质棕丝透气性好，20mm高密度海棉回弹力良好，床垫的厚度为60mm。并经防虫处理，外形美观，便于拆洗，舒适耐用。</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配置防压</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疮垫</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避免长期乘坐轮椅或卧床的老年人发生严重压疮，包括防压疮坐垫、靠垫或床垫等</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防压疮床垫</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1.主机规格：电压220V±22V；频率50Hz±1Hz</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2.出气量：≈7L/min</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3.压力值范围：60mmHg - 130mmHg （毫米汞柱）</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4.旋钮式气泵压力控制，调节软硬（精密传感器、无级变速调节）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5.工作噪音：≤45dB</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6.床垫规格：22根气囊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7.尺寸约为：长（1950±100）*宽（900±100）*高（75）mm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8.最大载重：≤ 135公斤；</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9.面料采用优质医用级尼龙布（34丝）</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10.连接管采用优质硅胶管，耐折且不易脱落</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450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张</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防褥疮靠垫</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1.高密度海绵，软硬适中，环保舒适，会弹性好，支撑力强，不易 变形，经久耐用。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2.材质：棉布材质加海绵。</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翻身护理器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1.材质：外套为柔软 PU 革，绿色环保防过敏，防止老人擦伤腿部皮肤，内部用高品质注塑海绵，舒适不变形。</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2.功能：轻松变换体位，防止褥疮滋生，辅具卧床运动，抑制肌肉萎缩；降低排泄护理难度，减轻家庭及护工负担。</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防压疮坐垫</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1.尺寸：≥450×450mm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2.材质：优质PVC材质；轻巧耐拉伸，承重效果佳</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3.25个25mm内径小孔，均匀分布在坐垫上，与气室交错形成波浪凹凸表层，分散臀部、腿部的压力，更加透气</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4.承重100kg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5.配备专用打气筒，充气方便快捷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8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如厕洗浴设备改造</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安装扶手</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在如厕区或者洗浴区安装扶手，包括一字形扶手、U形扶手、L形扶手、135°扶手、T形扶手或者助力扶手等</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一字形扶手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1.尺寸：≥50cm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2.外管材质：ABS材质或抗菌尼龙，直径35mm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3.内管材质：铝合金或不锈钢内管，直径28mm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4.扶手表面使用环保标准.抗老化.耐腐蚀耐火材料，能有效抑制大肠杆菌.金黄色葡萄球菌等细菌，扶手表面采用防滑浮点设计，厚度为0.5mm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（可多选）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U型上翻扶手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1.带不锈钢底座，可上翻</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2.外管材质：ABS材质或抗菌尼龙，直径35mm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3.内管材质：铝合金或不锈钢内管，直径28mm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4.扶手表面使用环保标准.抗老化.耐腐蚀耐火材料，能有效抑制大肠杆菌.金黄色葡萄球菌等细菌，扶手表面采用防滑浮点设计，厚度为0.5mm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L形扶手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1.尺寸约为：600×400mm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2.外管材质：ABS材质或抗菌尼龙，直径35mm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3.内管材质：铝合金或不锈钢内管，直径28mm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4.扶手表面使用环保标准.抗老化.耐腐蚀耐火材料，能有效抑制大肠杆菌.金黄色葡萄球菌等细菌，扶手表面采用防滑浮点设计，厚度为0.5mm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135°扶手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1.尺寸约为：450×450mm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2.外管材质：ABS材质或抗菌尼龙，直径35mm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3.内管材质：铝合金或不锈钢内管，直径28mm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4.扶手表面使用环保标准.抗老化.耐腐蚀耐火材料，能有效抑制大肠杆菌.金黄色葡萄球菌等细菌，扶手表面采用防滑浮点设计，厚度为0.5mm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T形扶手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1.内管材质:  厚度≥1.2mm不锈钢。</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2.外管材质：高强度 ABS 或尼龙</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3.尺寸 ：70cm×50cm及以上，不锈钢螺丝。</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4.表面工艺: 防滑处理</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5.安装方式:打孔，手握舒适，防水防潮，承重力强，防锈耐用，夜光功能。</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马桶助力扶手</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1.坚固碳钢材质，更坚固，更稳定，更稳固，易清洁；扶手架高强度碳钢管焊接而成；扶手架整体硫化喷粉处理不易生锈；管内留有排水孔，防止管内储水生锈；</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2.两端扶手采用HEPR材料，使用舒适度高; 防寒易清洗；</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、360 度可旋转夹具、绑带三重加固层层防护、抗压承重强，不侧翻，不前倾；</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.平行管弯管设计更贴切马桶不绊脚；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.免打孔，升级夹具，可调节，6级可调，</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.承重≥150kg。</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390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配置淋浴椅</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辅助老年人洗澡用，避免老年人滑倒</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洗澡椅</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产品承重：≥100kg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主架材质表面：铝合金材质，阳极氧化</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塑胶配件材质：高密度PE+PP+EVA+TPR</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产品结构特点：</w:t>
            </w:r>
            <w:r/>
          </w:p>
          <w:p>
            <w:pPr>
              <w:numPr>
                <w:ilvl w:val="0"/>
                <w:numId w:val="11"/>
              </w:num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≥五档高度调节</w:t>
            </w:r>
            <w:r/>
          </w:p>
          <w:p>
            <w:pPr>
              <w:numPr>
                <w:ilvl w:val="0"/>
                <w:numId w:val="0"/>
              </w:numPr>
              <w:ind w:left="0" w:right="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2.EVA泡棉扶手套，起身抓取防滑，使用更舒适。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3.带孔防滑坐板，排水更快捷。</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4.防滑背板，支撑腰部更舒适。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5.脚垫使用TPR橡胶，更大程度防滑。    </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张</w:t>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（二选一）</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壁挂折叠淋浴凳</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1.功能：本产品用于卫生间、浴室、走廊、玄关处、淋浴凳一凳多用，具有可折叠设计，安全省空间的功能；同时内壳不锈钢具有抗菌、耐腐蚀的功能，更具防潮性。</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2.材质：外壳为优质 ABS 材料、法兰、连接件和螺丝均为镀锌防生锈工艺，连接管件整体为整体金属外包抗菌 ABS。</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195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折叠洗澡椅</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1、材质：铝合金管材；</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2、一体成型PE吹塑座板，加厚可粘贴防寒垫，加大加宽一体靠背，更具包围感，久坐更舒适；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3、≥5档高度可调，总宽≥56cm，总长≥50cm，总高≥74-84cm；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4、一体成型尼龙可上翻扶手，起身落座可支撑，清洗更便捷；</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5、加大马蹄形防滑脚垫，304不锈钢螺丝；</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6、简易折叠，开箱即用免安装，无障碍设计，折叠后可单独站立，折叠后体积小，更节省空间；</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张</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8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物理环境改造</w:t>
            </w:r>
            <w:r/>
          </w:p>
        </w:tc>
        <w:tc>
          <w:tcPr>
            <w:tcBorders>
              <w:top w:val="single" w:color="auto" w:sz="4" w:space="0"/>
              <w:left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灯源改造</w:t>
            </w:r>
            <w:r/>
          </w:p>
        </w:tc>
        <w:tc>
          <w:tcPr>
            <w:tcBorders>
              <w:top w:val="single" w:color="auto" w:sz="4" w:space="0"/>
              <w:left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安装自动感应灯，辅助老年人起夜使用</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人体红外感应小夜灯</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1.材质：PC</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2.开关形式：手动或自动光控</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3.功能：人体红外感应，人来亮，人走灭</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4.电源：充电式。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right w:val="single" w:color="auto" w:sz="4" w:space="0"/>
            </w:tcBorders>
            <w:tcW w:w="6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tc>
      </w:tr>
      <w:tr>
        <w:trPr>
          <w:trHeight w:val="567"/>
        </w:trPr>
        <w:tc>
          <w:tcPr>
            <w:tcBorders>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LED灯</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1.采用LED光源功率：≥18W外径：≥340mm</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2.高透光，光源均匀柔和不刺眼；</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3.高品质LED灯珠，亮度持久寿命长；灯体采用橡胶密封条增加密封性，可有效防止灰尘蚊虫进入；</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4.外观简约大方，适配多种场景</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left w:val="single" w:color="auto" w:sz="4" w:space="0"/>
              <w:bottom w:val="single" w:color="auto" w:sz="4" w:space="0"/>
              <w:right w:val="single" w:color="auto" w:sz="4" w:space="0"/>
            </w:tcBorders>
            <w:tcW w:w="6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电源插座及开关改造</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根据情况进行高/低位、大面板、夜间指示改造，方便老年人使用</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大按键开关面板</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PC 材料，两开双控，阻燃。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线路改造</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根据现场条件确认施工方案，成品保护，明管敷设，铺设新线，接入原有线路，布线横平竖直，穿线采用PVC套管，原老旧线路拆除，包工包料。（电缆线须达到国标标准）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76</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米</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开关插座</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1.配合电气线路改造，一开五孔</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2.尺寸：86盒型，86×86×25mm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3.明盒安装</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更换成套电箱</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拆入户线，换电箱、总开漏保、各路空开，闭合电闸；线路载荷1.5倍计算所需空开大小，总漏保不低于C60，插座漏保不低于C20，开关漏保不低于C16，空调漏保不低于C32。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安装防撞护角/防撞条、提示标识</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在家具尖角或墙角安装防撞护角或者防撞条，必要时粘贴警示条</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防撞护角</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1.材质：NBR环保橡胶发泡材质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2.尺寸：≥50×50mm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3.厚度：≥12mm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防撞条</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1.长：≥2000mm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2.材质：橡胶</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3.墙边包角处理</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4.厚度：≥12mm</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提示标识</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1.柔软、耐用、易于粘贴的材料，确保能够牢固地附着在需要警示的表面上；</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2.通常使用醒目的颜色，如红色、黄色等，粘贴在墙角或家具尖角附近，起警示作用；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3.符合相关标准和老年人认知特点的提示标识。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452"/>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gridSpan w:val="8"/>
            <w:tcBorders>
              <w:top w:val="single" w:color="auto" w:sz="4" w:space="0"/>
              <w:left w:val="single" w:color="auto" w:sz="4" w:space="0"/>
              <w:bottom w:val="single" w:color="auto" w:sz="4" w:space="0"/>
              <w:right w:val="single" w:color="auto" w:sz="4" w:space="0"/>
            </w:tcBorders>
            <w:tcW w:w="951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二、智能化改造</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网络连接设备</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保证相关智能设备数据的传送和服务响应，含一年流量费。</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Wifi路由器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1.网口：4*lan</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2.供电方式：DC供电</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3.无线速率：不低于300Mbps</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4.加密方式：支持WPA/WPA2</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5.包含一年流量，每月不低于3G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6.加配1.8米3插位接线板</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450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（二选一）</w:t>
            </w:r>
            <w:r/>
          </w:p>
        </w:tc>
      </w:tr>
      <w:tr>
        <w:trPr>
          <w:trHeight w:val="90"/>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无线网卡</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1.wifi频段：802.11b/g/n,</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2.低时延、高吞吐，支持wifi6</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3.无需插卡，内置驱动，USB3.0高速接口</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4.新一代wap3加密技术，内置防火墙</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5.无线速率支持150Mbps</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6.工作温度: -10°C~55°C,存储温度:-20°C~60°C</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.包含一年流量，每月不低于3G</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紧急呼叫设备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安装在床头、卫生间等关键位置，老年人出现危机情况便于一键呼叫</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紧急呼叫器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1.工作电源：DC供电</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2.通信方式：NB-IOT（全网通）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3.人体存在雷达波频率：24GHz</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4.支持语音事件提醒</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5.支持定时点卯</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6.支持一键呼叫（包括按钮呼叫和拉绳呼叫）、可识别有人/无人及人员活动状态，呼叫成功后可以语音播报，“呼叫成功，请耐心等待”。</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7.支持生命体征异常报警，如长时间离床异常提醒或者已失去生命特征提醒。</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8.本设备为一体化产品</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480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生命体征监测设备</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动态监测和记录老人呼吸、心率等健康数据，发现异常自动报警。</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智能床垫</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1.互联网连接方式：2.4G WiFi / 4G（全网通）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2.传感垫尺寸要求：长宽不小于700mm*150mm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3.实时体征监测：心率、呼吸率、离床警示；</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4.传感器构成：至少1路高灵敏度压电薄膜+至少2路柔性织物压力传感器（要求防水等级为IPX6及以上）</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5.被动报警功能：夜间异常情况系统自动触发报警（亲属通过手机接收报警电话）</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6基础健康分析：综合健康评估；</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7.基础睡眠分析：睡眠质量评估；</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8.测量范围及精度：</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心率：40 ~ 130次/分钟，误差±1次/分钟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呼吸率：8 ~ 35次/分钟，误差±1次/分钟</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9.人工智能报告解读：每日可生成自然语言健康分析报告;疾病初筛功能：可监测呼吸暂停综合征指数</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10.断线续传：当通讯中断时可在本地存储不少于300分钟的数据,同时还具备*蓝牙网关功能。</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950</w:t>
            </w:r>
            <w:r/>
          </w:p>
        </w:tc>
        <w:tc>
          <w:tcPr>
            <w:tcBorders>
              <w:top w:val="single" w:color="auto" w:sz="4" w:space="0"/>
              <w:left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right w:val="single" w:color="auto" w:sz="4" w:space="0"/>
            </w:tcBorders>
            <w:tcW w:w="6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（任选其一）</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智能腕表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1.定位模式：LBS/GPS/WIFI热点</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2.待机时间：≥5天</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3.支持双向通话、心率监测、血压监测、体温检测、一键报警、电子围栏、实时定位功能。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4.屏幕尺寸：≥1.14寸，高清IPS显示屏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380</w:t>
            </w:r>
            <w:r/>
          </w:p>
        </w:tc>
        <w:tc>
          <w:tcPr>
            <w:tcBorders>
              <w:left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left w:val="single" w:color="auto" w:sz="4" w:space="0"/>
              <w:right w:val="single" w:color="auto" w:sz="4" w:space="0"/>
            </w:tcBorders>
            <w:tcW w:w="6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毫米波生命体征监测设备</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可识别老人在床姿态与状态：包括坐姿、躺姿、坠床</w:t>
            </w:r>
            <w:r>
              <w:rPr>
                <w:rFonts w:hint="eastAsia" w:ascii="宋体" w:hAnsi="宋体" w:eastAsia="宋体" w:cs="宋体"/>
                <w:color w:val="auto"/>
                <w:sz w:val="21"/>
                <w:szCs w:val="21"/>
                <w:highlight w:val="none"/>
                <w:lang w:val="en-US" w:eastAsia="zh-CN"/>
              </w:rPr>
              <w:t xml:space="preserve">.</w:t>
            </w:r>
            <w:r/>
          </w:p>
          <w:p>
            <w:pPr>
              <w:numPr>
                <w:ilvl w:val="0"/>
                <w:numId w:val="0"/>
              </w:num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可实时识别老人清醒、睡眠状态。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3.呼吸率测量范围：0~30bpm ,  呼吸率在10~30bpm范围内，最大误差±2bpm </w:t>
            </w:r>
            <w:r>
              <w:rPr>
                <w:rFonts w:hint="eastAsia" w:ascii="宋体" w:hAnsi="宋体" w:eastAsia="宋体" w:cs="宋体"/>
                <w:color w:val="auto"/>
                <w:sz w:val="21"/>
                <w:szCs w:val="21"/>
                <w:highlight w:val="none"/>
                <w:lang w:eastAsia="zh-CN"/>
              </w:rPr>
              <w:t xml:space="preserve">。</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4.心率测量范围：40~155bpm ,  心率在60~120bpm范围内，最大误差±5bpm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设备需提供睡眠分析功能：可记录用户上床时间、入睡时间、醒来时间、起床时间，误差≤10分钟；可记录用户睡眠过程中的起夜次数、呼吸暂停次数、低通气次数及对应时间；需提供呼吸心率异常、呼吸暂停告警功能，告警阈值用户可自行设置。</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980</w:t>
            </w:r>
            <w:r/>
          </w:p>
        </w:tc>
        <w:tc>
          <w:tcPr>
            <w:tcBorders>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left w:val="single" w:color="auto" w:sz="4" w:space="0"/>
              <w:bottom w:val="single" w:color="auto" w:sz="4" w:space="0"/>
              <w:right w:val="single" w:color="auto" w:sz="4" w:space="0"/>
            </w:tcBorders>
            <w:tcW w:w="6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安全监控装置</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安装在居家应急响应位置，用于监测老年人居室环境，发生险情及时报警</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烟雾报警器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1.探测类型：烟温一体报警器 智能编码：内置MCU和光电感烟电路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2.灵敏度等级：Ⅱ或Ⅲ级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3.报警音量：≥80dB</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正前方3米处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4.报警方式：声、光同时警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5.工作电流：静态＜20µA，</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6.报警电流：＜200mA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7.通信指标无线传输方式：NB-IoT （全网通）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8.支持周期上报，间隔小于24小时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9.支持上传电池电量和信号CSQ值</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10.支持电池低电量报警功能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11.电池使用寿命：≥3年 </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可燃气报警器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1.探测气体：天然气（CH4）</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2.工作电压：AC220V供电</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3.报警浓度：8% LEL±2% LEL</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4.报警音量：≥70dB（正前方1米处）</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5.无线传输方式：NB-IoT （全网通）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6.支持周期上报，间隔小于24小时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7.支持NB-IoT信号值上传，信号低提示</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8.使用环境:温度：-10℃ - 50℃；相对湿度：≤95%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水浸报警器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1.工作电源：电池供电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2.无线传输方式：NB-IoT</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全网通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3.低电量报警：支持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4.报警电流： ≤100mA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5.支持电池电量和信号值数据上传支持低电量和信号弱报警。</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180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视频或语音通话设备</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双向实时视频或语音通话，及时准确掌握老人在家实时情况</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双向语音通话设备</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定位模式：GPS+基站双模式</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.电池容量：≥1000mAH</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.功能：手持便携式、可实现一键双向实时语音通话（类似微信语音聊天功能），定时点卯、实时定位、事件提醒功能。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.支持电池电量和信号值数据上传，实现低电量和信号弱报警。</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.支持物联网流量卡打电话。</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非胸卡设备。</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450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基础</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（二选一）</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智能监控摄像头</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1.像素：≥300 万</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2.最大红外监控距离 ≥10 米</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3.支持图像翻转，3D 降噪适用不同监控环境，适用不同监控环境</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4.支持 H.265、H.264，灵活编码，适用不同带宽和存储环境</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5.支持 256G SD 卡，内置 MIC 和 Speaker</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6.支持 DC 5V/2A 供电方式</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7.支持跌倒检测。</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8.支持语音求助检测，老人发出“救命，救命”呼救声后，APP可接收到推送的录像消息。</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9.支持语音提醒（自定义用药提醒、休息时间提醒等）。</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智能感应设备</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装在门或窗等位置，实时监测门窗开闭状态，触发及时报警</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门磁传感器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1.无线传输方式：NB-IoT （全网通）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2.供电方式：电池供电</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3.静态电流：小于10uA</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4.支持周期上报，间隔小于24小时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5.支持低电压/故障数据上报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6.支持电池低电量告警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7.电池使用寿命≥2年</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2962"/>
        </w:trPr>
        <w:tc>
          <w:tcPr>
            <w:tcBorders>
              <w:top w:val="single" w:color="auto" w:sz="4" w:space="0"/>
              <w:left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w:t>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安装在卧室、客厅等老年人频繁活动区域，探测老年人活动情况</w:t>
            </w:r>
            <w:r/>
          </w:p>
        </w:tc>
        <w:tc>
          <w:tcPr>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毫米波雷达人体存在感知设备</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1.供电方式：Type-C 5V</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2.工作电流：≤0.3A</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3.通信方式：4G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4.工作频率：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24GHz</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5.安装方式：壁挂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6.安装高度：2.0-2.5m（推荐2 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7.探测距离：50-800cm（默认400cm）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8.探测范围：雷达前方8m，左右各4米的区域</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9.报警模式：驻留超时/离开超时</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380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红外报警器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1.感应距离：8-12M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2.感应角度：110°</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3.无线传输方式：NB-IoT（全网通）</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4.电池容量：≥800mAh</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5.低电量报警：支持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6.支持电池电量和信号值 数据上传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7.支持低电量和信号弱报警</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可选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gridSpan w:val="8"/>
            <w:tcBorders>
              <w:top w:val="single" w:color="auto" w:sz="4" w:space="0"/>
              <w:left w:val="single" w:color="auto" w:sz="4" w:space="0"/>
              <w:bottom w:val="single" w:color="auto" w:sz="4" w:space="0"/>
              <w:right w:val="single" w:color="auto" w:sz="4" w:space="0"/>
            </w:tcBorders>
            <w:tcW w:w="951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三、老年产品</w:t>
            </w:r>
            <w:r/>
          </w:p>
        </w:tc>
      </w:tr>
      <w:tr>
        <w:trPr>
          <w:trHeight w:val="270"/>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58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老</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用</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品</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置</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手杖</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辅助老年人平稳站立和行走，包含三脚或四脚手杖、凳拐等</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单脚手杖</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1.10档高度可调 ，安全承重：≥100KG</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2.材质：1）支架：铝合金材料，管壁厚1.2MM，表面处理是阳极氧化处理。2）握把：工程塑料把手,内置钢柱,永不断裂。3）脚垫：防滑橡胶脚垫，内含钢片，防止磨穿。</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690" w:type="dxa"/>
            <w:vAlign w:val="top"/>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5项任选其三</w:t>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四脚手杖</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1.10档高度可调 ，可覆盖700mm-900mm，调节方便，定位安全可靠;总宽：170mm（±50mm);安全承重：≥100Kg，净重：≤0.7Kg；</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1）主架：铝合金材料，表面处理采用的是阳极氧化处理。采用蝶形螺母紧固设计,不滑牙。2）底座：铝合金材料，面处理阳极氧化处理。底座采用实心铝条焊接加固,底盘更稳,安全性能佳。3）握把：采用环保PP+TPR材质，高弹性，触感柔软，环保无毒无刺激性气味，表面防滑纹理，久握不累,内含钢柱,避免断裂风险；</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3.四支脚着地结构，配橡胶防滑脚垫，着地性能好，稳定性极佳，安全可靠；</w:t>
            </w:r>
            <w:r/>
          </w:p>
          <w:p>
            <w:pPr>
              <w:ind w:left="0" w:right="0" w:firstLine="0"/>
              <w:jc w:val="left"/>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4.向内稳定性能≥1.5度，向外稳定性能≥4.0度，以确保用户在使用过程中的安全性。</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27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带灯四脚手杖</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1.材质：铝合金</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2.尺寸：约为68-90cm，10孔调节</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3.精美滚花设计拐身，管壁采用加厚优质铝合金材质，承重力强，ABS防滑带灯把手</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拐凳</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1.材质：铝合金杖身，ABS橡胶把手，座板PVC材质，可折叠。</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2.尺寸：≥80cm。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3.五档可调节</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智能手杖</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1.整体稳固、表面耐磨、防滑、轻便可伸缩。</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2.功能需含有 LED 照明、防脱手设计，手电筒、闪光灯、报警器，可充电。</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220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轮椅/助行器</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辅助家人、照护人员推行/帮助老年人站立行走，扩大老年人活动空间</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助行器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1、尺寸:≥48×</w:t>
            </w:r>
            <w:r>
              <w:rPr>
                <w:rFonts w:hint="eastAsia" w:ascii="宋体" w:hAnsi="宋体" w:eastAsia="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rPr>
              <w:t xml:space="preserve">×74CM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多档可调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2、安全承重: ≥110KG；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3、材质：铝合金；</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轮式助行器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.以GB/t14728.1-2006《框式助行架》和CB/T14728.2-2008《轮式助行架》国家标准作为设计生产执行标准，其结构特点如下：</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主架：采用6061F高强度加粗铝合金材质，管直径为25.4mm，厚度为1.2MM，表面采用阳极氧化处理，可折叠式结构，不占空间。脚管管直径为28.6mm，厚度为1.2mm，前杆加宽加厚设计；主架高度</w:t>
            </w:r>
            <w:r>
              <w:rPr>
                <w:rFonts w:hint="eastAsia" w:ascii="宋体" w:hAnsi="宋体" w:eastAsia="宋体" w:cs="宋体"/>
                <w:color w:val="auto"/>
                <w:sz w:val="21"/>
                <w:szCs w:val="21"/>
                <w:highlight w:val="none"/>
                <w:lang w:val="en-US" w:eastAsia="zh-CN"/>
              </w:rPr>
              <w:t xml:space="preserve">多</w:t>
            </w:r>
            <w:r>
              <w:rPr>
                <w:rFonts w:hint="eastAsia" w:ascii="宋体" w:hAnsi="宋体" w:eastAsia="宋体" w:cs="宋体"/>
                <w:color w:val="auto"/>
                <w:sz w:val="21"/>
                <w:szCs w:val="21"/>
                <w:highlight w:val="none"/>
              </w:rPr>
              <w:t xml:space="preserve">档可调，交互式和固定式两种使用方式，通过弹珠实现一键式的切换和折叠。</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握把：采用PVC软质握把，表面有花纹防滑性好，手感舒适，不吸汗，使用时间寿命长；采用上下两级扶手设计，增加了辅助起身的功能。</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垫材质为耐用，耐磨，有弹性，表面摩擦系数较高的防滑橡胶材料。</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235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轮椅</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1.材质：铝合金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2.座垫/靠垫：采用人造皮革车缝成型，防水易清洁、质地柔软、平整美观、内置中间夹层高达600d 的帆布,抗拉强度高。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3.采用固定扶手架，坚固耐用，方便使用者站立时辅助。</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4.安全承重：≥100KG。</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5、搁脚板：折叠式轮椅车的搁脚板应易于翻动，翻起后应不会自行落下，搁脚板翻下后与脚托架的夹角应为 88°~90°内侧不应有下垂现象。</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6、前轮：≥6 英</w:t>
            </w:r>
            <w:r>
              <w:rPr>
                <w:rFonts w:hint="eastAsia" w:ascii="宋体" w:hAnsi="宋体" w:eastAsia="宋体" w:cs="宋体"/>
                <w:color w:val="auto"/>
                <w:sz w:val="21"/>
                <w:szCs w:val="21"/>
                <w:highlight w:val="none"/>
                <w:lang w:val="en-US" w:eastAsia="zh-CN"/>
              </w:rPr>
              <w:t xml:space="preserve">寸实心</w:t>
            </w:r>
            <w:r>
              <w:rPr>
                <w:rFonts w:hint="eastAsia" w:ascii="宋体" w:hAnsi="宋体" w:eastAsia="宋体" w:cs="宋体"/>
                <w:color w:val="auto"/>
                <w:sz w:val="21"/>
                <w:szCs w:val="21"/>
                <w:highlight w:val="none"/>
              </w:rPr>
              <w:t xml:space="preserve">前轮，配高强度塑料轮毂,坚固耐用，实心轮耐磨。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7、后轮：≥20 英寸铝合金轮毂pu实心胎，减震功能卓越，配工程塑料手轮装置（手直接驱动轮椅时使用） 。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8、肘节式刹车装置制动低于座位面，快捷方便、安全。 </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9、可折叠式车型方便携带出行，且能节省占用空间位置。 </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辆</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电动轮椅</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1.双重刹车设计，承重100kg，续航不少于18km。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2.两侧扶手可抬，大后轮设计，弹簧减震。</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3.车身主体材料为钢材，坚固耐用。</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4.后背可调节：支持半靠、半躺、平躺。</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5.手动、电动两用设计。</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6.具有充电提示、故障提示等功能。</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3500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辆</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放大装置</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运用光学/电子原理进行影像放大，方便老年人使用</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放大镜</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1.光学放大倍数≥</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倍；</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2.带 LED 灯；</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3.辅助老年人阅读。</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放大镜指甲钳</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1.材质：碳钢镀铬ABS</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2.尺寸：107×15mm</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3.可放大2.5倍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212"/>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自助进食</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器具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辅助老年人进食，包括防洒碗（盘）、助食筷、弯柄勺（叉）、饮水杯（壶）</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自助进食</w:t>
            </w:r>
            <w:r/>
          </w:p>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器具四件套</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（1）防洒碗：主体材质为食品级 PP塑料，半封闭造型的碗边，可防止食物外洒带硅胶吸盘，碗底可拆卸；</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（2）助食筷：含自动弹簧，防手抖，PBT树脂、食品级ABS、竹子或食品级不锈钢；</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（3）弯柄勺：有方便老人抓握设计，硅胶或食品级不锈钢，可弯头设计方便老人自主进食；</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（4）饮水杯 （壶）：为食品级塑料或不锈钢，有方便老人饮水设计，有盖防洒，带吸管，可卧床喝水。</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5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助听器</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帮助老年人听清声音来源，增加与周围的交流，包括盒式助听器、耳内助听器、耳背助听器、骨传导助听器等</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助听器</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1.最大饱和声输出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OSPLgo</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≤125 ±3dB；高频平均值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OSPLgo</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115±4dB；满档声增益40±5dB；等效输入噪声级≤18±3dB；总谐波失真≤5%±3%；频率响应范围300Hz~3000Hz；。</w:t>
            </w:r>
            <w:r/>
          </w:p>
          <w:p>
            <w:pPr>
              <w:ind w:left="0" w:right="0" w:firstLine="0"/>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2.材质：医用硅胶</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500</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690" w:type="dxa"/>
            <w:vAlign w:val="top"/>
            <w:vMerge w:val="continue"/>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674"/>
        <w:ind w:left="0" w:firstLine="0"/>
        <w:keepLines/>
        <w:keepNext/>
        <w:pageBreakBefore w:val="0"/>
        <w:spacing w:line="24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Style w:val="674"/>
        <w:ind w:left="0" w:firstLine="0"/>
        <w:widowControl/>
        <w:rPr>
          <w:rFonts w:hint="eastAsia" w:ascii="宋体" w:hAnsi="宋体" w:eastAsia="宋体" w:cs="宋体"/>
          <w:b w:val="0"/>
          <w:bCs/>
          <w:color w:val="auto"/>
          <w:sz w:val="13"/>
          <w:szCs w:val="13"/>
          <w:highlight w:val="none"/>
        </w:rPr>
      </w:pPr>
      <w:r>
        <w:rPr>
          <w:rFonts w:hint="eastAsia" w:ascii="宋体" w:hAnsi="宋体" w:eastAsia="宋体" w:cs="宋体"/>
          <w:b w:val="0"/>
          <w:bCs/>
          <w:color w:val="auto"/>
          <w:sz w:val="13"/>
          <w:szCs w:val="13"/>
          <w:highlight w:val="none"/>
        </w:rPr>
      </w:r>
      <w:r/>
    </w:p>
    <w:p>
      <w:pPr>
        <w:pStyle w:val="674"/>
        <w:ind w:left="0" w:firstLine="0"/>
        <w:widowControl/>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附件2：居家养老上门服务基本项目参考清单</w:t>
      </w:r>
      <w:r/>
    </w:p>
    <w:tbl>
      <w:tblPr>
        <w:tblStyle w:val="931"/>
        <w:tblW w:w="85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47"/>
        <w:gridCol w:w="1578"/>
        <w:gridCol w:w="6001"/>
      </w:tblGrid>
      <w:tr>
        <w:trPr>
          <w:jc w:val="center"/>
          <w:trHeight w:val="633"/>
        </w:trPr>
        <w:tc>
          <w:tcPr>
            <w:tcW w:w="947" w:type="dxa"/>
            <w:vAlign w:val="top"/>
            <w:textDirection w:val="lrTb"/>
            <w:noWrap w:val="false"/>
          </w:tcPr>
          <w:p>
            <w:pPr>
              <w:ind w:left="208"/>
              <w:spacing w:before="158" w:line="234"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类别</w:t>
            </w:r>
            <w:r/>
          </w:p>
        </w:tc>
        <w:tc>
          <w:tcPr>
            <w:tcW w:w="1578" w:type="dxa"/>
            <w:vAlign w:val="top"/>
            <w:textDirection w:val="lrTb"/>
            <w:noWrap w:val="false"/>
          </w:tcPr>
          <w:p>
            <w:pPr>
              <w:ind w:left="236"/>
              <w:spacing w:before="158" w:line="234"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项目名称</w:t>
            </w:r>
            <w:r/>
          </w:p>
        </w:tc>
        <w:tc>
          <w:tcPr>
            <w:tcW w:w="6001" w:type="dxa"/>
            <w:vAlign w:val="top"/>
            <w:textDirection w:val="lrTb"/>
            <w:noWrap w:val="false"/>
          </w:tcPr>
          <w:p>
            <w:pPr>
              <w:ind w:left="2448"/>
              <w:spacing w:before="158" w:line="234"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服务内容</w:t>
            </w:r>
            <w:r/>
          </w:p>
        </w:tc>
      </w:tr>
      <w:tr>
        <w:trPr>
          <w:jc w:val="center"/>
          <w:trHeight w:val="365"/>
        </w:trPr>
        <w:tc>
          <w:tcPr>
            <w:tcW w:w="947" w:type="dxa"/>
            <w:vAlign w:val="center"/>
            <w:vMerge w:val="restart"/>
            <w:textDirection w:val="lrTb"/>
            <w:noWrap w:val="false"/>
          </w:tcPr>
          <w:p>
            <w:pPr>
              <w:ind w:right="0"/>
              <w:jc w:val="center"/>
              <w:keepLines w:val="0"/>
              <w:keepNext w:val="0"/>
              <w:pageBreakBefore w:val="0"/>
              <w:spacing w:line="2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生活照</w:t>
            </w:r>
            <w:r>
              <w:rPr>
                <w:rFonts w:hint="eastAsia" w:ascii="宋体" w:hAnsi="宋体" w:eastAsia="宋体" w:cs="宋体"/>
                <w:b/>
                <w:bCs/>
                <w:color w:val="auto"/>
                <w:spacing w:val="3"/>
                <w:sz w:val="21"/>
                <w:szCs w:val="21"/>
                <w:highlight w:val="none"/>
              </w:rPr>
              <w:t xml:space="preserve">料服务</w:t>
            </w:r>
            <w:r/>
          </w:p>
        </w:tc>
        <w:tc>
          <w:tcPr>
            <w:tcW w:w="1578" w:type="dxa"/>
            <w:vAlign w:val="center"/>
            <w:textDirection w:val="lrTb"/>
            <w:noWrap w:val="false"/>
          </w:tcPr>
          <w:p>
            <w:pPr>
              <w:ind w:left="0"/>
              <w:jc w:val="center"/>
              <w:keepLines w:val="0"/>
              <w:keepNext w:val="0"/>
              <w:pageBreakBefore w:val="0"/>
              <w:spacing w:line="20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助餐</w:t>
            </w:r>
            <w:r/>
          </w:p>
        </w:tc>
        <w:tc>
          <w:tcPr>
            <w:tcW w:w="6001" w:type="dxa"/>
            <w:vAlign w:val="center"/>
            <w:textDirection w:val="lrTb"/>
            <w:noWrap w:val="false"/>
          </w:tcPr>
          <w:p>
            <w:pPr>
              <w:ind w:left="0"/>
              <w:jc w:val="both"/>
              <w:keepLines w:val="0"/>
              <w:keepNext w:val="0"/>
              <w:pageBreakBefore w:val="0"/>
              <w:spacing w:line="20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上门烹饪、协助老年人前往老年助餐点就餐、送餐上门等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助浴</w:t>
            </w:r>
            <w:r/>
          </w:p>
        </w:tc>
        <w:tc>
          <w:tcPr>
            <w:tcW w:w="6001" w:type="dxa"/>
            <w:vAlign w:val="center"/>
            <w:textDirection w:val="lrTb"/>
            <w:noWrap w:val="false"/>
          </w:tcPr>
          <w:p>
            <w:pPr>
              <w:ind w:left="0"/>
              <w:jc w:val="both"/>
              <w:keepLines w:val="0"/>
              <w:keepNext w:val="0"/>
              <w:pageBreakBefore w:val="0"/>
              <w:spacing w:line="20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上门助浴或协助前往老年人助浴点进行身体清洁等</w:t>
            </w:r>
            <w:r/>
          </w:p>
        </w:tc>
      </w:tr>
      <w:tr>
        <w:trPr>
          <w:jc w:val="center"/>
          <w:trHeight w:val="724"/>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助洁</w:t>
            </w:r>
            <w:r/>
          </w:p>
        </w:tc>
        <w:tc>
          <w:tcPr>
            <w:tcW w:w="6001" w:type="dxa"/>
            <w:vAlign w:val="center"/>
            <w:textDirection w:val="lrTb"/>
            <w:noWrap w:val="false"/>
          </w:tcPr>
          <w:p>
            <w:pPr>
              <w:ind w:left="0" w:right="107"/>
              <w:jc w:val="both"/>
              <w:keepLines w:val="0"/>
              <w:keepNext w:val="0"/>
              <w:pageBreakBefore w:val="0"/>
              <w:spacing w:line="249"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洗漱、剪发剃须、洗脚、剪指（趾）</w:t>
            </w:r>
            <w:r>
              <w:rPr>
                <w:rFonts w:hint="eastAsia" w:ascii="宋体" w:hAnsi="宋体" w:eastAsia="宋体" w:cs="宋体"/>
                <w:color w:val="auto"/>
                <w:spacing w:val="-49"/>
                <w:sz w:val="21"/>
                <w:szCs w:val="21"/>
                <w:highlight w:val="none"/>
              </w:rPr>
              <w:t xml:space="preserve"> </w:t>
            </w:r>
            <w:r>
              <w:rPr>
                <w:rFonts w:hint="eastAsia" w:ascii="宋体" w:hAnsi="宋体" w:eastAsia="宋体" w:cs="宋体"/>
                <w:color w:val="auto"/>
                <w:spacing w:val="3"/>
                <w:sz w:val="21"/>
                <w:szCs w:val="21"/>
                <w:highlight w:val="none"/>
              </w:rPr>
              <w:t xml:space="preserve">甲等身体助洁服务</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3"/>
                <w:sz w:val="21"/>
                <w:szCs w:val="21"/>
                <w:highlight w:val="none"/>
              </w:rPr>
              <w:t xml:space="preserve">，居家清</w:t>
            </w:r>
            <w:r>
              <w:rPr>
                <w:rFonts w:hint="eastAsia" w:ascii="宋体" w:hAnsi="宋体" w:eastAsia="宋体" w:cs="宋体"/>
                <w:color w:val="auto"/>
                <w:spacing w:val="8"/>
                <w:sz w:val="21"/>
                <w:szCs w:val="21"/>
                <w:highlight w:val="none"/>
              </w:rPr>
              <w:t xml:space="preserve">洁、衣物洗涤、物品整理等普通助洁服务。</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助行</w:t>
            </w:r>
            <w:r/>
          </w:p>
        </w:tc>
        <w:tc>
          <w:tcPr>
            <w:tcW w:w="6001" w:type="dxa"/>
            <w:vAlign w:val="center"/>
            <w:textDirection w:val="lrTb"/>
            <w:noWrap w:val="false"/>
          </w:tcPr>
          <w:p>
            <w:pPr>
              <w:ind w:left="0"/>
              <w:jc w:val="both"/>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协助行走、陪伴外出、参加活动等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助急</w:t>
            </w:r>
            <w:r/>
          </w:p>
        </w:tc>
        <w:tc>
          <w:tcPr>
            <w:tcW w:w="6001" w:type="dxa"/>
            <w:vAlign w:val="center"/>
            <w:textDirection w:val="lrTb"/>
            <w:noWrap w:val="false"/>
          </w:tcPr>
          <w:p>
            <w:pPr>
              <w:ind w:left="0"/>
              <w:jc w:val="both"/>
              <w:keepLines w:val="0"/>
              <w:keepNext w:val="0"/>
              <w:pageBreakBefore w:val="0"/>
              <w:spacing w:line="20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紧急呼叫受理、紧急转介等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助医</w:t>
            </w:r>
            <w:r/>
          </w:p>
        </w:tc>
        <w:tc>
          <w:tcPr>
            <w:tcW w:w="6001" w:type="dxa"/>
            <w:vAlign w:val="center"/>
            <w:textDirection w:val="lrTb"/>
            <w:noWrap w:val="false"/>
          </w:tcPr>
          <w:p>
            <w:pPr>
              <w:ind w:left="0"/>
              <w:jc w:val="both"/>
              <w:keepLines w:val="0"/>
              <w:keepNext w:val="0"/>
              <w:pageBreakBefore w:val="0"/>
              <w:spacing w:line="20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陪同就医、治疗陪伴等</w:t>
            </w:r>
            <w:r/>
          </w:p>
        </w:tc>
      </w:tr>
      <w:tr>
        <w:trPr>
          <w:jc w:val="center"/>
          <w:trHeight w:val="365"/>
        </w:trPr>
        <w:tc>
          <w:tcPr>
            <w:tcW w:w="947" w:type="dxa"/>
            <w:vAlign w:val="center"/>
            <w:vMerge w:val="restart"/>
            <w:textDirection w:val="lrTb"/>
            <w:noWrap w:val="false"/>
          </w:tcPr>
          <w:p>
            <w:pPr>
              <w:ind w:right="0"/>
              <w:jc w:val="center"/>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基础照</w:t>
            </w:r>
            <w:r>
              <w:rPr>
                <w:rFonts w:hint="eastAsia" w:ascii="宋体" w:hAnsi="宋体" w:eastAsia="宋体" w:cs="宋体"/>
                <w:b/>
                <w:bCs/>
                <w:color w:val="auto"/>
                <w:spacing w:val="2"/>
                <w:sz w:val="21"/>
                <w:szCs w:val="21"/>
                <w:highlight w:val="none"/>
              </w:rPr>
              <w:t xml:space="preserve">护服务</w:t>
            </w:r>
            <w:r/>
          </w:p>
        </w:tc>
        <w:tc>
          <w:tcPr>
            <w:tcW w:w="1578" w:type="dxa"/>
            <w:vAlign w:val="center"/>
            <w:textDirection w:val="lrTb"/>
            <w:noWrap w:val="false"/>
          </w:tcPr>
          <w:p>
            <w:pPr>
              <w:ind w:left="0"/>
              <w:jc w:val="center"/>
              <w:keepLines w:val="0"/>
              <w:keepNext w:val="0"/>
              <w:pageBreakBefore w:val="0"/>
              <w:spacing w:line="20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排泄护理</w:t>
            </w:r>
            <w:r/>
          </w:p>
        </w:tc>
        <w:tc>
          <w:tcPr>
            <w:tcW w:w="6001" w:type="dxa"/>
            <w:vAlign w:val="center"/>
            <w:textDirection w:val="lrTb"/>
            <w:noWrap w:val="false"/>
          </w:tcPr>
          <w:p>
            <w:pPr>
              <w:ind w:left="0"/>
              <w:jc w:val="both"/>
              <w:keepLines w:val="0"/>
              <w:keepNext w:val="0"/>
              <w:pageBreakBefore w:val="0"/>
              <w:spacing w:line="20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排尿护理、排便护理、排气护理等</w:t>
            </w:r>
            <w:r/>
          </w:p>
        </w:tc>
      </w:tr>
      <w:tr>
        <w:trPr>
          <w:jc w:val="center"/>
          <w:trHeight w:val="724"/>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护理协助</w:t>
            </w:r>
            <w:r/>
          </w:p>
        </w:tc>
        <w:tc>
          <w:tcPr>
            <w:tcW w:w="6001" w:type="dxa"/>
            <w:vAlign w:val="center"/>
            <w:textDirection w:val="lrTb"/>
            <w:noWrap w:val="false"/>
          </w:tcPr>
          <w:p>
            <w:pPr>
              <w:ind w:left="0" w:right="107" w:hanging="13"/>
              <w:jc w:val="both"/>
              <w:keepLines w:val="0"/>
              <w:keepNext w:val="0"/>
              <w:pageBreakBefore w:val="0"/>
              <w:spacing w:line="25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为老年人进行保暖和物理降温，协助和指导翻身、拍背</w:t>
            </w:r>
            <w:r>
              <w:rPr>
                <w:rFonts w:hint="eastAsia" w:ascii="宋体" w:hAnsi="宋体" w:eastAsia="宋体" w:cs="宋体"/>
                <w:color w:val="auto"/>
                <w:spacing w:val="5"/>
                <w:sz w:val="21"/>
                <w:szCs w:val="21"/>
                <w:highlight w:val="none"/>
              </w:rPr>
              <w:t xml:space="preserve">、褥疮预</w:t>
            </w:r>
            <w:r>
              <w:rPr>
                <w:rFonts w:hint="eastAsia" w:ascii="宋体" w:hAnsi="宋体" w:eastAsia="宋体" w:cs="宋体"/>
                <w:color w:val="auto"/>
                <w:spacing w:val="-8"/>
                <w:sz w:val="21"/>
                <w:szCs w:val="21"/>
                <w:highlight w:val="none"/>
              </w:rPr>
              <w:t xml:space="preserve">防等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康复护理</w:t>
            </w:r>
            <w:r/>
          </w:p>
        </w:tc>
        <w:tc>
          <w:tcPr>
            <w:tcW w:w="6001" w:type="dxa"/>
            <w:vAlign w:val="center"/>
            <w:textDirection w:val="lrTb"/>
            <w:noWrap w:val="false"/>
          </w:tcPr>
          <w:p>
            <w:pPr>
              <w:ind w:left="0"/>
              <w:jc w:val="both"/>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包括康复评估、计划制定、康复指导、康复理疗等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用药照护</w:t>
            </w:r>
            <w:r/>
          </w:p>
        </w:tc>
        <w:tc>
          <w:tcPr>
            <w:tcW w:w="6001" w:type="dxa"/>
            <w:vAlign w:val="center"/>
            <w:textDirection w:val="lrTb"/>
            <w:noWrap w:val="false"/>
          </w:tcPr>
          <w:p>
            <w:pPr>
              <w:ind w:left="0"/>
              <w:jc w:val="both"/>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包括用药提醒、用药指导及不良反应观察等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生活照护</w:t>
            </w:r>
            <w:r/>
          </w:p>
        </w:tc>
        <w:tc>
          <w:tcPr>
            <w:tcW w:w="6001" w:type="dxa"/>
            <w:vAlign w:val="center"/>
            <w:textDirection w:val="lrTb"/>
            <w:noWrap w:val="false"/>
          </w:tcPr>
          <w:p>
            <w:pPr>
              <w:ind w:left="0"/>
              <w:jc w:val="both"/>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协助穿（脱）衣、饮食照护、睡眠照护等</w:t>
            </w:r>
            <w:r/>
          </w:p>
        </w:tc>
      </w:tr>
      <w:tr>
        <w:trPr>
          <w:jc w:val="center"/>
          <w:trHeight w:val="365"/>
        </w:trPr>
        <w:tc>
          <w:tcPr>
            <w:tcW w:w="947" w:type="dxa"/>
            <w:vAlign w:val="center"/>
            <w:vMerge w:val="restart"/>
            <w:textDirection w:val="lrTb"/>
            <w:noWrap w:val="false"/>
          </w:tcPr>
          <w:p>
            <w:pPr>
              <w:ind w:left="0" w:right="0" w:hanging="8"/>
              <w:jc w:val="center"/>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 xml:space="preserve">探访关</w:t>
            </w:r>
            <w:r>
              <w:rPr>
                <w:rFonts w:hint="eastAsia" w:ascii="宋体" w:hAnsi="宋体" w:eastAsia="宋体" w:cs="宋体"/>
                <w:b/>
                <w:bCs/>
                <w:color w:val="auto"/>
                <w:spacing w:val="2"/>
                <w:sz w:val="21"/>
                <w:szCs w:val="21"/>
                <w:highlight w:val="none"/>
              </w:rPr>
              <w:t xml:space="preserve">爱服务</w:t>
            </w:r>
            <w:r/>
          </w:p>
        </w:tc>
        <w:tc>
          <w:tcPr>
            <w:tcW w:w="1578" w:type="dxa"/>
            <w:vAlign w:val="center"/>
            <w:textDirection w:val="lrTb"/>
            <w:noWrap w:val="false"/>
          </w:tcPr>
          <w:p>
            <w:pPr>
              <w:ind w:left="0"/>
              <w:jc w:val="center"/>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远程服务</w:t>
            </w:r>
            <w:r/>
          </w:p>
        </w:tc>
        <w:tc>
          <w:tcPr>
            <w:tcW w:w="6001" w:type="dxa"/>
            <w:vAlign w:val="center"/>
            <w:textDirection w:val="lrTb"/>
            <w:noWrap w:val="false"/>
          </w:tcPr>
          <w:p>
            <w:pPr>
              <w:ind w:left="0"/>
              <w:jc w:val="both"/>
              <w:keepLines w:val="0"/>
              <w:keepNext w:val="0"/>
              <w:pageBreakBefore w:val="0"/>
              <w:spacing w:line="203"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接受与协助老年人电话呼叫和紧急求助</w:t>
            </w:r>
            <w:r/>
          </w:p>
        </w:tc>
      </w:tr>
      <w:tr>
        <w:trPr>
          <w:jc w:val="center"/>
          <w:trHeight w:val="724"/>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上门探访</w:t>
            </w:r>
            <w:r/>
          </w:p>
        </w:tc>
        <w:tc>
          <w:tcPr>
            <w:tcW w:w="6001" w:type="dxa"/>
            <w:vAlign w:val="center"/>
            <w:textDirection w:val="lrTb"/>
            <w:noWrap w:val="false"/>
          </w:tcPr>
          <w:p>
            <w:pPr>
              <w:ind w:left="0" w:right="36" w:firstLine="30"/>
              <w:jc w:val="both"/>
              <w:keepLines w:val="0"/>
              <w:keepNext w:val="0"/>
              <w:pageBreakBefore w:val="0"/>
              <w:spacing w:line="249"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了解掌握老年人的健康状况、精神状况、安全情况、卫生状况、</w:t>
            </w:r>
            <w:r>
              <w:rPr>
                <w:rFonts w:hint="eastAsia" w:ascii="宋体" w:hAnsi="宋体" w:eastAsia="宋体" w:cs="宋体"/>
                <w:color w:val="auto"/>
                <w:spacing w:val="14"/>
                <w:sz w:val="21"/>
                <w:szCs w:val="21"/>
                <w:highlight w:val="none"/>
              </w:rPr>
              <w:t xml:space="preserve"> </w:t>
            </w:r>
            <w:r>
              <w:rPr>
                <w:rFonts w:hint="eastAsia" w:ascii="宋体" w:hAnsi="宋体" w:eastAsia="宋体" w:cs="宋体"/>
                <w:color w:val="auto"/>
                <w:spacing w:val="8"/>
                <w:sz w:val="21"/>
                <w:szCs w:val="21"/>
                <w:highlight w:val="none"/>
              </w:rPr>
              <w:t xml:space="preserve">居室环境、服务需求等</w:t>
            </w:r>
            <w:r/>
          </w:p>
        </w:tc>
      </w:tr>
      <w:tr>
        <w:trPr>
          <w:jc w:val="center"/>
          <w:trHeight w:val="724"/>
        </w:trPr>
        <w:tc>
          <w:tcPr>
            <w:tcW w:w="947" w:type="dxa"/>
            <w:vAlign w:val="center"/>
            <w:vMerge w:val="restart"/>
            <w:textDirection w:val="lrTb"/>
            <w:noWrap w:val="false"/>
          </w:tcPr>
          <w:p>
            <w:pPr>
              <w:ind w:left="0" w:right="0"/>
              <w:jc w:val="center"/>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 xml:space="preserve">健康管理服务</w:t>
            </w:r>
            <w:r/>
          </w:p>
        </w:tc>
        <w:tc>
          <w:tcPr>
            <w:tcW w:w="1578"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信息采集</w:t>
            </w:r>
            <w:r/>
          </w:p>
        </w:tc>
        <w:tc>
          <w:tcPr>
            <w:tcW w:w="6001" w:type="dxa"/>
            <w:vAlign w:val="center"/>
            <w:textDirection w:val="lrTb"/>
            <w:noWrap w:val="false"/>
          </w:tcPr>
          <w:p>
            <w:pPr>
              <w:ind w:left="0" w:right="109" w:firstLine="4"/>
              <w:jc w:val="both"/>
              <w:keepLines w:val="0"/>
              <w:keepNext w:val="0"/>
              <w:pageBreakBefore w:val="0"/>
              <w:spacing w:line="249"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采集老年人的体检信息、既往疾病史等健康信息，建立老年人健康档案</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健康咨询</w:t>
            </w:r>
            <w:r/>
          </w:p>
        </w:tc>
        <w:tc>
          <w:tcPr>
            <w:tcW w:w="6001" w:type="dxa"/>
            <w:vAlign w:val="center"/>
            <w:textDirection w:val="lrTb"/>
            <w:noWrap w:val="false"/>
          </w:tcPr>
          <w:p>
            <w:pPr>
              <w:ind w:left="0"/>
              <w:jc w:val="both"/>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为老年人提供防跌倒、疾病预防、膳食营养、康复保健等指导</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健康干预</w:t>
            </w:r>
            <w:r/>
          </w:p>
        </w:tc>
        <w:tc>
          <w:tcPr>
            <w:tcW w:w="6001" w:type="dxa"/>
            <w:vAlign w:val="center"/>
            <w:textDirection w:val="lrTb"/>
            <w:noWrap w:val="false"/>
          </w:tcPr>
          <w:p>
            <w:pPr>
              <w:ind w:left="0"/>
              <w:jc w:val="both"/>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制定服务方案，为老年人的生活起居、慢病调理等提供干预</w:t>
            </w:r>
            <w:r>
              <w:rPr>
                <w:rFonts w:hint="eastAsia" w:ascii="宋体" w:hAnsi="宋体" w:eastAsia="宋体" w:cs="宋体"/>
                <w:color w:val="auto"/>
                <w:spacing w:val="5"/>
                <w:sz w:val="21"/>
                <w:szCs w:val="21"/>
                <w:highlight w:val="none"/>
              </w:rPr>
              <w:t xml:space="preserve">服务</w:t>
            </w:r>
            <w:r/>
          </w:p>
        </w:tc>
      </w:tr>
      <w:tr>
        <w:trPr>
          <w:jc w:val="center"/>
          <w:trHeight w:val="72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right="161" w:hanging="410"/>
              <w:jc w:val="center"/>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常规生理指标</w:t>
            </w:r>
            <w:r>
              <w:rPr>
                <w:rFonts w:hint="eastAsia" w:ascii="宋体" w:hAnsi="宋体" w:eastAsia="宋体" w:cs="宋体"/>
                <w:color w:val="auto"/>
                <w:spacing w:val="1"/>
                <w:sz w:val="21"/>
                <w:szCs w:val="21"/>
                <w:highlight w:val="none"/>
              </w:rPr>
              <w:t xml:space="preserve">监测</w:t>
            </w:r>
            <w:r/>
          </w:p>
        </w:tc>
        <w:tc>
          <w:tcPr>
            <w:tcW w:w="6001" w:type="dxa"/>
            <w:vAlign w:val="center"/>
            <w:textDirection w:val="lrTb"/>
            <w:noWrap w:val="false"/>
          </w:tcPr>
          <w:p>
            <w:pPr>
              <w:ind w:left="0"/>
              <w:jc w:val="both"/>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监测体温、体重、血压、呼吸、心率、血糖等</w:t>
            </w:r>
            <w:r/>
          </w:p>
        </w:tc>
      </w:tr>
      <w:tr>
        <w:trPr>
          <w:jc w:val="center"/>
          <w:trHeight w:val="365"/>
        </w:trPr>
        <w:tc>
          <w:tcPr>
            <w:tcW w:w="947" w:type="dxa"/>
            <w:vAlign w:val="center"/>
            <w:vMerge w:val="restart"/>
            <w:textDirection w:val="lrTb"/>
            <w:noWrap w:val="false"/>
          </w:tcPr>
          <w:p>
            <w:pPr>
              <w:ind w:left="0" w:right="0"/>
              <w:jc w:val="center"/>
              <w:keepLines w:val="0"/>
              <w:keepNext w:val="0"/>
              <w:pageBreakBefore w:val="0"/>
              <w:spacing w:line="39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jc w:val="center"/>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委托代</w:t>
            </w:r>
            <w:r>
              <w:rPr>
                <w:rFonts w:hint="eastAsia" w:ascii="宋体" w:hAnsi="宋体" w:eastAsia="宋体" w:cs="宋体"/>
                <w:b/>
                <w:bCs/>
                <w:color w:val="auto"/>
                <w:sz w:val="21"/>
                <w:szCs w:val="21"/>
                <w:highlight w:val="none"/>
              </w:rPr>
              <w:t xml:space="preserve">办服务</w:t>
            </w:r>
            <w:r/>
          </w:p>
        </w:tc>
        <w:tc>
          <w:tcPr>
            <w:tcW w:w="1578" w:type="dxa"/>
            <w:vAlign w:val="center"/>
            <w:textDirection w:val="lrTb"/>
            <w:noWrap w:val="false"/>
          </w:tcPr>
          <w:p>
            <w:pPr>
              <w:ind w:left="0"/>
              <w:jc w:val="center"/>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代购</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3"/>
                <w:sz w:val="21"/>
                <w:szCs w:val="21"/>
                <w:highlight w:val="none"/>
              </w:rPr>
              <w:t xml:space="preserve">日常用品</w:t>
            </w:r>
            <w:r/>
          </w:p>
        </w:tc>
        <w:tc>
          <w:tcPr>
            <w:tcW w:w="6001" w:type="dxa"/>
            <w:vAlign w:val="center"/>
            <w:textDirection w:val="lrTb"/>
            <w:noWrap w:val="false"/>
          </w:tcPr>
          <w:p>
            <w:pPr>
              <w:ind w:left="0"/>
              <w:jc w:val="both"/>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代购</w:t>
            </w:r>
            <w:r>
              <w:rPr>
                <w:rFonts w:hint="eastAsia" w:ascii="宋体" w:hAnsi="宋体" w:eastAsia="宋体" w:cs="宋体"/>
                <w:color w:val="auto"/>
                <w:spacing w:val="-19"/>
                <w:sz w:val="21"/>
                <w:szCs w:val="21"/>
                <w:highlight w:val="none"/>
              </w:rPr>
              <w:t xml:space="preserve"> </w:t>
            </w:r>
            <w:r>
              <w:rPr>
                <w:rFonts w:hint="eastAsia" w:ascii="宋体" w:hAnsi="宋体" w:eastAsia="宋体" w:cs="宋体"/>
                <w:color w:val="auto"/>
                <w:spacing w:val="3"/>
                <w:sz w:val="21"/>
                <w:szCs w:val="21"/>
                <w:highlight w:val="none"/>
              </w:rPr>
              <w:t xml:space="preserve">日常生活用品、果蔬等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代缴</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3"/>
                <w:sz w:val="21"/>
                <w:szCs w:val="21"/>
                <w:highlight w:val="none"/>
              </w:rPr>
              <w:t xml:space="preserve">日常费用</w:t>
            </w:r>
            <w:r/>
          </w:p>
        </w:tc>
        <w:tc>
          <w:tcPr>
            <w:tcW w:w="6001" w:type="dxa"/>
            <w:vAlign w:val="center"/>
            <w:textDirection w:val="lrTb"/>
            <w:noWrap w:val="false"/>
          </w:tcPr>
          <w:p>
            <w:pPr>
              <w:ind w:left="0"/>
              <w:jc w:val="both"/>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代缴水、</w:t>
            </w:r>
            <w:r>
              <w:rPr>
                <w:rFonts w:hint="eastAsia" w:ascii="宋体" w:hAnsi="宋体" w:eastAsia="宋体" w:cs="宋体"/>
                <w:color w:val="auto"/>
                <w:spacing w:val="-36"/>
                <w:sz w:val="21"/>
                <w:szCs w:val="21"/>
                <w:highlight w:val="none"/>
              </w:rPr>
              <w:t xml:space="preserve"> </w:t>
            </w:r>
            <w:r>
              <w:rPr>
                <w:rFonts w:hint="eastAsia" w:ascii="宋体" w:hAnsi="宋体" w:eastAsia="宋体" w:cs="宋体"/>
                <w:color w:val="auto"/>
                <w:spacing w:val="2"/>
                <w:sz w:val="21"/>
                <w:szCs w:val="21"/>
                <w:highlight w:val="none"/>
              </w:rPr>
              <w:t xml:space="preserve">电、气、通讯费等</w: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pacing w:val="2"/>
                <w:sz w:val="21"/>
                <w:szCs w:val="21"/>
                <w:highlight w:val="none"/>
              </w:rPr>
              <w:t xml:space="preserve">日常费用</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代订代取业务</w:t>
            </w:r>
            <w:r/>
          </w:p>
        </w:tc>
        <w:tc>
          <w:tcPr>
            <w:tcW w:w="6001" w:type="dxa"/>
            <w:vAlign w:val="center"/>
            <w:textDirection w:val="lrTb"/>
            <w:noWrap w:val="false"/>
          </w:tcPr>
          <w:p>
            <w:pPr>
              <w:ind w:left="0"/>
              <w:jc w:val="both"/>
              <w:keepLines w:val="0"/>
              <w:keepNext w:val="0"/>
              <w:pageBreakBefore w:val="0"/>
              <w:spacing w:line="20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代订车票、预约车辆</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7"/>
                <w:sz w:val="21"/>
                <w:szCs w:val="21"/>
                <w:highlight w:val="none"/>
              </w:rPr>
              <w:t xml:space="preserve">，代取送信函、文件和物品等</w:t>
            </w:r>
            <w:r/>
          </w:p>
        </w:tc>
      </w:tr>
      <w:tr>
        <w:trPr>
          <w:jc w:val="center"/>
          <w:trHeight w:val="365"/>
        </w:trPr>
        <w:tc>
          <w:tcPr>
            <w:tcW w:w="947" w:type="dxa"/>
            <w:vAlign w:val="center"/>
            <w:vMerge w:val="continue"/>
            <w:textDirection w:val="lrTb"/>
            <w:noWrap w:val="false"/>
          </w:tcPr>
          <w:p>
            <w:pPr>
              <w:ind w:left="0" w:right="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代为申请服务</w:t>
            </w:r>
            <w:r/>
          </w:p>
        </w:tc>
        <w:tc>
          <w:tcPr>
            <w:tcW w:w="6001" w:type="dxa"/>
            <w:vAlign w:val="center"/>
            <w:textDirection w:val="lrTb"/>
            <w:noWrap w:val="false"/>
          </w:tcPr>
          <w:p>
            <w:pPr>
              <w:ind w:left="0"/>
              <w:jc w:val="both"/>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代为申请法律援助、救助服务等</w:t>
            </w:r>
            <w:r/>
          </w:p>
        </w:tc>
      </w:tr>
      <w:tr>
        <w:trPr>
          <w:jc w:val="center"/>
          <w:trHeight w:val="725"/>
        </w:trPr>
        <w:tc>
          <w:tcPr>
            <w:tcW w:w="947" w:type="dxa"/>
            <w:vAlign w:val="center"/>
            <w:vMerge w:val="restart"/>
            <w:textDirection w:val="lrTb"/>
            <w:noWrap w:val="false"/>
          </w:tcPr>
          <w:p>
            <w:pPr>
              <w:ind w:left="0" w:right="0"/>
              <w:jc w:val="center"/>
              <w:keepLines w:val="0"/>
              <w:keepNext w:val="0"/>
              <w:pageBreakBefore w:val="0"/>
              <w:spacing w:line="387"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jc w:val="center"/>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精神慰</w:t>
            </w:r>
            <w:r>
              <w:rPr>
                <w:rFonts w:hint="eastAsia" w:ascii="宋体" w:hAnsi="宋体" w:eastAsia="宋体" w:cs="宋体"/>
                <w:b/>
                <w:bCs/>
                <w:color w:val="auto"/>
                <w:spacing w:val="4"/>
                <w:sz w:val="21"/>
                <w:szCs w:val="21"/>
                <w:highlight w:val="none"/>
              </w:rPr>
              <w:t xml:space="preserve">藉服务</w:t>
            </w:r>
            <w:r/>
          </w:p>
        </w:tc>
        <w:tc>
          <w:tcPr>
            <w:tcW w:w="1578" w:type="dxa"/>
            <w:vAlign w:val="center"/>
            <w:textDirection w:val="lrTb"/>
            <w:noWrap w:val="false"/>
          </w:tcPr>
          <w:p>
            <w:pPr>
              <w:ind w:left="0"/>
              <w:jc w:val="center"/>
              <w:keepLines w:val="0"/>
              <w:keepNext w:val="0"/>
              <w:pageBreakBefore w:val="0"/>
              <w:spacing w:line="239"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陪伴支持</w:t>
            </w:r>
            <w:r/>
          </w:p>
        </w:tc>
        <w:tc>
          <w:tcPr>
            <w:tcW w:w="6001" w:type="dxa"/>
            <w:vAlign w:val="center"/>
            <w:textDirection w:val="lrTb"/>
            <w:noWrap w:val="false"/>
          </w:tcPr>
          <w:p>
            <w:pPr>
              <w:ind w:left="0" w:right="109" w:hanging="9"/>
              <w:jc w:val="both"/>
              <w:keepLines w:val="0"/>
              <w:keepNext w:val="0"/>
              <w:pageBreakBefore w:val="0"/>
              <w:spacing w:line="2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3"/>
                <w:sz w:val="21"/>
                <w:szCs w:val="21"/>
                <w:highlight w:val="none"/>
              </w:rPr>
              <w:t xml:space="preserve">定期协助有意愿的老年人外出活动或前往服务机构参加集体活</w:t>
            </w:r>
            <w:r>
              <w:rPr>
                <w:rFonts w:hint="eastAsia" w:ascii="宋体" w:hAnsi="宋体" w:eastAsia="宋体" w:cs="宋体"/>
                <w:color w:val="auto"/>
                <w:sz w:val="21"/>
                <w:szCs w:val="21"/>
                <w:highlight w:val="none"/>
              </w:rPr>
              <w:t xml:space="preserve">动</w:t>
            </w:r>
            <w:r/>
          </w:p>
        </w:tc>
      </w:tr>
      <w:tr>
        <w:trPr>
          <w:jc w:val="center"/>
          <w:trHeight w:val="365"/>
        </w:trPr>
        <w:tc>
          <w:tcPr>
            <w:tcW w:w="947"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情绪疏导</w:t>
            </w:r>
            <w:r/>
          </w:p>
        </w:tc>
        <w:tc>
          <w:tcPr>
            <w:tcW w:w="6001" w:type="dxa"/>
            <w:vAlign w:val="center"/>
            <w:textDirection w:val="lrTb"/>
            <w:noWrap w:val="false"/>
          </w:tcPr>
          <w:p>
            <w:pPr>
              <w:ind w:left="0"/>
              <w:jc w:val="both"/>
              <w:keepLines w:val="0"/>
              <w:keepNext w:val="0"/>
              <w:pageBreakBefore w:val="0"/>
              <w:spacing w:line="20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与老年人进行谈心、交流，耐心倾听老年人的诉说</w:t>
            </w:r>
            <w:r/>
          </w:p>
        </w:tc>
      </w:tr>
      <w:tr>
        <w:trPr>
          <w:jc w:val="center"/>
          <w:trHeight w:val="369"/>
        </w:trPr>
        <w:tc>
          <w:tcPr>
            <w:tcW w:w="947" w:type="dxa"/>
            <w:vAlign w:val="top"/>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8" w:type="dxa"/>
            <w:vAlign w:val="center"/>
            <w:textDirection w:val="lrTb"/>
            <w:noWrap w:val="false"/>
          </w:tcPr>
          <w:p>
            <w:pPr>
              <w:ind w:left="0"/>
              <w:jc w:val="center"/>
              <w:keepLines w:val="0"/>
              <w:keepNext w:val="0"/>
              <w:pageBreakBefore w:val="0"/>
              <w:spacing w:line="20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心理慰藉</w:t>
            </w:r>
            <w:r/>
          </w:p>
        </w:tc>
        <w:tc>
          <w:tcPr>
            <w:tcW w:w="6001" w:type="dxa"/>
            <w:vAlign w:val="center"/>
            <w:textDirection w:val="lrTb"/>
            <w:noWrap w:val="false"/>
          </w:tcPr>
          <w:p>
            <w:pPr>
              <w:ind w:left="0"/>
              <w:jc w:val="both"/>
              <w:keepLines w:val="0"/>
              <w:keepNext w:val="0"/>
              <w:pageBreakBefore w:val="0"/>
              <w:spacing w:line="205"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通过心理健康教育、心理干预手段调整老年人心理状态</w:t>
            </w:r>
            <w:r/>
          </w:p>
        </w:tc>
      </w:tr>
    </w:tbl>
    <w:p>
      <w:pPr>
        <w:jc w:val="both"/>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rPr>
        <w:t xml:space="preserve">附件3：洪泽区</w:t>
      </w:r>
      <w:r>
        <w:rPr>
          <w:rFonts w:hint="eastAsia" w:ascii="宋体" w:hAnsi="宋体" w:eastAsia="宋体" w:cs="宋体"/>
          <w:b/>
          <w:bCs w:val="0"/>
          <w:color w:val="auto"/>
          <w:sz w:val="32"/>
          <w:szCs w:val="32"/>
          <w:highlight w:val="none"/>
          <w:lang w:eastAsia="zh-CN"/>
        </w:rPr>
        <w:t xml:space="preserve">民政局2024年提升行动家庭养老床位建设考核细则</w:t>
      </w:r>
      <w:r/>
    </w:p>
    <w:tbl>
      <w:tblPr>
        <w:tblStyle w:val="683"/>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279"/>
        <w:gridCol w:w="5440"/>
        <w:gridCol w:w="912"/>
        <w:gridCol w:w="1183"/>
      </w:tblGrid>
      <w:tr>
        <w:trPr>
          <w:jc w:val="center"/>
          <w:trHeight w:val="5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W w:w="12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考核项目</w:t>
            </w:r>
            <w:r/>
          </w:p>
        </w:tc>
        <w:tc>
          <w:tcPr>
            <w:tcW w:w="5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考核内容</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分值</w:t>
            </w:r>
            <w:r/>
          </w:p>
        </w:tc>
        <w:tc>
          <w:tcPr>
            <w:tcW w:w="11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考核得分</w:t>
            </w:r>
            <w:r/>
          </w:p>
        </w:tc>
      </w:tr>
      <w:tr>
        <w:trPr>
          <w:jc w:val="center"/>
          <w:trHeight w:val="81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12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服务管理（40分）</w:t>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各项制度健全。有完善的项目管理制度、薪酬管理制度、财务管理制度、应急保障制度、培训制度、投诉反馈机制等。</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8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人员配置合理。中标人在本项目实施服务过程中所配备的人员和投标时所配备的人员不一致的，每出现一次扣</w:t>
            </w:r>
            <w:r>
              <w:rPr>
                <w:rStyle w:val="804"/>
                <w:rFonts w:hint="eastAsia" w:ascii="宋体" w:hAnsi="宋体" w:eastAsia="宋体" w:cs="宋体"/>
                <w:b w:val="0"/>
                <w:bCs w:val="0"/>
                <w:color w:val="auto"/>
                <w:sz w:val="21"/>
                <w:szCs w:val="21"/>
                <w:highlight w:val="none"/>
                <w:u w:val="none"/>
                <w:lang w:val="en-US" w:eastAsia="zh-CN" w:bidi="ar"/>
              </w:rPr>
              <w:t xml:space="preserve">0.5</w:t>
            </w:r>
            <w:r>
              <w:rPr>
                <w:rStyle w:val="813"/>
                <w:rFonts w:hint="eastAsia" w:ascii="宋体" w:hAnsi="宋体" w:eastAsia="宋体" w:cs="宋体"/>
                <w:b w:val="0"/>
                <w:bCs w:val="0"/>
                <w:color w:val="auto"/>
                <w:sz w:val="21"/>
                <w:szCs w:val="21"/>
                <w:highlight w:val="none"/>
                <w:u w:val="none"/>
                <w:lang w:val="en-US" w:eastAsia="zh-CN" w:bidi="ar"/>
              </w:rPr>
              <w:t xml:space="preserve">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3</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63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按项目实施方案进行建设。合同约定的时间节点进行实施，每个时间节点每推迟</w:t>
            </w:r>
            <w:r>
              <w:rPr>
                <w:rStyle w:val="804"/>
                <w:rFonts w:hint="eastAsia" w:ascii="宋体" w:hAnsi="宋体" w:eastAsia="宋体" w:cs="宋体"/>
                <w:b w:val="0"/>
                <w:bCs w:val="0"/>
                <w:color w:val="auto"/>
                <w:sz w:val="21"/>
                <w:szCs w:val="21"/>
                <w:highlight w:val="none"/>
                <w:u w:val="none"/>
                <w:lang w:val="en-US" w:eastAsia="zh-CN" w:bidi="ar"/>
              </w:rPr>
              <w:t xml:space="preserve">1天</w:t>
            </w:r>
            <w:r>
              <w:rPr>
                <w:rStyle w:val="813"/>
                <w:rFonts w:hint="eastAsia" w:ascii="宋体" w:hAnsi="宋体" w:eastAsia="宋体" w:cs="宋体"/>
                <w:b w:val="0"/>
                <w:bCs w:val="0"/>
                <w:color w:val="auto"/>
                <w:sz w:val="21"/>
                <w:szCs w:val="21"/>
                <w:highlight w:val="none"/>
                <w:u w:val="none"/>
                <w:lang w:val="en-US" w:eastAsia="zh-CN" w:bidi="ar"/>
              </w:rPr>
              <w:t xml:space="preserve">扣0.5分，扣完为止。</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按要求及时录入民政系统。未按时间截点录入或录入错误的扣10分。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1204"/>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项目一户一档归纳。每户档案包括但不限于合同约定的产品清单及含参数的合格证、照片（评估者入户评估照片，老人家庭改造环境照片）、告知单、维护维修协议等材料。未按要求归档的扣10分。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7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施工人员服务时穿戴工作服</w:t>
            </w:r>
            <w:r>
              <w:rPr>
                <w:rStyle w:val="804"/>
                <w:rFonts w:hint="eastAsia" w:ascii="宋体" w:hAnsi="宋体" w:eastAsia="宋体" w:cs="宋体"/>
                <w:b w:val="0"/>
                <w:bCs w:val="0"/>
                <w:color w:val="auto"/>
                <w:sz w:val="21"/>
                <w:szCs w:val="21"/>
                <w:highlight w:val="none"/>
                <w:u w:val="none"/>
                <w:lang w:val="en-US" w:eastAsia="zh-CN" w:bidi="ar"/>
              </w:rPr>
              <w:t xml:space="preserve">/</w:t>
            </w:r>
            <w:r>
              <w:rPr>
                <w:rStyle w:val="813"/>
                <w:rFonts w:hint="eastAsia" w:ascii="宋体" w:hAnsi="宋体" w:eastAsia="宋体" w:cs="宋体"/>
                <w:b w:val="0"/>
                <w:bCs w:val="0"/>
                <w:color w:val="auto"/>
                <w:sz w:val="21"/>
                <w:szCs w:val="21"/>
                <w:highlight w:val="none"/>
                <w:u w:val="none"/>
                <w:lang w:val="en-US" w:eastAsia="zh-CN" w:bidi="ar"/>
              </w:rPr>
              <w:t xml:space="preserve">牌，通过查看照片或现场核查，发现有一次未穿</w:t>
            </w:r>
            <w:r>
              <w:rPr>
                <w:rStyle w:val="804"/>
                <w:rFonts w:hint="eastAsia" w:ascii="宋体" w:hAnsi="宋体" w:eastAsia="宋体" w:cs="宋体"/>
                <w:b w:val="0"/>
                <w:bCs w:val="0"/>
                <w:color w:val="auto"/>
                <w:sz w:val="21"/>
                <w:szCs w:val="21"/>
                <w:highlight w:val="none"/>
                <w:u w:val="none"/>
                <w:lang w:val="en-US" w:eastAsia="zh-CN" w:bidi="ar"/>
              </w:rPr>
              <w:t xml:space="preserve">/</w:t>
            </w:r>
            <w:r>
              <w:rPr>
                <w:rStyle w:val="813"/>
                <w:rFonts w:hint="eastAsia" w:ascii="宋体" w:hAnsi="宋体" w:eastAsia="宋体" w:cs="宋体"/>
                <w:b w:val="0"/>
                <w:bCs w:val="0"/>
                <w:color w:val="auto"/>
                <w:sz w:val="21"/>
                <w:szCs w:val="21"/>
                <w:highlight w:val="none"/>
                <w:u w:val="none"/>
                <w:lang w:val="en-US" w:eastAsia="zh-CN" w:bidi="ar"/>
              </w:rPr>
              <w:t xml:space="preserve">戴的扣</w:t>
            </w:r>
            <w:r>
              <w:rPr>
                <w:rStyle w:val="804"/>
                <w:rFonts w:hint="eastAsia" w:ascii="宋体" w:hAnsi="宋体" w:eastAsia="宋体" w:cs="宋体"/>
                <w:b w:val="0"/>
                <w:bCs w:val="0"/>
                <w:color w:val="auto"/>
                <w:sz w:val="21"/>
                <w:szCs w:val="21"/>
                <w:highlight w:val="none"/>
                <w:u w:val="none"/>
                <w:lang w:val="en-US" w:eastAsia="zh-CN" w:bidi="ar"/>
              </w:rPr>
              <w:t xml:space="preserve">0.1</w:t>
            </w:r>
            <w:r>
              <w:rPr>
                <w:rStyle w:val="813"/>
                <w:rFonts w:hint="eastAsia" w:ascii="宋体" w:hAnsi="宋体" w:eastAsia="宋体" w:cs="宋体"/>
                <w:b w:val="0"/>
                <w:bCs w:val="0"/>
                <w:color w:val="auto"/>
                <w:sz w:val="21"/>
                <w:szCs w:val="21"/>
                <w:highlight w:val="none"/>
                <w:u w:val="none"/>
                <w:lang w:val="en-US" w:eastAsia="zh-CN" w:bidi="ar"/>
              </w:rPr>
              <w:t xml:space="preserve">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tcW w:w="12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产品配置及使用（50分）</w:t>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方案确认后如需修改方案未事先报备民政局，发现一个未报备扣0.5分，扣完为止。</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81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违背老人意愿强行配置不需要的产品，每强制配备一件扣0.1分，扣完为止，且强制配备的产品不予结算。</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配置产品少件、有质量问题。在验收前未整改到位的，每有一件扣1分，且问题产品不予结算。</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14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配置产品按照要求安装到位。如：扶手安装、门框改造等。需按照苏民养老〔</w:t>
            </w:r>
            <w:r>
              <w:rPr>
                <w:rStyle w:val="804"/>
                <w:rFonts w:hint="eastAsia" w:ascii="宋体" w:hAnsi="宋体" w:eastAsia="宋体" w:cs="宋体"/>
                <w:b w:val="0"/>
                <w:bCs w:val="0"/>
                <w:color w:val="auto"/>
                <w:sz w:val="21"/>
                <w:szCs w:val="21"/>
                <w:highlight w:val="none"/>
                <w:u w:val="none"/>
                <w:lang w:val="en-US" w:eastAsia="zh-CN" w:bidi="ar"/>
              </w:rPr>
              <w:t xml:space="preserve">2023</w:t>
            </w:r>
            <w:r>
              <w:rPr>
                <w:rStyle w:val="813"/>
                <w:rFonts w:hint="eastAsia" w:ascii="宋体" w:hAnsi="宋体" w:eastAsia="宋体" w:cs="宋体"/>
                <w:b w:val="0"/>
                <w:bCs w:val="0"/>
                <w:color w:val="auto"/>
                <w:sz w:val="21"/>
                <w:szCs w:val="21"/>
                <w:highlight w:val="none"/>
                <w:u w:val="none"/>
                <w:lang w:val="en-US" w:eastAsia="zh-CN" w:bidi="ar"/>
              </w:rPr>
              <w:t xml:space="preserve">〕</w:t>
            </w:r>
            <w:r>
              <w:rPr>
                <w:rStyle w:val="804"/>
                <w:rFonts w:hint="eastAsia" w:ascii="宋体" w:hAnsi="宋体" w:eastAsia="宋体" w:cs="宋体"/>
                <w:b w:val="0"/>
                <w:bCs w:val="0"/>
                <w:color w:val="auto"/>
                <w:sz w:val="21"/>
                <w:szCs w:val="21"/>
                <w:highlight w:val="none"/>
                <w:u w:val="none"/>
                <w:lang w:val="en-US" w:eastAsia="zh-CN" w:bidi="ar"/>
              </w:rPr>
              <w:t xml:space="preserve">35</w:t>
            </w:r>
            <w:r>
              <w:rPr>
                <w:rStyle w:val="813"/>
                <w:rFonts w:hint="eastAsia" w:ascii="宋体" w:hAnsi="宋体" w:eastAsia="宋体" w:cs="宋体"/>
                <w:b w:val="0"/>
                <w:bCs w:val="0"/>
                <w:color w:val="auto"/>
                <w:sz w:val="21"/>
                <w:szCs w:val="21"/>
                <w:highlight w:val="none"/>
                <w:u w:val="none"/>
                <w:lang w:val="en-US" w:eastAsia="zh-CN" w:bidi="ar"/>
              </w:rPr>
              <w:t xml:space="preserve">号、《养老机构康复辅助器具基本配置</w:t>
            </w:r>
            <w:r>
              <w:rPr>
                <w:rStyle w:val="804"/>
                <w:rFonts w:hint="eastAsia" w:ascii="宋体" w:hAnsi="宋体" w:eastAsia="宋体" w:cs="宋体"/>
                <w:b w:val="0"/>
                <w:bCs w:val="0"/>
                <w:color w:val="auto"/>
                <w:sz w:val="21"/>
                <w:szCs w:val="21"/>
                <w:highlight w:val="none"/>
                <w:u w:val="none"/>
                <w:lang w:val="en-US" w:eastAsia="zh-CN" w:bidi="ar"/>
              </w:rPr>
              <w:t xml:space="preserve">MZ/T 174-2021</w:t>
            </w:r>
            <w:r>
              <w:rPr>
                <w:rStyle w:val="813"/>
                <w:rFonts w:hint="eastAsia" w:ascii="宋体" w:hAnsi="宋体" w:eastAsia="宋体" w:cs="宋体"/>
                <w:b w:val="0"/>
                <w:bCs w:val="0"/>
                <w:color w:val="auto"/>
                <w:sz w:val="21"/>
                <w:szCs w:val="21"/>
                <w:highlight w:val="none"/>
                <w:u w:val="none"/>
                <w:lang w:val="en-US" w:eastAsia="zh-CN" w:bidi="ar"/>
              </w:rPr>
              <w:t xml:space="preserve">》《建筑与市政工程无障碍通用规范</w:t>
            </w:r>
            <w:r>
              <w:rPr>
                <w:rStyle w:val="804"/>
                <w:rFonts w:hint="eastAsia" w:ascii="宋体" w:hAnsi="宋体" w:eastAsia="宋体" w:cs="宋体"/>
                <w:b w:val="0"/>
                <w:bCs w:val="0"/>
                <w:color w:val="auto"/>
                <w:sz w:val="21"/>
                <w:szCs w:val="21"/>
                <w:highlight w:val="none"/>
                <w:u w:val="none"/>
                <w:lang w:val="en-US" w:eastAsia="zh-CN" w:bidi="ar"/>
              </w:rPr>
              <w:t xml:space="preserve">GB 55019-2021</w:t>
            </w:r>
            <w:r>
              <w:rPr>
                <w:rStyle w:val="813"/>
                <w:rFonts w:hint="eastAsia" w:ascii="宋体" w:hAnsi="宋体" w:eastAsia="宋体" w:cs="宋体"/>
                <w:b w:val="0"/>
                <w:bCs w:val="0"/>
                <w:color w:val="auto"/>
                <w:sz w:val="21"/>
                <w:szCs w:val="21"/>
                <w:highlight w:val="none"/>
                <w:u w:val="none"/>
                <w:lang w:val="en-US" w:eastAsia="zh-CN" w:bidi="ar"/>
              </w:rPr>
              <w:t xml:space="preserve">》标准安装到位。发现一件未安装到位扣0.1分。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89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明确告知老人产品使用方法，并留存相关佐证资料。每户发放告知单、维护维修协议，教授老人如何使用产品、产品的免费质保期等。发现有一户没有告知的扣</w:t>
            </w:r>
            <w:r>
              <w:rPr>
                <w:rStyle w:val="804"/>
                <w:rFonts w:hint="eastAsia" w:ascii="宋体" w:hAnsi="宋体" w:eastAsia="宋体" w:cs="宋体"/>
                <w:b w:val="0"/>
                <w:bCs w:val="0"/>
                <w:color w:val="auto"/>
                <w:sz w:val="21"/>
                <w:szCs w:val="21"/>
                <w:highlight w:val="none"/>
                <w:u w:val="none"/>
                <w:lang w:val="en-US" w:eastAsia="zh-CN" w:bidi="ar"/>
              </w:rPr>
              <w:t xml:space="preserve">0.1</w:t>
            </w:r>
            <w:r>
              <w:rPr>
                <w:rStyle w:val="813"/>
                <w:rFonts w:hint="eastAsia" w:ascii="宋体" w:hAnsi="宋体" w:eastAsia="宋体" w:cs="宋体"/>
                <w:b w:val="0"/>
                <w:bCs w:val="0"/>
                <w:color w:val="auto"/>
                <w:sz w:val="21"/>
                <w:szCs w:val="21"/>
                <w:highlight w:val="none"/>
                <w:u w:val="none"/>
                <w:lang w:val="en-US" w:eastAsia="zh-CN" w:bidi="ar"/>
              </w:rPr>
              <w:t xml:space="preserve">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7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老人会使用所有配置的适老化产品。有一件产品不会使用扣</w:t>
            </w:r>
            <w:r>
              <w:rPr>
                <w:rStyle w:val="804"/>
                <w:rFonts w:hint="eastAsia" w:ascii="宋体" w:hAnsi="宋体" w:eastAsia="宋体" w:cs="宋体"/>
                <w:b w:val="0"/>
                <w:bCs w:val="0"/>
                <w:color w:val="auto"/>
                <w:sz w:val="21"/>
                <w:szCs w:val="21"/>
                <w:highlight w:val="none"/>
                <w:u w:val="none"/>
                <w:lang w:val="en-US" w:eastAsia="zh-CN" w:bidi="ar"/>
              </w:rPr>
              <w:t xml:space="preserve">0.2</w:t>
            </w:r>
            <w:r>
              <w:rPr>
                <w:rStyle w:val="813"/>
                <w:rFonts w:hint="eastAsia" w:ascii="宋体" w:hAnsi="宋体" w:eastAsia="宋体" w:cs="宋体"/>
                <w:b w:val="0"/>
                <w:bCs w:val="0"/>
                <w:color w:val="auto"/>
                <w:sz w:val="21"/>
                <w:szCs w:val="21"/>
                <w:highlight w:val="none"/>
                <w:u w:val="none"/>
                <w:lang w:val="en-US" w:eastAsia="zh-CN" w:bidi="ar"/>
              </w:rPr>
              <w:t xml:space="preserve">分，扣完为止。</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275"/>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top"/>
            <w:textDirection w:val="lrTb"/>
            <w:noWrap w:val="false"/>
          </w:tcPr>
          <w:p>
            <w:pPr>
              <w:ind w:left="0" w:right="0"/>
              <w:jc w:val="left"/>
              <w:keepLines w:val="0"/>
              <w:keepNext w:val="0"/>
              <w:spacing w:before="0" w:beforeAutospacing="0" w:after="0" w:afterAutospacing="0"/>
              <w:widowControl/>
              <w:rPr>
                <w:rStyle w:val="813"/>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有完善的“三级应急响应”措施。</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118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87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W w:w="127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满意度（10分）</w:t>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项目总体满意度。施工结束后第三方评估公司逐户入户回访，95%≤满意度＜100%（含）扣1分，90%≤满意度＜95%（不含）扣2分，85%≤满意度＜90%（不含）扣3分，满意度＜85%（不含）扣5分</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118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665"/>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1279"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Style w:val="813"/>
                <w:rFonts w:hint="eastAsia" w:ascii="宋体" w:hAnsi="宋体" w:eastAsia="宋体" w:cs="宋体"/>
                <w:b w:val="0"/>
                <w:bCs w:val="0"/>
                <w:color w:val="auto"/>
                <w:sz w:val="21"/>
                <w:szCs w:val="21"/>
                <w:highlight w:val="none"/>
                <w:u w:val="none"/>
                <w:lang w:val="en-US" w:eastAsia="zh-CN" w:bidi="ar"/>
              </w:rPr>
              <w:t xml:space="preserve">施工中接到一个投诉扣</w:t>
            </w:r>
            <w:r>
              <w:rPr>
                <w:rStyle w:val="804"/>
                <w:rFonts w:hint="eastAsia" w:ascii="宋体" w:hAnsi="宋体" w:eastAsia="宋体" w:cs="宋体"/>
                <w:b w:val="0"/>
                <w:bCs w:val="0"/>
                <w:color w:val="auto"/>
                <w:sz w:val="21"/>
                <w:szCs w:val="21"/>
                <w:highlight w:val="none"/>
                <w:u w:val="none"/>
                <w:lang w:val="en-US" w:eastAsia="zh-CN" w:bidi="ar"/>
              </w:rPr>
              <w:t xml:space="preserve">1</w:t>
            </w:r>
            <w:r>
              <w:rPr>
                <w:rStyle w:val="813"/>
                <w:rFonts w:hint="eastAsia" w:ascii="宋体" w:hAnsi="宋体" w:eastAsia="宋体" w:cs="宋体"/>
                <w:b w:val="0"/>
                <w:bCs w:val="0"/>
                <w:color w:val="auto"/>
                <w:sz w:val="21"/>
                <w:szCs w:val="21"/>
                <w:highlight w:val="none"/>
                <w:u w:val="none"/>
                <w:lang w:val="en-US" w:eastAsia="zh-CN" w:bidi="ar"/>
              </w:rPr>
              <w:t xml:space="preserve">分，投诉至区级及以上平台的扣</w:t>
            </w:r>
            <w:r>
              <w:rPr>
                <w:rStyle w:val="804"/>
                <w:rFonts w:hint="eastAsia" w:ascii="宋体" w:hAnsi="宋体" w:eastAsia="宋体" w:cs="宋体"/>
                <w:b w:val="0"/>
                <w:bCs w:val="0"/>
                <w:color w:val="auto"/>
                <w:sz w:val="21"/>
                <w:szCs w:val="21"/>
                <w:highlight w:val="none"/>
                <w:u w:val="none"/>
                <w:lang w:val="en-US" w:eastAsia="zh-CN" w:bidi="ar"/>
              </w:rPr>
              <w:t xml:space="preserve">2</w:t>
            </w:r>
            <w:r>
              <w:rPr>
                <w:rStyle w:val="813"/>
                <w:rFonts w:hint="eastAsia" w:ascii="宋体" w:hAnsi="宋体" w:eastAsia="宋体" w:cs="宋体"/>
                <w:b w:val="0"/>
                <w:bCs w:val="0"/>
                <w:color w:val="auto"/>
                <w:sz w:val="21"/>
                <w:szCs w:val="21"/>
                <w:highlight w:val="none"/>
                <w:u w:val="none"/>
                <w:lang w:val="en-US" w:eastAsia="zh-CN" w:bidi="ar"/>
              </w:rPr>
              <w:t xml:space="preserve">分。（诉求在</w:t>
            </w:r>
            <w:r>
              <w:rPr>
                <w:rStyle w:val="804"/>
                <w:rFonts w:hint="eastAsia" w:ascii="宋体" w:hAnsi="宋体" w:eastAsia="宋体" w:cs="宋体"/>
                <w:b w:val="0"/>
                <w:bCs w:val="0"/>
                <w:color w:val="auto"/>
                <w:sz w:val="21"/>
                <w:szCs w:val="21"/>
                <w:highlight w:val="none"/>
                <w:u w:val="none"/>
                <w:lang w:val="en-US" w:eastAsia="zh-CN" w:bidi="ar"/>
              </w:rPr>
              <w:t xml:space="preserve">3</w:t>
            </w:r>
            <w:r>
              <w:rPr>
                <w:rStyle w:val="813"/>
                <w:rFonts w:hint="eastAsia" w:ascii="宋体" w:hAnsi="宋体" w:eastAsia="宋体" w:cs="宋体"/>
                <w:b w:val="0"/>
                <w:bCs w:val="0"/>
                <w:color w:val="auto"/>
                <w:sz w:val="21"/>
                <w:szCs w:val="21"/>
                <w:highlight w:val="none"/>
                <w:u w:val="none"/>
                <w:lang w:val="en-US" w:eastAsia="zh-CN" w:bidi="ar"/>
              </w:rPr>
              <w:t xml:space="preserve">个工作日及时解决的不计入投诉）</w:t>
            </w:r>
            <w:r/>
          </w:p>
        </w:tc>
        <w:tc>
          <w:tcPr>
            <w:tcW w:w="9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118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40"/>
        </w:trPr>
        <w:tc>
          <w:tcPr>
            <w:tcW w:w="8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16</w:t>
            </w:r>
            <w:r/>
          </w:p>
        </w:tc>
        <w:tc>
          <w:tcPr>
            <w:tcW w:w="12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否决项</w:t>
            </w:r>
            <w:r/>
          </w:p>
        </w:tc>
        <w:tc>
          <w:tcPr>
            <w:tcW w:w="54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合同内规定的其他取消事项。（如项目资金使用未按采购需求要求、出现安全生产事故等）</w:t>
            </w:r>
            <w:r/>
          </w:p>
        </w:tc>
        <w:tc>
          <w:tcPr>
            <w:tcW w:w="91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118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r>
        <w:trPr>
          <w:jc w:val="center"/>
          <w:trHeight w:val="598"/>
        </w:trPr>
        <w:tc>
          <w:tcPr>
            <w:gridSpan w:val="3"/>
            <w:tcW w:w="75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考核得分</w:t>
            </w:r>
            <w:r/>
          </w:p>
        </w:tc>
        <w:tc>
          <w:tcPr>
            <w:tcW w:w="91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118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r>
    </w:tbl>
    <w:p>
      <w:pPr>
        <w:numPr>
          <w:ilvl w:val="0"/>
          <w:numId w:val="0"/>
        </w:numPr>
        <w:jc w:val="center"/>
        <w:pageBreakBefore/>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第六章   投  标  文  件</w:t>
      </w:r>
      <w:r/>
    </w:p>
    <w:p>
      <w:pPr>
        <w:pStyle w:val="70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0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084"/>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项目名称:</w:t>
      </w:r>
      <w:r/>
    </w:p>
    <w:p>
      <w:pPr>
        <w:pStyle w:val="70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702"/>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702"/>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702"/>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702"/>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项目编号:</w:t>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1066"/>
        <w:spacing w:line="400" w:lineRule="exact"/>
        <w:rPr>
          <w:rFonts w:hint="eastAsia" w:ascii="宋体" w:hAnsi="宋体" w:eastAsia="宋体" w:cs="宋体"/>
          <w:b/>
          <w:bCs/>
          <w:color w:val="auto"/>
          <w:sz w:val="32"/>
          <w:highlight w:val="none"/>
        </w:rPr>
      </w:pPr>
      <w:r>
        <w:rPr>
          <w:rFonts w:hint="eastAsia" w:ascii="宋体" w:hAnsi="宋体" w:eastAsia="宋体" w:cs="宋体"/>
          <w:b/>
          <w:bCs/>
          <w:color w:val="auto"/>
          <w:sz w:val="36"/>
          <w:highlight w:val="none"/>
        </w:rPr>
        <w:t xml:space="preserve">投 标 人:</w:t>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2"/>
        <w:ind w:firstLine="2826"/>
        <w:rPr>
          <w:rFonts w:hint="eastAsia" w:ascii="宋体" w:hAnsi="宋体" w:eastAsia="宋体" w:cs="宋体"/>
          <w:b/>
          <w:color w:val="auto"/>
          <w:sz w:val="32"/>
          <w:highlight w:val="none"/>
        </w:rPr>
      </w:pPr>
      <w:r>
        <w:rPr>
          <w:rFonts w:hint="eastAsia" w:ascii="宋体" w:hAnsi="宋体" w:eastAsia="宋体" w:cs="宋体"/>
          <w:b/>
          <w:color w:val="auto"/>
          <w:sz w:val="36"/>
          <w:szCs w:val="24"/>
          <w:highlight w:val="none"/>
        </w:rPr>
        <w:t xml:space="preserve">二〇二</w:t>
      </w:r>
      <w:r>
        <w:rPr>
          <w:rFonts w:hint="eastAsia" w:ascii="宋体" w:hAnsi="宋体" w:eastAsia="宋体" w:cs="宋体"/>
          <w:b/>
          <w:color w:val="auto"/>
          <w:sz w:val="36"/>
          <w:szCs w:val="24"/>
          <w:highlight w:val="none"/>
          <w:lang w:val="en-US" w:eastAsia="zh-CN"/>
        </w:rPr>
        <w:t xml:space="preserve">四</w:t>
      </w:r>
      <w:r>
        <w:rPr>
          <w:rFonts w:hint="eastAsia" w:ascii="宋体" w:hAnsi="宋体" w:eastAsia="宋体" w:cs="宋体"/>
          <w:b/>
          <w:color w:val="auto"/>
          <w:sz w:val="36"/>
          <w:szCs w:val="24"/>
          <w:highlight w:val="none"/>
        </w:rPr>
        <w:t xml:space="preserve">年    月    日</w:t>
      </w:r>
      <w:r/>
    </w:p>
    <w:p>
      <w:pPr>
        <w:pStyle w:val="702"/>
        <w:ind w:firstLine="110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2"/>
        <w:ind w:firstLine="110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2"/>
        <w:ind w:firstLine="110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spacing w:line="600" w:lineRule="exact"/>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60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尊敬的</w:t>
      </w:r>
      <w:r>
        <w:rPr>
          <w:rFonts w:hint="eastAsia" w:ascii="宋体" w:hAnsi="宋体" w:eastAsia="宋体" w:cs="宋体"/>
          <w:bCs/>
          <w:color w:val="auto"/>
          <w:sz w:val="24"/>
          <w:szCs w:val="22"/>
          <w:highlight w:val="none"/>
          <w:lang w:eastAsia="zh-CN"/>
        </w:rPr>
        <w:t xml:space="preserve">投标人</w:t>
      </w:r>
      <w:r>
        <w:rPr>
          <w:rFonts w:hint="eastAsia" w:ascii="宋体" w:hAnsi="宋体" w:eastAsia="宋体" w:cs="宋体"/>
          <w:bCs/>
          <w:color w:val="auto"/>
          <w:sz w:val="24"/>
          <w:szCs w:val="22"/>
          <w:highlight w:val="none"/>
        </w:rPr>
        <w:t xml:space="preserve">:</w:t>
      </w:r>
      <w:r/>
    </w:p>
    <w:p>
      <w:pPr>
        <w:ind w:firstLine="480"/>
        <w:spacing w:line="600" w:lineRule="exact"/>
        <w:rPr>
          <w:rFonts w:hint="eastAsia" w:ascii="宋体" w:hAnsi="宋体" w:eastAsia="宋体" w:cs="宋体"/>
          <w:bCs/>
          <w:color w:val="auto"/>
          <w:sz w:val="24"/>
          <w:szCs w:val="22"/>
          <w:highlight w:val="none"/>
        </w:rPr>
      </w:pPr>
      <w:r>
        <w:rPr>
          <w:rFonts w:hint="eastAsia" w:ascii="宋体" w:hAnsi="宋体" w:eastAsia="宋体" w:cs="宋体"/>
          <w:color w:val="auto"/>
          <w:sz w:val="24"/>
          <w:szCs w:val="24"/>
          <w:highlight w:val="none"/>
        </w:rPr>
        <w:t xml:space="preserve">请按照以下文件的格式要求、内容、顺序制作投标文件，并请编制目录及页码，否则可能将影响对投标文件的评价。</w:t>
      </w:r>
      <w:r/>
    </w:p>
    <w:p>
      <w:pPr>
        <w:pStyle w:val="702"/>
        <w:ind w:firstLine="1000"/>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702"/>
        <w:jc w:val="center"/>
        <w:pageBreakBefore/>
        <w:spacing w:line="6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一、投标函</w:t>
      </w:r>
      <w:r/>
    </w:p>
    <w:p>
      <w:pPr>
        <w:pStyle w:val="702"/>
        <w:spacing w:line="6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致</w:t>
      </w:r>
      <w:r>
        <w:rPr>
          <w:rFonts w:hint="eastAsia" w:ascii="宋体" w:hAnsi="宋体" w:eastAsia="宋体" w:cs="宋体"/>
          <w:color w:val="auto"/>
          <w:sz w:val="24"/>
          <w:szCs w:val="22"/>
          <w:highlight w:val="none"/>
        </w:rPr>
        <w:t xml:space="preserve">:</w:t>
      </w:r>
      <w:r/>
    </w:p>
    <w:p>
      <w:pPr>
        <w:pStyle w:val="865"/>
        <w:ind w:firstLine="60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（投标人单位名称），</w:t>
      </w:r>
      <w:r>
        <w:rPr>
          <w:rFonts w:hint="eastAsia" w:ascii="宋体" w:hAnsi="宋体" w:eastAsia="宋体" w:cs="宋体"/>
          <w:color w:val="auto"/>
          <w:sz w:val="24"/>
          <w:szCs w:val="24"/>
          <w:highlight w:val="none"/>
        </w:rPr>
        <w:t xml:space="preserve">全权处理本次项目投标的有关事宜。</w:t>
      </w:r>
      <w:r/>
    </w:p>
    <w:p>
      <w:pPr>
        <w:pStyle w:val="865"/>
        <w:ind w:firstLine="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、我们接受招标文件的所有的条款和规定。</w:t>
      </w:r>
      <w:r/>
    </w:p>
    <w:p>
      <w:pPr>
        <w:pStyle w:val="865"/>
        <w:ind w:firstLine="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我们同意按照招标文件第二章第14条的规定，本投标文件的有效期为从开标之日期起计算的九十天，在此期间，本投标文件将始终对我们具有约束力，并可随时被接受。如果我们中标，本投标文件在此期间之后将继续保持有效。</w:t>
      </w:r>
      <w:r/>
    </w:p>
    <w:p>
      <w:pPr>
        <w:pStyle w:val="865"/>
        <w:ind w:firstLine="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、我们理解，你们无义务必须接受</w:t>
      </w:r>
      <w:r>
        <w:rPr>
          <w:rFonts w:hint="eastAsia" w:ascii="宋体" w:hAnsi="宋体" w:eastAsia="宋体" w:cs="宋体"/>
          <w:color w:val="auto"/>
          <w:sz w:val="24"/>
          <w:szCs w:val="24"/>
          <w:highlight w:val="none"/>
        </w:rPr>
        <w:t xml:space="preserve">投标价最低的投标</w:t>
      </w:r>
      <w:r>
        <w:rPr>
          <w:rFonts w:hint="eastAsia" w:ascii="宋体" w:hAnsi="宋体" w:eastAsia="宋体" w:cs="宋体"/>
          <w:color w:val="auto"/>
          <w:sz w:val="24"/>
          <w:szCs w:val="24"/>
          <w:highlight w:val="none"/>
        </w:rPr>
        <w:t xml:space="preserve">。同时也理解你们不承担我们本次投标的费用。</w:t>
      </w:r>
      <w:r/>
    </w:p>
    <w:p>
      <w:pPr>
        <w:pStyle w:val="865"/>
        <w:ind w:firstLine="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、我们同意向贵方提供贵方可能要求的与投标有关的任何证据或资料，并保证所提供的都是真实的、准确的。</w:t>
      </w:r>
      <w:r/>
    </w:p>
    <w:p>
      <w:pPr>
        <w:pStyle w:val="865"/>
        <w:ind w:firstLine="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、一旦我方中标，我方将根据招标文件的规定，严格履行合同的责任和义务，并保证在按招标文件中规定的时间内供货，并完成项目的施工、调试、交付买方验收、使用。</w:t>
      </w:r>
      <w:r/>
    </w:p>
    <w:p>
      <w:pPr>
        <w:pStyle w:val="865"/>
        <w:ind w:right="560" w:firstLine="2520"/>
        <w:spacing w:before="0" w:after="0"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865"/>
        <w:ind w:right="560" w:firstLine="3480"/>
        <w:spacing w:before="0" w:after="0" w:line="480" w:lineRule="auto"/>
        <w:rPr>
          <w:rFonts w:hint="eastAsia"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投标人名称（电子签章）:</w:t>
      </w:r>
      <w:r>
        <w:rPr>
          <w:rFonts w:hint="eastAsia" w:ascii="宋体" w:hAnsi="宋体" w:eastAsia="宋体" w:cs="宋体"/>
          <w:color w:val="auto"/>
          <w:sz w:val="24"/>
          <w:szCs w:val="22"/>
          <w:highlight w:val="none"/>
          <w:u w:val="single"/>
        </w:rPr>
        <w:t xml:space="preserve">                 </w:t>
      </w:r>
      <w:r/>
    </w:p>
    <w:p>
      <w:pPr>
        <w:pStyle w:val="865"/>
        <w:ind w:right="560" w:firstLine="3480"/>
        <w:spacing w:before="0" w:after="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right="560" w:firstLine="3360"/>
        <w:jc w:val="both"/>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p>
    <w:p>
      <w:pPr>
        <w:pStyle w:val="702"/>
        <w:ind w:right="560" w:firstLine="3360"/>
        <w:spacing w:line="480" w:lineRule="auto"/>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18"/>
          <w:highlight w:val="none"/>
        </w:rPr>
        <w:t xml:space="preserve">电子签章或</w:t>
      </w:r>
      <w:r>
        <w:rPr>
          <w:rFonts w:hint="eastAsia" w:ascii="宋体" w:hAnsi="宋体" w:eastAsia="宋体" w:cs="宋体"/>
          <w:color w:val="auto"/>
          <w:sz w:val="24"/>
          <w:szCs w:val="22"/>
          <w:highlight w:val="none"/>
        </w:rPr>
        <w:t xml:space="preserve">电子签字）</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             </w:t>
      </w:r>
      <w:r/>
    </w:p>
    <w:p>
      <w:pPr>
        <w:pStyle w:val="702"/>
        <w:ind w:right="560" w:firstLine="3480"/>
        <w:spacing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u w:val="single"/>
        </w:rPr>
        <w:t xml:space="preserve">                               </w:t>
      </w:r>
      <w:r/>
    </w:p>
    <w:p>
      <w:pPr>
        <w:pStyle w:val="702"/>
        <w:ind w:right="560" w:firstLine="3360"/>
        <w:jc w:val="both"/>
        <w:spacing w:line="480" w:lineRule="auto"/>
        <w:rPr>
          <w:rFonts w:hint="eastAsia" w:ascii="宋体" w:hAnsi="宋体" w:eastAsia="宋体" w:cs="宋体"/>
          <w:b/>
          <w:color w:val="auto"/>
          <w:sz w:val="28"/>
          <w:szCs w:val="28"/>
          <w:highlight w:val="none"/>
        </w:rPr>
      </w:pPr>
      <w:r>
        <w:rPr>
          <w:rFonts w:hint="eastAsia" w:ascii="宋体" w:hAnsi="宋体" w:eastAsia="宋体" w:cs="宋体"/>
          <w:color w:val="auto"/>
          <w:sz w:val="24"/>
          <w:szCs w:val="22"/>
          <w:highlight w:val="none"/>
        </w:rPr>
        <w:t xml:space="preserve">日期: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p>
    <w:p>
      <w:pPr>
        <w:numPr>
          <w:ilvl w:val="0"/>
          <w:numId w:val="12"/>
        </w:numPr>
        <w:jc w:val="center"/>
        <w:pageBreakBefore/>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开标一览表</w:t>
      </w:r>
      <w:r/>
    </w:p>
    <w:tbl>
      <w:tblPr>
        <w:tblStyle w:val="683"/>
        <w:tblpPr w:horzAnchor="page" w:tblpX="962" w:vertAnchor="text" w:tblpY="573"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60"/>
      </w:tblGrid>
      <w:tr>
        <w:trPr>
          <w:cantSplit/>
          <w:trHeight w:val="863" w:hRule="exact"/>
        </w:trPr>
        <w:tc>
          <w:tcPr>
            <w:tcW w:w="10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399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1761"/>
        </w:trPr>
        <w:tc>
          <w:tcPr>
            <w:tcW w:w="1004" w:type="pct"/>
            <w:vAlign w:val="center"/>
            <w:textDirection w:val="lrTb"/>
            <w:noWrap w:val="false"/>
          </w:tcPr>
          <w:p>
            <w:pPr>
              <w:ind w:left="0" w:right="0"/>
              <w:jc w:val="center"/>
              <w:keepLines w:val="0"/>
              <w:keepNext w:val="0"/>
              <w:spacing w:before="0" w:beforeAutospacing="0" w:after="0" w:afterAutospacing="0" w:line="7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w:t>
            </w:r>
            <w:r/>
          </w:p>
          <w:p>
            <w:pPr>
              <w:ind w:left="0" w:right="0"/>
              <w:jc w:val="center"/>
              <w:keepLines w:val="0"/>
              <w:keepNext w:val="0"/>
              <w:spacing w:before="0" w:beforeAutospacing="0" w:after="0" w:afterAutospacing="0" w:line="7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总计</w:t>
            </w:r>
            <w:r/>
          </w:p>
        </w:tc>
        <w:tc>
          <w:tcPr>
            <w:tcW w:w="3995" w:type="pct"/>
            <w:vAlign w:val="center"/>
            <w:textDirection w:val="lrTb"/>
            <w:noWrap w:val="false"/>
          </w:tcPr>
          <w:p>
            <w:pPr>
              <w:ind w:left="0" w:right="0"/>
              <w:keepLines w:val="0"/>
              <w:keepNext w:val="0"/>
              <w:spacing w:before="0" w:beforeAutospacing="0" w:after="0" w:afterAutospacing="0" w:line="480" w:lineRule="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（小写）</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eastAsia="zh-CN"/>
              </w:rPr>
              <w:t xml:space="preserve">元</w:t>
            </w:r>
            <w:r>
              <w:rPr>
                <w:rFonts w:hint="eastAsia" w:ascii="宋体" w:hAnsi="宋体" w:eastAsia="宋体" w:cs="宋体"/>
                <w:color w:val="auto"/>
                <w:sz w:val="24"/>
                <w:szCs w:val="24"/>
                <w:highlight w:val="none"/>
                <w:lang w:val="zh-CN"/>
              </w:rPr>
              <w:t xml:space="preserve">                                   </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（大写）人民币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拾</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仟</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拾</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元整</w:t>
            </w:r>
            <w:r/>
          </w:p>
          <w:p>
            <w:pPr>
              <w:ind w:left="0" w:right="0" w:firstLine="210"/>
              <w:keepLines w:val="0"/>
              <w:keepNext w:val="0"/>
              <w:spacing w:before="0" w:beforeAutospacing="0" w:after="0" w:afterAutospacing="0" w:line="360" w:lineRule="auto"/>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tc>
      </w:tr>
      <w:tr>
        <w:trPr>
          <w:cantSplit/>
          <w:trHeight w:val="1046"/>
        </w:trPr>
        <w:tc>
          <w:tcPr>
            <w:tcW w:w="1004" w:type="pct"/>
            <w:vAlign w:val="center"/>
            <w:textDirection w:val="lrTb"/>
            <w:noWrap w:val="false"/>
          </w:tcPr>
          <w:p>
            <w:pPr>
              <w:ind w:left="0" w:right="0" w:firstLine="36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供货时间</w:t>
            </w:r>
            <w:r/>
          </w:p>
        </w:tc>
        <w:tc>
          <w:tcPr>
            <w:tcW w:w="3995" w:type="pct"/>
            <w:vAlign w:val="center"/>
            <w:textDirection w:val="lrTb"/>
            <w:noWrap w:val="false"/>
          </w:tcPr>
          <w:p>
            <w:pPr>
              <w:ind w:left="0" w:right="0" w:firstLine="132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按招标文件要求执行。</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 </w:t>
      </w:r>
      <w:r>
        <w:rPr>
          <w:rFonts w:hint="eastAsia" w:ascii="宋体" w:hAnsi="宋体" w:eastAsia="宋体" w:cs="宋体"/>
          <w:color w:val="auto"/>
          <w:sz w:val="24"/>
          <w:szCs w:val="24"/>
          <w:highlight w:val="none"/>
          <w:u w:val="single"/>
        </w:rPr>
        <w:t xml:space="preserve">       （电子签章）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2"/>
          <w:highlight w:val="none"/>
          <w:u w:val="single"/>
        </w:rPr>
        <w:t xml:space="preserve">（电子签章或电子签字）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3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（1）投标报价总计为</w:t>
      </w:r>
      <w:r>
        <w:rPr>
          <w:rFonts w:hint="eastAsia" w:ascii="宋体" w:hAnsi="宋体" w:eastAsia="宋体" w:cs="宋体"/>
          <w:color w:val="auto"/>
          <w:sz w:val="24"/>
          <w:szCs w:val="22"/>
          <w:highlight w:val="none"/>
        </w:rPr>
        <w:t xml:space="preserve">招标文件第二章第10条</w:t>
      </w:r>
      <w:r>
        <w:rPr>
          <w:rFonts w:hint="eastAsia" w:ascii="宋体" w:hAnsi="宋体" w:eastAsia="宋体" w:cs="宋体"/>
          <w:color w:val="auto"/>
          <w:sz w:val="24"/>
          <w:szCs w:val="24"/>
          <w:highlight w:val="none"/>
        </w:rPr>
        <w:t xml:space="preserve">所述内容。</w:t>
      </w:r>
      <w:r/>
    </w:p>
    <w:p>
      <w:pPr>
        <w:ind w:firstLine="3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（2）开标一览表格式不得自行改动。</w:t>
      </w:r>
      <w:bookmarkStart w:id="26" w:name="_Toc136924766"/>
      <w:r/>
      <w:bookmarkStart w:id="27" w:name="_Toc157775459"/>
      <w:r/>
      <w:bookmarkEnd w:id="26"/>
      <w:bookmarkEnd w:id="27"/>
      <w:r/>
    </w:p>
    <w:p>
      <w:pPr>
        <w:pStyle w:val="702"/>
        <w:ind w:firstLine="2516"/>
        <w:rPr>
          <w:rFonts w:hint="eastAsia" w:ascii="宋体" w:hAnsi="宋体" w:eastAsia="宋体" w:cs="宋体"/>
          <w:b/>
          <w:color w:val="auto"/>
          <w:sz w:val="28"/>
          <w:szCs w:val="28"/>
          <w:highlight w:val="none"/>
        </w:rPr>
      </w:pPr>
      <w:r/>
      <w:bookmarkStart w:id="28" w:name="_Toc157775468"/>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51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37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37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02"/>
        <w:ind w:firstLine="237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both"/>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684"/>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color w:val="auto"/>
          <w:sz w:val="32"/>
          <w:szCs w:val="32"/>
          <w:highlight w:val="none"/>
        </w:rPr>
        <w:t xml:space="preserve">三、</w:t>
      </w:r>
      <w:r>
        <w:rPr>
          <w:rFonts w:hint="eastAsia" w:ascii="宋体" w:hAnsi="宋体" w:eastAsia="宋体" w:cs="宋体"/>
          <w:b/>
          <w:bCs/>
          <w:color w:val="auto"/>
          <w:sz w:val="32"/>
          <w:szCs w:val="32"/>
          <w:highlight w:val="none"/>
        </w:rPr>
        <w:t xml:space="preserve">报价明细表</w:t>
      </w:r>
      <w:r/>
    </w:p>
    <w:p>
      <w:pPr>
        <w:jc w:val="left"/>
        <w:spacing w:line="440" w:lineRule="exact"/>
        <w:rPr>
          <w:rFonts w:hint="eastAsia" w:ascii="宋体" w:hAnsi="宋体" w:eastAsia="宋体" w:cs="宋体"/>
          <w:color w:val="auto"/>
          <w:spacing w:val="20"/>
          <w:sz w:val="24"/>
          <w:szCs w:val="2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0"/>
          <w:sz w:val="24"/>
          <w:szCs w:val="22"/>
          <w:highlight w:val="none"/>
        </w:rPr>
        <w:t xml:space="preserve">单位:人民币/元</w:t>
      </w:r>
      <w:r/>
    </w:p>
    <w:tbl>
      <w:tblPr>
        <w:tblStyle w:val="683"/>
        <w:tblW w:w="4997"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568"/>
        <w:gridCol w:w="2365"/>
        <w:gridCol w:w="1032"/>
        <w:gridCol w:w="1080"/>
        <w:gridCol w:w="797"/>
        <w:gridCol w:w="1008"/>
        <w:gridCol w:w="1008"/>
      </w:tblGrid>
      <w:tr>
        <w:trPr>
          <w:trHeight w:val="500"/>
        </w:trPr>
        <w:tc>
          <w:tcPr>
            <w:tcW w:w="551"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序号</w:t>
            </w:r>
            <w:r/>
          </w:p>
        </w:tc>
        <w:tc>
          <w:tcPr>
            <w:tcW w:w="787" w:type="pct"/>
            <w:vAlign w:val="center"/>
            <w:textDirection w:val="lrTb"/>
            <w:noWrap w:val="false"/>
          </w:tcPr>
          <w:p>
            <w:pPr>
              <w:ind w:left="0" w:right="0" w:firstLine="108"/>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货物名称</w:t>
            </w:r>
            <w:r/>
          </w:p>
        </w:tc>
        <w:tc>
          <w:tcPr>
            <w:tcW w:w="1187" w:type="pct"/>
            <w:vAlign w:val="center"/>
            <w:textDirection w:val="lrTb"/>
            <w:noWrap w:val="false"/>
          </w:tcPr>
          <w:p>
            <w:pPr>
              <w:ind w:left="0" w:right="0" w:firstLine="324"/>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规格和型号</w:t>
            </w:r>
            <w:r/>
          </w:p>
        </w:tc>
        <w:tc>
          <w:tcPr>
            <w:tcW w:w="518"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品牌</w:t>
            </w:r>
            <w:r/>
          </w:p>
        </w:tc>
        <w:tc>
          <w:tcPr>
            <w:tcW w:w="542"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单价</w:t>
            </w:r>
            <w:r/>
          </w:p>
        </w:tc>
        <w:tc>
          <w:tcPr>
            <w:tcW w:w="400"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数量</w:t>
            </w:r>
            <w:r/>
          </w:p>
        </w:tc>
        <w:tc>
          <w:tcPr>
            <w:tcW w:w="506" w:type="pct"/>
            <w:vAlign w:val="center"/>
            <w:textDirection w:val="lrTb"/>
            <w:noWrap w:val="false"/>
          </w:tcPr>
          <w:p>
            <w:pPr>
              <w:ind w:left="0" w:right="0" w:firstLine="108"/>
              <w:jc w:val="center"/>
              <w:keepLines w:val="0"/>
              <w:keepNext w:val="0"/>
              <w:spacing w:before="0" w:beforeAutospacing="0" w:after="0" w:afterAutospacing="0" w:line="440" w:lineRule="exact"/>
              <w:rPr>
                <w:rFonts w:hint="eastAsia" w:ascii="宋体" w:hAnsi="宋体" w:eastAsia="宋体" w:cs="宋体"/>
                <w:color w:val="auto"/>
                <w:sz w:val="24"/>
                <w:szCs w:val="22"/>
                <w:highlight w:val="none"/>
              </w:rPr>
              <w:suppressLineNumbers w:val="0"/>
            </w:pPr>
            <w:r>
              <w:rPr>
                <w:rFonts w:hint="eastAsia" w:ascii="宋体" w:hAnsi="宋体" w:eastAsia="宋体" w:cs="宋体"/>
                <w:color w:val="auto"/>
                <w:sz w:val="24"/>
                <w:szCs w:val="22"/>
                <w:highlight w:val="none"/>
              </w:rPr>
              <w:t xml:space="preserve">合价</w:t>
            </w:r>
            <w:r/>
          </w:p>
        </w:tc>
        <w:tc>
          <w:tcPr>
            <w:tcW w:w="506" w:type="pct"/>
            <w:vAlign w:val="center"/>
            <w:textDirection w:val="lrTb"/>
            <w:noWrap w:val="false"/>
          </w:tcPr>
          <w:p>
            <w:pPr>
              <w:ind w:left="0" w:right="0" w:firstLine="108"/>
              <w:jc w:val="center"/>
              <w:keepLines w:val="0"/>
              <w:keepNext w:val="0"/>
              <w:spacing w:before="0" w:beforeAutospacing="0" w:after="0" w:afterAutospacing="0" w:line="440" w:lineRule="exact"/>
              <w:rPr>
                <w:rFonts w:hint="eastAsia" w:ascii="宋体" w:hAnsi="宋体" w:eastAsia="宋体" w:cs="宋体"/>
                <w:color w:val="auto"/>
                <w:sz w:val="24"/>
                <w:szCs w:val="22"/>
                <w:highlight w:val="none"/>
                <w:lang w:eastAsia="zh-CN"/>
              </w:rPr>
              <w:suppressLineNumbers w:val="0"/>
            </w:pPr>
            <w:r>
              <w:rPr>
                <w:rFonts w:hint="eastAsia" w:ascii="宋体" w:hAnsi="宋体" w:eastAsia="宋体" w:cs="宋体"/>
                <w:color w:val="auto"/>
                <w:sz w:val="24"/>
                <w:szCs w:val="22"/>
                <w:highlight w:val="none"/>
                <w:lang w:eastAsia="zh-CN"/>
              </w:rPr>
              <w:t xml:space="preserve">备注</w:t>
            </w:r>
            <w:r/>
          </w:p>
        </w:tc>
      </w:tr>
      <w:tr>
        <w:trPr>
          <w:trHeight w:val="579"/>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1</w:t>
            </w:r>
            <w:r/>
          </w:p>
        </w:tc>
        <w:tc>
          <w:tcPr>
            <w:tcW w:w="78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1"/>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2</w:t>
            </w:r>
            <w:r/>
          </w:p>
        </w:tc>
        <w:tc>
          <w:tcPr>
            <w:tcW w:w="78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9"/>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3</w:t>
            </w:r>
            <w:r/>
          </w:p>
        </w:tc>
        <w:tc>
          <w:tcPr>
            <w:tcW w:w="78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9"/>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4</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9"/>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5</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5"/>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6</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5"/>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7</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5"/>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8</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5"/>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9</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5"/>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10</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r>
        <w:trPr>
          <w:trHeight w:val="605"/>
        </w:trPr>
        <w:tc>
          <w:tcPr>
            <w:tcW w:w="551"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t xml:space="preserve">....</w:t>
            </w:r>
            <w:r/>
          </w:p>
        </w:tc>
        <w:tc>
          <w:tcPr>
            <w:tcW w:w="7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1187"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18"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42"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400"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c>
          <w:tcPr>
            <w:tcW w:w="506" w:type="pct"/>
            <w:vAlign w:val="center"/>
            <w:textDirection w:val="lrTb"/>
            <w:noWrap w:val="false"/>
          </w:tcPr>
          <w:p>
            <w:pPr>
              <w:ind w:left="200" w:right="0"/>
              <w:jc w:val="center"/>
              <w:keepLines w:val="0"/>
              <w:keepNext w:val="0"/>
              <w:spacing w:before="0" w:beforeAutospacing="0" w:after="0" w:afterAutospacing="0" w:line="440" w:lineRule="exact"/>
              <w:rPr>
                <w:rFonts w:hint="eastAsia" w:ascii="宋体" w:hAnsi="宋体" w:eastAsia="宋体" w:cs="宋体"/>
                <w:color w:val="auto"/>
                <w:spacing w:val="20"/>
                <w:sz w:val="24"/>
                <w:szCs w:val="22"/>
                <w:highlight w:val="none"/>
              </w:rPr>
              <w:suppressLineNumbers w:val="0"/>
            </w:pPr>
            <w:r>
              <w:rPr>
                <w:rFonts w:hint="eastAsia" w:ascii="宋体" w:hAnsi="宋体" w:eastAsia="宋体" w:cs="宋体"/>
                <w:color w:val="auto"/>
                <w:spacing w:val="20"/>
                <w:sz w:val="24"/>
                <w:szCs w:val="22"/>
                <w:highlight w:val="none"/>
              </w:rPr>
            </w:r>
            <w:r/>
          </w:p>
        </w:tc>
      </w:tr>
    </w:tbl>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 </w:t>
      </w:r>
      <w:r>
        <w:rPr>
          <w:rFonts w:hint="eastAsia" w:ascii="宋体" w:hAnsi="宋体" w:eastAsia="宋体" w:cs="宋体"/>
          <w:color w:val="auto"/>
          <w:sz w:val="24"/>
          <w:szCs w:val="24"/>
          <w:highlight w:val="none"/>
          <w:u w:val="single"/>
        </w:rPr>
        <w:t xml:space="preserve">       （电子签章）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2"/>
          <w:highlight w:val="none"/>
          <w:u w:val="single"/>
        </w:rPr>
        <w:t xml:space="preserve">（电子签章或电子签字）</w:t>
      </w:r>
      <w:r/>
    </w:p>
    <w:p>
      <w:pPr>
        <w:jc w:val="righ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pStyle w:val="7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7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1、所有价格系人民币表示。</w:t>
      </w:r>
      <w:r/>
    </w:p>
    <w:p>
      <w:pPr>
        <w:pStyle w:val="7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2、第</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栏的单价应包括全部安装、调试、培训、技术服务、必不可少的部件、标准备件、专用工具等费用。</w:t>
      </w:r>
      <w:r/>
    </w:p>
    <w:p>
      <w:pPr>
        <w:pStyle w:val="7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3、表格不够填写由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自行增加。</w:t>
      </w:r>
      <w:r/>
    </w:p>
    <w:p>
      <w:pPr>
        <w:jc w:val="both"/>
        <w:spacing w:line="440" w:lineRule="exact"/>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r>
      <w:r/>
    </w:p>
    <w:p>
      <w:pPr>
        <w:pStyle w:val="96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24"/>
          <w:highlight w:val="none"/>
          <w:lang w:eastAsia="zh-CN"/>
        </w:rPr>
        <w:t xml:space="preserve">四、</w:t>
      </w:r>
      <w:r>
        <w:rPr>
          <w:rFonts w:hint="eastAsia" w:ascii="宋体" w:hAnsi="宋体" w:eastAsia="宋体" w:cs="宋体"/>
          <w:b/>
          <w:bCs/>
          <w:color w:val="auto"/>
          <w:sz w:val="32"/>
          <w:szCs w:val="32"/>
          <w:highlight w:val="none"/>
        </w:rPr>
        <w:t xml:space="preserve">技术规格响应偏离表</w:t>
      </w:r>
      <w:r/>
    </w:p>
    <w:p>
      <w:pPr>
        <w:jc w:val="center"/>
        <w:spacing w:line="440" w:lineRule="exact"/>
        <w:tabs>
          <w:tab w:val="left" w:pos="3360" w:leader="none"/>
        </w:tabs>
        <w:rPr>
          <w:rFonts w:hint="eastAsia" w:ascii="宋体" w:hAnsi="宋体" w:eastAsia="宋体" w:cs="宋体"/>
          <w:color w:val="auto"/>
          <w:spacing w:val="20"/>
          <w:sz w:val="24"/>
          <w:szCs w:val="24"/>
          <w:highlight w:val="none"/>
        </w:rPr>
        <w:outlineLvl w:val="0"/>
      </w:pPr>
      <w:r>
        <w:rPr>
          <w:rFonts w:hint="eastAsia" w:ascii="宋体" w:hAnsi="宋体" w:eastAsia="宋体" w:cs="宋体"/>
          <w:color w:val="auto"/>
          <w:sz w:val="24"/>
          <w:szCs w:val="24"/>
          <w:highlight w:val="none"/>
        </w:rPr>
        <w:t xml:space="preserve">（注:根据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技术参数要求内容填写）</w:t>
      </w:r>
      <w:r/>
    </w:p>
    <w:tbl>
      <w:tblPr>
        <w:tblStyle w:val="683"/>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项目采购需求中技术或服务</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所报产品或服务相应参数等描述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偏离</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12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（加盖电子签章）    </w:t>
      </w:r>
      <w:r/>
    </w:p>
    <w:p>
      <w:pPr>
        <w:ind w:firstLine="12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（电子签章或电子签字）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注:（1）此表为表样，行数可自行添加。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（2）是否偏离用符号“+、=、-”分别表示正偏离、完全响应、负偏离。 </w:t>
      </w:r>
      <w:r/>
    </w:p>
    <w:p>
      <w:pPr>
        <w:ind w:firstLine="480"/>
        <w:spacing w:line="520" w:lineRule="exact"/>
        <w:rPr>
          <w:rFonts w:hint="eastAsia" w:ascii="宋体" w:hAnsi="宋体" w:eastAsia="宋体" w:cs="宋体"/>
          <w:b/>
          <w:bCs/>
          <w:color w:val="auto"/>
          <w:sz w:val="28"/>
          <w:szCs w:val="22"/>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必须仔细阅读本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第五章中所有技术规范条款和相关功能要求，并将响应情况及偏离情况逐项填入上表，响应时不得对原有技术规范进行直接复制粘贴及简单表述为完全响应。</w:t>
      </w:r>
      <w:bookmarkEnd w:id="28"/>
      <w:r/>
      <w:r/>
    </w:p>
    <w:p>
      <w:pPr>
        <w:pStyle w:val="70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18"/>
          <w:highlight w:val="none"/>
          <w:lang w:val="en-US" w:eastAsia="zh-CN"/>
        </w:rPr>
        <w:t xml:space="preserve">五</w:t>
      </w:r>
      <w:r>
        <w:rPr>
          <w:rFonts w:hint="eastAsia" w:ascii="宋体" w:hAnsi="宋体" w:eastAsia="宋体" w:cs="宋体"/>
          <w:b/>
          <w:bCs/>
          <w:color w:val="auto"/>
          <w:sz w:val="28"/>
          <w:szCs w:val="18"/>
          <w:highlight w:val="none"/>
        </w:rPr>
        <w:t xml:space="preserve">、</w:t>
      </w:r>
      <w:r>
        <w:rPr>
          <w:rFonts w:hint="eastAsia" w:ascii="宋体" w:hAnsi="宋体" w:eastAsia="宋体" w:cs="宋体"/>
          <w:b/>
          <w:color w:val="auto"/>
          <w:sz w:val="28"/>
          <w:szCs w:val="28"/>
          <w:highlight w:val="none"/>
        </w:rPr>
        <w:t xml:space="preserve">资质审查时</w:t>
      </w:r>
      <w:r>
        <w:rPr>
          <w:rFonts w:hint="eastAsia" w:ascii="宋体" w:hAnsi="宋体" w:eastAsia="宋体" w:cs="宋体"/>
          <w:b/>
          <w:bCs/>
          <w:color w:val="auto"/>
          <w:sz w:val="28"/>
          <w:szCs w:val="28"/>
          <w:highlight w:val="none"/>
        </w:rPr>
        <w:t xml:space="preserve">投标人必须提供的资格证明文件</w:t>
      </w:r>
      <w:r/>
    </w:p>
    <w:p>
      <w:pPr>
        <w:ind w:firstLine="24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提供下列材料之一</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相关材料</w:t>
      </w:r>
      <w:r>
        <w:rPr>
          <w:rFonts w:hint="eastAsia" w:ascii="宋体" w:hAnsi="宋体" w:eastAsia="宋体" w:cs="宋体"/>
          <w:b/>
          <w:bCs/>
          <w:color w:val="auto"/>
          <w:sz w:val="24"/>
          <w:highlight w:val="none"/>
        </w:rPr>
        <w:t xml:space="preserve">上传到电子</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文件中）</w:t>
      </w:r>
      <w:r/>
    </w:p>
    <w:p>
      <w:pPr>
        <w:ind w:firstLine="470"/>
        <w:spacing w:line="52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提供法定代表人资格证明和法定代表人身份证</w:t>
      </w:r>
      <w:r>
        <w:rPr>
          <w:rFonts w:hint="eastAsia" w:ascii="宋体" w:hAnsi="宋体" w:eastAsia="宋体" w:cs="宋体"/>
          <w:b/>
          <w:bCs/>
          <w:color w:val="auto"/>
          <w:sz w:val="24"/>
          <w:highlight w:val="none"/>
        </w:rPr>
        <w:t xml:space="preserve">；</w:t>
      </w:r>
      <w:r/>
    </w:p>
    <w:p>
      <w:pPr>
        <w:ind w:firstLine="470"/>
        <w:spacing w:line="520" w:lineRule="exact"/>
        <w:rPr>
          <w:rFonts w:hint="eastAsia" w:ascii="宋体" w:hAnsi="宋体" w:eastAsia="宋体" w:cs="宋体"/>
          <w:b w:val="0"/>
          <w:bCs w:val="0"/>
          <w:color w:val="auto"/>
          <w:sz w:val="24"/>
          <w:highlight w:val="none"/>
          <w:lang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提供授权委托书和受托人身份证</w:t>
      </w:r>
      <w:r>
        <w:rPr>
          <w:rFonts w:hint="eastAsia" w:ascii="宋体" w:hAnsi="宋体" w:eastAsia="宋体" w:cs="宋体"/>
          <w:b/>
          <w:bCs/>
          <w:color w:val="auto"/>
          <w:sz w:val="24"/>
          <w:highlight w:val="none"/>
        </w:rPr>
        <w:t xml:space="preserve">（被授权人必须提供</w:t>
      </w:r>
      <w:r>
        <w:rPr>
          <w:rFonts w:hint="eastAsia" w:ascii="宋体" w:hAnsi="宋体" w:eastAsia="宋体" w:cs="宋体"/>
          <w:b/>
          <w:bCs/>
          <w:color w:val="auto"/>
          <w:sz w:val="24"/>
          <w:highlight w:val="none"/>
          <w:lang w:val="en-US" w:eastAsia="zh-CN"/>
        </w:rPr>
        <w:t xml:space="preserve">开标前六个月任意一个月</w:t>
      </w:r>
      <w:r>
        <w:rPr>
          <w:rFonts w:hint="eastAsia" w:ascii="宋体" w:hAnsi="宋体" w:eastAsia="宋体" w:cs="宋体"/>
          <w:b/>
          <w:bCs/>
          <w:color w:val="auto"/>
          <w:sz w:val="24"/>
          <w:highlight w:val="none"/>
        </w:rPr>
        <w:t xml:space="preserve">由人社部门出具的由本单位缴纳的社保证明</w:t>
      </w:r>
      <w:r>
        <w:rPr>
          <w:rFonts w:hint="eastAsia" w:ascii="宋体" w:hAnsi="宋体" w:eastAsia="宋体" w:cs="宋体"/>
          <w:b/>
          <w:bCs/>
          <w:color w:val="auto"/>
          <w:sz w:val="24"/>
          <w:highlight w:val="none"/>
          <w:lang w:eastAsia="zh-CN"/>
        </w:rPr>
        <w:t xml:space="preserve">）</w:t>
      </w:r>
      <w:r/>
    </w:p>
    <w:p>
      <w:pPr>
        <w:pStyle w:val="702"/>
        <w:ind w:firstLine="24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须具有在有效期内的营业执照副本、税务登记证副本、组织机构代码证副本或三证合一的营业执照；</w:t>
      </w:r>
      <w:r>
        <w:rPr>
          <w:rFonts w:hint="eastAsia" w:ascii="宋体" w:hAnsi="宋体" w:eastAsia="宋体" w:cs="宋体"/>
          <w:b/>
          <w:bCs/>
          <w:color w:val="auto"/>
          <w:sz w:val="24"/>
          <w:szCs w:val="24"/>
          <w:highlight w:val="none"/>
        </w:rPr>
        <w:t xml:space="preserve">（扫描上传到</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w:t>
      </w:r>
      <w:r/>
    </w:p>
    <w:p>
      <w:pPr>
        <w:ind w:firstLine="24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lang w:val="en-US" w:eastAsia="zh-CN"/>
        </w:rPr>
        <w:t xml:space="preserve">符合</w:t>
      </w:r>
      <w:r>
        <w:rPr>
          <w:rFonts w:hint="eastAsia" w:ascii="宋体" w:hAnsi="宋体" w:eastAsia="宋体" w:cs="宋体"/>
          <w:color w:val="auto"/>
          <w:sz w:val="24"/>
          <w:highlight w:val="none"/>
        </w:rPr>
        <w:t xml:space="preserve">《政府采购法》第二十二条规定</w:t>
      </w:r>
      <w:r>
        <w:rPr>
          <w:rFonts w:hint="eastAsia" w:ascii="宋体" w:hAnsi="宋体" w:eastAsia="宋体" w:cs="宋体"/>
          <w:color w:val="auto"/>
          <w:sz w:val="24"/>
          <w:highlight w:val="none"/>
          <w:lang w:val="en-US" w:eastAsia="zh-CN"/>
        </w:rPr>
        <w:t xml:space="preserve">条件的声明函</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（示范格式三要求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扫描上传到</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w:t>
      </w:r>
      <w:r>
        <w:rPr>
          <w:rFonts w:hint="eastAsia" w:ascii="宋体" w:hAnsi="宋体" w:eastAsia="宋体" w:cs="宋体"/>
          <w:b/>
          <w:bCs/>
          <w:color w:val="auto"/>
          <w:sz w:val="24"/>
          <w:highlight w:val="none"/>
        </w:rPr>
        <w:t xml:space="preserve">）</w:t>
      </w:r>
      <w:r/>
    </w:p>
    <w:p>
      <w:pPr>
        <w:ind w:firstLine="240"/>
        <w:spacing w:line="360" w:lineRule="auto"/>
        <w:rPr>
          <w:rFonts w:hint="eastAsia" w:ascii="宋体" w:hAnsi="宋体" w:eastAsia="宋体" w:cs="宋体"/>
          <w:b/>
          <w:bCs/>
          <w:color w:val="auto"/>
          <w:highlight w:val="none"/>
          <w:lang w:val="en-US"/>
        </w:rPr>
      </w:pPr>
      <w:r>
        <w:rPr>
          <w:rFonts w:hint="eastAsia" w:ascii="宋体" w:hAnsi="宋体" w:eastAsia="宋体" w:cs="宋体"/>
          <w:color w:val="auto"/>
          <w:sz w:val="24"/>
          <w:highlight w:val="none"/>
          <w:lang w:val="en-US" w:eastAsia="zh-CN"/>
        </w:rPr>
        <w:t xml:space="preserve">4、投标人针对本项目所作出的书面承诺；</w:t>
      </w:r>
      <w:r>
        <w:rPr>
          <w:rFonts w:hint="eastAsia" w:ascii="宋体" w:hAnsi="宋体" w:eastAsia="宋体" w:cs="宋体"/>
          <w:b/>
          <w:bCs/>
          <w:color w:val="auto"/>
          <w:sz w:val="24"/>
          <w:highlight w:val="none"/>
          <w:lang w:val="en-US" w:eastAsia="zh-CN"/>
        </w:rPr>
        <w:t xml:space="preserve">（示范格式四要求，扫描上传到投标文件中）</w:t>
      </w:r>
      <w:r/>
    </w:p>
    <w:p>
      <w:pPr>
        <w:ind w:firstLine="240"/>
        <w:jc w:val="left"/>
        <w:spacing w:line="360" w:lineRule="auto"/>
        <w:shd w:val="clear" w:color="auto" w:fill="ffffff"/>
        <w:widowControl/>
        <w:rPr>
          <w:rFonts w:hint="eastAsia" w:ascii="宋体" w:hAnsi="宋体" w:eastAsia="宋体" w:cs="宋体"/>
          <w:b/>
          <w:bCs/>
          <w:color w:val="auto"/>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b w:val="0"/>
          <w:bCs w:val="0"/>
          <w:i w:val="0"/>
          <w:iCs w:val="0"/>
          <w:caps w:val="0"/>
          <w:color w:val="auto"/>
          <w:spacing w:val="0"/>
          <w:sz w:val="24"/>
          <w:szCs w:val="24"/>
          <w:highlight w:val="none"/>
          <w:shd w:val="clear" w:color="auto" w:fill="ffffff"/>
        </w:rPr>
        <w:t xml:space="preserve">供应商必须为中小</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微</w:t>
      </w:r>
      <w:r>
        <w:rPr>
          <w:rFonts w:hint="eastAsia" w:ascii="宋体" w:hAnsi="宋体" w:eastAsia="宋体" w:cs="宋体"/>
          <w:b w:val="0"/>
          <w:bCs w:val="0"/>
          <w:i w:val="0"/>
          <w:iCs w:val="0"/>
          <w:caps w:val="0"/>
          <w:color w:val="auto"/>
          <w:spacing w:val="0"/>
          <w:sz w:val="24"/>
          <w:szCs w:val="24"/>
          <w:highlight w:val="none"/>
          <w:shd w:val="clear" w:color="auto" w:fill="ffffff"/>
        </w:rPr>
        <w:t xml:space="preserve">企业</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提供中小企业声明函；</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示范格式五要求，</w:t>
      </w:r>
      <w:r>
        <w:rPr>
          <w:rFonts w:hint="eastAsia" w:ascii="宋体" w:hAnsi="宋体" w:eastAsia="宋体" w:cs="宋体"/>
          <w:b/>
          <w:bCs/>
          <w:color w:val="auto"/>
          <w:sz w:val="24"/>
          <w:highlight w:val="none"/>
          <w:lang w:val="en-US" w:eastAsia="zh-CN"/>
        </w:rPr>
        <w:t xml:space="preserve">扫描上传到投标文件中</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p>
    <w:p>
      <w:pPr>
        <w:ind w:firstLine="240"/>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必须具有良好的信用记录：投标截止时间之前，未被“信用中国”网站列入失信执行人、</w:t>
      </w:r>
      <w:r>
        <w:rPr>
          <w:rFonts w:hint="eastAsia" w:ascii="宋体" w:hAnsi="宋体" w:eastAsia="宋体" w:cs="宋体"/>
          <w:color w:val="auto"/>
          <w:sz w:val="24"/>
          <w:szCs w:val="24"/>
          <w:highlight w:val="none"/>
          <w:lang w:val="en-US" w:eastAsia="zh-CN"/>
        </w:rPr>
        <w:t xml:space="preserve">重大税收违法失信主体、</w:t>
      </w:r>
      <w:r>
        <w:rPr>
          <w:rFonts w:hint="eastAsia" w:ascii="宋体" w:hAnsi="宋体" w:eastAsia="宋体" w:cs="宋体"/>
          <w:color w:val="auto"/>
          <w:sz w:val="24"/>
          <w:highlight w:val="none"/>
        </w:rPr>
        <w:t xml:space="preserve">政府采购严重违法失信行为记录名单，未被“中国政府采购网”网站列入政府采购严重违法失信行为记录名单。</w:t>
      </w:r>
      <w:r>
        <w:rPr>
          <w:rFonts w:hint="eastAsia" w:ascii="宋体" w:hAnsi="宋体" w:eastAsia="宋体" w:cs="宋体"/>
          <w:b/>
          <w:bCs/>
          <w:color w:val="auto"/>
          <w:sz w:val="24"/>
          <w:highlight w:val="none"/>
        </w:rPr>
        <w:t xml:space="preserve">（截图</w:t>
      </w:r>
      <w:r>
        <w:rPr>
          <w:rFonts w:hint="eastAsia" w:ascii="宋体" w:hAnsi="宋体" w:eastAsia="宋体" w:cs="宋体"/>
          <w:b/>
          <w:bCs/>
          <w:color w:val="auto"/>
          <w:sz w:val="24"/>
          <w:highlight w:val="none"/>
          <w:lang w:val="en-US" w:eastAsia="zh-CN"/>
        </w:rPr>
        <w:t xml:space="preserve">上传到投标文件中</w:t>
      </w:r>
      <w:r>
        <w:rPr>
          <w:rFonts w:hint="eastAsia" w:ascii="宋体" w:hAnsi="宋体" w:eastAsia="宋体" w:cs="宋体"/>
          <w:b/>
          <w:bCs/>
          <w:color w:val="auto"/>
          <w:sz w:val="24"/>
          <w:highlight w:val="none"/>
        </w:rPr>
        <w:t xml:space="preserve">或审查小组现场审查）</w:t>
      </w:r>
      <w:r/>
    </w:p>
    <w:p>
      <w:pPr>
        <w:ind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本次项目不接受联合体投标人参加</w:t>
      </w:r>
      <w:r>
        <w:rPr>
          <w:rFonts w:hint="eastAsia" w:ascii="宋体" w:hAnsi="宋体" w:eastAsia="宋体" w:cs="宋体"/>
          <w:color w:val="auto"/>
          <w:sz w:val="24"/>
          <w:highlight w:val="none"/>
          <w:lang w:val="zh-CN" w:eastAsia="zh-CN"/>
        </w:rPr>
        <w:t xml:space="preserve">投标</w:t>
      </w:r>
      <w:r>
        <w:rPr>
          <w:rFonts w:hint="eastAsia" w:ascii="宋体" w:hAnsi="宋体" w:eastAsia="宋体" w:cs="宋体"/>
          <w:color w:val="auto"/>
          <w:sz w:val="24"/>
          <w:highlight w:val="none"/>
          <w:lang w:val="zh-CN"/>
        </w:rPr>
        <w:t xml:space="preserve">。</w:t>
      </w:r>
      <w:r>
        <w:rPr>
          <w:rFonts w:hint="eastAsia" w:ascii="宋体" w:hAnsi="宋体" w:eastAsia="宋体" w:cs="宋体"/>
          <w:b/>
          <w:bCs/>
          <w:color w:val="auto"/>
          <w:sz w:val="24"/>
          <w:highlight w:val="none"/>
          <w:lang w:val="zh-CN"/>
        </w:rPr>
        <w:t xml:space="preserve">（未见联合体字样即可）</w:t>
      </w:r>
      <w:r/>
    </w:p>
    <w:p>
      <w:pPr>
        <w:spacing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line="480" w:lineRule="auto"/>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注:1、上述是在对投标人资质审查时，投标人所必须要提供的资格证明文件，如投标人未能提供上述资格证明文件以及发现投标人的资质条件不符合招标文件要求，可随时取消其投标或中标资格。</w:t>
      </w:r>
      <w:r/>
    </w:p>
    <w:p>
      <w:pPr>
        <w:ind w:firstLine="472"/>
        <w:spacing w:line="480" w:lineRule="auto"/>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2、投标人所提供的资格证明材料应真实、有效，采购人保留对投标人提供的资格证明材料进行核查的权利。如发现投标人提供虚假资格证明材料，</w:t>
      </w:r>
      <w:r>
        <w:rPr>
          <w:rFonts w:hint="eastAsia" w:ascii="宋体" w:hAnsi="宋体" w:eastAsia="宋体" w:cs="宋体"/>
          <w:b/>
          <w:bCs/>
          <w:color w:val="auto"/>
          <w:sz w:val="24"/>
          <w:szCs w:val="22"/>
          <w:highlight w:val="none"/>
          <w:lang w:val="en-US" w:eastAsia="zh-CN"/>
        </w:rPr>
        <w:t xml:space="preserve">采购人</w:t>
      </w:r>
      <w:r>
        <w:rPr>
          <w:rFonts w:hint="eastAsia" w:ascii="宋体" w:hAnsi="宋体" w:eastAsia="宋体" w:cs="宋体"/>
          <w:b/>
          <w:bCs/>
          <w:color w:val="auto"/>
          <w:sz w:val="24"/>
          <w:szCs w:val="22"/>
          <w:highlight w:val="none"/>
        </w:rPr>
        <w:t xml:space="preserve">将</w:t>
      </w:r>
      <w:r>
        <w:rPr>
          <w:rFonts w:hint="eastAsia" w:ascii="宋体" w:hAnsi="宋体" w:eastAsia="宋体" w:cs="宋体"/>
          <w:b/>
          <w:bCs/>
          <w:color w:val="auto"/>
          <w:sz w:val="24"/>
          <w:szCs w:val="22"/>
          <w:highlight w:val="none"/>
          <w:lang w:val="en-US" w:eastAsia="zh-CN"/>
        </w:rPr>
        <w:t xml:space="preserve">报洪泽区财政局</w:t>
      </w:r>
      <w:r>
        <w:rPr>
          <w:rFonts w:hint="eastAsia" w:ascii="宋体" w:hAnsi="宋体" w:eastAsia="宋体" w:cs="宋体"/>
          <w:b/>
          <w:bCs/>
          <w:color w:val="auto"/>
          <w:sz w:val="24"/>
          <w:szCs w:val="22"/>
          <w:highlight w:val="none"/>
        </w:rPr>
        <w:t xml:space="preserve">对其进行严肃处理。</w:t>
      </w:r>
      <w:r/>
    </w:p>
    <w:p>
      <w:pPr>
        <w:jc w:val="left"/>
        <w:spacing w:line="520" w:lineRule="exact"/>
        <w:widowControl/>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r>
      <w:r/>
    </w:p>
    <w:p>
      <w:pPr>
        <w:ind w:firstLine="1587"/>
        <w:jc w:val="center"/>
        <w:spacing w:line="520" w:lineRule="exac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587"/>
        <w:jc w:val="center"/>
        <w:spacing w:line="520" w:lineRule="exac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5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eastAsia="zh-CN"/>
        </w:rPr>
        <w:t xml:space="preserve">符合性审查</w:t>
      </w:r>
      <w:r>
        <w:rPr>
          <w:rFonts w:hint="eastAsia" w:ascii="宋体" w:hAnsi="宋体" w:eastAsia="宋体" w:cs="宋体"/>
          <w:b/>
          <w:bCs/>
          <w:color w:val="auto"/>
          <w:sz w:val="32"/>
          <w:szCs w:val="32"/>
          <w:highlight w:val="none"/>
        </w:rPr>
        <w:t xml:space="preserve">时投标人需提供的证明文件</w:t>
      </w:r>
      <w:r/>
    </w:p>
    <w:p>
      <w:pPr>
        <w:jc w:val="center"/>
        <w:spacing w:line="5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（按照要求提供，加盖投标人电子签章。）</w:t>
      </w:r>
      <w:r/>
    </w:p>
    <w:p>
      <w:pPr>
        <w:pStyle w:val="713"/>
        <w:ind w:left="-359" w:firstLine="562"/>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3"/>
        <w:ind w:left="-359" w:firstLine="562"/>
        <w:jc w:val="center"/>
        <w:spacing w:line="440" w:lineRule="exact"/>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lang w:val="en-US"/>
        </w:rPr>
      </w:r>
      <w:r/>
    </w:p>
    <w:p>
      <w:pPr>
        <w:pStyle w:val="713"/>
        <w:ind w:left="-359" w:firstLine="562"/>
        <w:jc w:val="center"/>
        <w:spacing w:line="440" w:lineRule="exact"/>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lang w:val="en-US"/>
        </w:rPr>
      </w:r>
      <w:r/>
    </w:p>
    <w:p>
      <w:pPr>
        <w:pStyle w:val="713"/>
        <w:ind w:left="-359" w:firstLine="562"/>
        <w:jc w:val="center"/>
        <w:spacing w:line="440" w:lineRule="exact"/>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lang w:val="en-US"/>
        </w:rPr>
      </w:r>
      <w:r/>
    </w:p>
    <w:p>
      <w:pPr>
        <w:pStyle w:val="713"/>
        <w:ind w:left="-359" w:firstLine="562"/>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、投标人认为有必要提供并说明的其它资料</w:t>
      </w:r>
      <w:r/>
    </w:p>
    <w:p>
      <w:pPr>
        <w:jc w:val="center"/>
        <w:spacing w:line="5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（格式由投标人自定，加盖投标人电子签章。）</w:t>
      </w:r>
      <w:r/>
    </w:p>
    <w:p>
      <w:pPr>
        <w:jc w:val="left"/>
        <w:spacing w:line="520" w:lineRule="exact"/>
        <w:widowControl/>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r>
      <w:r/>
    </w:p>
    <w:p>
      <w:pPr>
        <w:jc w:val="left"/>
        <w:widowControl/>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r>
      <w:r/>
    </w:p>
    <w:p>
      <w:pPr>
        <w:spacing w:line="440" w:lineRule="exact"/>
        <w:rPr>
          <w:rFonts w:hint="eastAsia" w:ascii="宋体" w:hAnsi="宋体" w:eastAsia="宋体" w:cs="宋体"/>
          <w:b/>
          <w:color w:val="auto"/>
          <w:sz w:val="32"/>
          <w:szCs w:val="22"/>
          <w:highlight w:val="none"/>
          <w:lang w:val="en-US" w:eastAsia="zh-CN"/>
        </w:rPr>
      </w:pPr>
      <w:r/>
      <w:bookmarkStart w:id="29" w:name="_Toc157775454"/>
      <w:r/>
      <w:r/>
    </w:p>
    <w:p>
      <w:pPr>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t xml:space="preserve">  </w:t>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t xml:space="preserve">  </w:t>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22"/>
          <w:highlight w:val="none"/>
          <w:lang w:val="en-US" w:eastAsia="zh-CN"/>
        </w:rPr>
      </w:pPr>
      <w:r>
        <w:rPr>
          <w:rFonts w:hint="eastAsia" w:ascii="宋体" w:hAnsi="宋体" w:eastAsia="宋体" w:cs="宋体"/>
          <w:b/>
          <w:color w:val="auto"/>
          <w:sz w:val="32"/>
          <w:szCs w:val="22"/>
          <w:highlight w:val="none"/>
          <w:lang w:val="en-US" w:eastAsia="zh-CN"/>
        </w:rPr>
      </w:r>
      <w:r/>
    </w:p>
    <w:p>
      <w:pPr>
        <w:ind w:firstLine="3521"/>
        <w:spacing w:line="44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3521"/>
        <w:spacing w:line="44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3521"/>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、示范格式</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示范格式一                 </w:t>
      </w:r>
      <w:r/>
    </w:p>
    <w:p>
      <w:pPr>
        <w:ind w:firstLine="2249"/>
        <w:spacing w:line="440" w:lineRule="exact"/>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r>
      <w:bookmarkEnd w:id="29"/>
      <w:r/>
    </w:p>
    <w:p>
      <w:pPr>
        <w:ind w:firstLine="3654"/>
        <w:spacing w:line="64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法定代表人资格证明</w:t>
      </w:r>
      <w:r/>
    </w:p>
    <w:p>
      <w:pP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p>
      <w:pP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w:t>
      </w:r>
      <w:r/>
    </w:p>
    <w:p>
      <w:pP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姓名:     性别:      年龄:      职务:</w:t>
      </w:r>
      <w:r/>
    </w:p>
    <w:p>
      <w:pPr>
        <w:ind w:left="1" w:firstLine="480"/>
        <w:spacing w:line="6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lang w:val="zh-CN"/>
        </w:rPr>
        <w:t xml:space="preserve">系</w:t>
      </w:r>
      <w:r>
        <w:rPr>
          <w:rFonts w:hint="eastAsia" w:ascii="宋体" w:hAnsi="宋体" w:eastAsia="宋体" w:cs="宋体"/>
          <w:color w:val="auto"/>
          <w:sz w:val="24"/>
          <w:szCs w:val="24"/>
          <w:highlight w:val="none"/>
          <w:u w:val="single"/>
          <w:lang w:val="zh-CN"/>
        </w:rPr>
        <w:t xml:space="preserve"> （投标人单位名称）</w:t>
      </w:r>
      <w:r>
        <w:rPr>
          <w:rFonts w:hint="eastAsia" w:ascii="宋体" w:hAnsi="宋体" w:eastAsia="宋体" w:cs="宋体"/>
          <w:color w:val="auto"/>
          <w:sz w:val="24"/>
          <w:szCs w:val="24"/>
          <w:highlight w:val="none"/>
          <w:lang w:val="zh-CN"/>
        </w:rPr>
        <w:t xml:space="preserve">的法定代表人。</w:t>
      </w:r>
      <w:r>
        <w:rPr>
          <w:rFonts w:hint="eastAsia" w:ascii="宋体" w:hAnsi="宋体" w:eastAsia="宋体" w:cs="宋体"/>
          <w:color w:val="auto"/>
          <w:sz w:val="24"/>
          <w:szCs w:val="22"/>
          <w:highlight w:val="none"/>
        </w:rPr>
        <w:t xml:space="preserve">为参与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项目，签署上述项目的投标文件、进行招标、签署合同和处理与之有关的一切事务。</w:t>
      </w:r>
      <w:r/>
    </w:p>
    <w:p>
      <w:pPr>
        <w:ind w:firstLine="280"/>
        <w:spacing w:line="6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280"/>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特此证明。</w:t>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投标人:</w:t>
      </w:r>
      <w:r>
        <w:rPr>
          <w:rFonts w:hint="eastAsia" w:ascii="宋体" w:hAnsi="宋体" w:eastAsia="宋体" w:cs="宋体"/>
          <w:color w:val="auto"/>
          <w:sz w:val="24"/>
          <w:szCs w:val="24"/>
          <w:highlight w:val="none"/>
          <w:u w:val="single"/>
          <w:lang w:val="zh-CN"/>
        </w:rPr>
        <w:t xml:space="preserve">    （电子签章）     </w:t>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pStyle w:val="865"/>
        <w:ind w:left="4500" w:right="560" w:hanging="1560"/>
        <w:spacing w:before="0" w:after="0"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p>
    <w:p>
      <w:pPr>
        <w:ind w:firstLine="480"/>
        <w:spacing w:line="6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rPr>
        <w:t xml:space="preserve">注:投标人法定代表人</w:t>
      </w:r>
      <w:r>
        <w:rPr>
          <w:rFonts w:hint="eastAsia" w:ascii="宋体" w:hAnsi="宋体" w:eastAsia="宋体" w:cs="宋体"/>
          <w:bCs/>
          <w:color w:val="auto"/>
          <w:sz w:val="24"/>
          <w:szCs w:val="24"/>
          <w:highlight w:val="none"/>
        </w:rPr>
        <w:t xml:space="preserve">参加投标的，必须附</w:t>
      </w:r>
      <w:r>
        <w:rPr>
          <w:rFonts w:hint="eastAsia" w:ascii="宋体" w:hAnsi="宋体" w:eastAsia="宋体" w:cs="宋体"/>
          <w:bCs/>
          <w:color w:val="auto"/>
          <w:sz w:val="24"/>
          <w:szCs w:val="22"/>
          <w:highlight w:val="none"/>
        </w:rPr>
        <w:t xml:space="preserve">法定代表人</w:t>
      </w:r>
      <w:r>
        <w:rPr>
          <w:rFonts w:hint="eastAsia" w:ascii="宋体" w:hAnsi="宋体" w:eastAsia="宋体" w:cs="宋体"/>
          <w:bCs/>
          <w:color w:val="auto"/>
          <w:sz w:val="24"/>
          <w:szCs w:val="24"/>
          <w:highlight w:val="none"/>
        </w:rPr>
        <w:t xml:space="preserve">身份证原件扫描件并加盖委托单位电子签章）。</w:t>
      </w:r>
      <w:r>
        <w:rPr>
          <w:rFonts w:hint="eastAsia" w:ascii="宋体" w:hAnsi="宋体" w:eastAsia="宋体" w:cs="宋体"/>
          <w:color w:val="auto"/>
          <w:sz w:val="24"/>
          <w:szCs w:val="24"/>
          <w:highlight w:val="none"/>
        </w:rPr>
        <w:t xml:space="preserve">法定代表人授权其他人参加投标的，仅需填写“授权委托书”。</w:t>
      </w:r>
      <w:r/>
    </w:p>
    <w:p>
      <w:pPr>
        <w:ind w:left="-359" w:firstLine="312"/>
        <w:spacing w:line="6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ind w:left="-359" w:firstLine="312"/>
        <w:spacing w:line="6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ind w:left="-359" w:firstLine="312"/>
        <w:spacing w:line="6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spacing w:line="6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2"/>
          <w:highlight w:val="none"/>
        </w:rPr>
        <w:t xml:space="preserve">示范格式二</w:t>
      </w:r>
      <w:r/>
    </w:p>
    <w:p>
      <w:pPr>
        <w:ind w:firstLine="2811"/>
        <w:spacing w:line="52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8"/>
          <w:szCs w:val="22"/>
          <w:highlight w:val="none"/>
        </w:rPr>
        <w:t xml:space="preserve">授权委托书</w:t>
      </w:r>
      <w:r/>
    </w:p>
    <w:p>
      <w:pPr>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本授权书宣告:</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代表我公司参加</w:t>
      </w:r>
      <w:r>
        <w:rPr>
          <w:rFonts w:hint="eastAsia" w:ascii="宋体" w:hAnsi="宋体" w:eastAsia="宋体" w:cs="宋体"/>
          <w:color w:val="auto"/>
          <w:sz w:val="24"/>
          <w:szCs w:val="24"/>
          <w:highlight w:val="none"/>
          <w:lang w:eastAsia="zh-CN"/>
        </w:rPr>
        <w:t xml:space="preserve">江苏嘉华工程咨询有限公司</w:t>
      </w:r>
      <w:r>
        <w:rPr>
          <w:rFonts w:hint="eastAsia" w:ascii="宋体" w:hAnsi="宋体" w:eastAsia="宋体" w:cs="宋体"/>
          <w:color w:val="auto"/>
          <w:sz w:val="24"/>
          <w:szCs w:val="24"/>
          <w:highlight w:val="none"/>
        </w:rPr>
        <w:t xml:space="preserve">组织的（项目编号:      ）</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color w:val="auto"/>
          <w:sz w:val="24"/>
          <w:szCs w:val="24"/>
          <w:highlight w:val="none"/>
        </w:rPr>
        <w:t xml:space="preserve">采购项目的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采购活动，受托人有权在该招标活动中，以我单位的名义签署投标函和投标文件，与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协商、澄清、解释，签订合同书并执行一切与此有关的事项。</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受托人在办理上述事宜过程中以其自己的名义所签署的所有文件我公司均予以承认。受托人无转委托权。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委托期限:至上述事宜处理完毕止。</w:t>
      </w:r>
      <w:r/>
    </w:p>
    <w:p>
      <w:pPr>
        <w:ind w:firstLine="60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u w:val="single"/>
          <w:lang w:val="zh-CN"/>
        </w:rPr>
        <w:t xml:space="preserve">     （电子签章）    </w:t>
      </w:r>
      <w:r/>
    </w:p>
    <w:p>
      <w:pPr>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ind w:left="-359" w:firstLine="470"/>
        <w:spacing w:line="52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2"/>
          <w:highlight w:val="none"/>
        </w:rPr>
        <w:t xml:space="preserve">注:投标人委托</w:t>
      </w:r>
      <w:r>
        <w:rPr>
          <w:rFonts w:hint="eastAsia" w:ascii="宋体" w:hAnsi="宋体" w:eastAsia="宋体" w:cs="宋体"/>
          <w:bCs/>
          <w:color w:val="auto"/>
          <w:sz w:val="24"/>
          <w:szCs w:val="24"/>
          <w:highlight w:val="none"/>
        </w:rPr>
        <w:t xml:space="preserve">受托人参加投标的，必须附受托人身份证原件</w:t>
      </w:r>
      <w:r>
        <w:rPr>
          <w:rFonts w:hint="eastAsia" w:ascii="宋体" w:hAnsi="宋体" w:eastAsia="宋体" w:cs="宋体"/>
          <w:color w:val="auto"/>
          <w:sz w:val="24"/>
          <w:szCs w:val="24"/>
          <w:highlight w:val="none"/>
        </w:rPr>
        <w:t xml:space="preserve">扫描</w:t>
      </w:r>
      <w:r>
        <w:rPr>
          <w:rFonts w:hint="eastAsia" w:ascii="宋体" w:hAnsi="宋体" w:eastAsia="宋体" w:cs="宋体"/>
          <w:bCs/>
          <w:color w:val="auto"/>
          <w:sz w:val="24"/>
          <w:szCs w:val="24"/>
          <w:highlight w:val="none"/>
        </w:rPr>
        <w:t xml:space="preserve">件并加盖委托单位电子签章。</w:t>
      </w:r>
      <w:r>
        <w:rPr>
          <w:rFonts w:hint="eastAsia" w:ascii="宋体" w:hAnsi="宋体" w:eastAsia="宋体" w:cs="宋体"/>
          <w:color w:val="auto"/>
          <w:sz w:val="24"/>
          <w:szCs w:val="24"/>
          <w:highlight w:val="none"/>
        </w:rPr>
        <w:t xml:space="preserve">法定代表人直接参加投标的，仅需填写“法定代表人资格证明”。</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359" w:firstLine="312"/>
        <w:spacing w:line="6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spacing w:line="6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spacing w:line="6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 xml:space="preserve">示范格式三</w:t>
      </w:r>
      <w:r/>
    </w:p>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30"/>
          <w:szCs w:val="30"/>
          <w:highlight w:val="none"/>
          <w:lang w:val="en-US" w:eastAsia="zh-CN"/>
        </w:rPr>
        <w:t xml:space="preserve">关于</w:t>
      </w:r>
      <w:r>
        <w:rPr>
          <w:rFonts w:hint="eastAsia" w:ascii="宋体" w:hAnsi="宋体" w:eastAsia="宋体" w:cs="宋体"/>
          <w:b/>
          <w:bCs/>
          <w:color w:val="auto"/>
          <w:sz w:val="30"/>
          <w:szCs w:val="30"/>
          <w:highlight w:val="none"/>
        </w:rPr>
        <w:t xml:space="preserve">《政府采购法》第二十二条规定</w:t>
      </w:r>
      <w:r>
        <w:rPr>
          <w:rFonts w:hint="eastAsia" w:ascii="宋体" w:hAnsi="宋体" w:eastAsia="宋体" w:cs="宋体"/>
          <w:b/>
          <w:bCs/>
          <w:color w:val="auto"/>
          <w:sz w:val="30"/>
          <w:szCs w:val="30"/>
          <w:highlight w:val="none"/>
          <w:lang w:val="en-US" w:eastAsia="zh-CN"/>
        </w:rPr>
        <w:t xml:space="preserve">的声明函</w:t>
      </w:r>
      <w:r/>
    </w:p>
    <w:p>
      <w:pPr>
        <w:spacing w:line="6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6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致：采购人</w:t>
      </w:r>
      <w:r/>
    </w:p>
    <w:p>
      <w:pPr>
        <w:ind w:firstLine="48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我方在（项目名称及项目编号）的投标过程中，做如下承诺：</w:t>
      </w:r>
      <w:r/>
    </w:p>
    <w:p>
      <w:pPr>
        <w:numPr>
          <w:ilvl w:val="0"/>
          <w:numId w:val="13"/>
        </w:numPr>
        <w:ind w:firstLine="480"/>
        <w:spacing w:line="48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我单位</w:t>
      </w:r>
      <w:r>
        <w:rPr>
          <w:rFonts w:hint="eastAsia" w:ascii="宋体" w:hAnsi="宋体" w:eastAsia="宋体" w:cs="宋体"/>
          <w:color w:val="auto"/>
          <w:sz w:val="24"/>
          <w:highlight w:val="none"/>
        </w:rPr>
        <w:t xml:space="preserve">具有独立承担民事责任的能力；</w:t>
      </w:r>
      <w:r/>
    </w:p>
    <w:p>
      <w:pPr>
        <w:numPr>
          <w:ilvl w:val="0"/>
          <w:numId w:val="13"/>
        </w:numPr>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我单位具有良好的商业信誉和健全的财务会计制度；</w:t>
      </w:r>
      <w:r/>
    </w:p>
    <w:p>
      <w:pPr>
        <w:numPr>
          <w:ilvl w:val="0"/>
          <w:numId w:val="13"/>
        </w:numPr>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我单位具有履行合同所必需的设备和专业技术能力；</w:t>
      </w:r>
      <w:r/>
    </w:p>
    <w:p>
      <w:pPr>
        <w:numPr>
          <w:ilvl w:val="0"/>
          <w:numId w:val="13"/>
        </w:numPr>
        <w:ind w:firstLine="480"/>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我单位有依法缴纳税收和社会保障资金的良好记录；</w:t>
      </w:r>
      <w:r/>
    </w:p>
    <w:p>
      <w:pPr>
        <w:numPr>
          <w:ilvl w:val="0"/>
          <w:numId w:val="0"/>
        </w:numPr>
        <w:ind w:firstLine="480"/>
        <w:spacing w:line="48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五、我单位参加政府采购活动前三年内，在经营活动中没有重大违法记录；</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我方保证上述信息的真实和准确，并愿意承担因我方就此弄虚作假所引起的一切法律后果，并自愿接受相关监管部门作出的任何处罚。</w:t>
      </w:r>
      <w:r/>
    </w:p>
    <w:p>
      <w:pPr>
        <w:ind w:firstLine="480"/>
        <w:spacing w:line="60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特此</w:t>
      </w:r>
      <w:r>
        <w:rPr>
          <w:rFonts w:hint="eastAsia" w:ascii="宋体" w:hAnsi="宋体" w:eastAsia="宋体" w:cs="宋体"/>
          <w:bCs/>
          <w:color w:val="auto"/>
          <w:sz w:val="24"/>
          <w:highlight w:val="none"/>
          <w:lang w:val="en-US" w:eastAsia="zh-CN"/>
        </w:rPr>
        <w:t xml:space="preserve">声明</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投标人（单位公章）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5280"/>
        <w:jc w:val="left"/>
        <w:spacing w:line="7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法定代表人或委托受托人签字：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       年      月    日</w:t>
      </w:r>
      <w:r/>
    </w:p>
    <w:p>
      <w:pPr>
        <w:jc w:val="center"/>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ind w:firstLine="551"/>
        <w:jc w:val="left"/>
        <w:spacing w:line="7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72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jc w:val="left"/>
        <w:spacing w:line="72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2"/>
          <w:highlight w:val="none"/>
        </w:rPr>
        <w:t xml:space="preserve">示范格式</w:t>
      </w:r>
      <w:r>
        <w:rPr>
          <w:rFonts w:hint="eastAsia" w:ascii="宋体" w:hAnsi="宋体" w:eastAsia="宋体" w:cs="宋体"/>
          <w:b/>
          <w:color w:val="auto"/>
          <w:sz w:val="28"/>
          <w:szCs w:val="22"/>
          <w:highlight w:val="none"/>
          <w:lang w:val="en-US" w:eastAsia="zh-CN"/>
        </w:rPr>
        <w:t xml:space="preserve">四</w:t>
      </w:r>
      <w:r/>
    </w:p>
    <w:p>
      <w:pPr>
        <w:jc w:val="center"/>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承   诺  书</w:t>
      </w:r>
      <w:r/>
    </w:p>
    <w:p>
      <w:pPr>
        <w:jc w:val="center"/>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 </w:t>
      </w:r>
      <w:r/>
    </w:p>
    <w:p>
      <w:pPr>
        <w:spacing w:line="48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致：（采购人）</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我方在（项目名称及项目编号：）的投标过程中，做如下承诺：</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一、我单位负责人与其他参与本项目投标的单位负责人不为同一人、不存在直接控股、管理关系；</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二、我单位没有为本次采购项目提供整体设计、规范编制或者项目管理、监理、检测等服务；</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我方保证上述信息的真实和准确，并愿意承担因我方就此弄虚作假所引起的一切法律后果，并自愿接受相关监管部门作出的任何处罚。</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60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投标人（单位公章）：                            </w:t>
      </w:r>
      <w:r/>
    </w:p>
    <w:p>
      <w:pPr>
        <w:ind w:firstLine="360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                  </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ind w:firstLine="480"/>
        <w:jc w:val="left"/>
        <w:spacing w:line="7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8"/>
        <w:ind w:firstLine="0"/>
        <w:spacing w:line="6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688"/>
        <w:ind w:firstLine="0"/>
        <w:spacing w:line="6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688"/>
        <w:ind w:firstLine="0"/>
        <w:spacing w:line="64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示范格式</w:t>
      </w:r>
      <w:r>
        <w:rPr>
          <w:rFonts w:hint="eastAsia" w:ascii="宋体" w:hAnsi="宋体" w:eastAsia="宋体" w:cs="宋体"/>
          <w:b/>
          <w:color w:val="auto"/>
          <w:sz w:val="28"/>
          <w:szCs w:val="28"/>
          <w:highlight w:val="none"/>
          <w:lang w:val="en-US" w:eastAsia="zh-CN"/>
        </w:rPr>
        <w:t xml:space="preserve">五</w:t>
      </w:r>
      <w:r/>
    </w:p>
    <w:p>
      <w:pPr>
        <w:jc w:val="center"/>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val="en-US" w:eastAsia="zh-CN"/>
        </w:rPr>
        <w:t xml:space="preserve">中小企业声明函</w:t>
      </w:r>
      <w:r/>
    </w:p>
    <w:p>
      <w:pPr>
        <w:pStyle w:val="688"/>
        <w:ind w:firstLine="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pStyle w:val="688"/>
        <w:ind w:firstLine="560"/>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w:t>
      </w:r>
      <w:r>
        <w:rPr>
          <w:rFonts w:hint="eastAsia" w:ascii="宋体" w:hAnsi="宋体" w:eastAsia="宋体" w:cs="宋体"/>
          <w:b w:val="0"/>
          <w:bCs/>
          <w:color w:val="auto"/>
          <w:sz w:val="24"/>
          <w:szCs w:val="24"/>
          <w:highlight w:val="none"/>
        </w:rPr>
        <w:t xml:space="preserve">动，提供的货物全部由符合政策要求的</w:t>
      </w:r>
      <w:r>
        <w:rPr>
          <w:rFonts w:hint="eastAsia" w:ascii="宋体" w:hAnsi="宋体" w:eastAsia="宋体" w:cs="宋体"/>
          <w:b/>
          <w:bCs w:val="0"/>
          <w:color w:val="auto"/>
          <w:sz w:val="24"/>
          <w:szCs w:val="24"/>
          <w:highlight w:val="none"/>
        </w:rPr>
        <w:t xml:space="preserve">中小企业制造</w:t>
      </w:r>
      <w:r>
        <w:rPr>
          <w:rFonts w:hint="eastAsia" w:ascii="宋体" w:hAnsi="宋体" w:eastAsia="宋体" w:cs="宋体"/>
          <w:b w:val="0"/>
          <w:bCs/>
          <w:color w:val="auto"/>
          <w:sz w:val="24"/>
          <w:szCs w:val="24"/>
          <w:highlight w:val="none"/>
        </w:rPr>
        <w:t xml:space="preserve">。相关企业的具体情况如下： </w:t>
      </w:r>
      <w:r/>
    </w:p>
    <w:p>
      <w:pPr>
        <w:pStyle w:val="688"/>
        <w:ind w:firstLine="56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行业；制造商为（企业名称），从业人员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 </w:t>
      </w:r>
      <w:r/>
    </w:p>
    <w:p>
      <w:pPr>
        <w:pStyle w:val="688"/>
        <w:ind w:firstLine="56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w:t>
      </w:r>
      <w:r>
        <w:rPr>
          <w:rFonts w:hint="eastAsia" w:ascii="宋体" w:hAnsi="宋体" w:eastAsia="宋体" w:cs="宋体"/>
          <w:bCs/>
          <w:color w:val="auto"/>
          <w:sz w:val="24"/>
          <w:szCs w:val="24"/>
          <w:highlight w:val="none"/>
        </w:rPr>
        <w:t xml:space="preserve"> ，属于（采购文件中明确的所属行业）行业；制造商为（企业名称），从业人员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 </w:t>
      </w:r>
      <w:r/>
    </w:p>
    <w:p>
      <w:pPr>
        <w:pStyle w:val="688"/>
        <w:ind w:firstLine="56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pStyle w:val="688"/>
        <w:ind w:firstLine="56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pStyle w:val="688"/>
        <w:ind w:firstLine="56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 </w:t>
      </w:r>
      <w:r/>
    </w:p>
    <w:p>
      <w:pPr>
        <w:pStyle w:val="688"/>
        <w:ind w:firstLine="560"/>
        <w:spacing w:line="6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w:t>
      </w:r>
      <w:r/>
    </w:p>
    <w:p>
      <w:pPr>
        <w:pStyle w:val="688"/>
        <w:ind w:firstLine="3753"/>
        <w:spacing w:line="6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        （电子签章）     </w:t>
      </w:r>
      <w:r/>
    </w:p>
    <w:p>
      <w:pPr>
        <w:pStyle w:val="688"/>
        <w:ind w:firstLine="560"/>
        <w:spacing w:line="6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法定代表人:（电子签章或电子签字）</w:t>
      </w:r>
      <w:r/>
    </w:p>
    <w:p>
      <w:pPr>
        <w:pStyle w:val="688"/>
        <w:ind w:firstLine="560"/>
        <w:spacing w:line="6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日期</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年      月      日</w:t>
      </w:r>
      <w:r/>
      <w:r>
        <w:rPr>
          <w:rFonts w:hint="eastAsia" w:ascii="宋体" w:hAnsi="宋体" w:eastAsia="宋体" w:cs="宋体"/>
          <w:bCs/>
          <w:color w:val="auto"/>
          <w:sz w:val="22"/>
          <w:szCs w:val="22"/>
          <w:highlight w:val="none"/>
          <w:lang w:val="en-US" w:eastAsia="zh-CN"/>
        </w:rPr>
      </w:r>
      <w:r/>
      <w:r>
        <w:rPr>
          <w:rFonts w:hint="eastAsia" w:ascii="宋体" w:hAnsi="宋体" w:eastAsia="宋体" w:cs="宋体"/>
          <w:bCs/>
          <w:color w:val="auto"/>
          <w:sz w:val="24"/>
          <w:szCs w:val="24"/>
          <w:highlight w:val="none"/>
          <w:lang w:val="zh-CN"/>
        </w:rPr>
      </w:r>
    </w:p>
    <w:p>
      <w:pPr>
        <w:pStyle w:val="688"/>
        <w:ind w:firstLine="0"/>
        <w:spacing w:line="600" w:lineRule="exac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注：</w:t>
      </w:r>
      <w:r>
        <w:rPr>
          <w:rFonts w:hint="eastAsia" w:ascii="宋体" w:hAnsi="宋体" w:eastAsia="宋体" w:cs="宋体"/>
          <w:b/>
          <w:bCs w:val="0"/>
          <w:color w:val="auto"/>
          <w:sz w:val="22"/>
          <w:szCs w:val="22"/>
          <w:highlight w:val="none"/>
          <w:lang w:val="en-US" w:eastAsia="zh-CN"/>
        </w:rPr>
        <w:t xml:space="preserve">1、采购需求中所列产品（30项），须全部列明相关制造商。</w:t>
      </w:r>
      <w:r/>
    </w:p>
    <w:p>
      <w:pPr>
        <w:pStyle w:val="688"/>
        <w:ind w:firstLine="440"/>
        <w:spacing w:line="600" w:lineRule="exac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2、从业人员、营业收入、资产总额填报上一年度数据，无上一年度数据的新成立企业可不填报。</w:t>
      </w:r>
      <w:r/>
    </w:p>
    <w:p>
      <w:pPr>
        <w:pStyle w:val="688"/>
        <w:ind w:firstLine="0"/>
        <w:jc w:val="left"/>
        <w:pageBreakBefore/>
        <w:spacing w:line="52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示范格式</w:t>
      </w:r>
      <w:r>
        <w:rPr>
          <w:rFonts w:hint="eastAsia" w:ascii="宋体" w:hAnsi="宋体" w:eastAsia="宋体" w:cs="宋体"/>
          <w:b/>
          <w:color w:val="auto"/>
          <w:sz w:val="28"/>
          <w:szCs w:val="28"/>
          <w:highlight w:val="none"/>
          <w:lang w:val="en-US" w:eastAsia="zh-CN"/>
        </w:rPr>
        <w:t xml:space="preserve">六</w:t>
      </w:r>
      <w:r/>
    </w:p>
    <w:p>
      <w:pPr>
        <w:jc w:val="center"/>
        <w:spacing w:line="64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8"/>
          <w:szCs w:val="28"/>
          <w:highlight w:val="none"/>
        </w:rPr>
        <w:t xml:space="preserve">残疾人福利性单位声明函</w:t>
      </w:r>
      <w:r/>
    </w:p>
    <w:p>
      <w:pPr>
        <w:pStyle w:val="688"/>
        <w:ind w:firstLine="0"/>
        <w:spacing w:line="6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pStyle w:val="688"/>
        <w:ind w:firstLine="560"/>
        <w:spacing w:line="6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88"/>
        <w:ind w:firstLine="560"/>
        <w:spacing w:line="6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1、根据《财政部 民政部 中国残疾人联合会关于促进残疾人就业政府采购政策的通知》（财库〔2017〕141 号）规定的划分标准，本公司为残疾人福利性企业。</w:t>
      </w:r>
      <w:r/>
    </w:p>
    <w:p>
      <w:pPr>
        <w:pStyle w:val="688"/>
        <w:ind w:firstLine="560"/>
        <w:spacing w:line="6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88"/>
        <w:ind w:firstLine="560"/>
        <w:spacing w:line="6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本公司对上述声明的真实性负责。如有虚假，将依法承担相应责任。</w:t>
      </w:r>
      <w:r/>
    </w:p>
    <w:p>
      <w:pPr>
        <w:pStyle w:val="688"/>
        <w:ind w:firstLine="560"/>
        <w:spacing w:line="6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投标人:</w:t>
      </w:r>
      <w:r>
        <w:rPr>
          <w:rFonts w:hint="eastAsia" w:ascii="宋体" w:hAnsi="宋体" w:eastAsia="宋体" w:cs="宋体"/>
          <w:color w:val="auto"/>
          <w:sz w:val="24"/>
          <w:szCs w:val="24"/>
          <w:highlight w:val="none"/>
          <w:u w:val="single"/>
          <w:lang w:val="zh-CN"/>
        </w:rPr>
        <w:t xml:space="preserve">        （电子签章）     </w:t>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2"/>
          <w:highlight w:val="none"/>
          <w:u w:val="single"/>
        </w:rPr>
        <w:t xml:space="preserve">（电子签章或电子签字）</w:t>
      </w:r>
      <w:r/>
    </w:p>
    <w:p>
      <w:pPr>
        <w:jc w:val="center"/>
        <w:spacing w:line="6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p>
    <w:p>
      <w:pPr>
        <w:ind w:firstLine="484"/>
        <w:spacing w:line="6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t xml:space="preserve">非</w:t>
      </w:r>
      <w:r>
        <w:rPr>
          <w:rFonts w:hint="eastAsia" w:ascii="宋体" w:hAnsi="宋体" w:eastAsia="宋体" w:cs="宋体"/>
          <w:color w:val="auto"/>
          <w:sz w:val="24"/>
          <w:szCs w:val="22"/>
          <w:highlight w:val="none"/>
        </w:rPr>
        <w:t xml:space="preserve">残疾人福利性单位不</w:t>
      </w:r>
      <w:r>
        <w:rPr>
          <w:rFonts w:hint="eastAsia" w:ascii="宋体" w:hAnsi="宋体" w:eastAsia="宋体" w:cs="宋体"/>
          <w:color w:val="auto"/>
          <w:sz w:val="24"/>
          <w:szCs w:val="24"/>
          <w:highlight w:val="none"/>
        </w:rPr>
        <w:t xml:space="preserve">需提供此函。</w:t>
      </w:r>
      <w:r/>
    </w:p>
    <w:p>
      <w:pPr>
        <w:jc w:val="center"/>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695"/>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行楷">
    <w:panose1 w:val="02010800040101010101"/>
  </w:font>
  <w:font w:name="Symbol">
    <w:panose1 w:val="05050102010706020507"/>
  </w:font>
  <w:font w:name="Times">
    <w:panose1 w:val="02020603050405020304"/>
  </w:font>
  <w:font w:name="Tahoma">
    <w:panose1 w:val="020B0604030504040204"/>
  </w:font>
  <w:font w:name="长城仿宋">
    <w:panose1 w:val="020B0503020202020204"/>
  </w:font>
  <w:font w:name="Constantia">
    <w:panose1 w:val="02030602050306030303"/>
  </w:font>
  <w:font w:name="Wingdings">
    <w:panose1 w:val="05000000000000000000"/>
  </w:font>
  <w:font w:name="华文楷体">
    <w:panose1 w:val="02010600040101010101"/>
  </w:font>
  <w:font w:name="FZXiHeiI-Z08S">
    <w:panose1 w:val="020B0503020202020204"/>
  </w:font>
  <w:font w:name="Courier New">
    <w:panose1 w:val="02070309020205020404"/>
  </w:font>
  <w:font w:name="华文彩云">
    <w:panose1 w:val="02010800040101010101"/>
  </w:font>
  <w:font w:name="楷体_GB2312">
    <w:panose1 w:val="02010609060101010101"/>
  </w:font>
  <w:font w:name="微软雅黑">
    <w:panose1 w:val="020B0503020204020204"/>
  </w:font>
  <w:font w:name="Calibri">
    <w:panose1 w:val="020F0502020204030204"/>
  </w:font>
  <w:font w:name="等线 Light">
    <w:panose1 w:val="02010600030101010101"/>
  </w:font>
  <w:font w:name="仿宋">
    <w:panose1 w:val="02010609060101010101"/>
  </w:font>
  <w:font w:name="等线">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Fonts w:hint="eastAsia"/>
      </w:rPr>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rPr>
                              <w:rStyle w:val="725"/>
                            </w:rPr>
                          </w:pPr>
                          <w:r>
                            <w:fldChar w:fldCharType="begin"/>
                          </w:r>
                          <w:r>
                            <w:rPr>
                              <w:rStyle w:val="725"/>
                            </w:rPr>
                            <w:instrText xml:space="preserve">PAGE  </w:instrText>
                          </w:r>
                          <w:r>
                            <w:fldChar w:fldCharType="separate"/>
                          </w:r>
                          <w:r>
                            <w:rPr>
                              <w:rStyle w:val="725"/>
                            </w:rP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rPr>
                        <w:rStyle w:val="725"/>
                      </w:rPr>
                    </w:pPr>
                    <w:r>
                      <w:fldChar w:fldCharType="begin"/>
                    </w:r>
                    <w:r>
                      <w:rPr>
                        <w:rStyle w:val="725"/>
                      </w:rPr>
                      <w:instrText xml:space="preserve">PAGE  </w:instrText>
                    </w:r>
                    <w:r>
                      <w:fldChar w:fldCharType="separate"/>
                    </w:r>
                    <w:r>
                      <w:rPr>
                        <w:rStyle w:val="725"/>
                      </w:rP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firstLine="810"/>
      <w:jc w:val="both"/>
      <w:rPr>
        <w:rFonts w:hint="eastAsia" w:ascii="华文行楷" w:hAnsi="黑体" w:eastAsia="华文行楷"/>
        <w:sz w:val="28"/>
        <w:szCs w:val="28"/>
      </w:rPr>
    </w:pPr>
    <w:r>
      <w:rPr>
        <w:rFonts w:hint="eastAsia"/>
        <w:color w:val="000000"/>
      </w:rPr>
      <w:t xml:space="preserve">    </w:t>
    </w:r>
    <w:r>
      <w:rPr>
        <w:rFonts w:hint="eastAsia"/>
        <w:color w:val="000000"/>
        <w:lang w:val="en-US" w:eastAsia="zh-CN"/>
      </w:rPr>
      <w:t xml:space="preserve">    </w:t>
    </w:r>
    <w:r>
      <w:rPr>
        <w:rFonts w:hint="eastAsia" w:ascii="华文行楷" w:hAnsi="黑体" w:eastAsia="华文行楷"/>
        <w:color w:val="000000"/>
        <w:sz w:val="28"/>
        <w:szCs w:val="28"/>
      </w:rPr>
      <w:t xml:space="preserve">洪泽区政府采购“全流程不见面交易”</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05"/>
      <w:isLgl w:val="false"/>
      <w:suff w:val="nothing"/>
      <w:lvlText w:val="第%1章"/>
      <w:lvlJc w:val="left"/>
      <w:pPr>
        <w:ind w:left="640" w:firstLine="0"/>
      </w:pPr>
      <w:rPr>
        <w:rFonts w:hint="eastAsia"/>
      </w:rPr>
    </w:lvl>
    <w:lvl w:ilvl="1">
      <w:start w:val="1"/>
      <w:numFmt w:val="none"/>
      <w:isLgl w:val="false"/>
      <w:suff w:val="nothing"/>
      <w:lvlText w:val=""/>
      <w:lvlJc w:val="left"/>
      <w:pPr>
        <w:ind w:left="640" w:firstLine="0"/>
      </w:pPr>
      <w:rPr>
        <w:rFonts w:hint="eastAsia"/>
      </w:rPr>
    </w:lvl>
    <w:lvl w:ilvl="2">
      <w:start w:val="1"/>
      <w:numFmt w:val="none"/>
      <w:isLgl w:val="false"/>
      <w:suff w:val="nothing"/>
      <w:lvlText w:val=""/>
      <w:lvlJc w:val="left"/>
      <w:pPr>
        <w:ind w:left="640" w:firstLine="0"/>
      </w:pPr>
      <w:rPr>
        <w:rFonts w:hint="eastAsia"/>
      </w:rPr>
    </w:lvl>
    <w:lvl w:ilvl="3">
      <w:start w:val="1"/>
      <w:numFmt w:val="none"/>
      <w:isLgl w:val="false"/>
      <w:suff w:val="nothing"/>
      <w:lvlText w:val=""/>
      <w:lvlJc w:val="left"/>
      <w:pPr>
        <w:ind w:left="640" w:firstLine="0"/>
      </w:pPr>
      <w:rPr>
        <w:rFonts w:hint="eastAsia"/>
      </w:rPr>
    </w:lvl>
    <w:lvl w:ilvl="4">
      <w:start w:val="1"/>
      <w:numFmt w:val="none"/>
      <w:isLgl w:val="false"/>
      <w:suff w:val="nothing"/>
      <w:lvlText w:val=""/>
      <w:lvlJc w:val="left"/>
      <w:pPr>
        <w:ind w:left="640" w:firstLine="0"/>
      </w:pPr>
      <w:rPr>
        <w:rFonts w:hint="eastAsia"/>
      </w:rPr>
    </w:lvl>
    <w:lvl w:ilvl="5">
      <w:start w:val="1"/>
      <w:numFmt w:val="none"/>
      <w:isLgl w:val="false"/>
      <w:suff w:val="nothing"/>
      <w:lvlText w:val=""/>
      <w:lvlJc w:val="left"/>
      <w:pPr>
        <w:ind w:left="640" w:firstLine="0"/>
      </w:pPr>
      <w:rPr>
        <w:rFonts w:hint="eastAsia"/>
      </w:rPr>
    </w:lvl>
    <w:lvl w:ilvl="6">
      <w:start w:val="1"/>
      <w:numFmt w:val="none"/>
      <w:isLgl w:val="false"/>
      <w:suff w:val="nothing"/>
      <w:lvlText w:val=""/>
      <w:lvlJc w:val="left"/>
      <w:pPr>
        <w:ind w:left="640" w:firstLine="0"/>
      </w:pPr>
      <w:rPr>
        <w:rFonts w:hint="eastAsia"/>
      </w:rPr>
    </w:lvl>
    <w:lvl w:ilvl="7">
      <w:start w:val="1"/>
      <w:numFmt w:val="none"/>
      <w:isLgl w:val="false"/>
      <w:suff w:val="nothing"/>
      <w:lvlText w:val=""/>
      <w:lvlJc w:val="left"/>
      <w:pPr>
        <w:ind w:left="640" w:firstLine="0"/>
      </w:pPr>
      <w:rPr>
        <w:rFonts w:hint="eastAsia"/>
      </w:rPr>
    </w:lvl>
    <w:lvl w:ilvl="8">
      <w:start w:val="1"/>
      <w:numFmt w:val="none"/>
      <w:isLgl w:val="false"/>
      <w:suff w:val="nothing"/>
      <w:lvlText w:val=""/>
      <w:lvlJc w:val="left"/>
      <w:pPr>
        <w:ind w:left="64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59"/>
      <w:isLgl w:val="false"/>
      <w:suff w:val="tab"/>
      <w:lvlText w:val="(%1)"/>
      <w:lvlJc w:val="left"/>
      <w:pPr>
        <w:ind w:left="480" w:hanging="480"/>
      </w:pPr>
      <w:rPr>
        <w:rFonts w:hint="eastAsia" w:ascii="宋体" w:hAnsi="宋体" w:eastAsia="宋体" w:cs="Times New Roman"/>
      </w:rPr>
    </w:lvl>
    <w:lvl w:ilvl="1">
      <w:start w:val="1"/>
      <w:numFmt w:val="lowerLetter"/>
      <w:isLgl w:val="false"/>
      <w:suff w:val="tab"/>
      <w:lvlText w:val="%2)"/>
      <w:lvlJc w:val="left"/>
      <w:pPr>
        <w:ind w:left="960" w:hanging="480"/>
      </w:pPr>
      <w:rPr>
        <w:rFonts w:cs="Times New Roman"/>
      </w:rPr>
    </w:lvl>
    <w:lvl w:ilvl="2">
      <w:start w:val="1"/>
      <w:numFmt w:val="lowerRoman"/>
      <w:isLgl w:val="false"/>
      <w:suff w:val="tab"/>
      <w:lvlText w:val="%3."/>
      <w:lvlJc w:val="right"/>
      <w:pPr>
        <w:ind w:left="1440" w:hanging="480"/>
      </w:pPr>
      <w:rPr>
        <w:rFonts w:cs="Times New Roman"/>
      </w:rPr>
    </w:lvl>
    <w:lvl w:ilvl="3">
      <w:start w:val="1"/>
      <w:numFmt w:val="decimal"/>
      <w:isLgl w:val="false"/>
      <w:suff w:val="tab"/>
      <w:lvlText w:val="%4."/>
      <w:lvlJc w:val="left"/>
      <w:pPr>
        <w:ind w:left="1920" w:hanging="480"/>
      </w:pPr>
      <w:rPr>
        <w:rFonts w:cs="Times New Roman"/>
      </w:rPr>
    </w:lvl>
    <w:lvl w:ilvl="4">
      <w:start w:val="1"/>
      <w:numFmt w:val="lowerLetter"/>
      <w:isLgl w:val="false"/>
      <w:suff w:val="tab"/>
      <w:lvlText w:val="%5)"/>
      <w:lvlJc w:val="left"/>
      <w:pPr>
        <w:ind w:left="2400" w:hanging="480"/>
      </w:pPr>
      <w:rPr>
        <w:rFonts w:cs="Times New Roman"/>
      </w:rPr>
    </w:lvl>
    <w:lvl w:ilvl="5">
      <w:start w:val="1"/>
      <w:numFmt w:val="lowerRoman"/>
      <w:isLgl w:val="false"/>
      <w:suff w:val="tab"/>
      <w:lvlText w:val="%6."/>
      <w:lvlJc w:val="right"/>
      <w:pPr>
        <w:ind w:left="2880" w:hanging="480"/>
      </w:pPr>
      <w:rPr>
        <w:rFonts w:cs="Times New Roman"/>
      </w:rPr>
    </w:lvl>
    <w:lvl w:ilvl="6">
      <w:start w:val="1"/>
      <w:numFmt w:val="decimal"/>
      <w:isLgl w:val="false"/>
      <w:suff w:val="tab"/>
      <w:lvlText w:val="%7."/>
      <w:lvlJc w:val="left"/>
      <w:pPr>
        <w:ind w:left="3360" w:hanging="480"/>
      </w:pPr>
      <w:rPr>
        <w:rFonts w:cs="Times New Roman"/>
      </w:rPr>
    </w:lvl>
    <w:lvl w:ilvl="7">
      <w:start w:val="1"/>
      <w:numFmt w:val="lowerLetter"/>
      <w:isLgl w:val="false"/>
      <w:suff w:val="tab"/>
      <w:lvlText w:val="%8)"/>
      <w:lvlJc w:val="left"/>
      <w:pPr>
        <w:ind w:left="3840" w:hanging="480"/>
      </w:pPr>
      <w:rPr>
        <w:rFonts w:cs="Times New Roman"/>
      </w:rPr>
    </w:lvl>
    <w:lvl w:ilvl="8">
      <w:start w:val="1"/>
      <w:numFmt w:val="lowerRoman"/>
      <w:isLgl w:val="false"/>
      <w:suff w:val="tab"/>
      <w:lvlText w:val="%9."/>
      <w:lvlJc w:val="right"/>
      <w:pPr>
        <w:ind w:left="4320" w:hanging="480"/>
      </w:pPr>
      <w:rPr>
        <w:rFonts w:cs="Times New Roman"/>
      </w:rPr>
    </w:lvl>
  </w:abstractNum>
  <w:abstractNum w:abstractNumId="9">
    <w:multiLevelType w:val="hybridMultilevel"/>
    <w:lvl w:ilvl="0">
      <w:start w:val="1"/>
      <w:numFmt w:val="decimal"/>
      <w:pStyle w:val="895"/>
      <w:isLgl w:val="false"/>
      <w:suff w:val="tab"/>
      <w:lvlText w:val="%1"/>
      <w:lvlJc w:val="left"/>
      <w:pPr>
        <w:ind w:left="432" w:hanging="432"/>
      </w:pPr>
      <w:rPr>
        <w:rFonts w:hint="eastAsia"/>
      </w:rPr>
    </w:lvl>
    <w:lvl w:ilvl="1">
      <w:start w:val="1"/>
      <w:numFmt w:val="decimal"/>
      <w:isLgl w:val="false"/>
      <w:suff w:val="tab"/>
      <w:lvlText w:val="%1.%2"/>
      <w:lvlJc w:val="left"/>
      <w:pPr>
        <w:ind w:left="576" w:hanging="576"/>
      </w:pPr>
      <w:rPr>
        <w:rFonts w:hint="eastAsia"/>
      </w:rPr>
    </w:lvl>
    <w:lvl w:ilvl="2">
      <w:start w:val="1"/>
      <w:numFmt w:val="decimal"/>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10">
    <w:multiLevelType w:val="hybridMultilevel"/>
    <w:lvl w:ilvl="0">
      <w:start w:val="1"/>
      <w:numFmt w:val="chineseCountingThousand"/>
      <w:pStyle w:val="86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2"/>
      <w:numFmt w:val="chineseCountingThousand"/>
      <w:pStyle w:val="68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12">
    <w:multiLevelType w:val="hybridMultilevel"/>
    <w:lvl w:ilvl="0">
      <w:start w:val="1"/>
      <w:numFmt w:val="decimal"/>
      <w:pStyle w:val="6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12"/>
  </w:num>
  <w:num w:numId="3">
    <w:abstractNumId w:val="8"/>
  </w:num>
  <w:num w:numId="4">
    <w:abstractNumId w:val="10"/>
  </w:num>
  <w:num w:numId="5">
    <w:abstractNumId w:val="9"/>
  </w:num>
  <w:num w:numId="6">
    <w:abstractNumId w:val="4"/>
  </w:num>
  <w:num w:numId="7">
    <w:abstractNumId w:val="3"/>
  </w:num>
  <w:num w:numId="8">
    <w:abstractNumId w:val="1"/>
  </w:num>
  <w:num w:numId="9">
    <w:abstractNumId w:val="0"/>
  </w:num>
  <w:num w:numId="10">
    <w:abstractNumId w:val="2"/>
  </w:num>
  <w:num w:numId="11">
    <w:abstractNumId w:val="6"/>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82"/>
    <w:link w:val="675"/>
    <w:uiPriority w:val="9"/>
    <w:rPr>
      <w:rFonts w:ascii="Arial" w:hAnsi="Arial" w:eastAsia="Arial" w:cs="Arial"/>
      <w:sz w:val="30"/>
      <w:szCs w:val="30"/>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2"/>
    <w:link w:val="719"/>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689"/>
    <w:link w:val="706"/>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1"/>
    <w:uiPriority w:val="99"/>
    <w:rPr>
      <w:sz w:val="18"/>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84"/>
    <w:link w:val="813"/>
    <w:uiPriority w:val="0"/>
    <w:qFormat/>
    <w:pPr>
      <w:jc w:val="both"/>
      <w:widowControl w:val="off"/>
    </w:pPr>
    <w:rPr>
      <w:rFonts w:ascii="Times New Roman" w:hAnsi="Times New Roman" w:eastAsia="宋体" w:cs="Times New Roman"/>
      <w:sz w:val="21"/>
      <w:szCs w:val="24"/>
      <w:lang w:val="en-US" w:eastAsia="zh-CN" w:bidi="ar-SA"/>
    </w:rPr>
  </w:style>
  <w:style w:type="paragraph" w:styleId="673">
    <w:name w:val="Heading 1"/>
    <w:basedOn w:val="672"/>
    <w:next w:val="672"/>
    <w:link w:val="747"/>
    <w:uiPriority w:val="1"/>
    <w:qFormat/>
    <w:pPr>
      <w:keepLines/>
      <w:keepNext/>
      <w:spacing w:before="340" w:after="330" w:line="578" w:lineRule="auto"/>
      <w:outlineLvl w:val="0"/>
    </w:pPr>
    <w:rPr>
      <w:b/>
      <w:bCs/>
      <w:sz w:val="44"/>
      <w:szCs w:val="44"/>
    </w:rPr>
  </w:style>
  <w:style w:type="paragraph" w:styleId="674">
    <w:name w:val="Heading 2"/>
    <w:basedOn w:val="672"/>
    <w:next w:val="672"/>
    <w:link w:val="748"/>
    <w:uiPriority w:val="9"/>
    <w:qFormat/>
    <w:pPr>
      <w:keepLines/>
      <w:keepNext/>
      <w:spacing w:before="260" w:after="260" w:line="413" w:lineRule="auto"/>
      <w:outlineLvl w:val="1"/>
    </w:pPr>
    <w:rPr>
      <w:rFonts w:ascii="Arial" w:hAnsi="Arial" w:eastAsia="黑体"/>
      <w:b/>
      <w:sz w:val="32"/>
      <w:szCs w:val="20"/>
    </w:rPr>
  </w:style>
  <w:style w:type="paragraph" w:styleId="675">
    <w:name w:val="Heading 3"/>
    <w:basedOn w:val="676"/>
    <w:next w:val="672"/>
    <w:link w:val="750"/>
    <w:uiPriority w:val="1"/>
    <w:qFormat/>
    <w:pPr>
      <w:keepLines/>
      <w:keepNext/>
      <w:spacing w:before="260" w:after="260" w:line="413" w:lineRule="auto"/>
      <w:outlineLvl w:val="2"/>
    </w:pPr>
    <w:rPr>
      <w:rFonts w:ascii="Arial" w:hAnsi="Arial"/>
      <w:b w:val="0"/>
      <w:sz w:val="32"/>
      <w:szCs w:val="20"/>
    </w:rPr>
  </w:style>
  <w:style w:type="paragraph" w:styleId="676">
    <w:name w:val="Heading 4"/>
    <w:basedOn w:val="672"/>
    <w:next w:val="672"/>
    <w:link w:val="749"/>
    <w:uiPriority w:val="1"/>
    <w:qFormat/>
    <w:pPr>
      <w:keepLines/>
      <w:keepNext/>
      <w:spacing w:before="280" w:after="290" w:line="376" w:lineRule="auto"/>
      <w:outlineLvl w:val="3"/>
    </w:pPr>
    <w:rPr>
      <w:rFonts w:ascii="Cambria" w:hAnsi="Cambria"/>
      <w:b/>
      <w:bCs/>
      <w:sz w:val="28"/>
      <w:szCs w:val="28"/>
    </w:rPr>
  </w:style>
  <w:style w:type="paragraph" w:styleId="677">
    <w:name w:val="Heading 5"/>
    <w:basedOn w:val="672"/>
    <w:next w:val="672"/>
    <w:link w:val="751"/>
    <w:uiPriority w:val="1"/>
    <w:qFormat/>
    <w:pPr>
      <w:keepLines/>
      <w:keepNext/>
      <w:spacing w:before="280" w:after="290" w:line="376" w:lineRule="auto"/>
      <w:outlineLvl w:val="4"/>
    </w:pPr>
    <w:rPr>
      <w:b/>
      <w:bCs/>
      <w:sz w:val="28"/>
      <w:szCs w:val="28"/>
    </w:rPr>
  </w:style>
  <w:style w:type="paragraph" w:styleId="678">
    <w:name w:val="Heading 6"/>
    <w:basedOn w:val="672"/>
    <w:next w:val="672"/>
    <w:link w:val="752"/>
    <w:uiPriority w:val="1"/>
    <w:qFormat/>
    <w:pPr>
      <w:keepLines/>
      <w:keepNext/>
      <w:spacing w:before="240" w:after="64" w:line="317" w:lineRule="auto"/>
      <w:outlineLvl w:val="5"/>
    </w:pPr>
    <w:rPr>
      <w:rFonts w:ascii="等线 Light" w:hAnsi="等线 Light"/>
      <w:b/>
      <w:sz w:val="24"/>
    </w:rPr>
  </w:style>
  <w:style w:type="paragraph" w:styleId="679">
    <w:name w:val="Heading 7"/>
    <w:basedOn w:val="672"/>
    <w:next w:val="672"/>
    <w:link w:val="753"/>
    <w:uiPriority w:val="1"/>
    <w:qFormat/>
    <w:pPr>
      <w:keepLines/>
      <w:keepNext/>
      <w:spacing w:before="240" w:after="64" w:line="320" w:lineRule="auto"/>
      <w:outlineLvl w:val="6"/>
    </w:pPr>
    <w:rPr>
      <w:rFonts w:ascii="仿宋" w:hAnsi="等线" w:eastAsia="仿宋"/>
      <w:b/>
      <w:bCs/>
      <w:sz w:val="24"/>
    </w:rPr>
  </w:style>
  <w:style w:type="paragraph" w:styleId="680">
    <w:name w:val="Heading 8"/>
    <w:basedOn w:val="672"/>
    <w:next w:val="672"/>
    <w:link w:val="754"/>
    <w:uiPriority w:val="1"/>
    <w:qFormat/>
    <w:pPr>
      <w:keepLines/>
      <w:keepNext/>
      <w:spacing w:before="240" w:after="64" w:line="320" w:lineRule="auto"/>
      <w:outlineLvl w:val="7"/>
    </w:pPr>
    <w:rPr>
      <w:rFonts w:ascii="等线 Light" w:hAnsi="等线 Light" w:eastAsia="等线 Light"/>
      <w:sz w:val="24"/>
    </w:rPr>
  </w:style>
  <w:style w:type="paragraph" w:styleId="681">
    <w:name w:val="Heading 9"/>
    <w:basedOn w:val="672"/>
    <w:next w:val="672"/>
    <w:link w:val="755"/>
    <w:uiPriority w:val="1"/>
    <w:qFormat/>
    <w:pPr>
      <w:keepLines/>
      <w:keepNext/>
      <w:spacing w:before="240" w:after="64" w:line="320" w:lineRule="auto"/>
      <w:outlineLvl w:val="8"/>
    </w:pPr>
    <w:rPr>
      <w:rFonts w:ascii="等线 Light" w:hAnsi="等线 Light" w:eastAsia="等线 Light"/>
      <w:sz w:val="24"/>
    </w:rPr>
  </w:style>
  <w:style w:type="character" w:styleId="682" w:default="1">
    <w:name w:val="Default Paragraph Font"/>
    <w:uiPriority w:val="0"/>
    <w:semiHidden/>
    <w:qFormat/>
  </w:style>
  <w:style w:type="table" w:styleId="68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84" w:customStyle="1">
    <w:name w:val="正文1"/>
    <w:basedOn w:val="685"/>
    <w:uiPriority w:val="0"/>
    <w:qFormat/>
    <w:pPr>
      <w:ind w:firstLine="510"/>
      <w:spacing w:before="156" w:line="360" w:lineRule="auto"/>
      <w:tabs>
        <w:tab w:val="left" w:pos="1110" w:leader="none"/>
      </w:tabs>
    </w:pPr>
    <w:rPr>
      <w:rFonts w:ascii="Calibri" w:hAnsi="Calibri"/>
      <w:sz w:val="24"/>
      <w:szCs w:val="20"/>
    </w:rPr>
  </w:style>
  <w:style w:type="paragraph" w:styleId="685" w:customStyle="1">
    <w:name w:val="样式1"/>
    <w:basedOn w:val="672"/>
    <w:uiPriority w:val="0"/>
    <w:qFormat/>
    <w:pPr>
      <w:numPr>
        <w:ilvl w:val="0"/>
        <w:numId w:val="1"/>
      </w:numPr>
      <w:tabs>
        <w:tab w:val="left" w:pos="1110" w:leader="none"/>
      </w:tabs>
    </w:pPr>
    <w:rPr>
      <w:rFonts w:ascii="宋体" w:hAnsi="宋体"/>
      <w:szCs w:val="21"/>
    </w:rPr>
  </w:style>
  <w:style w:type="paragraph" w:styleId="686">
    <w:name w:val="toc 7"/>
    <w:basedOn w:val="672"/>
    <w:next w:val="672"/>
    <w:uiPriority w:val="39"/>
    <w:qFormat/>
    <w:pPr>
      <w:ind w:left="1260"/>
      <w:jc w:val="left"/>
    </w:pPr>
    <w:rPr>
      <w:rFonts w:ascii="Calibri" w:hAnsi="Calibri"/>
      <w:sz w:val="18"/>
      <w:szCs w:val="18"/>
    </w:rPr>
  </w:style>
  <w:style w:type="paragraph" w:styleId="687">
    <w:name w:val="table of authorities"/>
    <w:basedOn w:val="672"/>
    <w:next w:val="672"/>
    <w:uiPriority w:val="0"/>
    <w:qFormat/>
    <w:pPr>
      <w:ind w:left="210" w:hanging="210"/>
      <w:jc w:val="left"/>
    </w:pPr>
    <w:rPr>
      <w:rFonts w:ascii="Calibri" w:hAnsi="Calibri"/>
      <w:sz w:val="20"/>
      <w:szCs w:val="20"/>
    </w:rPr>
  </w:style>
  <w:style w:type="paragraph" w:styleId="688">
    <w:name w:val="Normal Indent"/>
    <w:basedOn w:val="672"/>
    <w:next w:val="672"/>
    <w:link w:val="756"/>
    <w:uiPriority w:val="0"/>
    <w:qFormat/>
    <w:pPr>
      <w:ind w:firstLine="420"/>
    </w:pPr>
    <w:rPr>
      <w:szCs w:val="20"/>
    </w:rPr>
  </w:style>
  <w:style w:type="paragraph" w:styleId="689">
    <w:name w:val="Caption"/>
    <w:basedOn w:val="672"/>
    <w:next w:val="672"/>
    <w:link w:val="757"/>
    <w:uiPriority w:val="0"/>
    <w:qFormat/>
    <w:pPr>
      <w:jc w:val="center"/>
      <w:spacing w:before="156" w:after="156" w:line="360" w:lineRule="auto"/>
    </w:pPr>
    <w:rPr>
      <w:rFonts w:ascii="Arial" w:hAnsi="Arial"/>
      <w:sz w:val="24"/>
      <w:szCs w:val="20"/>
    </w:rPr>
  </w:style>
  <w:style w:type="paragraph" w:styleId="690">
    <w:name w:val="List Bullet"/>
    <w:basedOn w:val="672"/>
    <w:uiPriority w:val="0"/>
    <w:qFormat/>
    <w:pPr>
      <w:numPr>
        <w:ilvl w:val="0"/>
        <w:numId w:val="2"/>
      </w:numPr>
      <w:ind w:left="360" w:hanging="360"/>
      <w:tabs>
        <w:tab w:val="left" w:pos="360" w:leader="none"/>
      </w:tabs>
    </w:pPr>
    <w:rPr>
      <w:rFonts w:ascii="等线" w:hAnsi="等线" w:eastAsia="等线" w:cs="等线"/>
      <w:szCs w:val="21"/>
    </w:rPr>
  </w:style>
  <w:style w:type="paragraph" w:styleId="691">
    <w:name w:val="Document Map"/>
    <w:basedOn w:val="672"/>
    <w:link w:val="758"/>
    <w:uiPriority w:val="0"/>
    <w:qFormat/>
    <w:pPr>
      <w:shd w:val="clear" w:color="auto" w:fill="000080"/>
    </w:pPr>
  </w:style>
  <w:style w:type="paragraph" w:styleId="692">
    <w:name w:val="toa heading"/>
    <w:basedOn w:val="672"/>
    <w:next w:val="672"/>
    <w:uiPriority w:val="0"/>
    <w:qFormat/>
    <w:pPr>
      <w:jc w:val="center"/>
      <w:spacing w:before="240" w:after="120"/>
    </w:pPr>
    <w:rPr>
      <w:rFonts w:ascii="Calibri" w:hAnsi="Calibri" w:cs="Arial"/>
      <w:smallCaps/>
      <w:sz w:val="22"/>
      <w:szCs w:val="22"/>
      <w:u w:val="single"/>
    </w:rPr>
  </w:style>
  <w:style w:type="paragraph" w:styleId="693">
    <w:name w:val="annotation text"/>
    <w:basedOn w:val="672"/>
    <w:link w:val="759"/>
    <w:uiPriority w:val="0"/>
    <w:unhideWhenUsed/>
    <w:qFormat/>
    <w:pPr>
      <w:jc w:val="left"/>
    </w:pPr>
  </w:style>
  <w:style w:type="paragraph" w:styleId="694">
    <w:name w:val="Body Text 3"/>
    <w:basedOn w:val="672"/>
    <w:link w:val="760"/>
    <w:uiPriority w:val="0"/>
    <w:qFormat/>
    <w:rPr>
      <w:rFonts w:ascii="楷体_GB2312" w:hAnsi="Arial" w:eastAsia="楷体_GB2312" w:cs="Arial"/>
      <w:b/>
      <w:bCs/>
      <w:color w:val="000000"/>
      <w:sz w:val="24"/>
    </w:rPr>
  </w:style>
  <w:style w:type="paragraph" w:styleId="695">
    <w:name w:val="Body Text"/>
    <w:basedOn w:val="672"/>
    <w:next w:val="696"/>
    <w:link w:val="761"/>
    <w:uiPriority w:val="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Date"/>
    <w:basedOn w:val="672"/>
    <w:next w:val="672"/>
    <w:link w:val="763"/>
    <w:uiPriority w:val="0"/>
    <w:qFormat/>
    <w:pPr>
      <w:ind w:left="100"/>
    </w:pPr>
    <w:rPr>
      <w:rFonts w:ascii="黑体" w:hAnsi="Calibri" w:eastAsia="黑体"/>
      <w:sz w:val="24"/>
    </w:rPr>
  </w:style>
  <w:style w:type="paragraph" w:styleId="697">
    <w:name w:val="Body Text Indent"/>
    <w:basedOn w:val="672"/>
    <w:link w:val="745"/>
    <w:uiPriority w:val="99"/>
    <w:qFormat/>
    <w:pPr>
      <w:ind w:firstLine="630"/>
    </w:pPr>
    <w:rPr>
      <w:rFonts w:ascii="楷体_GB2312" w:eastAsia="楷体_GB2312"/>
      <w:sz w:val="32"/>
      <w:szCs w:val="20"/>
    </w:rPr>
  </w:style>
  <w:style w:type="paragraph" w:styleId="698">
    <w:name w:val="Block Text"/>
    <w:basedOn w:val="672"/>
    <w:uiPriority w:val="0"/>
    <w:qFormat/>
    <w:pPr>
      <w:ind w:left="420" w:right="33"/>
      <w:jc w:val="left"/>
    </w:pPr>
    <w:rPr>
      <w:sz w:val="24"/>
      <w:szCs w:val="20"/>
    </w:rPr>
  </w:style>
  <w:style w:type="paragraph" w:styleId="699">
    <w:name w:val="index 4"/>
    <w:basedOn w:val="672"/>
    <w:next w:val="672"/>
    <w:uiPriority w:val="99"/>
    <w:unhideWhenUsed/>
    <w:qFormat/>
    <w:pPr>
      <w:ind w:left="600"/>
    </w:pPr>
    <w:rPr>
      <w:rFonts w:ascii="Calibri" w:hAnsi="Calibri" w:eastAsia="宋体" w:cs="Times New Roman"/>
    </w:rPr>
  </w:style>
  <w:style w:type="paragraph" w:styleId="700">
    <w:name w:val="toc 5"/>
    <w:basedOn w:val="672"/>
    <w:next w:val="672"/>
    <w:uiPriority w:val="39"/>
    <w:qFormat/>
    <w:pPr>
      <w:ind w:left="840"/>
      <w:jc w:val="left"/>
    </w:pPr>
    <w:rPr>
      <w:rFonts w:ascii="Calibri" w:hAnsi="Calibri"/>
      <w:sz w:val="18"/>
      <w:szCs w:val="18"/>
    </w:rPr>
  </w:style>
  <w:style w:type="paragraph" w:styleId="701">
    <w:name w:val="toc 3"/>
    <w:basedOn w:val="672"/>
    <w:next w:val="672"/>
    <w:uiPriority w:val="0"/>
    <w:qFormat/>
    <w:pPr>
      <w:ind w:left="840"/>
      <w:spacing w:line="300" w:lineRule="auto"/>
      <w:tabs>
        <w:tab w:val="right" w:pos="9344" w:leader="dot"/>
      </w:tabs>
    </w:pPr>
    <w:rPr>
      <w:rFonts w:ascii="Arial" w:hAnsi="Arial" w:cs="Arial"/>
      <w:szCs w:val="21"/>
    </w:rPr>
  </w:style>
  <w:style w:type="paragraph" w:styleId="702">
    <w:name w:val="Plain Text"/>
    <w:basedOn w:val="672"/>
    <w:link w:val="762"/>
    <w:uiPriority w:val="0"/>
    <w:qFormat/>
    <w:rPr>
      <w:rFonts w:ascii="宋体" w:hAnsi="Courier New"/>
      <w:szCs w:val="20"/>
    </w:rPr>
  </w:style>
  <w:style w:type="paragraph" w:styleId="703">
    <w:name w:val="toc 8"/>
    <w:basedOn w:val="672"/>
    <w:next w:val="672"/>
    <w:uiPriority w:val="39"/>
    <w:qFormat/>
    <w:pPr>
      <w:ind w:left="1470"/>
      <w:jc w:val="left"/>
    </w:pPr>
    <w:rPr>
      <w:rFonts w:ascii="Calibri" w:hAnsi="Calibri"/>
      <w:sz w:val="18"/>
      <w:szCs w:val="18"/>
    </w:rPr>
  </w:style>
  <w:style w:type="paragraph" w:styleId="704">
    <w:name w:val="Body Text Indent 2"/>
    <w:basedOn w:val="672"/>
    <w:link w:val="764"/>
    <w:uiPriority w:val="0"/>
    <w:qFormat/>
    <w:pPr>
      <w:ind w:left="420"/>
      <w:spacing w:after="120" w:line="480" w:lineRule="auto"/>
    </w:pPr>
  </w:style>
  <w:style w:type="paragraph" w:styleId="705">
    <w:name w:val="Balloon Text"/>
    <w:basedOn w:val="672"/>
    <w:link w:val="765"/>
    <w:uiPriority w:val="0"/>
    <w:qFormat/>
    <w:rPr>
      <w:sz w:val="18"/>
      <w:szCs w:val="18"/>
    </w:rPr>
  </w:style>
  <w:style w:type="paragraph" w:styleId="706">
    <w:name w:val="Footer"/>
    <w:basedOn w:val="672"/>
    <w:link w:val="766"/>
    <w:uiPriority w:val="0"/>
    <w:qFormat/>
    <w:pPr>
      <w:jc w:val="left"/>
      <w:tabs>
        <w:tab w:val="center" w:pos="4153" w:leader="none"/>
        <w:tab w:val="right" w:pos="8306" w:leader="none"/>
      </w:tabs>
    </w:pPr>
    <w:rPr>
      <w:sz w:val="18"/>
      <w:szCs w:val="18"/>
    </w:rPr>
  </w:style>
  <w:style w:type="paragraph" w:styleId="707">
    <w:name w:val="envelope return"/>
    <w:basedOn w:val="672"/>
    <w:uiPriority w:val="99"/>
    <w:qFormat/>
    <w:rPr>
      <w:rFonts w:ascii="Arial" w:hAnsi="Arial" w:eastAsia="宋体" w:cs="Times New Roman"/>
    </w:rPr>
  </w:style>
  <w:style w:type="paragraph" w:styleId="708">
    <w:name w:val="Header"/>
    <w:basedOn w:val="672"/>
    <w:link w:val="767"/>
    <w:uiPriority w:val="0"/>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2"/>
    <w:next w:val="672"/>
    <w:uiPriority w:val="1"/>
    <w:qFormat/>
  </w:style>
  <w:style w:type="paragraph" w:styleId="710">
    <w:name w:val="toc 4"/>
    <w:basedOn w:val="672"/>
    <w:next w:val="672"/>
    <w:uiPriority w:val="39"/>
    <w:qFormat/>
    <w:pPr>
      <w:ind w:left="630"/>
      <w:jc w:val="left"/>
    </w:pPr>
    <w:rPr>
      <w:rFonts w:ascii="Calibri" w:hAnsi="Calibri"/>
      <w:sz w:val="18"/>
      <w:szCs w:val="18"/>
    </w:rPr>
  </w:style>
  <w:style w:type="paragraph" w:styleId="711">
    <w:name w:val="footnote text"/>
    <w:basedOn w:val="672"/>
    <w:link w:val="768"/>
    <w:uiPriority w:val="0"/>
    <w:qFormat/>
    <w:pPr>
      <w:jc w:val="left"/>
    </w:pPr>
    <w:rPr>
      <w:rFonts w:ascii="Calibri" w:hAnsi="Calibri" w:eastAsia="宋体" w:cs="Times New Roman"/>
      <w:sz w:val="18"/>
      <w:szCs w:val="18"/>
    </w:rPr>
  </w:style>
  <w:style w:type="paragraph" w:styleId="712">
    <w:name w:val="toc 6"/>
    <w:basedOn w:val="672"/>
    <w:next w:val="672"/>
    <w:uiPriority w:val="39"/>
    <w:qFormat/>
    <w:pPr>
      <w:ind w:left="1050"/>
      <w:jc w:val="left"/>
    </w:pPr>
    <w:rPr>
      <w:rFonts w:ascii="Calibri" w:hAnsi="Calibri"/>
      <w:sz w:val="18"/>
      <w:szCs w:val="18"/>
    </w:rPr>
  </w:style>
  <w:style w:type="paragraph" w:styleId="713">
    <w:name w:val="Body Text Indent 3"/>
    <w:basedOn w:val="672"/>
    <w:link w:val="769"/>
    <w:uiPriority w:val="0"/>
    <w:qFormat/>
    <w:pPr>
      <w:ind w:firstLine="420"/>
    </w:pPr>
    <w:rPr>
      <w:rFonts w:eastAsia="楷体_GB2312"/>
    </w:rPr>
  </w:style>
  <w:style w:type="paragraph" w:styleId="714">
    <w:name w:val="toc 2"/>
    <w:basedOn w:val="672"/>
    <w:next w:val="672"/>
    <w:uiPriority w:val="0"/>
    <w:qFormat/>
    <w:pPr>
      <w:ind w:left="420"/>
    </w:pPr>
    <w:rPr>
      <w:szCs w:val="20"/>
    </w:rPr>
  </w:style>
  <w:style w:type="paragraph" w:styleId="715">
    <w:name w:val="toc 9"/>
    <w:basedOn w:val="672"/>
    <w:next w:val="672"/>
    <w:uiPriority w:val="39"/>
    <w:qFormat/>
    <w:pPr>
      <w:ind w:left="1680"/>
      <w:jc w:val="left"/>
    </w:pPr>
    <w:rPr>
      <w:rFonts w:ascii="Calibri" w:hAnsi="Calibri"/>
      <w:sz w:val="18"/>
      <w:szCs w:val="18"/>
    </w:rPr>
  </w:style>
  <w:style w:type="paragraph" w:styleId="716">
    <w:name w:val="Body Text 2"/>
    <w:basedOn w:val="672"/>
    <w:link w:val="770"/>
    <w:uiPriority w:val="0"/>
    <w:qFormat/>
    <w:pPr>
      <w:spacing w:line="440" w:lineRule="exact"/>
    </w:pPr>
    <w:rPr>
      <w:rFonts w:ascii="楷体_GB2312" w:eastAsia="楷体_GB2312"/>
      <w:sz w:val="28"/>
    </w:rPr>
  </w:style>
  <w:style w:type="paragraph" w:styleId="717">
    <w:name w:val="HTML Preformatted"/>
    <w:basedOn w:val="672"/>
    <w:link w:val="771"/>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718">
    <w:name w:val="Normal (Web)"/>
    <w:basedOn w:val="672"/>
    <w:uiPriority w:val="99"/>
    <w:unhideWhenUsed/>
    <w:qFormat/>
    <w:pPr>
      <w:jc w:val="left"/>
      <w:spacing w:before="100" w:beforeAutospacing="1" w:after="100" w:afterAutospacing="1"/>
      <w:widowControl/>
    </w:pPr>
    <w:rPr>
      <w:rFonts w:ascii="宋体" w:hAnsi="宋体" w:cs="宋体"/>
      <w:sz w:val="24"/>
    </w:rPr>
  </w:style>
  <w:style w:type="paragraph" w:styleId="719">
    <w:name w:val="Title"/>
    <w:basedOn w:val="672"/>
    <w:next w:val="672"/>
    <w:link w:val="772"/>
    <w:uiPriority w:val="0"/>
    <w:qFormat/>
    <w:pPr>
      <w:jc w:val="center"/>
      <w:spacing w:before="240" w:after="60"/>
      <w:outlineLvl w:val="0"/>
    </w:pPr>
    <w:rPr>
      <w:rFonts w:ascii="Cambria" w:hAnsi="Cambria"/>
      <w:b/>
      <w:bCs/>
      <w:sz w:val="32"/>
      <w:szCs w:val="32"/>
    </w:rPr>
  </w:style>
  <w:style w:type="paragraph" w:styleId="720">
    <w:name w:val="annotation subject"/>
    <w:basedOn w:val="693"/>
    <w:next w:val="693"/>
    <w:link w:val="773"/>
    <w:uiPriority w:val="0"/>
    <w:qFormat/>
    <w:rPr>
      <w:b/>
      <w:bCs/>
    </w:rPr>
  </w:style>
  <w:style w:type="paragraph" w:styleId="721">
    <w:name w:val="Body Text First Indent"/>
    <w:basedOn w:val="695"/>
    <w:link w:val="774"/>
    <w:uiPriority w:val="0"/>
    <w:qFormat/>
    <w:pPr>
      <w:ind w:firstLine="420"/>
      <w:spacing w:after="120" w:line="240" w:lineRule="auto"/>
      <w:outlineLvl w:val="9"/>
    </w:pPr>
    <w:rPr>
      <w:rFonts w:cs="Times New Roman"/>
    </w:rPr>
  </w:style>
  <w:style w:type="paragraph" w:styleId="722">
    <w:name w:val="Body Text First Indent 2"/>
    <w:basedOn w:val="697"/>
    <w:link w:val="746"/>
    <w:uiPriority w:val="99"/>
    <w:qFormat/>
    <w:pPr>
      <w:ind w:left="420" w:firstLine="420"/>
      <w:spacing w:after="120"/>
      <w:widowControl/>
    </w:pPr>
    <w:rPr>
      <w:rFonts w:ascii="仿宋_GB2312" w:eastAsia="仿宋_GB2312"/>
      <w:color w:val="ff6600"/>
      <w:sz w:val="21"/>
    </w:rPr>
  </w:style>
  <w:style w:type="table" w:styleId="723">
    <w:name w:val="Table Grid"/>
    <w:basedOn w:val="6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0"/>
    <w:qFormat/>
    <w:rPr>
      <w:b/>
      <w:bCs/>
    </w:rPr>
  </w:style>
  <w:style w:type="character" w:styleId="725">
    <w:name w:val="page number"/>
    <w:basedOn w:val="682"/>
    <w:uiPriority w:val="0"/>
    <w:qFormat/>
  </w:style>
  <w:style w:type="character" w:styleId="726">
    <w:name w:val="FollowedHyperlink"/>
    <w:uiPriority w:val="99"/>
    <w:qFormat/>
    <w:rPr>
      <w:color w:val="800080"/>
      <w:u w:val="none"/>
    </w:rPr>
  </w:style>
  <w:style w:type="character" w:styleId="727">
    <w:name w:val="Emphasis"/>
    <w:uiPriority w:val="0"/>
    <w:qFormat/>
  </w:style>
  <w:style w:type="character" w:styleId="728">
    <w:name w:val="HTML Definition"/>
    <w:uiPriority w:val="0"/>
    <w:qFormat/>
  </w:style>
  <w:style w:type="character" w:styleId="729">
    <w:name w:val="HTML Typewriter"/>
    <w:uiPriority w:val="0"/>
    <w:qFormat/>
    <w:rPr>
      <w:rFonts w:hint="default" w:ascii="monospace" w:hAnsi="monospace" w:eastAsia="monospace" w:cs="monospace"/>
      <w:sz w:val="20"/>
    </w:rPr>
  </w:style>
  <w:style w:type="character" w:styleId="730">
    <w:name w:val="HTML Acronym"/>
    <w:basedOn w:val="682"/>
    <w:uiPriority w:val="0"/>
    <w:qFormat/>
  </w:style>
  <w:style w:type="character" w:styleId="731">
    <w:name w:val="HTML Variable"/>
    <w:uiPriority w:val="0"/>
    <w:qFormat/>
  </w:style>
  <w:style w:type="character" w:styleId="732">
    <w:name w:val="Hyperlink"/>
    <w:uiPriority w:val="99"/>
    <w:qFormat/>
    <w:rPr>
      <w:color w:val="0000ff"/>
      <w:u w:val="none"/>
    </w:rPr>
  </w:style>
  <w:style w:type="character" w:styleId="733">
    <w:name w:val="HTML Code"/>
    <w:uiPriority w:val="0"/>
    <w:qFormat/>
    <w:rPr>
      <w:rFonts w:hint="default" w:ascii="monospace" w:hAnsi="monospace" w:eastAsia="monospace" w:cs="monospace"/>
      <w:sz w:val="20"/>
    </w:rPr>
  </w:style>
  <w:style w:type="character" w:styleId="734">
    <w:name w:val="annotation reference"/>
    <w:uiPriority w:val="0"/>
    <w:qFormat/>
    <w:rPr>
      <w:sz w:val="21"/>
      <w:szCs w:val="21"/>
    </w:rPr>
  </w:style>
  <w:style w:type="character" w:styleId="735">
    <w:name w:val="HTML Cite"/>
    <w:uiPriority w:val="0"/>
    <w:qFormat/>
  </w:style>
  <w:style w:type="character" w:styleId="736">
    <w:name w:val="footnote reference"/>
    <w:uiPriority w:val="0"/>
    <w:qFormat/>
    <w:rPr>
      <w:vertAlign w:val="superscript"/>
    </w:rPr>
  </w:style>
  <w:style w:type="character" w:styleId="737">
    <w:name w:val="HTML Keyboard"/>
    <w:uiPriority w:val="0"/>
    <w:qFormat/>
    <w:rPr>
      <w:rFonts w:hint="default" w:ascii="monospace" w:hAnsi="monospace" w:eastAsia="monospace" w:cs="monospace"/>
      <w:sz w:val="20"/>
    </w:rPr>
  </w:style>
  <w:style w:type="character" w:styleId="738">
    <w:name w:val="HTML Sample"/>
    <w:uiPriority w:val="0"/>
    <w:qFormat/>
    <w:rPr>
      <w:rFonts w:ascii="monospace" w:hAnsi="monospace" w:eastAsia="monospace" w:cs="monospace"/>
    </w:rPr>
  </w:style>
  <w:style w:type="paragraph" w:styleId="739" w:customStyle="1">
    <w:name w:val="纯文本11"/>
    <w:basedOn w:val="672"/>
    <w:next w:val="672"/>
    <w:uiPriority w:val="0"/>
    <w:qFormat/>
    <w:rPr>
      <w:rFonts w:ascii="宋体" w:hAnsi="Courier New"/>
      <w:szCs w:val="20"/>
    </w:rPr>
  </w:style>
  <w:style w:type="paragraph" w:styleId="740" w:customStyle="1">
    <w:name w:val="引文目录标题1"/>
    <w:basedOn w:val="672"/>
    <w:next w:val="672"/>
    <w:uiPriority w:val="0"/>
    <w:qFormat/>
    <w:pPr>
      <w:spacing w:before="120"/>
    </w:pPr>
    <w:rPr>
      <w:rFonts w:ascii="Arial" w:hAnsi="Arial"/>
      <w:sz w:val="24"/>
    </w:rPr>
  </w:style>
  <w:style w:type="paragraph" w:styleId="7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2" w:customStyle="1">
    <w:name w:val=" Char Char Char Char Char Char Char Char Char Char Char Char Char"/>
    <w:basedOn w:val="672"/>
    <w:next w:val="672"/>
    <w:uiPriority w:val="0"/>
    <w:qFormat/>
    <w:pPr>
      <w:jc w:val="left"/>
      <w:spacing w:after="160" w:line="240" w:lineRule="exact"/>
      <w:widowControl/>
    </w:pPr>
    <w:rPr>
      <w:rFonts w:ascii="Verdana" w:hAnsi="Verdana"/>
      <w:sz w:val="20"/>
      <w:szCs w:val="20"/>
      <w:lang w:eastAsia="en-US"/>
    </w:rPr>
  </w:style>
  <w:style w:type="paragraph" w:styleId="743" w:customStyle="1">
    <w:name w:val="style4"/>
    <w:basedOn w:val="672"/>
    <w:next w:val="744"/>
    <w:uiPriority w:val="0"/>
    <w:qFormat/>
    <w:pPr>
      <w:spacing w:before="280" w:after="280"/>
      <w:widowControl/>
    </w:pPr>
    <w:rPr>
      <w:rFonts w:ascii="宋体"/>
      <w:sz w:val="18"/>
    </w:rPr>
  </w:style>
  <w:style w:type="paragraph" w:styleId="744" w:customStyle="1">
    <w:name w:val="2"/>
    <w:next w:val="672"/>
    <w:uiPriority w:val="99"/>
    <w:qFormat/>
    <w:pPr>
      <w:jc w:val="both"/>
      <w:widowControl w:val="off"/>
    </w:pPr>
    <w:rPr>
      <w:rFonts w:ascii="Calibri" w:hAnsi="Calibri" w:eastAsia="宋体" w:cs="Times New Roman"/>
      <w:sz w:val="21"/>
      <w:szCs w:val="21"/>
      <w:lang w:val="en-US" w:eastAsia="zh-CN" w:bidi="ar-SA"/>
    </w:rPr>
  </w:style>
  <w:style w:type="character" w:styleId="745" w:customStyle="1">
    <w:name w:val="正文文本缩进 Char"/>
    <w:link w:val="697"/>
    <w:uiPriority w:val="0"/>
    <w:qFormat/>
    <w:rPr>
      <w:rFonts w:ascii="楷体_GB2312" w:eastAsia="楷体_GB2312"/>
      <w:sz w:val="32"/>
    </w:rPr>
  </w:style>
  <w:style w:type="character" w:styleId="746" w:customStyle="1">
    <w:name w:val="正文首行缩进 2 Char"/>
    <w:link w:val="722"/>
    <w:uiPriority w:val="0"/>
    <w:qFormat/>
    <w:rPr>
      <w:rFonts w:ascii="仿宋_GB2312" w:eastAsia="仿宋_GB2312"/>
      <w:color w:val="ff6600"/>
      <w:sz w:val="21"/>
    </w:rPr>
  </w:style>
  <w:style w:type="character" w:styleId="747" w:customStyle="1">
    <w:name w:val="标题 1 Char"/>
    <w:link w:val="673"/>
    <w:uiPriority w:val="0"/>
    <w:qFormat/>
    <w:rPr>
      <w:b/>
      <w:bCs/>
      <w:sz w:val="44"/>
      <w:szCs w:val="44"/>
    </w:rPr>
  </w:style>
  <w:style w:type="character" w:styleId="748" w:customStyle="1">
    <w:name w:val="标题 2 Char1"/>
    <w:link w:val="674"/>
    <w:uiPriority w:val="0"/>
    <w:qFormat/>
    <w:rPr>
      <w:rFonts w:ascii="Arial" w:hAnsi="Arial" w:eastAsia="黑体"/>
      <w:b/>
      <w:sz w:val="32"/>
    </w:rPr>
  </w:style>
  <w:style w:type="character" w:styleId="749" w:customStyle="1">
    <w:name w:val="标题 4 Char"/>
    <w:link w:val="676"/>
    <w:uiPriority w:val="0"/>
    <w:qFormat/>
    <w:rPr>
      <w:rFonts w:ascii="Cambria" w:hAnsi="Cambria"/>
      <w:b/>
      <w:bCs/>
      <w:sz w:val="28"/>
      <w:szCs w:val="28"/>
    </w:rPr>
  </w:style>
  <w:style w:type="character" w:styleId="750" w:customStyle="1">
    <w:name w:val="标题 3 Char"/>
    <w:link w:val="675"/>
    <w:uiPriority w:val="0"/>
    <w:qFormat/>
    <w:rPr>
      <w:rFonts w:ascii="Arial" w:hAnsi="Arial"/>
      <w:b/>
      <w:sz w:val="32"/>
    </w:rPr>
  </w:style>
  <w:style w:type="character" w:styleId="751" w:customStyle="1">
    <w:name w:val="标题 5 Char"/>
    <w:link w:val="677"/>
    <w:uiPriority w:val="0"/>
    <w:qFormat/>
    <w:rPr>
      <w:b/>
      <w:bCs/>
      <w:sz w:val="28"/>
      <w:szCs w:val="28"/>
    </w:rPr>
  </w:style>
  <w:style w:type="character" w:styleId="752" w:customStyle="1">
    <w:name w:val="标题 6 Char"/>
    <w:link w:val="678"/>
    <w:uiPriority w:val="0"/>
    <w:qFormat/>
    <w:rPr>
      <w:rFonts w:ascii="等线 Light" w:hAnsi="等线 Light"/>
      <w:b/>
      <w:sz w:val="24"/>
      <w:szCs w:val="24"/>
    </w:rPr>
  </w:style>
  <w:style w:type="character" w:styleId="753" w:customStyle="1">
    <w:name w:val="标题 7 Char"/>
    <w:link w:val="679"/>
    <w:uiPriority w:val="0"/>
    <w:qFormat/>
    <w:rPr>
      <w:rFonts w:ascii="仿宋" w:hAnsi="等线" w:eastAsia="仿宋"/>
      <w:b/>
      <w:bCs/>
      <w:sz w:val="24"/>
      <w:szCs w:val="24"/>
    </w:rPr>
  </w:style>
  <w:style w:type="character" w:styleId="754" w:customStyle="1">
    <w:name w:val="标题 8 Char"/>
    <w:link w:val="680"/>
    <w:uiPriority w:val="0"/>
    <w:qFormat/>
    <w:rPr>
      <w:rFonts w:ascii="等线 Light" w:hAnsi="等线 Light" w:eastAsia="等线 Light"/>
      <w:sz w:val="24"/>
      <w:szCs w:val="24"/>
    </w:rPr>
  </w:style>
  <w:style w:type="character" w:styleId="755" w:customStyle="1">
    <w:name w:val="标题 9 Char"/>
    <w:link w:val="681"/>
    <w:uiPriority w:val="0"/>
    <w:qFormat/>
    <w:rPr>
      <w:rFonts w:ascii="等线 Light" w:hAnsi="等线 Light" w:eastAsia="等线 Light"/>
      <w:sz w:val="24"/>
      <w:szCs w:val="24"/>
    </w:rPr>
  </w:style>
  <w:style w:type="character" w:styleId="756" w:customStyle="1">
    <w:name w:val="正文缩进 Char"/>
    <w:link w:val="688"/>
    <w:uiPriority w:val="0"/>
    <w:qFormat/>
    <w:rPr>
      <w:sz w:val="21"/>
    </w:rPr>
  </w:style>
  <w:style w:type="character" w:styleId="757" w:customStyle="1">
    <w:name w:val="题注 Char"/>
    <w:link w:val="689"/>
    <w:uiPriority w:val="0"/>
    <w:qFormat/>
    <w:rPr>
      <w:rFonts w:ascii="Arial" w:hAnsi="Arial" w:cs="Arial"/>
      <w:sz w:val="24"/>
    </w:rPr>
  </w:style>
  <w:style w:type="character" w:styleId="758" w:customStyle="1">
    <w:name w:val="文档结构图 Char"/>
    <w:link w:val="691"/>
    <w:uiPriority w:val="0"/>
    <w:qFormat/>
    <w:rPr>
      <w:sz w:val="21"/>
      <w:szCs w:val="24"/>
      <w:shd w:val="clear" w:color="auto" w:fill="000080"/>
    </w:rPr>
  </w:style>
  <w:style w:type="character" w:styleId="759" w:customStyle="1">
    <w:name w:val="批注文字 Char"/>
    <w:link w:val="693"/>
    <w:uiPriority w:val="0"/>
    <w:qFormat/>
    <w:rPr>
      <w:sz w:val="21"/>
      <w:szCs w:val="24"/>
    </w:rPr>
  </w:style>
  <w:style w:type="character" w:styleId="760" w:customStyle="1">
    <w:name w:val="正文文本 3 Char"/>
    <w:link w:val="694"/>
    <w:uiPriority w:val="0"/>
    <w:qFormat/>
    <w:rPr>
      <w:rFonts w:ascii="楷体_GB2312" w:hAnsi="Arial" w:eastAsia="楷体_GB2312" w:cs="Arial"/>
      <w:b/>
      <w:bCs/>
      <w:color w:val="000000"/>
      <w:sz w:val="24"/>
      <w:szCs w:val="24"/>
    </w:rPr>
  </w:style>
  <w:style w:type="character" w:styleId="761" w:customStyle="1">
    <w:name w:val="正文文本 Char"/>
    <w:link w:val="695"/>
    <w:uiPriority w:val="0"/>
    <w:qFormat/>
    <w:rPr>
      <w:rFonts w:ascii="华文彩云" w:hAnsi="宋体" w:eastAsia="华文彩云"/>
      <w:bCs/>
      <w:color w:val="000000"/>
      <w:sz w:val="28"/>
      <w:szCs w:val="24"/>
    </w:rPr>
  </w:style>
  <w:style w:type="character" w:styleId="762" w:customStyle="1">
    <w:name w:val="纯文本 Char2"/>
    <w:link w:val="702"/>
    <w:uiPriority w:val="0"/>
    <w:qFormat/>
    <w:rPr>
      <w:rFonts w:ascii="宋体" w:hAnsi="Courier New" w:eastAsia="宋体"/>
      <w:sz w:val="21"/>
      <w:lang w:val="en-US" w:eastAsia="zh-CN" w:bidi="ar-SA"/>
    </w:rPr>
  </w:style>
  <w:style w:type="character" w:styleId="763" w:customStyle="1">
    <w:name w:val="日期 Char"/>
    <w:link w:val="696"/>
    <w:uiPriority w:val="0"/>
    <w:qFormat/>
    <w:rPr>
      <w:rFonts w:ascii="黑体" w:hAnsi="Calibri" w:eastAsia="黑体"/>
      <w:sz w:val="24"/>
      <w:szCs w:val="24"/>
    </w:rPr>
  </w:style>
  <w:style w:type="character" w:styleId="764" w:customStyle="1">
    <w:name w:val="正文文本缩进 2 Char"/>
    <w:link w:val="704"/>
    <w:uiPriority w:val="0"/>
    <w:qFormat/>
    <w:rPr>
      <w:sz w:val="21"/>
      <w:szCs w:val="24"/>
    </w:rPr>
  </w:style>
  <w:style w:type="character" w:styleId="765" w:customStyle="1">
    <w:name w:val="批注框文本 Char"/>
    <w:link w:val="705"/>
    <w:uiPriority w:val="0"/>
    <w:qFormat/>
    <w:rPr>
      <w:sz w:val="18"/>
      <w:szCs w:val="18"/>
    </w:rPr>
  </w:style>
  <w:style w:type="character" w:styleId="766" w:customStyle="1">
    <w:name w:val="页脚 Char"/>
    <w:link w:val="706"/>
    <w:uiPriority w:val="0"/>
    <w:qFormat/>
    <w:rPr>
      <w:sz w:val="18"/>
      <w:szCs w:val="18"/>
    </w:rPr>
  </w:style>
  <w:style w:type="character" w:styleId="767" w:customStyle="1">
    <w:name w:val="页眉 Char"/>
    <w:link w:val="708"/>
    <w:uiPriority w:val="0"/>
    <w:qFormat/>
    <w:rPr>
      <w:sz w:val="18"/>
      <w:szCs w:val="18"/>
    </w:rPr>
  </w:style>
  <w:style w:type="character" w:styleId="768" w:customStyle="1">
    <w:name w:val="脚注文本 Char"/>
    <w:link w:val="711"/>
    <w:uiPriority w:val="0"/>
    <w:qFormat/>
    <w:rPr>
      <w:rFonts w:ascii="Calibri" w:hAnsi="Calibri" w:eastAsia="宋体" w:cs="Times New Roman"/>
      <w:sz w:val="18"/>
      <w:szCs w:val="18"/>
    </w:rPr>
  </w:style>
  <w:style w:type="character" w:styleId="769" w:customStyle="1">
    <w:name w:val="正文文本缩进 3 Char"/>
    <w:link w:val="713"/>
    <w:uiPriority w:val="0"/>
    <w:qFormat/>
    <w:rPr>
      <w:rFonts w:eastAsia="楷体_GB2312"/>
      <w:sz w:val="21"/>
      <w:szCs w:val="24"/>
    </w:rPr>
  </w:style>
  <w:style w:type="character" w:styleId="770" w:customStyle="1">
    <w:name w:val="正文文本 2 Char"/>
    <w:link w:val="716"/>
    <w:uiPriority w:val="0"/>
    <w:qFormat/>
    <w:rPr>
      <w:rFonts w:ascii="楷体_GB2312" w:eastAsia="楷体_GB2312"/>
      <w:sz w:val="28"/>
      <w:szCs w:val="24"/>
    </w:rPr>
  </w:style>
  <w:style w:type="character" w:styleId="771" w:customStyle="1">
    <w:name w:val="HTML 预设格式 Char"/>
    <w:link w:val="717"/>
    <w:uiPriority w:val="0"/>
    <w:qFormat/>
    <w:rPr>
      <w:rFonts w:ascii="宋体" w:hAnsi="宋体" w:eastAsia="宋体" w:cs="宋体"/>
      <w:sz w:val="24"/>
      <w:szCs w:val="24"/>
    </w:rPr>
  </w:style>
  <w:style w:type="character" w:styleId="772" w:customStyle="1">
    <w:name w:val="标题 Char"/>
    <w:link w:val="719"/>
    <w:uiPriority w:val="0"/>
    <w:qFormat/>
    <w:rPr>
      <w:rFonts w:ascii="Cambria" w:hAnsi="Cambria"/>
      <w:b/>
      <w:bCs/>
      <w:sz w:val="32"/>
      <w:szCs w:val="32"/>
    </w:rPr>
  </w:style>
  <w:style w:type="character" w:styleId="773" w:customStyle="1">
    <w:name w:val="批注主题 Char"/>
    <w:link w:val="720"/>
    <w:uiPriority w:val="0"/>
    <w:qFormat/>
    <w:rPr>
      <w:b/>
      <w:bCs/>
      <w:sz w:val="21"/>
      <w:szCs w:val="24"/>
    </w:rPr>
  </w:style>
  <w:style w:type="character" w:styleId="774" w:customStyle="1">
    <w:name w:val="正文首行缩进 Char"/>
    <w:link w:val="721"/>
    <w:uiPriority w:val="0"/>
    <w:qFormat/>
    <w:rPr>
      <w:rFonts w:ascii="华文彩云" w:hAnsi="宋体" w:eastAsia="华文彩云" w:cs="Times New Roman"/>
      <w:bCs/>
      <w:color w:val="000000"/>
      <w:sz w:val="28"/>
      <w:szCs w:val="24"/>
    </w:rPr>
  </w:style>
  <w:style w:type="character" w:styleId="775" w:customStyle="1">
    <w:name w:val="纯文本 字符1"/>
    <w:uiPriority w:val="0"/>
    <w:qFormat/>
    <w:rPr>
      <w:rFonts w:ascii="宋体" w:hAnsi="Courier New" w:eastAsia="宋体"/>
      <w:sz w:val="24"/>
      <w:szCs w:val="24"/>
      <w:lang w:val="en-US" w:eastAsia="zh-CN" w:bidi="ar-SA"/>
    </w:rPr>
  </w:style>
  <w:style w:type="character" w:styleId="776" w:customStyle="1">
    <w:name w:val="纯文本 Char"/>
    <w:uiPriority w:val="0"/>
    <w:qFormat/>
    <w:rPr>
      <w:rFonts w:ascii="宋体" w:hAnsi="Courier New" w:eastAsia="宋体" w:cs="Courier New"/>
      <w:szCs w:val="21"/>
    </w:rPr>
  </w:style>
  <w:style w:type="character" w:styleId="777" w:customStyle="1">
    <w:name w:val="font131"/>
    <w:uiPriority w:val="0"/>
    <w:qFormat/>
    <w:rPr>
      <w:rFonts w:hint="eastAsia" w:ascii="宋体" w:hAnsi="宋体" w:eastAsia="宋体" w:cs="宋体"/>
      <w:color w:val="000000"/>
      <w:sz w:val="22"/>
      <w:szCs w:val="22"/>
      <w:u w:val="none"/>
      <w:vertAlign w:val="superscript"/>
    </w:rPr>
  </w:style>
  <w:style w:type="character" w:styleId="778" w:customStyle="1">
    <w:name w:val="font71"/>
    <w:uiPriority w:val="0"/>
    <w:qFormat/>
    <w:rPr>
      <w:rFonts w:hint="eastAsia" w:ascii="宋体" w:hAnsi="宋体" w:eastAsia="宋体" w:cs="宋体"/>
      <w:color w:val="000000"/>
      <w:sz w:val="22"/>
      <w:szCs w:val="22"/>
      <w:u w:val="none"/>
    </w:rPr>
  </w:style>
  <w:style w:type="character" w:styleId="779" w:customStyle="1">
    <w:name w:val="HTML 预设格式 字符1"/>
    <w:uiPriority w:val="0"/>
    <w:qFormat/>
    <w:rPr>
      <w:rFonts w:ascii="Courier New" w:hAnsi="Courier New" w:eastAsia="仿宋" w:cs="Courier New"/>
    </w:rPr>
  </w:style>
  <w:style w:type="character" w:styleId="780" w:customStyle="1">
    <w:name w:val="s1"/>
    <w:basedOn w:val="682"/>
    <w:uiPriority w:val="0"/>
    <w:qFormat/>
  </w:style>
  <w:style w:type="character" w:styleId="781" w:customStyle="1">
    <w:name w:val="apple-style-span"/>
    <w:uiPriority w:val="0"/>
    <w:qFormat/>
  </w:style>
  <w:style w:type="character" w:styleId="782" w:customStyle="1">
    <w:name w:val="Heading 4 Char"/>
    <w:uiPriority w:val="0"/>
    <w:qFormat/>
    <w:rPr>
      <w:rFonts w:ascii="黑体" w:hAnsi="Arial" w:eastAsia="黑体"/>
      <w:sz w:val="28"/>
      <w:szCs w:val="28"/>
      <w:lang w:val="en-US" w:eastAsia="zh-CN" w:bidi="ar-SA"/>
    </w:rPr>
  </w:style>
  <w:style w:type="character" w:styleId="783" w:customStyle="1">
    <w:name w:val="Header Char"/>
    <w:uiPriority w:val="0"/>
    <w:qFormat/>
    <w:rPr>
      <w:sz w:val="18"/>
    </w:rPr>
  </w:style>
  <w:style w:type="character" w:styleId="784" w:customStyle="1">
    <w:name w:val="样式 仿宋"/>
    <w:uiPriority w:val="0"/>
    <w:qFormat/>
    <w:rPr>
      <w:rFonts w:ascii="仿宋" w:hAnsi="仿宋" w:eastAsia="仿宋" w:cs="Times New Roman"/>
    </w:rPr>
  </w:style>
  <w:style w:type="character" w:styleId="785" w:customStyle="1">
    <w:name w:val="**正文 Char"/>
    <w:link w:val="786"/>
    <w:uiPriority w:val="0"/>
    <w:qFormat/>
    <w:rPr>
      <w:rFonts w:ascii="宋体" w:hAnsi="宋体"/>
      <w:sz w:val="24"/>
      <w:szCs w:val="24"/>
    </w:rPr>
  </w:style>
  <w:style w:type="paragraph" w:styleId="786" w:customStyle="1">
    <w:name w:val="**正文"/>
    <w:basedOn w:val="672"/>
    <w:link w:val="785"/>
    <w:uiPriority w:val="0"/>
    <w:qFormat/>
    <w:pPr>
      <w:ind w:firstLine="482"/>
      <w:spacing w:line="360" w:lineRule="auto"/>
    </w:pPr>
    <w:rPr>
      <w:rFonts w:ascii="宋体" w:hAnsi="宋体"/>
      <w:sz w:val="24"/>
    </w:rPr>
  </w:style>
  <w:style w:type="character" w:styleId="787" w:customStyle="1">
    <w:name w:val="Heading 5 Char"/>
    <w:uiPriority w:val="0"/>
    <w:qFormat/>
    <w:rPr>
      <w:rFonts w:ascii="黑体" w:hAnsi="Arial" w:eastAsia="黑体"/>
      <w:sz w:val="24"/>
      <w:szCs w:val="24"/>
      <w:lang w:val="en-US" w:eastAsia="zh-CN" w:bidi="ar-SA"/>
    </w:rPr>
  </w:style>
  <w:style w:type="character" w:styleId="788" w:customStyle="1">
    <w:name w:val="标题 2 Char"/>
    <w:uiPriority w:val="0"/>
    <w:qFormat/>
    <w:rPr>
      <w:rFonts w:ascii="Arial" w:hAnsi="Arial" w:eastAsia="黑体"/>
      <w:b/>
      <w:sz w:val="32"/>
      <w:lang w:val="en-US" w:eastAsia="zh-CN"/>
    </w:rPr>
  </w:style>
  <w:style w:type="character" w:styleId="789" w:customStyle="1">
    <w:name w:val="Font Style30"/>
    <w:uiPriority w:val="0"/>
    <w:qFormat/>
    <w:rPr>
      <w:rFonts w:ascii="宋体" w:eastAsia="宋体" w:cs="宋体"/>
      <w:sz w:val="14"/>
      <w:szCs w:val="14"/>
    </w:rPr>
  </w:style>
  <w:style w:type="character" w:styleId="790" w:customStyle="1">
    <w:name w:val="无间隔 Char"/>
    <w:link w:val="791"/>
    <w:uiPriority w:val="0"/>
    <w:qFormat/>
    <w:rPr>
      <w:rFonts w:ascii="等线" w:hAnsi="等线" w:eastAsia="等线"/>
      <w:szCs w:val="21"/>
      <w:lang w:val="en-US" w:eastAsia="zh-CN" w:bidi="ar-SA"/>
    </w:rPr>
  </w:style>
  <w:style w:type="paragraph" w:styleId="791" w:customStyle="1">
    <w:name w:val="无间隔1"/>
    <w:link w:val="790"/>
    <w:uiPriority w:val="0"/>
    <w:qFormat/>
    <w:pPr>
      <w:jc w:val="both"/>
      <w:widowControl w:val="off"/>
    </w:pPr>
    <w:rPr>
      <w:rFonts w:ascii="等线" w:hAnsi="等线" w:eastAsia="等线" w:cs="Times New Roman"/>
      <w:szCs w:val="21"/>
      <w:lang w:val="en-US" w:eastAsia="zh-CN" w:bidi="ar-SA"/>
    </w:rPr>
  </w:style>
  <w:style w:type="character" w:styleId="792" w:customStyle="1">
    <w:name w:val="font21"/>
    <w:uiPriority w:val="0"/>
    <w:qFormat/>
    <w:rPr>
      <w:rFonts w:hint="eastAsia" w:ascii="宋体" w:hAnsi="宋体" w:eastAsia="宋体" w:cs="宋体"/>
      <w:b/>
      <w:color w:val="000000"/>
      <w:sz w:val="20"/>
      <w:szCs w:val="20"/>
      <w:u w:val="none"/>
    </w:rPr>
  </w:style>
  <w:style w:type="character" w:styleId="793" w:customStyle="1">
    <w:name w:val="font01"/>
    <w:uiPriority w:val="0"/>
    <w:qFormat/>
    <w:rPr>
      <w:rFonts w:hint="eastAsia" w:ascii="宋体" w:hAnsi="宋体" w:eastAsia="宋体" w:cs="宋体"/>
      <w:color w:val="000000"/>
      <w:sz w:val="24"/>
      <w:szCs w:val="24"/>
      <w:u w:val="none"/>
      <w:lang w:eastAsia="en-US"/>
    </w:rPr>
  </w:style>
  <w:style w:type="character" w:styleId="794" w:customStyle="1">
    <w:name w:val="Heading 1 Char"/>
    <w:uiPriority w:val="0"/>
    <w:qFormat/>
    <w:rPr>
      <w:rFonts w:eastAsia="黑体"/>
      <w:b/>
      <w:bCs/>
      <w:sz w:val="36"/>
      <w:szCs w:val="36"/>
      <w:lang w:val="en-US" w:eastAsia="zh-CN" w:bidi="ar-SA"/>
    </w:rPr>
  </w:style>
  <w:style w:type="character" w:styleId="795" w:customStyle="1">
    <w:name w:val="标题 Char3"/>
    <w:uiPriority w:val="10"/>
    <w:qFormat/>
    <w:rPr>
      <w:rFonts w:ascii="Cambria" w:hAnsi="Cambria" w:eastAsia="宋体" w:cs="Times New Roman"/>
      <w:b/>
      <w:bCs/>
      <w:sz w:val="32"/>
      <w:szCs w:val="32"/>
    </w:rPr>
  </w:style>
  <w:style w:type="character" w:styleId="796" w:customStyle="1">
    <w:name w:val="font81"/>
    <w:uiPriority w:val="0"/>
    <w:qFormat/>
    <w:rPr>
      <w:rFonts w:hint="eastAsia" w:ascii="宋体" w:hAnsi="宋体" w:eastAsia="宋体" w:cs="宋体"/>
      <w:b/>
      <w:bCs/>
      <w:color w:val="ff0000"/>
      <w:sz w:val="20"/>
      <w:szCs w:val="20"/>
      <w:u w:val="none"/>
    </w:rPr>
  </w:style>
  <w:style w:type="character" w:styleId="797" w:customStyle="1">
    <w:name w:val="Font Style29"/>
    <w:uiPriority w:val="0"/>
    <w:qFormat/>
    <w:rPr>
      <w:rFonts w:ascii="Arial" w:hAnsi="Arial" w:cs="Arial"/>
      <w:sz w:val="14"/>
      <w:szCs w:val="14"/>
    </w:rPr>
  </w:style>
  <w:style w:type="character" w:styleId="798" w:customStyle="1">
    <w:name w:val="Char Char4"/>
    <w:uiPriority w:val="0"/>
    <w:qFormat/>
    <w:rPr>
      <w:rFonts w:ascii="Calibri" w:hAnsi="Calibri" w:eastAsia="宋体"/>
      <w:sz w:val="18"/>
      <w:szCs w:val="18"/>
      <w:lang w:val="en-US" w:eastAsia="zh-CN" w:bidi="ar-SA"/>
    </w:rPr>
  </w:style>
  <w:style w:type="character" w:styleId="799" w:customStyle="1">
    <w:name w:val="标题 Char2"/>
    <w:uiPriority w:val="0"/>
    <w:qFormat/>
    <w:rPr>
      <w:rFonts w:ascii="Cambria" w:hAnsi="Cambria" w:cs="Times New Roman"/>
      <w:b/>
      <w:bCs/>
      <w:sz w:val="32"/>
      <w:szCs w:val="32"/>
    </w:rPr>
  </w:style>
  <w:style w:type="character" w:styleId="800" w:customStyle="1">
    <w:name w:val="font11"/>
    <w:uiPriority w:val="0"/>
    <w:qFormat/>
    <w:rPr>
      <w:rFonts w:hint="eastAsia" w:ascii="宋体" w:hAnsi="宋体" w:eastAsia="宋体" w:cs="宋体"/>
      <w:color w:val="000000"/>
      <w:sz w:val="18"/>
      <w:szCs w:val="18"/>
      <w:u w:val="none"/>
    </w:rPr>
  </w:style>
  <w:style w:type="character" w:styleId="801" w:customStyle="1">
    <w:name w:val="标题4 Char"/>
    <w:link w:val="802"/>
    <w:uiPriority w:val="0"/>
    <w:qFormat/>
    <w:rPr>
      <w:b/>
      <w:sz w:val="24"/>
      <w:szCs w:val="24"/>
    </w:rPr>
  </w:style>
  <w:style w:type="paragraph" w:styleId="802" w:customStyle="1">
    <w:name w:val="标题4"/>
    <w:basedOn w:val="672"/>
    <w:link w:val="801"/>
    <w:uiPriority w:val="0"/>
    <w:qFormat/>
    <w:pPr>
      <w:ind w:left="851" w:hanging="851"/>
      <w:spacing w:before="100" w:beforeAutospacing="1" w:after="100" w:afterAutospacing="1"/>
      <w:outlineLvl w:val="3"/>
    </w:pPr>
    <w:rPr>
      <w:b/>
      <w:sz w:val="24"/>
    </w:rPr>
  </w:style>
  <w:style w:type="character" w:styleId="803" w:customStyle="1">
    <w:name w:val="脚注文本 Char1"/>
    <w:uiPriority w:val="0"/>
    <w:qFormat/>
    <w:rPr>
      <w:sz w:val="18"/>
      <w:szCs w:val="18"/>
    </w:rPr>
  </w:style>
  <w:style w:type="character" w:styleId="804" w:customStyle="1">
    <w:name w:val="font31"/>
    <w:basedOn w:val="805"/>
    <w:link w:val="672"/>
    <w:uiPriority w:val="0"/>
    <w:qFormat/>
    <w:rPr>
      <w:rFonts w:hint="eastAsia" w:ascii="宋体" w:hAnsi="宋体" w:eastAsia="宋体" w:cs="宋体"/>
      <w:b/>
      <w:color w:val="000000"/>
      <w:sz w:val="20"/>
      <w:szCs w:val="20"/>
      <w:u w:val="none"/>
    </w:rPr>
  </w:style>
  <w:style w:type="character" w:styleId="805" w:customStyle="1">
    <w:name w:val="默认段落字体1"/>
    <w:link w:val="672"/>
    <w:uiPriority w:val="0"/>
    <w:semiHidden/>
    <w:qFormat/>
  </w:style>
  <w:style w:type="character" w:styleId="806" w:customStyle="1">
    <w:name w:val="正文文本缩进 3 字符1"/>
    <w:uiPriority w:val="0"/>
    <w:qFormat/>
    <w:rPr>
      <w:rFonts w:eastAsia="仿宋"/>
      <w:sz w:val="16"/>
      <w:szCs w:val="16"/>
    </w:rPr>
  </w:style>
  <w:style w:type="character" w:styleId="807" w:customStyle="1">
    <w:name w:val="font101"/>
    <w:uiPriority w:val="0"/>
    <w:qFormat/>
    <w:rPr>
      <w:rFonts w:hint="eastAsia" w:ascii="宋体" w:hAnsi="宋体" w:eastAsia="宋体" w:cs="宋体"/>
      <w:color w:val="000000"/>
      <w:sz w:val="21"/>
      <w:szCs w:val="21"/>
      <w:u w:val="none"/>
    </w:rPr>
  </w:style>
  <w:style w:type="character" w:styleId="808" w:customStyle="1">
    <w:name w:val="apple-converted-space"/>
    <w:uiPriority w:val="0"/>
    <w:qFormat/>
    <w:rPr>
      <w:rFonts w:eastAsia="宋体"/>
      <w:sz w:val="24"/>
      <w:szCs w:val="24"/>
      <w:lang w:val="en-US" w:eastAsia="zh-CN" w:bidi="ar-SA"/>
    </w:rPr>
  </w:style>
  <w:style w:type="character" w:styleId="809" w:customStyle="1">
    <w:name w:val="正文 首行缩进 Char"/>
    <w:link w:val="810"/>
    <w:uiPriority w:val="0"/>
    <w:qFormat/>
    <w:rPr>
      <w:rFonts w:ascii="Arial" w:hAnsi="Arial"/>
      <w:sz w:val="24"/>
    </w:rPr>
  </w:style>
  <w:style w:type="paragraph" w:styleId="810" w:customStyle="1">
    <w:name w:val="正文 首行缩进"/>
    <w:basedOn w:val="672"/>
    <w:link w:val="809"/>
    <w:uiPriority w:val="0"/>
    <w:qFormat/>
    <w:pPr>
      <w:ind w:firstLine="420"/>
      <w:spacing w:line="360" w:lineRule="auto"/>
    </w:pPr>
    <w:rPr>
      <w:rFonts w:ascii="Arial" w:hAnsi="Arial"/>
      <w:sz w:val="24"/>
      <w:szCs w:val="20"/>
    </w:rPr>
  </w:style>
  <w:style w:type="character" w:styleId="811" w:customStyle="1">
    <w:name w:val="fontstyle11"/>
    <w:uiPriority w:val="0"/>
    <w:qFormat/>
    <w:rPr>
      <w:rFonts w:hint="default" w:ascii="FZXiHeiI-Z08S" w:hAnsi="FZXiHeiI-Z08S"/>
      <w:color w:val="000000"/>
      <w:sz w:val="16"/>
      <w:szCs w:val="16"/>
    </w:rPr>
  </w:style>
  <w:style w:type="character" w:styleId="812" w:customStyle="1">
    <w:name w:val="HTML 预设格式 Char3"/>
    <w:uiPriority w:val="0"/>
    <w:qFormat/>
    <w:rPr>
      <w:rFonts w:ascii="Courier New" w:hAnsi="Courier New" w:cs="Courier New"/>
    </w:rPr>
  </w:style>
  <w:style w:type="character" w:styleId="813" w:customStyle="1">
    <w:name w:val="font41"/>
    <w:basedOn w:val="805"/>
    <w:link w:val="672"/>
    <w:uiPriority w:val="0"/>
    <w:qFormat/>
    <w:rPr>
      <w:rFonts w:ascii="Times New Roman" w:hAnsi="Times New Roman" w:eastAsia="宋体" w:cs="Times New Roman"/>
      <w:sz w:val="21"/>
      <w:szCs w:val="24"/>
      <w:lang w:val="en-US" w:eastAsia="zh-CN" w:bidi="ar-SA"/>
    </w:rPr>
  </w:style>
  <w:style w:type="character" w:styleId="814" w:customStyle="1">
    <w:name w:val="HTML 预设格式 Char2"/>
    <w:uiPriority w:val="0"/>
    <w:qFormat/>
    <w:rPr>
      <w:rFonts w:ascii="Courier New" w:hAnsi="Courier New" w:cs="Courier New"/>
    </w:rPr>
  </w:style>
  <w:style w:type="character" w:styleId="815" w:customStyle="1">
    <w:name w:val="日期 Char1"/>
    <w:uiPriority w:val="0"/>
    <w:qFormat/>
    <w:rPr>
      <w:sz w:val="21"/>
      <w:szCs w:val="24"/>
    </w:rPr>
  </w:style>
  <w:style w:type="character" w:styleId="816" w:customStyle="1">
    <w:name w:val="标题 4 字符"/>
    <w:uiPriority w:val="9"/>
    <w:qFormat/>
    <w:rPr>
      <w:rFonts w:ascii="Cambria" w:hAnsi="Cambria" w:eastAsia="宋体" w:cs="Times New Roman"/>
      <w:b/>
      <w:bCs/>
      <w:sz w:val="28"/>
      <w:szCs w:val="28"/>
    </w:rPr>
  </w:style>
  <w:style w:type="character" w:styleId="817" w:customStyle="1">
    <w:name w:val="font51"/>
    <w:uiPriority w:val="0"/>
    <w:qFormat/>
    <w:rPr>
      <w:rFonts w:hint="eastAsia" w:ascii="宋体" w:hAnsi="宋体" w:eastAsia="宋体" w:cs="宋体"/>
      <w:color w:val="000000"/>
      <w:sz w:val="20"/>
      <w:szCs w:val="20"/>
      <w:u w:val="none"/>
      <w:lang w:val="en-US" w:eastAsia="zh-CN" w:bidi="ar-SA"/>
    </w:rPr>
  </w:style>
  <w:style w:type="character" w:styleId="818" w:customStyle="1">
    <w:name w:val="脚注文本 Char2"/>
    <w:uiPriority w:val="0"/>
    <w:qFormat/>
    <w:rPr>
      <w:sz w:val="18"/>
      <w:szCs w:val="18"/>
    </w:rPr>
  </w:style>
  <w:style w:type="character" w:styleId="819" w:customStyle="1">
    <w:name w:val="Heading 6 Char"/>
    <w:uiPriority w:val="0"/>
    <w:qFormat/>
    <w:rPr>
      <w:rFonts w:ascii="等线 Light" w:hAnsi="等线 Light" w:eastAsia="等线 Light"/>
      <w:b/>
      <w:bCs/>
      <w:sz w:val="24"/>
      <w:szCs w:val="24"/>
      <w:lang w:val="en-US" w:eastAsia="zh-CN" w:bidi="ar-SA"/>
    </w:rPr>
  </w:style>
  <w:style w:type="character" w:styleId="820" w:customStyle="1">
    <w:name w:val="Comment Text Char1"/>
    <w:uiPriority w:val="0"/>
    <w:qFormat/>
    <w:rPr>
      <w:sz w:val="21"/>
      <w:szCs w:val="24"/>
    </w:rPr>
  </w:style>
  <w:style w:type="character" w:styleId="821" w:customStyle="1">
    <w:name w:val="HTML 预设格式 Char1"/>
    <w:uiPriority w:val="99"/>
    <w:qFormat/>
    <w:rPr>
      <w:rFonts w:ascii="Courier New" w:hAnsi="Courier New" w:cs="Courier New"/>
    </w:rPr>
  </w:style>
  <w:style w:type="character" w:styleId="822" w:customStyle="1">
    <w:name w:val="Plain Text Char"/>
    <w:uiPriority w:val="0"/>
    <w:qFormat/>
    <w:rPr>
      <w:rFonts w:ascii="宋体" w:hAnsi="Courier New" w:eastAsia="宋体"/>
      <w:sz w:val="21"/>
      <w:lang w:val="en-US" w:eastAsia="zh-CN" w:bidi="ar-SA"/>
    </w:rPr>
  </w:style>
  <w:style w:type="character" w:styleId="823" w:customStyle="1">
    <w:name w:val="小标题 字符"/>
    <w:link w:val="824"/>
    <w:uiPriority w:val="0"/>
    <w:qFormat/>
    <w:rPr>
      <w:rFonts w:ascii="宋体" w:hAnsi="宋体"/>
      <w:sz w:val="28"/>
    </w:rPr>
  </w:style>
  <w:style w:type="paragraph" w:styleId="824" w:customStyle="1">
    <w:name w:val="小标题"/>
    <w:basedOn w:val="672"/>
    <w:link w:val="823"/>
    <w:uiPriority w:val="0"/>
    <w:qFormat/>
    <w:pPr>
      <w:jc w:val="left"/>
    </w:pPr>
    <w:rPr>
      <w:rFonts w:ascii="宋体" w:hAnsi="宋体"/>
      <w:sz w:val="28"/>
      <w:szCs w:val="20"/>
    </w:rPr>
  </w:style>
  <w:style w:type="character" w:styleId="825" w:customStyle="1">
    <w:name w:val="Font Style37"/>
    <w:uiPriority w:val="0"/>
    <w:qFormat/>
    <w:rPr>
      <w:rFonts w:ascii="Arial" w:hAnsi="Arial" w:cs="Arial"/>
      <w:sz w:val="16"/>
      <w:szCs w:val="16"/>
    </w:rPr>
  </w:style>
  <w:style w:type="character" w:styleId="826" w:customStyle="1">
    <w:name w:val="Footer Char"/>
    <w:uiPriority w:val="0"/>
    <w:qFormat/>
    <w:rPr>
      <w:sz w:val="18"/>
    </w:rPr>
  </w:style>
  <w:style w:type="character" w:styleId="827" w:customStyle="1">
    <w:name w:val="style262"/>
    <w:uiPriority w:val="0"/>
    <w:qFormat/>
    <w:rPr>
      <w:sz w:val="18"/>
      <w:szCs w:val="18"/>
    </w:rPr>
  </w:style>
  <w:style w:type="character" w:styleId="828" w:customStyle="1">
    <w:name w:val="headline-content2"/>
    <w:basedOn w:val="682"/>
    <w:uiPriority w:val="0"/>
    <w:qFormat/>
  </w:style>
  <w:style w:type="character" w:styleId="829" w:customStyle="1">
    <w:name w:val="标题 5 字符"/>
    <w:uiPriority w:val="9"/>
    <w:qFormat/>
    <w:rPr>
      <w:rFonts w:ascii="Times New Roman" w:hAnsi="Times New Roman" w:eastAsia="宋体" w:cs="Times New Roman"/>
      <w:b/>
      <w:bCs/>
      <w:sz w:val="28"/>
      <w:szCs w:val="28"/>
    </w:rPr>
  </w:style>
  <w:style w:type="character" w:styleId="830" w:customStyle="1">
    <w:name w:val="ewb-weather"/>
    <w:basedOn w:val="682"/>
    <w:uiPriority w:val="0"/>
    <w:qFormat/>
  </w:style>
  <w:style w:type="character" w:styleId="831" w:customStyle="1">
    <w:name w:val="纯文本 Char1"/>
    <w:uiPriority w:val="99"/>
    <w:qFormat/>
    <w:rPr>
      <w:rFonts w:ascii="宋体" w:hAnsi="Courier New" w:cs="Courier New"/>
      <w:sz w:val="21"/>
      <w:szCs w:val="21"/>
    </w:rPr>
  </w:style>
  <w:style w:type="character" w:styleId="832" w:customStyle="1">
    <w:name w:val="日期 Char2"/>
    <w:uiPriority w:val="0"/>
    <w:qFormat/>
    <w:rPr>
      <w:sz w:val="21"/>
      <w:szCs w:val="24"/>
    </w:rPr>
  </w:style>
  <w:style w:type="character" w:styleId="833" w:customStyle="1">
    <w:name w:val="列出段落 Char"/>
    <w:link w:val="834"/>
    <w:uiPriority w:val="0"/>
    <w:qFormat/>
    <w:rPr>
      <w:rFonts w:hAnsi="Calibri"/>
      <w:sz w:val="24"/>
      <w:szCs w:val="24"/>
    </w:rPr>
  </w:style>
  <w:style w:type="paragraph" w:styleId="834" w:customStyle="1">
    <w:name w:val="列出段落1"/>
    <w:basedOn w:val="672"/>
    <w:link w:val="833"/>
    <w:uiPriority w:val="0"/>
    <w:qFormat/>
    <w:pPr>
      <w:ind w:firstLine="420"/>
    </w:pPr>
    <w:rPr>
      <w:rFonts w:hAnsi="Calibri"/>
      <w:sz w:val="24"/>
    </w:rPr>
  </w:style>
  <w:style w:type="character" w:styleId="835" w:customStyle="1">
    <w:name w:val="无"/>
    <w:uiPriority w:val="0"/>
    <w:qFormat/>
  </w:style>
  <w:style w:type="character" w:styleId="836" w:customStyle="1">
    <w:name w:val="Font Style36"/>
    <w:uiPriority w:val="0"/>
    <w:qFormat/>
    <w:rPr>
      <w:rFonts w:ascii="宋体" w:eastAsia="宋体" w:cs="宋体"/>
      <w:sz w:val="16"/>
      <w:szCs w:val="16"/>
    </w:rPr>
  </w:style>
  <w:style w:type="character" w:styleId="837" w:customStyle="1">
    <w:name w:val="fontstyle01"/>
    <w:uiPriority w:val="0"/>
    <w:qFormat/>
    <w:rPr>
      <w:rFonts w:ascii="宋体" w:hAnsi="宋体" w:eastAsia="宋体" w:cs="宋体"/>
      <w:color w:val="000000"/>
      <w:sz w:val="36"/>
      <w:szCs w:val="36"/>
      <w:lang w:val="en-US" w:eastAsia="zh-CN" w:bidi="ar-SA"/>
    </w:rPr>
  </w:style>
  <w:style w:type="character" w:styleId="838" w:customStyle="1">
    <w:name w:val="Char Char3"/>
    <w:uiPriority w:val="0"/>
    <w:qFormat/>
    <w:rPr>
      <w:rFonts w:ascii="Calibri" w:hAnsi="Calibri" w:eastAsia="宋体"/>
      <w:sz w:val="18"/>
      <w:szCs w:val="18"/>
      <w:lang w:val="en-US" w:eastAsia="zh-CN" w:bidi="ar-SA"/>
    </w:rPr>
  </w:style>
  <w:style w:type="character" w:styleId="839" w:customStyle="1">
    <w:name w:val="日期 Char3"/>
    <w:uiPriority w:val="99"/>
    <w:semiHidden/>
    <w:qFormat/>
    <w:rPr>
      <w:rFonts w:ascii="Times New Roman" w:hAnsi="Times New Roman" w:eastAsia="宋体" w:cs="Times New Roman"/>
      <w:szCs w:val="24"/>
    </w:rPr>
  </w:style>
  <w:style w:type="character" w:styleId="840" w:customStyle="1">
    <w:name w:val="页眉 字符"/>
    <w:uiPriority w:val="0"/>
    <w:qFormat/>
    <w:rPr>
      <w:sz w:val="18"/>
      <w:szCs w:val="18"/>
    </w:rPr>
  </w:style>
  <w:style w:type="character" w:styleId="841" w:customStyle="1">
    <w:name w:val="ask-title2"/>
    <w:basedOn w:val="682"/>
    <w:uiPriority w:val="0"/>
    <w:qFormat/>
  </w:style>
  <w:style w:type="character" w:styleId="842" w:customStyle="1">
    <w:name w:val="Heading 2 Char"/>
    <w:uiPriority w:val="0"/>
    <w:qFormat/>
    <w:rPr>
      <w:rFonts w:ascii="等线 Light" w:hAnsi="等线 Light" w:eastAsia="宋体" w:cs="Times New Roman"/>
      <w:b/>
      <w:bCs/>
      <w:sz w:val="32"/>
      <w:szCs w:val="32"/>
    </w:rPr>
  </w:style>
  <w:style w:type="character" w:styleId="843" w:customStyle="1">
    <w:name w:val="标题 Char1"/>
    <w:uiPriority w:val="0"/>
    <w:qFormat/>
    <w:rPr>
      <w:rFonts w:ascii="Cambria" w:hAnsi="Cambria" w:cs="Times New Roman"/>
      <w:b/>
      <w:bCs/>
      <w:sz w:val="32"/>
      <w:szCs w:val="32"/>
    </w:rPr>
  </w:style>
  <w:style w:type="character" w:styleId="844" w:customStyle="1">
    <w:name w:val="Font Style28"/>
    <w:uiPriority w:val="0"/>
    <w:qFormat/>
    <w:rPr>
      <w:rFonts w:ascii="Constantia" w:hAnsi="Constantia" w:cs="Constantia"/>
      <w:sz w:val="28"/>
      <w:szCs w:val="28"/>
    </w:rPr>
  </w:style>
  <w:style w:type="paragraph" w:styleId="845" w:customStyle="1">
    <w:name w:val="*正文"/>
    <w:basedOn w:val="672"/>
    <w:uiPriority w:val="0"/>
    <w:qFormat/>
    <w:pPr>
      <w:ind w:firstLine="200"/>
      <w:widowControl/>
    </w:pPr>
    <w:rPr>
      <w:rFonts w:ascii="仿宋_GB2312" w:eastAsia="仿宋_GB2312"/>
      <w:sz w:val="24"/>
      <w:szCs w:val="28"/>
    </w:rPr>
  </w:style>
  <w:style w:type="paragraph" w:styleId="846"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847" w:customStyle="1">
    <w:name w:val="pa-3"/>
    <w:basedOn w:val="672"/>
    <w:uiPriority w:val="0"/>
    <w:qFormat/>
    <w:pPr>
      <w:ind w:left="420"/>
      <w:jc w:val="left"/>
      <w:spacing w:before="150" w:after="150"/>
      <w:widowControl/>
      <w:tabs>
        <w:tab w:val="left" w:pos="420" w:leader="none"/>
        <w:tab w:val="left" w:pos="454" w:leader="none"/>
      </w:tabs>
    </w:pPr>
    <w:rPr>
      <w:rFonts w:ascii="宋体" w:cs="宋体"/>
      <w:sz w:val="24"/>
    </w:rPr>
  </w:style>
  <w:style w:type="paragraph" w:styleId="848" w:customStyle="1">
    <w:name w:val="列出段落41"/>
    <w:basedOn w:val="672"/>
    <w:uiPriority w:val="0"/>
    <w:qFormat/>
    <w:pPr>
      <w:ind w:firstLine="420"/>
    </w:pPr>
    <w:rPr>
      <w:szCs w:val="21"/>
    </w:rPr>
  </w:style>
  <w:style w:type="paragraph" w:styleId="849" w:customStyle="1">
    <w:name w:val="No Spacing1"/>
    <w:uiPriority w:val="0"/>
    <w:qFormat/>
    <w:pPr>
      <w:jc w:val="both"/>
      <w:widowControl w:val="off"/>
    </w:pPr>
    <w:rPr>
      <w:rFonts w:ascii="等线" w:hAnsi="等线" w:eastAsia="等线" w:cs="等线"/>
      <w:sz w:val="21"/>
      <w:szCs w:val="21"/>
      <w:lang w:val="en-US" w:eastAsia="zh-CN" w:bidi="ar-SA"/>
    </w:rPr>
  </w:style>
  <w:style w:type="paragraph" w:styleId="850" w:customStyle="1">
    <w:name w:val="11"/>
    <w:uiPriority w:val="0"/>
    <w:qFormat/>
    <w:pPr>
      <w:ind w:firstLine="369"/>
      <w:jc w:val="both"/>
      <w:widowControl w:val="off"/>
    </w:pPr>
    <w:rPr>
      <w:rFonts w:ascii="宋体" w:hAnsi="Calibri" w:eastAsia="宋体" w:cs="Times New Roman"/>
      <w:color w:val="000000"/>
      <w:sz w:val="18"/>
      <w:szCs w:val="18"/>
      <w:lang w:val="en-US" w:eastAsia="zh-CN" w:bidi="ar-SA"/>
    </w:rPr>
  </w:style>
  <w:style w:type="paragraph" w:styleId="851" w:customStyle="1">
    <w:name w:val="Char11"/>
    <w:basedOn w:val="672"/>
    <w:uiPriority w:val="0"/>
    <w:qFormat/>
    <w:pPr>
      <w:tabs>
        <w:tab w:val="left" w:pos="360" w:leader="none"/>
      </w:tabs>
    </w:pPr>
    <w:rPr>
      <w:sz w:val="24"/>
    </w:rPr>
  </w:style>
  <w:style w:type="paragraph" w:styleId="852"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53" w:customStyle="1">
    <w:name w:val="_Style 103"/>
    <w:next w:val="672"/>
    <w:uiPriority w:val="0"/>
    <w:qFormat/>
    <w:pPr>
      <w:jc w:val="both"/>
      <w:widowControl w:val="off"/>
    </w:pPr>
    <w:rPr>
      <w:rFonts w:ascii="Times New Roman" w:hAnsi="Times New Roman" w:eastAsia="宋体" w:cs="Times New Roman"/>
      <w:sz w:val="21"/>
      <w:szCs w:val="24"/>
      <w:lang w:val="en-US" w:eastAsia="zh-CN" w:bidi="ar-SA"/>
    </w:rPr>
  </w:style>
  <w:style w:type="paragraph" w:styleId="854" w:customStyle="1">
    <w:name w:val="列出段落4"/>
    <w:basedOn w:val="672"/>
    <w:uiPriority w:val="99"/>
    <w:unhideWhenUsed/>
    <w:qFormat/>
    <w:pPr>
      <w:ind w:firstLine="420"/>
    </w:pPr>
  </w:style>
  <w:style w:type="paragraph" w:styleId="855" w:customStyle="1">
    <w:name w:val="Char Char Char1 Char Char Char Char"/>
    <w:basedOn w:val="672"/>
    <w:uiPriority w:val="0"/>
    <w:qFormat/>
    <w:pPr>
      <w:jc w:val="left"/>
      <w:spacing w:after="160" w:line="240" w:lineRule="exact"/>
      <w:widowControl/>
    </w:pPr>
    <w:rPr>
      <w:rFonts w:ascii="宋体" w:hAnsi="宋体"/>
      <w:b/>
      <w:sz w:val="28"/>
      <w:szCs w:val="28"/>
    </w:rPr>
  </w:style>
  <w:style w:type="paragraph" w:styleId="856" w:customStyle="1">
    <w:name w:val="Char Char1"/>
    <w:basedOn w:val="672"/>
    <w:uiPriority w:val="0"/>
    <w:qFormat/>
    <w:rPr>
      <w:rFonts w:ascii="Calibri" w:hAnsi="Calibri" w:eastAsia="宋体" w:cs="Times New Roman"/>
      <w:szCs w:val="20"/>
    </w:rPr>
  </w:style>
  <w:style w:type="paragraph" w:styleId="857" w:customStyle="1">
    <w:name w:val="标题1"/>
    <w:basedOn w:val="673"/>
    <w:next w:val="672"/>
    <w:uiPriority w:val="0"/>
    <w:qFormat/>
    <w:pPr>
      <w:numPr>
        <w:ilvl w:val="0"/>
        <w:numId w:val="1"/>
      </w:numPr>
      <w:jc w:val="left"/>
      <w:spacing w:line="578" w:lineRule="atLeast"/>
    </w:pPr>
  </w:style>
  <w:style w:type="paragraph" w:styleId="858" w:customStyle="1">
    <w:name w:val="首行缩进"/>
    <w:basedOn w:val="672"/>
    <w:uiPriority w:val="0"/>
    <w:qFormat/>
    <w:pPr>
      <w:ind w:firstLine="480"/>
    </w:pPr>
    <w:rPr>
      <w:lang w:val="zh-CN"/>
    </w:rPr>
  </w:style>
  <w:style w:type="paragraph" w:styleId="859" w:customStyle="1">
    <w:name w:val="_Style 3"/>
    <w:basedOn w:val="672"/>
    <w:next w:val="721"/>
    <w:uiPriority w:val="0"/>
    <w:qFormat/>
    <w:pPr>
      <w:numPr>
        <w:ilvl w:val="0"/>
        <w:numId w:val="3"/>
      </w:numPr>
      <w:ind w:firstLine="200"/>
      <w:tabs>
        <w:tab w:val="left" w:pos="454" w:leader="none"/>
      </w:tabs>
    </w:pPr>
    <w:rPr>
      <w:rFonts w:ascii="长城仿宋" w:hAnsi="长城仿宋" w:eastAsia="仿宋_GB2312" w:cs="Arial"/>
    </w:rPr>
  </w:style>
  <w:style w:type="paragraph" w:styleId="860" w:customStyle="1">
    <w:name w:val="正文（无缩进）"/>
    <w:basedOn w:val="672"/>
    <w:uiPriority w:val="0"/>
    <w:qFormat/>
    <w:pPr>
      <w:spacing w:line="360" w:lineRule="auto"/>
    </w:pPr>
    <w:rPr>
      <w:rFonts w:ascii="Calibri" w:hAnsi="Calibri"/>
      <w:sz w:val="24"/>
      <w:szCs w:val="21"/>
    </w:rPr>
  </w:style>
  <w:style w:type="paragraph" w:styleId="861" w:customStyle="1">
    <w:name w:val="Style10"/>
    <w:basedOn w:val="672"/>
    <w:uiPriority w:val="0"/>
    <w:qFormat/>
    <w:pPr>
      <w:jc w:val="left"/>
    </w:pPr>
    <w:rPr>
      <w:rFonts w:ascii="宋体"/>
      <w:sz w:val="24"/>
    </w:rPr>
  </w:style>
  <w:style w:type="paragraph" w:styleId="862" w:customStyle="1">
    <w:name w:val="列出段落11"/>
    <w:basedOn w:val="672"/>
    <w:uiPriority w:val="0"/>
    <w:qFormat/>
    <w:pPr>
      <w:ind w:firstLine="200"/>
    </w:pPr>
    <w:rPr>
      <w:sz w:val="28"/>
      <w:szCs w:val="20"/>
    </w:rPr>
  </w:style>
  <w:style w:type="paragraph" w:styleId="863" w:customStyle="1">
    <w:name w:val="p3"/>
    <w:basedOn w:val="672"/>
    <w:uiPriority w:val="0"/>
    <w:qFormat/>
    <w:pPr>
      <w:jc w:val="left"/>
      <w:spacing w:before="100" w:beforeAutospacing="1" w:after="100" w:afterAutospacing="1"/>
      <w:widowControl/>
    </w:pPr>
    <w:rPr>
      <w:rFonts w:ascii="宋体" w:cs="宋体"/>
      <w:sz w:val="24"/>
    </w:rPr>
  </w:style>
  <w:style w:type="paragraph" w:styleId="864" w:customStyle="1">
    <w:name w:val="Char1"/>
    <w:basedOn w:val="672"/>
    <w:uiPriority w:val="0"/>
    <w:qFormat/>
    <w:pPr>
      <w:ind w:left="840" w:hanging="420"/>
      <w:tabs>
        <w:tab w:val="left" w:pos="840" w:leader="none"/>
      </w:tabs>
    </w:pPr>
    <w:rPr>
      <w:sz w:val="24"/>
    </w:rPr>
  </w:style>
  <w:style w:type="paragraph" w:styleId="865" w:customStyle="1">
    <w:name w:val="普通正文"/>
    <w:basedOn w:val="672"/>
    <w:uiPriority w:val="0"/>
    <w:qFormat/>
    <w:pPr>
      <w:ind w:firstLine="480"/>
      <w:jc w:val="left"/>
      <w:spacing w:before="120" w:after="120" w:line="360" w:lineRule="auto"/>
    </w:pPr>
    <w:rPr>
      <w:rFonts w:ascii="Arial" w:hAnsi="Arial"/>
      <w:sz w:val="24"/>
    </w:rPr>
  </w:style>
  <w:style w:type="paragraph" w:styleId="866" w:customStyle="1">
    <w:name w:val="要点标题"/>
    <w:basedOn w:val="672"/>
    <w:uiPriority w:val="0"/>
    <w:qFormat/>
    <w:pPr>
      <w:numPr>
        <w:ilvl w:val="0"/>
        <w:numId w:val="4"/>
      </w:numPr>
      <w:jc w:val="left"/>
    </w:pPr>
    <w:rPr>
      <w:rFonts w:ascii="宋体" w:hAnsi="宋体"/>
      <w:b/>
      <w:sz w:val="24"/>
    </w:rPr>
  </w:style>
  <w:style w:type="paragraph" w:styleId="867" w:customStyle="1">
    <w:name w:val="标书正文:  0.74 厘米"/>
    <w:basedOn w:val="672"/>
    <w:uiPriority w:val="0"/>
    <w:qFormat/>
    <w:pPr>
      <w:ind w:firstLine="420"/>
      <w:spacing w:line="360" w:lineRule="auto"/>
    </w:pPr>
    <w:rPr>
      <w:rFonts w:ascii="黑体" w:hAnsi="Calibri" w:eastAsia="黑体"/>
      <w:sz w:val="24"/>
    </w:rPr>
  </w:style>
  <w:style w:type="paragraph" w:styleId="868" w:customStyle="1">
    <w:name w:val="_Style 189"/>
    <w:uiPriority w:val="0"/>
    <w:qFormat/>
    <w:rPr>
      <w:rFonts w:ascii="Times New Roman" w:hAnsi="Times New Roman" w:eastAsia="宋体" w:cs="Times New Roman"/>
      <w:sz w:val="21"/>
      <w:szCs w:val="24"/>
      <w:lang w:val="en-US" w:eastAsia="zh-CN" w:bidi="ar-SA"/>
    </w:rPr>
  </w:style>
  <w:style w:type="paragraph" w:styleId="869" w:customStyle="1">
    <w:name w:val=" Char"/>
    <w:basedOn w:val="672"/>
    <w:uiPriority w:val="0"/>
    <w:qFormat/>
    <w:pPr>
      <w:ind w:left="420" w:hanging="420"/>
      <w:jc w:val="left"/>
      <w:tabs>
        <w:tab w:val="left" w:pos="420" w:leader="none"/>
      </w:tabs>
    </w:pPr>
    <w:rPr>
      <w:szCs w:val="20"/>
    </w:rPr>
  </w:style>
  <w:style w:type="paragraph" w:styleId="870" w:customStyle="1">
    <w:name w:val="样式 10 磅"/>
    <w:uiPriority w:val="0"/>
    <w:qFormat/>
    <w:pPr>
      <w:jc w:val="both"/>
      <w:widowControl w:val="off"/>
    </w:pPr>
    <w:rPr>
      <w:rFonts w:ascii="Calibri" w:hAnsi="Calibri" w:eastAsia="宋体" w:cs="Times New Roman"/>
      <w:sz w:val="21"/>
      <w:szCs w:val="24"/>
      <w:lang w:val="en-US" w:eastAsia="zh-CN" w:bidi="ar-SA"/>
    </w:rPr>
  </w:style>
  <w:style w:type="paragraph" w:styleId="871" w:customStyle="1">
    <w:name w:val="文本"/>
    <w:basedOn w:val="672"/>
    <w:uiPriority w:val="0"/>
    <w:qFormat/>
    <w:pPr>
      <w:ind w:left="-359" w:firstLine="560"/>
      <w:spacing w:line="440" w:lineRule="exact"/>
    </w:pPr>
    <w:rPr>
      <w:rFonts w:ascii="宋体" w:hAnsi="宋体"/>
      <w:sz w:val="28"/>
      <w:szCs w:val="28"/>
      <w:lang w:val="zh-CN"/>
    </w:rPr>
  </w:style>
  <w:style w:type="paragraph" w:styleId="872" w:customStyle="1">
    <w:name w:val="Style9"/>
    <w:basedOn w:val="672"/>
    <w:uiPriority w:val="0"/>
    <w:qFormat/>
    <w:pPr>
      <w:jc w:val="left"/>
    </w:pPr>
    <w:rPr>
      <w:rFonts w:ascii="宋体"/>
      <w:sz w:val="24"/>
    </w:rPr>
  </w:style>
  <w:style w:type="paragraph" w:styleId="873" w:customStyle="1">
    <w:name w:val="Char12"/>
    <w:basedOn w:val="672"/>
    <w:uiPriority w:val="0"/>
    <w:qFormat/>
    <w:pPr>
      <w:ind w:left="420" w:hanging="420"/>
      <w:jc w:val="left"/>
      <w:tabs>
        <w:tab w:val="left" w:pos="420" w:leader="none"/>
      </w:tabs>
    </w:pPr>
    <w:rPr>
      <w:szCs w:val="20"/>
    </w:rPr>
  </w:style>
  <w:style w:type="paragraph" w:styleId="874" w:customStyle="1">
    <w:name w:val="DC_正文"/>
    <w:basedOn w:val="672"/>
    <w:uiPriority w:val="0"/>
    <w:qFormat/>
    <w:pPr>
      <w:ind w:firstLine="200"/>
      <w:spacing w:line="360" w:lineRule="auto"/>
    </w:pPr>
    <w:rPr>
      <w:rFonts w:ascii="微软雅黑" w:hAnsi="微软雅黑" w:eastAsia="微软雅黑"/>
      <w:szCs w:val="22"/>
    </w:rPr>
  </w:style>
  <w:style w:type="paragraph" w:styleId="875">
    <w:name w:val="List Paragraph"/>
    <w:basedOn w:val="672"/>
    <w:uiPriority w:val="1"/>
    <w:qFormat/>
    <w:pPr>
      <w:ind w:firstLine="420"/>
    </w:pPr>
  </w:style>
  <w:style w:type="paragraph" w:styleId="876" w:customStyle="1">
    <w:name w:val="表格1"/>
    <w:basedOn w:val="672"/>
    <w:uiPriority w:val="0"/>
    <w:qFormat/>
    <w:rPr>
      <w:rFonts w:ascii="Calibri" w:hAnsi="Calibri"/>
      <w:szCs w:val="22"/>
    </w:rPr>
  </w:style>
  <w:style w:type="paragraph" w:styleId="877" w:customStyle="1">
    <w:name w:val="p17"/>
    <w:basedOn w:val="672"/>
    <w:uiPriority w:val="0"/>
    <w:qFormat/>
    <w:pPr>
      <w:ind w:firstLine="200"/>
      <w:spacing w:before="60" w:after="60" w:line="300" w:lineRule="auto"/>
      <w:widowControl/>
    </w:pPr>
    <w:rPr>
      <w:rFonts w:ascii="宋体" w:cs="宋体"/>
      <w:spacing w:val="10"/>
      <w:szCs w:val="21"/>
    </w:rPr>
  </w:style>
  <w:style w:type="paragraph" w:styleId="878" w:customStyle="1">
    <w:name w:val="p25"/>
    <w:basedOn w:val="672"/>
    <w:uiPriority w:val="0"/>
    <w:qFormat/>
    <w:pPr>
      <w:jc w:val="left"/>
      <w:spacing w:line="440" w:lineRule="exact"/>
      <w:widowControl/>
    </w:pPr>
    <w:rPr>
      <w:rFonts w:ascii="宋体" w:cs="宋体"/>
      <w:sz w:val="26"/>
      <w:szCs w:val="26"/>
    </w:rPr>
  </w:style>
  <w:style w:type="paragraph" w:styleId="879" w:customStyle="1">
    <w:name w:val="图片居中"/>
    <w:basedOn w:val="672"/>
    <w:uiPriority w:val="0"/>
    <w:qFormat/>
    <w:pPr>
      <w:jc w:val="center"/>
      <w:spacing w:line="440" w:lineRule="exact"/>
    </w:pPr>
    <w:rPr>
      <w:rFonts w:ascii="宋体" w:hAnsi="宋体" w:cs="宋体"/>
      <w:sz w:val="24"/>
    </w:rPr>
  </w:style>
  <w:style w:type="paragraph" w:styleId="880" w:customStyle="1">
    <w:name w:val="Char Char Char Char Char 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881" w:customStyle="1">
    <w:name w:val="List Paragraph11"/>
    <w:basedOn w:val="672"/>
    <w:uiPriority w:val="0"/>
    <w:qFormat/>
    <w:pPr>
      <w:ind w:firstLine="420"/>
    </w:pPr>
    <w:rPr>
      <w:szCs w:val="22"/>
    </w:rPr>
  </w:style>
  <w:style w:type="paragraph" w:styleId="882" w:customStyle="1">
    <w:name w:val="文档正文"/>
    <w:basedOn w:val="672"/>
    <w:uiPriority w:val="0"/>
    <w:qFormat/>
    <w:pPr>
      <w:ind w:firstLine="567"/>
      <w:spacing w:line="480" w:lineRule="atLeast"/>
    </w:pPr>
    <w:rPr>
      <w:rFonts w:ascii="仿宋_GB2312"/>
      <w:szCs w:val="20"/>
    </w:rPr>
  </w:style>
  <w:style w:type="paragraph" w:styleId="883" w:customStyle="1">
    <w:name w:val="列出段落3"/>
    <w:basedOn w:val="672"/>
    <w:uiPriority w:val="0"/>
    <w:unhideWhenUsed/>
    <w:qFormat/>
    <w:pPr>
      <w:ind w:firstLine="420"/>
    </w:pPr>
  </w:style>
  <w:style w:type="paragraph" w:styleId="884" w:customStyle="1">
    <w:name w:val="_Style 206"/>
    <w:basedOn w:val="673"/>
    <w:next w:val="672"/>
    <w:uiPriority w:val="39"/>
    <w:qFormat/>
    <w:pPr>
      <w:jc w:val="left"/>
      <w:spacing w:before="480" w:after="0" w:line="276" w:lineRule="auto"/>
      <w:widowControl/>
      <w:outlineLvl w:val="9"/>
    </w:pPr>
    <w:rPr>
      <w:rFonts w:ascii="Cambria" w:hAnsi="Cambria"/>
      <w:color w:val="365f91"/>
      <w:sz w:val="28"/>
      <w:szCs w:val="28"/>
    </w:rPr>
  </w:style>
  <w:style w:type="paragraph" w:styleId="885" w:customStyle="1">
    <w:name w:val="pa-4"/>
    <w:basedOn w:val="672"/>
    <w:uiPriority w:val="0"/>
    <w:qFormat/>
    <w:pPr>
      <w:jc w:val="left"/>
      <w:spacing w:before="150" w:after="150"/>
      <w:widowControl/>
    </w:pPr>
    <w:rPr>
      <w:rFonts w:ascii="宋体" w:cs="宋体"/>
      <w:sz w:val="24"/>
    </w:rPr>
  </w:style>
  <w:style w:type="paragraph" w:styleId="886" w:customStyle="1">
    <w:name w:val=" Char Char Char1 Char Char Char Char"/>
    <w:basedOn w:val="672"/>
    <w:uiPriority w:val="0"/>
    <w:qFormat/>
    <w:pPr>
      <w:jc w:val="left"/>
      <w:spacing w:after="160" w:line="240" w:lineRule="exact"/>
      <w:widowControl/>
    </w:pPr>
    <w:rPr>
      <w:rFonts w:ascii="宋体" w:hAnsi="宋体"/>
      <w:b/>
      <w:sz w:val="28"/>
      <w:szCs w:val="28"/>
    </w:rPr>
  </w:style>
  <w:style w:type="paragraph" w:styleId="887" w:customStyle="1">
    <w:name w:val="列出段落31"/>
    <w:basedOn w:val="672"/>
    <w:uiPriority w:val="0"/>
    <w:qFormat/>
    <w:pPr>
      <w:ind w:firstLine="200"/>
    </w:pPr>
    <w:rPr>
      <w:szCs w:val="21"/>
    </w:rPr>
  </w:style>
  <w:style w:type="paragraph" w:styleId="888" w:customStyle="1">
    <w:name w:val="Char Char Char Char Char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889" w:customStyle="1">
    <w:name w:val="列表段落1"/>
    <w:basedOn w:val="672"/>
    <w:uiPriority w:val="34"/>
    <w:qFormat/>
    <w:pPr>
      <w:ind w:firstLine="420"/>
      <w:spacing w:line="300" w:lineRule="auto"/>
    </w:pPr>
    <w:rPr>
      <w:sz w:val="24"/>
      <w:szCs w:val="20"/>
    </w:rPr>
  </w:style>
  <w:style w:type="paragraph" w:styleId="890" w:customStyle="1">
    <w:name w:val="Char3"/>
    <w:basedOn w:val="672"/>
    <w:uiPriority w:val="0"/>
    <w:qFormat/>
    <w:pPr>
      <w:jc w:val="left"/>
      <w:spacing w:after="160" w:line="240" w:lineRule="exact"/>
      <w:widowControl/>
    </w:pPr>
    <w:rPr>
      <w:rFonts w:ascii="Verdana" w:hAnsi="Verdana"/>
      <w:szCs w:val="20"/>
      <w:lang w:eastAsia="en-US"/>
    </w:rPr>
  </w:style>
  <w:style w:type="paragraph" w:styleId="891" w:customStyle="1">
    <w:name w:val="标题3"/>
    <w:basedOn w:val="675"/>
    <w:uiPriority w:val="0"/>
    <w:qFormat/>
    <w:pPr>
      <w:keepLines w:val="0"/>
      <w:keepNext w:val="0"/>
      <w:spacing w:before="0" w:after="0" w:line="360" w:lineRule="auto"/>
    </w:pPr>
    <w:rPr>
      <w:rFonts w:ascii="Calibri" w:hAnsi="Calibri" w:eastAsia="仿宋_GB2312"/>
      <w:b/>
      <w:bCs w:val="0"/>
      <w:sz w:val="30"/>
      <w:szCs w:val="32"/>
    </w:rPr>
  </w:style>
  <w:style w:type="paragraph" w:styleId="892" w:customStyle="1">
    <w:name w:val="新编正文"/>
    <w:basedOn w:val="672"/>
    <w:uiPriority w:val="0"/>
    <w:qFormat/>
    <w:pPr>
      <w:ind w:firstLine="420"/>
      <w:spacing w:before="60" w:after="60" w:line="360" w:lineRule="auto"/>
    </w:pPr>
    <w:rPr>
      <w:rFonts w:ascii="Calibri" w:hAnsi="Calibri" w:cs="宋体"/>
      <w:sz w:val="24"/>
      <w:szCs w:val="20"/>
    </w:rPr>
  </w:style>
  <w:style w:type="paragraph" w:styleId="893" w:customStyle="1">
    <w:name w:val="正文 New New New New"/>
    <w:basedOn w:val="672"/>
    <w:uiPriority w:val="0"/>
    <w:qFormat/>
    <w:rPr>
      <w:rFonts w:ascii="Calibri" w:hAnsi="Calibri"/>
      <w:szCs w:val="21"/>
    </w:rPr>
  </w:style>
  <w:style w:type="paragraph" w:styleId="894" w:customStyle="1">
    <w:name w:val="潘"/>
    <w:basedOn w:val="672"/>
    <w:uiPriority w:val="0"/>
    <w:qFormat/>
    <w:pPr>
      <w:spacing w:line="240" w:lineRule="atLeast"/>
    </w:pPr>
    <w:rPr>
      <w:rFonts w:ascii="Arial" w:hAnsi="Arial" w:eastAsia="楷体_GB2312"/>
      <w:b/>
      <w:bCs/>
    </w:rPr>
  </w:style>
  <w:style w:type="paragraph" w:styleId="895" w:customStyle="1">
    <w:name w:val="CSS标题1"/>
    <w:basedOn w:val="673"/>
    <w:next w:val="896"/>
    <w:uiPriority w:val="0"/>
    <w:qFormat/>
    <w:pPr>
      <w:numPr>
        <w:ilvl w:val="0"/>
        <w:numId w:val="5"/>
      </w:numPr>
      <w:jc w:val="center"/>
      <w:pageBreakBefore/>
      <w:spacing w:line="240" w:lineRule="auto"/>
      <w:tabs>
        <w:tab w:val="left" w:pos="1800" w:leader="none"/>
      </w:tabs>
    </w:pPr>
    <w:rPr>
      <w:rFonts w:ascii="Calibri" w:hAnsi="Calibri" w:eastAsia="黑体"/>
      <w:b w:val="0"/>
      <w:sz w:val="40"/>
    </w:rPr>
  </w:style>
  <w:style w:type="paragraph" w:styleId="896" w:customStyle="1">
    <w:name w:val="CSS正文缩进"/>
    <w:uiPriority w:val="0"/>
    <w:qFormat/>
    <w:pPr>
      <w:ind w:firstLine="560"/>
      <w:spacing w:line="440" w:lineRule="exact"/>
    </w:pPr>
    <w:rPr>
      <w:rFonts w:ascii="Calibri" w:hAnsi="Calibri" w:eastAsia="宋体" w:cs="Times New Roman"/>
      <w:sz w:val="28"/>
      <w:szCs w:val="22"/>
      <w:lang w:val="en-US" w:eastAsia="zh-CN" w:bidi="ar-SA"/>
    </w:rPr>
  </w:style>
  <w:style w:type="paragraph" w:styleId="897" w:customStyle="1">
    <w:name w:val="TableContent"/>
    <w:uiPriority w:val="0"/>
    <w:qFormat/>
    <w:pPr>
      <w:jc w:val="both"/>
      <w:spacing w:before="40" w:after="40"/>
      <w:tabs>
        <w:tab w:val="left" w:pos="980" w:leader="none"/>
      </w:tabs>
    </w:pPr>
    <w:rPr>
      <w:rFonts w:ascii="Arial" w:hAnsi="Arial" w:eastAsia="宋体" w:cs="Times New Roman"/>
      <w:sz w:val="18"/>
      <w:szCs w:val="44"/>
      <w:lang w:val="en-US" w:eastAsia="zh-CN" w:bidi="ar-SA"/>
    </w:rPr>
  </w:style>
  <w:style w:type="paragraph" w:styleId="898" w:customStyle="1">
    <w:name w:val="列出段落21"/>
    <w:basedOn w:val="672"/>
    <w:uiPriority w:val="0"/>
    <w:qFormat/>
    <w:pPr>
      <w:ind w:firstLine="200"/>
      <w:spacing w:line="300" w:lineRule="auto"/>
    </w:pPr>
    <w:rPr>
      <w:rFonts w:ascii="宋体"/>
      <w:sz w:val="24"/>
      <w:szCs w:val="20"/>
    </w:rPr>
  </w:style>
  <w:style w:type="paragraph" w:styleId="899" w:customStyle="1">
    <w:name w:val="TOC 标题1"/>
    <w:basedOn w:val="673"/>
    <w:next w:val="672"/>
    <w:uiPriority w:val="39"/>
    <w:unhideWhenUsed/>
    <w:qFormat/>
    <w:pPr>
      <w:jc w:val="left"/>
      <w:spacing w:before="480" w:after="0" w:line="276" w:lineRule="auto"/>
      <w:widowControl/>
      <w:outlineLvl w:val="9"/>
    </w:pPr>
    <w:rPr>
      <w:rFonts w:ascii="Cambria" w:hAnsi="Cambria"/>
      <w:color w:val="365f91"/>
      <w:sz w:val="28"/>
      <w:szCs w:val="28"/>
    </w:rPr>
  </w:style>
  <w:style w:type="paragraph" w:styleId="900" w:customStyle="1">
    <w:name w:val="TOC 标题2"/>
    <w:basedOn w:val="673"/>
    <w:next w:val="672"/>
    <w:uiPriority w:val="39"/>
    <w:qFormat/>
    <w:pPr>
      <w:jc w:val="left"/>
      <w:spacing w:before="480" w:after="0" w:line="276" w:lineRule="auto"/>
      <w:widowControl/>
      <w:outlineLvl w:val="9"/>
    </w:pPr>
    <w:rPr>
      <w:rFonts w:ascii="Cambria" w:hAnsi="Cambria"/>
      <w:color w:val="365f91"/>
      <w:sz w:val="28"/>
      <w:szCs w:val="28"/>
    </w:rPr>
  </w:style>
  <w:style w:type="paragraph" w:styleId="901" w:customStyle="1">
    <w:name w:val="列出段落5"/>
    <w:basedOn w:val="672"/>
    <w:uiPriority w:val="0"/>
    <w:qFormat/>
    <w:pPr>
      <w:ind w:firstLine="420"/>
    </w:pPr>
    <w:rPr>
      <w:rFonts w:ascii="宋体" w:hAnsi="宋体" w:cs="宋体"/>
      <w:sz w:val="24"/>
    </w:rPr>
  </w:style>
  <w:style w:type="paragraph" w:styleId="902" w:customStyle="1">
    <w:name w:val="p20"/>
    <w:basedOn w:val="672"/>
    <w:uiPriority w:val="0"/>
    <w:qFormat/>
    <w:pPr>
      <w:widowControl/>
    </w:pPr>
    <w:rPr>
      <w:rFonts w:ascii="宋体" w:hAnsi="宋体" w:cs="宋体"/>
      <w:szCs w:val="21"/>
    </w:rPr>
  </w:style>
  <w:style w:type="paragraph" w:styleId="903" w:customStyle="1">
    <w:name w:val="Char Char Char Char"/>
    <w:basedOn w:val="691"/>
    <w:uiPriority w:val="0"/>
    <w:qFormat/>
    <w:pPr>
      <w:spacing w:line="360" w:lineRule="auto"/>
    </w:pPr>
    <w:rPr>
      <w:rFonts w:ascii="Tahoma" w:hAnsi="Tahoma"/>
      <w:sz w:val="24"/>
    </w:rPr>
  </w:style>
  <w:style w:type="paragraph" w:styleId="904" w:customStyle="1">
    <w:name w:val="0-正"/>
    <w:uiPriority w:val="0"/>
    <w:qFormat/>
    <w:pPr>
      <w:contextualSpacing/>
      <w:ind w:firstLine="200"/>
      <w:jc w:val="both"/>
      <w:spacing w:line="360" w:lineRule="auto"/>
    </w:pPr>
    <w:rPr>
      <w:rFonts w:ascii="宋体" w:hAnsi="Times New Roman" w:eastAsia="宋体" w:cs="宋体"/>
      <w:sz w:val="24"/>
      <w:szCs w:val="24"/>
      <w:lang w:val="en-US" w:eastAsia="zh-CN" w:bidi="ar-SA"/>
    </w:rPr>
  </w:style>
  <w:style w:type="paragraph" w:styleId="905" w:customStyle="1">
    <w:name w:val="我的样式"/>
    <w:basedOn w:val="673"/>
    <w:next w:val="672"/>
    <w:uiPriority w:val="0"/>
    <w:qFormat/>
    <w:pPr>
      <w:numPr>
        <w:ilvl w:val="0"/>
        <w:numId w:val="6"/>
      </w:numPr>
      <w:spacing w:line="360" w:lineRule="auto"/>
    </w:pPr>
    <w:rPr>
      <w:rFonts w:ascii="仿宋_GB2312" w:eastAsia="仿宋_GB2312"/>
      <w:sz w:val="32"/>
      <w:szCs w:val="30"/>
    </w:rPr>
  </w:style>
  <w:style w:type="paragraph" w:styleId="906" w:customStyle="1">
    <w:name w:val="Char"/>
    <w:basedOn w:val="672"/>
    <w:uiPriority w:val="0"/>
    <w:qFormat/>
    <w:pPr>
      <w:tabs>
        <w:tab w:val="left" w:pos="360" w:leader="none"/>
      </w:tabs>
    </w:pPr>
    <w:rPr>
      <w:sz w:val="24"/>
    </w:rPr>
  </w:style>
  <w:style w:type="paragraph" w:styleId="907" w:customStyle="1">
    <w:name w:val="修订1"/>
    <w:uiPriority w:val="0"/>
    <w:qFormat/>
    <w:rPr>
      <w:rFonts w:ascii="Times New Roman" w:hAnsi="Times New Roman" w:eastAsia="宋体" w:cs="Times New Roman"/>
      <w:sz w:val="21"/>
      <w:szCs w:val="24"/>
      <w:lang w:val="en-US" w:eastAsia="zh-CN" w:bidi="ar-SA"/>
    </w:rPr>
  </w:style>
  <w:style w:type="paragraph" w:styleId="908" w:customStyle="1">
    <w:name w:val="Style12"/>
    <w:basedOn w:val="672"/>
    <w:uiPriority w:val="0"/>
    <w:qFormat/>
    <w:pPr>
      <w:jc w:val="left"/>
    </w:pPr>
    <w:rPr>
      <w:rFonts w:ascii="宋体"/>
      <w:sz w:val="24"/>
    </w:rPr>
  </w:style>
  <w:style w:type="paragraph" w:styleId="909" w:customStyle="1">
    <w:name w:val="正文正"/>
    <w:basedOn w:val="672"/>
    <w:uiPriority w:val="0"/>
    <w:qFormat/>
    <w:pPr>
      <w:ind w:firstLine="561"/>
      <w:spacing w:line="560" w:lineRule="exact"/>
    </w:pPr>
    <w:rPr>
      <w:rFonts w:ascii="宋体" w:hAnsi="宋体" w:eastAsia="仿宋_GB2312" w:cs="Times New Roman"/>
      <w:sz w:val="28"/>
    </w:rPr>
  </w:style>
  <w:style w:type="paragraph" w:styleId="910" w:customStyle="1">
    <w:name w:val="正文360首行缩进"/>
    <w:basedOn w:val="672"/>
    <w:uiPriority w:val="0"/>
    <w:qFormat/>
    <w:pPr>
      <w:ind w:firstLine="200"/>
      <w:jc w:val="left"/>
      <w:spacing w:before="120" w:line="300" w:lineRule="auto"/>
      <w:widowControl/>
    </w:pPr>
    <w:rPr>
      <w:rFonts w:ascii="Times New Roman" w:hAnsi="Times New Roman" w:eastAsia="宋体" w:cs="Times New Roman"/>
      <w:sz w:val="24"/>
      <w:szCs w:val="20"/>
    </w:rPr>
  </w:style>
  <w:style w:type="paragraph" w:styleId="911" w:customStyle="1">
    <w:name w:val="Char Char1 Char Char Char Char Char Char"/>
    <w:basedOn w:val="672"/>
    <w:uiPriority w:val="0"/>
    <w:qFormat/>
    <w:pPr>
      <w:jc w:val="center"/>
      <w:widowControl/>
    </w:pPr>
    <w:rPr>
      <w:rFonts w:ascii="宋体" w:hAnsi="宋体"/>
      <w:b/>
      <w:sz w:val="24"/>
      <w:lang w:eastAsia="en-US"/>
    </w:rPr>
  </w:style>
  <w:style w:type="paragraph" w:styleId="912" w:customStyle="1">
    <w:name w:val="正文（缩进） Char1"/>
    <w:basedOn w:val="672"/>
    <w:uiPriority w:val="0"/>
    <w:qFormat/>
    <w:pPr>
      <w:ind w:firstLine="480"/>
      <w:spacing w:before="156" w:after="156" w:line="360" w:lineRule="auto"/>
    </w:pPr>
    <w:rPr>
      <w:sz w:val="24"/>
    </w:rPr>
  </w:style>
  <w:style w:type="paragraph" w:styleId="913" w:customStyle="1">
    <w:name w:val="Style11"/>
    <w:basedOn w:val="672"/>
    <w:uiPriority w:val="0"/>
    <w:qFormat/>
    <w:pPr>
      <w:jc w:val="left"/>
      <w:spacing w:line="446" w:lineRule="exact"/>
    </w:pPr>
    <w:rPr>
      <w:rFonts w:ascii="宋体"/>
      <w:sz w:val="24"/>
    </w:rPr>
  </w:style>
  <w:style w:type="paragraph" w:styleId="914" w:customStyle="1">
    <w:name w:val="普通文字"/>
    <w:basedOn w:val="672"/>
    <w:next w:val="672"/>
    <w:uiPriority w:val="0"/>
    <w:qFormat/>
    <w:rPr>
      <w:rFonts w:ascii="宋体" w:hAnsi="Calibri" w:eastAsia="黑体"/>
      <w:sz w:val="24"/>
      <w:u w:val="none"/>
    </w:rPr>
  </w:style>
  <w:style w:type="paragraph" w:styleId="915" w:customStyle="1">
    <w:name w:val="正文+段落缩进"/>
    <w:basedOn w:val="672"/>
    <w:uiPriority w:val="0"/>
    <w:qFormat/>
    <w:pPr>
      <w:ind w:firstLine="200"/>
      <w:spacing w:line="360" w:lineRule="auto"/>
    </w:pPr>
    <w:rPr>
      <w:rFonts w:ascii="仿宋" w:hAnsi="仿宋" w:eastAsia="仿宋" w:cs="Times New Roman"/>
      <w:sz w:val="28"/>
      <w:szCs w:val="22"/>
    </w:rPr>
  </w:style>
  <w:style w:type="paragraph" w:styleId="916" w:customStyle="1">
    <w:name w:val="样式 首行缩进:  0 字符"/>
    <w:basedOn w:val="672"/>
    <w:next w:val="672"/>
    <w:uiPriority w:val="0"/>
    <w:qFormat/>
  </w:style>
  <w:style w:type="paragraph" w:styleId="917" w:customStyle="1">
    <w:name w:val="默认段落字体 Para Char Char Char Char Char Char Char Char Char1 Char Char Char Char Char Char Char"/>
    <w:basedOn w:val="691"/>
    <w:uiPriority w:val="0"/>
    <w:qFormat/>
    <w:rPr>
      <w:rFonts w:ascii="Tahoma" w:hAnsi="Tahoma"/>
      <w:sz w:val="24"/>
    </w:rPr>
  </w:style>
  <w:style w:type="paragraph" w:styleId="918" w:customStyle="1">
    <w:name w:val="List Paragraph1"/>
    <w:basedOn w:val="672"/>
    <w:uiPriority w:val="0"/>
    <w:qFormat/>
    <w:pPr>
      <w:ind w:firstLine="420"/>
    </w:pPr>
  </w:style>
  <w:style w:type="paragraph" w:styleId="919" w:customStyle="1">
    <w:name w:val="_Style 65"/>
    <w:next w:val="672"/>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_Style 56"/>
    <w:basedOn w:val="691"/>
    <w:uiPriority w:val="0"/>
    <w:qFormat/>
    <w:pPr>
      <w:spacing w:line="436" w:lineRule="exact"/>
    </w:pPr>
    <w:rPr>
      <w:szCs w:val="20"/>
    </w:rPr>
  </w:style>
  <w:style w:type="paragraph" w:styleId="921" w:customStyle="1">
    <w:name w:val="样式一"/>
    <w:basedOn w:val="672"/>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922" w:customStyle="1">
    <w:name w:val="_Style 2"/>
    <w:basedOn w:val="672"/>
    <w:uiPriority w:val="99"/>
    <w:qFormat/>
    <w:pPr>
      <w:ind w:firstLine="420"/>
    </w:pPr>
    <w:rPr>
      <w:rFonts w:ascii="Calibri" w:hAnsi="Calibri"/>
      <w:szCs w:val="22"/>
    </w:rPr>
  </w:style>
  <w:style w:type="paragraph" w:styleId="923" w:customStyle="1">
    <w:name w:val="列出段落2"/>
    <w:basedOn w:val="672"/>
    <w:uiPriority w:val="0"/>
    <w:qFormat/>
    <w:pPr>
      <w:ind w:firstLine="200"/>
    </w:pPr>
    <w:rPr>
      <w:rFonts w:ascii="Calibri" w:hAnsi="Calibri"/>
      <w:szCs w:val="22"/>
    </w:rPr>
  </w:style>
  <w:style w:type="paragraph" w:styleId="924" w:customStyle="1">
    <w:name w:val="样式 文本块 + 左侧:  -3.33 字符"/>
    <w:basedOn w:val="698"/>
    <w:uiPriority w:val="0"/>
    <w:qFormat/>
    <w:pPr>
      <w:ind w:left="0" w:right="0" w:firstLine="200"/>
      <w:spacing w:line="360" w:lineRule="auto"/>
      <w:tabs>
        <w:tab w:val="left" w:pos="1140" w:leader="none"/>
      </w:tabs>
    </w:pPr>
    <w:rPr>
      <w:rFonts w:ascii="宋体" w:cs="宋体"/>
    </w:rPr>
  </w:style>
  <w:style w:type="paragraph" w:styleId="925" w:customStyle="1">
    <w:name w:val="样式 宋体 五号 首行缩进:  0.95 厘米"/>
    <w:basedOn w:val="672"/>
    <w:uiPriority w:val="0"/>
    <w:qFormat/>
    <w:pPr>
      <w:ind w:firstLine="200"/>
      <w:spacing w:line="360" w:lineRule="auto"/>
      <w:outlineLvl w:val="2"/>
    </w:pPr>
    <w:rPr>
      <w:rFonts w:ascii="宋体" w:cs="宋体"/>
      <w:b/>
      <w:color w:val="ff0000"/>
      <w:sz w:val="24"/>
    </w:rPr>
  </w:style>
  <w:style w:type="paragraph" w:styleId="926" w:customStyle="1">
    <w:name w:val="0-正文"/>
    <w:uiPriority w:val="0"/>
    <w:qFormat/>
    <w:pPr>
      <w:ind w:firstLine="200"/>
      <w:jc w:val="both"/>
      <w:spacing w:line="360" w:lineRule="auto"/>
    </w:pPr>
    <w:rPr>
      <w:rFonts w:ascii="宋体" w:hAnsi="Times New Roman" w:eastAsia="宋体" w:cs="Times New Roman"/>
      <w:sz w:val="24"/>
      <w:szCs w:val="24"/>
      <w:lang w:val="en-US" w:eastAsia="zh-CN" w:bidi="ar-SA"/>
    </w:rPr>
  </w:style>
  <w:style w:type="paragraph" w:styleId="927" w:customStyle="1">
    <w:name w:val="正文 + 宋体"/>
    <w:basedOn w:val="672"/>
    <w:uiPriority w:val="0"/>
    <w:qFormat/>
    <w:rPr>
      <w:rFonts w:ascii="宋体"/>
      <w:b/>
      <w:szCs w:val="21"/>
    </w:rPr>
  </w:style>
  <w:style w:type="paragraph" w:styleId="928" w:customStyle="1">
    <w:name w:val="Char Char Char1 Char Char Char Char1"/>
    <w:basedOn w:val="672"/>
    <w:uiPriority w:val="0"/>
    <w:qFormat/>
    <w:pPr>
      <w:jc w:val="left"/>
      <w:spacing w:after="160" w:line="240" w:lineRule="exact"/>
      <w:widowControl/>
    </w:pPr>
    <w:rPr>
      <w:rFonts w:ascii="宋体" w:hAnsi="宋体"/>
      <w:b/>
      <w:sz w:val="28"/>
      <w:szCs w:val="28"/>
    </w:rPr>
  </w:style>
  <w:style w:type="paragraph" w:styleId="929" w:customStyle="1">
    <w:name w:val="p18"/>
    <w:basedOn w:val="672"/>
    <w:uiPriority w:val="0"/>
    <w:qFormat/>
    <w:pPr>
      <w:widowControl/>
    </w:pPr>
    <w:rPr>
      <w:rFonts w:ascii="宋体" w:hAnsi="宋体" w:cs="宋体"/>
      <w:szCs w:val="21"/>
    </w:rPr>
  </w:style>
  <w:style w:type="paragraph" w:styleId="930" w:customStyle="1">
    <w:name w:val="p0"/>
    <w:basedOn w:val="672"/>
    <w:uiPriority w:val="0"/>
    <w:qFormat/>
    <w:pPr>
      <w:widowControl/>
    </w:pPr>
    <w:rPr>
      <w:szCs w:val="21"/>
    </w:rPr>
  </w:style>
  <w:style w:type="table" w:styleId="931" w:customStyle="1">
    <w:name w:val="Table Normal"/>
    <w:uiPriority w:val="2"/>
    <w:unhideWhenUsed/>
    <w:qFormat/>
    <w:rPr>
      <w:rFonts w:ascii="Calibri" w:hAnsi="Calibri"/>
      <w:lang w:val="en-US" w:eastAsia="zh-CN" w:bidi="ar-SA"/>
    </w:rPr>
    <w:tblPr>
      <w:tblCellMar>
        <w:left w:w="0" w:type="dxa"/>
        <w:top w:w="0" w:type="dxa"/>
        <w:right w:w="0" w:type="dxa"/>
        <w:bottom w:w="0" w:type="dxa"/>
      </w:tblCellMar>
    </w:tblPr>
  </w:style>
  <w:style w:type="paragraph" w:styleId="932" w:customStyle="1">
    <w:name w:val="Table Paragraph"/>
    <w:basedOn w:val="672"/>
    <w:uiPriority w:val="1"/>
    <w:qFormat/>
    <w:pPr>
      <w:jc w:val="left"/>
    </w:pPr>
    <w:rPr>
      <w:rFonts w:ascii="宋体" w:hAnsi="宋体" w:cs="宋体"/>
      <w:sz w:val="22"/>
      <w:szCs w:val="22"/>
      <w:lang w:val="zh-CN" w:bidi="zh-CN"/>
    </w:rPr>
  </w:style>
  <w:style w:type="character" w:styleId="933" w:customStyle="1">
    <w:name w:val="页脚 字符"/>
    <w:uiPriority w:val="0"/>
    <w:qFormat/>
    <w:rPr>
      <w:rFonts w:ascii="宋体" w:hAnsi="宋体" w:eastAsia="宋体" w:cs="宋体"/>
      <w:sz w:val="18"/>
      <w:szCs w:val="18"/>
      <w:lang w:val="zh-CN" w:bidi="zh-CN"/>
    </w:rPr>
  </w:style>
  <w:style w:type="character" w:styleId="934" w:customStyle="1">
    <w:name w:val="标题 2 字符"/>
    <w:uiPriority w:val="9"/>
    <w:qFormat/>
    <w:rPr>
      <w:rFonts w:ascii="宋体" w:hAnsi="宋体" w:eastAsia="宋体" w:cs="宋体"/>
      <w:b/>
      <w:bCs/>
      <w:sz w:val="44"/>
      <w:szCs w:val="44"/>
      <w:lang w:val="zh-CN" w:bidi="zh-CN"/>
    </w:rPr>
  </w:style>
  <w:style w:type="paragraph" w:styleId="935" w:customStyle="1">
    <w:name w:val="msonormal"/>
    <w:basedOn w:val="672"/>
    <w:uiPriority w:val="0"/>
    <w:qFormat/>
    <w:pPr>
      <w:jc w:val="left"/>
      <w:spacing w:before="100" w:beforeAutospacing="1" w:after="100" w:afterAutospacing="1"/>
      <w:widowControl/>
    </w:pPr>
    <w:rPr>
      <w:rFonts w:ascii="宋体" w:hAnsi="宋体" w:cs="宋体"/>
      <w:sz w:val="24"/>
    </w:rPr>
  </w:style>
  <w:style w:type="paragraph" w:styleId="936" w:customStyle="1">
    <w:name w:val="font5"/>
    <w:basedOn w:val="672"/>
    <w:uiPriority w:val="0"/>
    <w:qFormat/>
    <w:pPr>
      <w:jc w:val="left"/>
      <w:spacing w:before="100" w:beforeAutospacing="1" w:after="100" w:afterAutospacing="1"/>
      <w:widowControl/>
    </w:pPr>
    <w:rPr>
      <w:rFonts w:ascii="宋体" w:hAnsi="宋体" w:cs="宋体"/>
      <w:b/>
      <w:bCs/>
      <w:color w:val="000000"/>
      <w:sz w:val="24"/>
    </w:rPr>
  </w:style>
  <w:style w:type="paragraph" w:styleId="937" w:customStyle="1">
    <w:name w:val="font6"/>
    <w:basedOn w:val="672"/>
    <w:uiPriority w:val="0"/>
    <w:qFormat/>
    <w:pPr>
      <w:jc w:val="left"/>
      <w:spacing w:before="100" w:beforeAutospacing="1" w:after="100" w:afterAutospacing="1"/>
      <w:widowControl/>
    </w:pPr>
    <w:rPr>
      <w:rFonts w:ascii="宋体" w:hAnsi="宋体" w:cs="宋体"/>
      <w:b/>
      <w:bCs/>
      <w:color w:val="000000"/>
      <w:sz w:val="24"/>
    </w:rPr>
  </w:style>
  <w:style w:type="paragraph" w:styleId="938" w:customStyle="1">
    <w:name w:val="font7"/>
    <w:basedOn w:val="672"/>
    <w:uiPriority w:val="0"/>
    <w:qFormat/>
    <w:pPr>
      <w:jc w:val="left"/>
      <w:spacing w:before="100" w:beforeAutospacing="1" w:after="100" w:afterAutospacing="1"/>
      <w:widowControl/>
    </w:pPr>
    <w:rPr>
      <w:rFonts w:ascii="宋体" w:hAnsi="宋体" w:cs="宋体"/>
      <w:color w:val="000000"/>
      <w:sz w:val="24"/>
    </w:rPr>
  </w:style>
  <w:style w:type="paragraph" w:styleId="939" w:customStyle="1">
    <w:name w:val="font8"/>
    <w:basedOn w:val="672"/>
    <w:uiPriority w:val="0"/>
    <w:qFormat/>
    <w:pPr>
      <w:jc w:val="left"/>
      <w:spacing w:before="100" w:beforeAutospacing="1" w:after="100" w:afterAutospacing="1"/>
      <w:widowControl/>
    </w:pPr>
    <w:rPr>
      <w:rFonts w:ascii="等线" w:hAnsi="等线" w:eastAsia="等线" w:cs="宋体"/>
      <w:sz w:val="18"/>
      <w:szCs w:val="18"/>
    </w:rPr>
  </w:style>
  <w:style w:type="paragraph" w:styleId="940" w:customStyle="1">
    <w:name w:val="xl65"/>
    <w:basedOn w:val="672"/>
    <w:uiPriority w:val="0"/>
    <w:qFormat/>
    <w:pPr>
      <w:jc w:val="center"/>
      <w:spacing w:before="100" w:beforeAutospacing="1" w:after="100" w:afterAutospacing="1"/>
      <w:widowControl/>
    </w:pPr>
    <w:rPr>
      <w:rFonts w:ascii="宋体" w:hAnsi="宋体" w:cs="宋体"/>
      <w:b/>
      <w:bCs/>
      <w:sz w:val="24"/>
    </w:rPr>
  </w:style>
  <w:style w:type="paragraph" w:styleId="941" w:customStyle="1">
    <w:name w:val="xl66"/>
    <w:basedOn w:val="672"/>
    <w:uiPriority w:val="0"/>
    <w:qFormat/>
    <w:pPr>
      <w:jc w:val="center"/>
      <w:spacing w:before="100" w:beforeAutospacing="1" w:after="100" w:afterAutospacing="1"/>
      <w:widowControl/>
    </w:pPr>
    <w:rPr>
      <w:rFonts w:ascii="宋体" w:hAnsi="宋体" w:cs="宋体"/>
      <w:sz w:val="24"/>
    </w:rPr>
  </w:style>
  <w:style w:type="paragraph" w:styleId="942" w:customStyle="1">
    <w:name w:val="xl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43" w:customStyle="1">
    <w:name w:val="xl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944" w:customStyle="1">
    <w:name w:val="xl69"/>
    <w:basedOn w:val="672"/>
    <w:uiPriority w:val="0"/>
    <w:qFormat/>
    <w:pPr>
      <w:jc w:val="center"/>
      <w:spacing w:before="100" w:beforeAutospacing="1" w:after="100" w:afterAutospacing="1"/>
      <w:shd w:val="clear" w:color="000000" w:fill="e7e6e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945" w:customStyle="1">
    <w:name w:val="xl70"/>
    <w:basedOn w:val="672"/>
    <w:uiPriority w:val="0"/>
    <w:qFormat/>
    <w:pPr>
      <w:jc w:val="center"/>
      <w:spacing w:before="100" w:beforeAutospacing="1" w:after="100" w:afterAutospacing="1"/>
      <w:widowControl/>
      <w:pBdr>
        <w:top w:val="single" w:color="auto" w:sz="4" w:space="0"/>
      </w:pBdr>
    </w:pPr>
    <w:rPr>
      <w:rFonts w:ascii="宋体" w:hAnsi="宋体" w:cs="宋体"/>
      <w:sz w:val="24"/>
    </w:rPr>
  </w:style>
  <w:style w:type="paragraph" w:styleId="946" w:customStyle="1">
    <w:name w:val="xl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47" w:customStyle="1">
    <w:name w:val="xl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948" w:customStyle="1">
    <w:name w:val="xl63"/>
    <w:basedOn w:val="672"/>
    <w:uiPriority w:val="0"/>
    <w:qFormat/>
    <w:pPr>
      <w:jc w:val="center"/>
      <w:spacing w:before="100" w:beforeAutospacing="1" w:after="100" w:afterAutospacing="1"/>
      <w:widowControl/>
    </w:pPr>
    <w:rPr>
      <w:rFonts w:ascii="宋体" w:hAnsi="宋体" w:cs="宋体"/>
      <w:b/>
      <w:bCs/>
      <w:sz w:val="24"/>
    </w:rPr>
  </w:style>
  <w:style w:type="paragraph" w:styleId="949" w:customStyle="1">
    <w:name w:val="xl64"/>
    <w:basedOn w:val="672"/>
    <w:uiPriority w:val="0"/>
    <w:qFormat/>
    <w:pPr>
      <w:jc w:val="center"/>
      <w:spacing w:before="100" w:beforeAutospacing="1" w:after="100" w:afterAutospacing="1"/>
      <w:widowControl/>
    </w:pPr>
    <w:rPr>
      <w:rFonts w:ascii="宋体" w:hAnsi="宋体" w:cs="宋体"/>
      <w:sz w:val="24"/>
    </w:rPr>
  </w:style>
  <w:style w:type="character" w:styleId="950" w:customStyle="1">
    <w:name w:val="正文文本缩进 字符"/>
    <w:uiPriority w:val="99"/>
    <w:semiHidden/>
    <w:qFormat/>
    <w:rPr>
      <w:sz w:val="21"/>
      <w:szCs w:val="24"/>
    </w:rPr>
  </w:style>
  <w:style w:type="character" w:styleId="951" w:customStyle="1">
    <w:name w:val="正文文本首行缩进 2 字符"/>
    <w:uiPriority w:val="99"/>
    <w:semiHidden/>
    <w:qFormat/>
  </w:style>
  <w:style w:type="paragraph" w:styleId="952" w:customStyle="1">
    <w:name w:val="xl73"/>
    <w:basedOn w:val="672"/>
    <w:uiPriority w:val="0"/>
    <w:qFormat/>
    <w:pPr>
      <w:jc w:val="center"/>
      <w:spacing w:before="100" w:beforeAutospacing="1" w:after="100" w:afterAutospacing="1"/>
      <w:shd w:val="clear" w:color="000000" w:fill="e7e6e6"/>
      <w:widowControl/>
      <w:pBdr>
        <w:top w:val="single" w:color="auto" w:sz="4" w:space="0"/>
        <w:bottom w:val="single" w:color="auto" w:sz="4" w:space="0"/>
      </w:pBdr>
    </w:pPr>
    <w:rPr>
      <w:rFonts w:ascii="宋体" w:hAnsi="宋体" w:cs="宋体"/>
      <w:b/>
      <w:bCs/>
      <w:color w:val="000000"/>
      <w:sz w:val="24"/>
    </w:rPr>
  </w:style>
  <w:style w:type="paragraph" w:styleId="953" w:customStyle="1">
    <w:name w:val="xl74"/>
    <w:basedOn w:val="672"/>
    <w:uiPriority w:val="0"/>
    <w:qFormat/>
    <w:pPr>
      <w:jc w:val="center"/>
      <w:spacing w:before="100" w:beforeAutospacing="1" w:after="100" w:afterAutospacing="1"/>
      <w:shd w:val="clear" w:color="000000" w:fill="e7e6e6"/>
      <w:widowControl/>
      <w:pBdr>
        <w:top w:val="single" w:color="auto" w:sz="4" w:space="0"/>
        <w:bottom w:val="single" w:color="auto" w:sz="4" w:space="0"/>
        <w:right w:val="single" w:color="auto" w:sz="4" w:space="0"/>
      </w:pBdr>
    </w:pPr>
    <w:rPr>
      <w:rFonts w:ascii="宋体" w:hAnsi="宋体" w:cs="宋体"/>
      <w:b/>
      <w:bCs/>
      <w:color w:val="000000"/>
      <w:sz w:val="24"/>
    </w:rPr>
  </w:style>
  <w:style w:type="paragraph" w:styleId="954" w:customStyle="1">
    <w:name w:val="xl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955" w:customStyle="1">
    <w:name w:val="xl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56" w:customStyle="1">
    <w:name w:val="xl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57" w:customStyle="1">
    <w:name w:val="xl78"/>
    <w:basedOn w:val="672"/>
    <w:uiPriority w:val="0"/>
    <w:qFormat/>
    <w:pPr>
      <w:jc w:val="center"/>
      <w:spacing w:before="100" w:beforeAutospacing="1" w:after="100" w:afterAutospacing="1"/>
      <w:widowControl/>
    </w:pPr>
    <w:rPr>
      <w:rFonts w:ascii="宋体" w:hAnsi="宋体" w:cs="宋体"/>
      <w:sz w:val="24"/>
    </w:rPr>
  </w:style>
  <w:style w:type="paragraph" w:styleId="958" w:customStyle="1">
    <w:name w:val="表格"/>
    <w:basedOn w:val="672"/>
    <w:uiPriority w:val="0"/>
    <w:qFormat/>
    <w:pPr>
      <w:spacing w:line="400" w:lineRule="exact"/>
    </w:pPr>
    <w:rPr>
      <w:sz w:val="24"/>
      <w:szCs w:val="24"/>
    </w:rPr>
  </w:style>
  <w:style w:type="paragraph" w:styleId="959" w:customStyle="1">
    <w:name w:val="_正文段落"/>
    <w:basedOn w:val="702"/>
    <w:uiPriority w:val="0"/>
    <w:qFormat/>
    <w:pPr>
      <w:ind w:firstLine="200"/>
    </w:pPr>
    <w:rPr>
      <w:rFonts w:cs="Times New Roman"/>
      <w:szCs w:val="24"/>
    </w:rPr>
  </w:style>
  <w:style w:type="paragraph" w:styleId="960" w:customStyle="1">
    <w:name w:val="_Style 1"/>
    <w:basedOn w:val="672"/>
    <w:uiPriority w:val="34"/>
    <w:qFormat/>
    <w:pPr>
      <w:ind w:firstLine="420"/>
    </w:pPr>
    <w:rPr>
      <w:szCs w:val="20"/>
    </w:rPr>
  </w:style>
  <w:style w:type="character" w:styleId="961" w:customStyle="1">
    <w:name w:val="font91"/>
    <w:basedOn w:val="682"/>
    <w:uiPriority w:val="0"/>
    <w:qFormat/>
    <w:rPr>
      <w:rFonts w:hint="eastAsia" w:ascii="宋体" w:hAnsi="宋体" w:eastAsia="宋体" w:cs="宋体"/>
      <w:color w:val="000000"/>
      <w:sz w:val="20"/>
      <w:szCs w:val="20"/>
      <w:u w:val="none"/>
    </w:rPr>
  </w:style>
  <w:style w:type="character" w:styleId="962" w:customStyle="1">
    <w:name w:val="font141"/>
    <w:basedOn w:val="682"/>
    <w:uiPriority w:val="0"/>
    <w:qFormat/>
    <w:rPr>
      <w:rFonts w:hint="default" w:ascii="Times New Roman" w:hAnsi="Times New Roman" w:cs="Times New Roman"/>
      <w:color w:val="000000"/>
      <w:sz w:val="20"/>
      <w:szCs w:val="20"/>
      <w:u w:val="none"/>
    </w:rPr>
  </w:style>
  <w:style w:type="character" w:styleId="963" w:customStyle="1">
    <w:name w:val="font61"/>
    <w:basedOn w:val="682"/>
    <w:uiPriority w:val="0"/>
    <w:qFormat/>
    <w:rPr>
      <w:rFonts w:hint="eastAsia" w:ascii="宋体" w:hAnsi="宋体" w:eastAsia="宋体" w:cs="宋体"/>
      <w:color w:val="000000"/>
      <w:sz w:val="20"/>
      <w:szCs w:val="20"/>
      <w:u w:val="none"/>
    </w:rPr>
  </w:style>
  <w:style w:type="character" w:styleId="964" w:customStyle="1">
    <w:name w:val="font112"/>
    <w:basedOn w:val="682"/>
    <w:uiPriority w:val="0"/>
    <w:qFormat/>
    <w:rPr>
      <w:rFonts w:hint="eastAsia" w:ascii="宋体" w:hAnsi="宋体" w:eastAsia="宋体" w:cs="宋体"/>
      <w:color w:val="000000"/>
      <w:sz w:val="20"/>
      <w:szCs w:val="20"/>
      <w:u w:val="none"/>
    </w:rPr>
  </w:style>
  <w:style w:type="paragraph" w:styleId="965" w:customStyle="1">
    <w:name w:val="段"/>
    <w:next w:val="67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6" w:customStyle="1">
    <w:name w:val="Table Text"/>
    <w:basedOn w:val="672"/>
    <w:uiPriority w:val="0"/>
    <w:semiHidden/>
    <w:qFormat/>
    <w:rPr>
      <w:rFonts w:ascii="宋体" w:hAnsi="宋体" w:eastAsia="宋体" w:cs="宋体"/>
      <w:sz w:val="22"/>
      <w:szCs w:val="22"/>
      <w:lang w:val="en-US" w:eastAsia="en-US" w:bidi="ar-SA"/>
    </w:rPr>
  </w:style>
  <w:style w:type="paragraph" w:styleId="967" w:customStyle="1">
    <w:name w:val="l正文"/>
    <w:uiPriority w:val="0"/>
    <w:qFormat/>
    <w:pPr>
      <w:ind w:firstLine="200"/>
      <w:jc w:val="both"/>
      <w:spacing w:line="300" w:lineRule="auto"/>
      <w:widowControl w:val="off"/>
    </w:pPr>
    <w:rPr>
      <w:rFonts w:ascii="楷体_GB2312" w:hAnsi="Times" w:eastAsia="楷体_GB2312" w:cs="Times New Roman"/>
      <w:sz w:val="24"/>
      <w:szCs w:val="24"/>
      <w:lang w:val="en-US" w:eastAsia="zh-CN" w:bidi="ar-SA"/>
    </w:rPr>
  </w:style>
  <w:style w:type="paragraph" w:styleId="968" w:customStyle="1">
    <w:name w:val="正文文本1"/>
    <w:basedOn w:val="672"/>
    <w:next w:val="969"/>
    <w:uiPriority w:val="99"/>
    <w:qFormat/>
    <w:pPr>
      <w:jc w:val="center"/>
    </w:pPr>
    <w:rPr>
      <w:sz w:val="24"/>
    </w:rPr>
  </w:style>
  <w:style w:type="paragraph" w:styleId="969" w:customStyle="1">
    <w:name w:val="正文首行缩进1"/>
    <w:basedOn w:val="968"/>
    <w:uiPriority w:val="0"/>
    <w:qFormat/>
    <w:pPr>
      <w:ind w:firstLine="420"/>
      <w:spacing w:after="120" w:line="240" w:lineRule="auto"/>
      <w:tabs>
        <w:tab w:val="left" w:pos="2020" w:leader="none"/>
        <w:tab w:val="center" w:pos="4535" w:leader="none"/>
      </w:tabs>
      <w:outlineLvl w:val="9"/>
    </w:pPr>
    <w:rPr>
      <w:rFonts w:ascii="Times New Roman" w:hAnsi="Times New Roman" w:eastAsia="宋体"/>
      <w:color w:val="000000"/>
      <w:sz w:val="21"/>
    </w:rPr>
  </w:style>
  <w:style w:type="paragraph" w:styleId="970" w:customStyle="1">
    <w:name w:val="纯文本1"/>
    <w:basedOn w:val="672"/>
    <w:uiPriority w:val="0"/>
    <w:qFormat/>
    <w:rPr>
      <w:rFonts w:ascii="宋体" w:hAnsi="Courier New"/>
      <w:szCs w:val="20"/>
    </w:rPr>
  </w:style>
  <w:style w:type="paragraph" w:styleId="971" w:customStyle="1">
    <w:name w:val="标题 41"/>
    <w:basedOn w:val="672"/>
    <w:next w:val="972"/>
    <w:uiPriority w:val="9"/>
    <w:qFormat/>
    <w:pPr>
      <w:keepLines/>
      <w:keepNext/>
      <w:spacing w:before="280" w:after="290" w:line="376" w:lineRule="auto"/>
      <w:outlineLvl w:val="3"/>
    </w:pPr>
    <w:rPr>
      <w:rFonts w:ascii="Cambria" w:hAnsi="Cambria"/>
      <w:b/>
      <w:bCs/>
      <w:sz w:val="28"/>
      <w:szCs w:val="28"/>
    </w:rPr>
  </w:style>
  <w:style w:type="paragraph" w:styleId="972" w:customStyle="1">
    <w:name w:val="正文缩进1"/>
    <w:basedOn w:val="672"/>
    <w:uiPriority w:val="0"/>
    <w:qFormat/>
    <w:pPr>
      <w:ind w:firstLine="420"/>
    </w:pPr>
    <w:rPr>
      <w:szCs w:val="20"/>
    </w:rPr>
  </w:style>
  <w:style w:type="paragraph" w:styleId="973" w:customStyle="1">
    <w:name w:val="标题 11"/>
    <w:basedOn w:val="672"/>
    <w:next w:val="672"/>
    <w:uiPriority w:val="9"/>
    <w:qFormat/>
    <w:pPr>
      <w:keepLines/>
      <w:keepNext/>
      <w:spacing w:before="340" w:after="330" w:line="578" w:lineRule="auto"/>
      <w:outlineLvl w:val="0"/>
    </w:pPr>
    <w:rPr>
      <w:b/>
      <w:bCs/>
      <w:sz w:val="44"/>
      <w:szCs w:val="44"/>
    </w:rPr>
  </w:style>
  <w:style w:type="numbering" w:styleId="15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孙健</cp:lastModifiedBy>
  <cp:revision>2</cp:revision>
  <dcterms:created xsi:type="dcterms:W3CDTF">2022-02-28T01:41:00Z</dcterms:created>
  <dcterms:modified xsi:type="dcterms:W3CDTF">2024-11-15T08:40:59Z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36C98BB717ED4E4EB0A30F3C8CDF9A96_13</vt:lpwstr>
  </property>
</Properties>
</file>