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232" w:firstLine="1280"/>
        <w:jc w:val="both"/>
        <w:spacing w:before="8"/>
        <w:rPr>
          <w:rFonts w:ascii="Times New Roman" w:hAnsi="Times New Roman" w:eastAsia="黑体" w:cs="Times New Roman"/>
          <w:sz w:val="64"/>
          <w:highlight w:val="none"/>
        </w:rPr>
      </w:pPr>
      <w:r>
        <w:rPr>
          <w:rFonts w:ascii="Times New Roman" w:hAnsi="Times New Roman" w:eastAsia="黑体" w:cs="Times New Roman"/>
          <w:sz w:val="64"/>
          <w:highlight w:val="none"/>
        </w:rPr>
      </w:r>
      <w:r/>
    </w:p>
    <w:p>
      <w:pPr>
        <w:ind w:firstLine="852"/>
        <w:jc w:val="both"/>
        <w:spacing w:line="360" w:lineRule="auto"/>
        <w:rPr>
          <w:rFonts w:ascii="Times New Roman" w:hAnsi="Times New Roman" w:eastAsia="方正小标宋简体" w:cs="Times New Roman"/>
          <w:spacing w:val="-3"/>
          <w:sz w:val="48"/>
          <w:szCs w:val="48"/>
          <w:highlight w:val="none"/>
        </w:rPr>
      </w:pPr>
      <w:r>
        <w:rPr>
          <w:rFonts w:ascii="Times New Roman" w:hAnsi="Times New Roman" w:eastAsia="方正小标宋简体" w:cs="Times New Roman"/>
          <w:spacing w:val="-3"/>
          <w:sz w:val="48"/>
          <w:szCs w:val="48"/>
          <w:highlight w:val="none"/>
        </w:rPr>
      </w:r>
      <w:r/>
    </w:p>
    <w:p>
      <w:pPr>
        <w:jc w:val="center"/>
        <w:spacing w:line="360" w:lineRule="auto"/>
        <w:rPr>
          <w:rFonts w:ascii="Times New Roman" w:hAnsi="Times New Roman" w:eastAsia="方正小标宋简体" w:cs="Times New Roman"/>
          <w:spacing w:val="-3"/>
          <w:sz w:val="44"/>
          <w:szCs w:val="44"/>
          <w:highlight w:val="none"/>
        </w:rPr>
      </w:pPr>
      <w:r>
        <w:rPr>
          <w:rFonts w:hint="eastAsia" w:ascii="黑体" w:hAnsi="黑体" w:eastAsia="黑体" w:cs="黑体"/>
          <w:spacing w:val="-3"/>
          <w:sz w:val="44"/>
          <w:szCs w:val="44"/>
          <w:highlight w:val="none"/>
        </w:rPr>
        <w:t xml:space="preserve">鼓楼区生态环境综合调度智慧监管服务项目（一期）</w:t>
      </w:r>
      <w:r/>
    </w:p>
    <w:p>
      <w:pPr>
        <w:ind w:firstLine="588"/>
        <w:jc w:val="center"/>
        <w:spacing w:line="360" w:lineRule="auto"/>
        <w:rPr>
          <w:rFonts w:ascii="Times New Roman" w:hAnsi="Times New Roman" w:eastAsia="方正小标宋简体" w:cs="Times New Roman"/>
          <w:spacing w:val="-3"/>
          <w:sz w:val="30"/>
          <w:szCs w:val="30"/>
          <w:highlight w:val="none"/>
        </w:rPr>
      </w:pPr>
      <w:r>
        <w:rPr>
          <w:rFonts w:ascii="Times New Roman" w:hAnsi="Times New Roman" w:eastAsia="方正小标宋简体" w:cs="Times New Roman"/>
          <w:spacing w:val="-3"/>
          <w:sz w:val="30"/>
          <w:szCs w:val="30"/>
          <w:highlight w:val="none"/>
        </w:rPr>
      </w:r>
      <w:r/>
    </w:p>
    <w:p>
      <w:pPr>
        <w:jc w:val="center"/>
        <w:spacing w:line="360" w:lineRule="auto"/>
        <w:rPr>
          <w:rFonts w:ascii="Times New Roman" w:hAnsi="Times New Roman" w:eastAsia="方正小标宋简体" w:cs="Times New Roman"/>
          <w:spacing w:val="-3"/>
          <w:sz w:val="72"/>
          <w:szCs w:val="72"/>
          <w:highlight w:val="none"/>
        </w:rPr>
      </w:pPr>
      <w:r>
        <w:rPr>
          <w:rFonts w:ascii="Times New Roman" w:hAnsi="Times New Roman" w:eastAsia="方正小标宋简体" w:cs="Times New Roman"/>
          <w:spacing w:val="-3"/>
          <w:sz w:val="72"/>
          <w:szCs w:val="72"/>
          <w:highlight w:val="none"/>
        </w:rPr>
        <w:t xml:space="preserve">公开招标文件</w:t>
      </w:r>
      <w:r/>
    </w:p>
    <w:p>
      <w:pPr>
        <w:pStyle w:val="1091"/>
        <w:rPr>
          <w:highlight w:val="none"/>
        </w:rPr>
      </w:pPr>
      <w:r>
        <w:rPr>
          <w:highlight w:val="none"/>
        </w:rPr>
      </w:r>
      <w:r/>
    </w:p>
    <w:p>
      <w:pPr>
        <w:ind w:left="880" w:firstLine="720"/>
        <w:jc w:val="both"/>
        <w:spacing w:line="480" w:lineRule="auto"/>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r>
      <w:r/>
    </w:p>
    <w:p>
      <w:pPr>
        <w:ind w:left="880" w:firstLine="720"/>
        <w:jc w:val="both"/>
        <w:spacing w:line="480" w:lineRule="auto"/>
        <w:rPr>
          <w:rFonts w:ascii="Times New Roman" w:hAnsi="Times New Roman" w:eastAsia="黑体" w:cs="Times New Roman"/>
          <w:sz w:val="36"/>
          <w:szCs w:val="36"/>
          <w:highlight w:val="none"/>
          <w:lang w:val="en-US"/>
        </w:rPr>
      </w:pPr>
      <w:r>
        <w:rPr>
          <w:rFonts w:ascii="Times New Roman" w:hAnsi="Times New Roman" w:eastAsia="黑体" w:cs="Times New Roman"/>
          <w:sz w:val="36"/>
          <w:szCs w:val="36"/>
          <w:highlight w:val="none"/>
        </w:rPr>
        <w:t xml:space="preserve">项目编号：</w:t>
      </w:r>
      <w:r>
        <w:rPr>
          <w:rFonts w:hint="eastAsia" w:ascii="Times New Roman" w:hAnsi="Times New Roman" w:eastAsia="黑体" w:cs="Times New Roman"/>
          <w:sz w:val="36"/>
          <w:szCs w:val="36"/>
          <w:highlight w:val="none"/>
        </w:rPr>
        <w:t xml:space="preserve">JSZC-320106-JYCS-G2024-0036</w:t>
      </w:r>
      <w:r/>
    </w:p>
    <w:p>
      <w:pPr>
        <w:ind w:left="880" w:firstLine="720"/>
        <w:jc w:val="both"/>
        <w:spacing w:line="480" w:lineRule="auto"/>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t xml:space="preserve">项目名称：</w:t>
      </w:r>
      <w:r>
        <w:rPr>
          <w:rFonts w:hint="eastAsia" w:ascii="Times New Roman" w:hAnsi="Times New Roman" w:eastAsia="黑体" w:cs="Times New Roman"/>
          <w:sz w:val="36"/>
          <w:szCs w:val="36"/>
          <w:highlight w:val="none"/>
        </w:rPr>
        <w:t xml:space="preserve">鼓楼区生态环境综合调度智慧监管服务项目（一期）</w:t>
      </w:r>
      <w:r/>
    </w:p>
    <w:p>
      <w:pPr>
        <w:ind w:left="880" w:firstLine="720"/>
        <w:jc w:val="both"/>
        <w:spacing w:line="480" w:lineRule="auto"/>
        <w:rPr>
          <w:rFonts w:ascii="Times New Roman" w:hAnsi="Times New Roman" w:eastAsia="黑体" w:cs="Times New Roman"/>
          <w:sz w:val="36"/>
          <w:szCs w:val="36"/>
          <w:highlight w:val="none"/>
        </w:rPr>
      </w:pPr>
      <w:r>
        <w:rPr>
          <w:rFonts w:ascii="Times New Roman" w:hAnsi="Times New Roman" w:eastAsia="黑体" w:cs="Times New Roman"/>
          <w:sz w:val="36"/>
          <w:szCs w:val="36"/>
          <w:highlight w:val="none"/>
        </w:rPr>
        <w:t xml:space="preserve">采 购 人：南京市鼓楼生态环境局</w:t>
      </w:r>
      <w:r/>
    </w:p>
    <w:p>
      <w:pPr>
        <w:ind w:left="880" w:firstLine="720"/>
        <w:jc w:val="both"/>
        <w:spacing w:line="480" w:lineRule="auto"/>
        <w:rPr>
          <w:rFonts w:ascii="Times New Roman" w:hAnsi="Times New Roman" w:eastAsia="黑体" w:cs="Times New Roman"/>
          <w:sz w:val="36"/>
          <w:szCs w:val="36"/>
          <w:highlight w:val="none"/>
          <w:u w:val="single"/>
          <w:lang w:val="en-US"/>
        </w:rPr>
      </w:pPr>
      <w:r>
        <w:rPr>
          <w:rFonts w:ascii="Times New Roman" w:hAnsi="Times New Roman" w:eastAsia="黑体" w:cs="Times New Roman"/>
          <w:sz w:val="36"/>
          <w:szCs w:val="36"/>
          <w:highlight w:val="none"/>
          <w:lang w:val="en-US"/>
        </w:rPr>
        <w:t xml:space="preserve">采购类别：服务类</w:t>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jc w:val="center"/>
        <w:spacing w:before="184" w:line="360" w:lineRule="auto"/>
        <w:rPr>
          <w:rFonts w:ascii="Times New Roman" w:hAnsi="Times New Roman" w:eastAsia="黑体" w:cs="Times New Roman"/>
          <w:sz w:val="36"/>
          <w:szCs w:val="36"/>
          <w:highlight w:val="none"/>
          <w:lang w:val="en-US"/>
        </w:rPr>
      </w:pPr>
      <w:r>
        <w:rPr>
          <w:rFonts w:ascii="Times New Roman" w:hAnsi="Times New Roman" w:eastAsia="黑体" w:cs="Times New Roman"/>
          <w:sz w:val="36"/>
          <w:szCs w:val="36"/>
          <w:highlight w:val="none"/>
          <w:lang w:val="en-US"/>
        </w:rPr>
        <w:t xml:space="preserve">江苏金永诚建设投资管理咨询有限公司</w:t>
      </w:r>
      <w:r/>
    </w:p>
    <w:p>
      <w:pPr>
        <w:jc w:val="center"/>
        <w:spacing w:line="360" w:lineRule="auto"/>
        <w:rPr>
          <w:rFonts w:ascii="Times New Roman" w:hAnsi="Times New Roman" w:cs="Times New Roman"/>
          <w:b/>
          <w:bCs/>
          <w:sz w:val="36"/>
          <w:szCs w:val="36"/>
          <w:highlight w:val="none"/>
        </w:rPr>
        <w:sectPr>
          <w:headerReference w:type="default" r:id="rId9"/>
          <w:footerReference w:type="default" r:id="rId11"/>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Times New Roman" w:hAnsi="Times New Roman" w:eastAsia="黑体" w:cs="Times New Roman"/>
          <w:sz w:val="36"/>
          <w:szCs w:val="36"/>
          <w:highlight w:val="none"/>
        </w:rPr>
        <w:t xml:space="preserve">二</w:t>
      </w:r>
      <w:r>
        <w:rPr>
          <w:rFonts w:hint="eastAsia" w:ascii="Times New Roman" w:hAnsi="Times New Roman" w:eastAsia="黑体" w:cs="Times New Roman"/>
          <w:sz w:val="36"/>
          <w:szCs w:val="36"/>
          <w:highlight w:val="none"/>
          <w:lang w:val="en-US" w:eastAsia="zh-CN"/>
        </w:rPr>
        <w:t xml:space="preserve">〇</w:t>
      </w:r>
      <w:r>
        <w:rPr>
          <w:rFonts w:ascii="Times New Roman" w:hAnsi="Times New Roman" w:eastAsia="黑体" w:cs="Times New Roman"/>
          <w:sz w:val="36"/>
          <w:szCs w:val="36"/>
          <w:highlight w:val="none"/>
        </w:rPr>
        <w:t xml:space="preserve">二</w:t>
      </w:r>
      <w:r>
        <w:rPr>
          <w:rFonts w:ascii="Times New Roman" w:hAnsi="Times New Roman" w:eastAsia="黑体" w:cs="Times New Roman"/>
          <w:sz w:val="36"/>
          <w:szCs w:val="36"/>
          <w:highlight w:val="none"/>
          <w:lang w:val="en-US"/>
        </w:rPr>
        <w:t xml:space="preserve">四</w:t>
      </w:r>
      <w:r>
        <w:rPr>
          <w:rFonts w:ascii="Times New Roman" w:hAnsi="Times New Roman" w:eastAsia="黑体" w:cs="Times New Roman"/>
          <w:sz w:val="36"/>
          <w:szCs w:val="36"/>
          <w:highlight w:val="none"/>
        </w:rPr>
        <w:t xml:space="preserve">年</w:t>
      </w:r>
      <w:r>
        <w:rPr>
          <w:rFonts w:ascii="Times New Roman" w:hAnsi="Times New Roman" w:eastAsia="黑体" w:cs="Times New Roman"/>
          <w:sz w:val="36"/>
          <w:szCs w:val="36"/>
          <w:highlight w:val="none"/>
          <w:lang w:val="en-US"/>
        </w:rPr>
        <w:t xml:space="preserve">九</w:t>
      </w:r>
      <w:r>
        <w:rPr>
          <w:rFonts w:ascii="Times New Roman" w:hAnsi="Times New Roman" w:eastAsia="黑体" w:cs="Times New Roman"/>
          <w:sz w:val="36"/>
          <w:szCs w:val="36"/>
          <w:highlight w:val="none"/>
        </w:rPr>
        <w:t xml:space="preserve">月</w:t>
      </w:r>
      <w:r/>
    </w:p>
    <w:p>
      <w:pPr>
        <w:jc w:val="center"/>
        <w:spacing w:line="360" w:lineRule="auto"/>
        <w:rPr>
          <w:rFonts w:ascii="Times New Roman" w:hAnsi="Times New Roman" w:eastAsia="黑体" w:cs="Times New Roman"/>
          <w:sz w:val="32"/>
          <w:highlight w:val="none"/>
        </w:rPr>
        <w:outlineLvl w:val="0"/>
      </w:pPr>
      <w:r>
        <w:rPr>
          <w:rFonts w:ascii="Times New Roman" w:hAnsi="Times New Roman" w:eastAsia="黑体" w:cs="Times New Roman"/>
          <w:sz w:val="32"/>
          <w:highlight w:val="none"/>
        </w:rPr>
        <w:t xml:space="preserve">第一章</w:t>
      </w:r>
      <w:r>
        <w:rPr>
          <w:rFonts w:ascii="Times New Roman" w:hAnsi="Times New Roman" w:eastAsia="黑体" w:cs="Times New Roman"/>
          <w:sz w:val="32"/>
          <w:highlight w:val="none"/>
        </w:rPr>
        <w:tab/>
      </w:r>
      <w:r>
        <w:rPr>
          <w:rFonts w:ascii="Times New Roman" w:hAnsi="Times New Roman" w:eastAsia="黑体" w:cs="Times New Roman"/>
          <w:sz w:val="32"/>
          <w:highlight w:val="none"/>
        </w:rPr>
        <w:t xml:space="preserve">  招标公告</w:t>
      </w:r>
      <w:r/>
    </w:p>
    <w:p>
      <w:pPr>
        <w:ind w:left="0" w:right="0" w:firstLine="0"/>
        <w:spacing w:before="0" w:after="0"/>
        <w:pBdr>
          <w:top w:val="none" w:color="000000" w:sz="4" w:space="0"/>
          <w:left w:val="none" w:color="000000" w:sz="4" w:space="0"/>
          <w:bottom w:val="none" w:color="000000" w:sz="4" w:space="0"/>
          <w:right w:val="none" w:color="000000" w:sz="4" w:space="0"/>
        </w:pBdr>
      </w:pPr>
      <w:r/>
      <w:bookmarkStart w:id="0" w:name="____江苏省华厦工程项目管理有限公司（以下简称“采购代理机构”）受南京市高淳区"/>
      <w:r/>
      <w:bookmarkEnd w:id="0"/>
      <w:r>
        <w:rPr>
          <w:rFonts w:hint="eastAsia" w:ascii="Times New Roman" w:hAnsi="Times New Roman" w:cs="Times New Roman"/>
          <w:b/>
          <w:bCs/>
          <w:sz w:val="24"/>
          <w:szCs w:val="24"/>
          <w:highlight w:val="none"/>
          <w:u w:val="single"/>
        </w:rPr>
        <w:t xml:space="preserve">鼓楼区生态环境综合调度智慧监管服务项目（一期）</w:t>
      </w:r>
      <w:r>
        <w:rPr>
          <w:rFonts w:ascii="Times New Roman" w:hAnsi="Times New Roman" w:cs="Times New Roman"/>
          <w:sz w:val="24"/>
          <w:szCs w:val="24"/>
          <w:highlight w:val="none"/>
        </w:rPr>
        <w:t xml:space="preserve">招标项目的潜在投标人应在</w:t>
      </w:r>
      <w:r>
        <w:rPr>
          <w:rFonts w:ascii="SimSun" w:hAnsi="SimSun" w:eastAsia="SimSun" w:cs="SimSun"/>
          <w:color w:val="000000"/>
          <w:sz w:val="24"/>
        </w:rPr>
        <w:t xml:space="preserve">“江苏政府采购网、南京公共采购信息网”自行免费下载</w:t>
      </w:r>
      <w:r>
        <w:rPr>
          <w:rFonts w:ascii="Times New Roman" w:hAnsi="Times New Roman" w:cs="Times New Roman"/>
          <w:sz w:val="24"/>
          <w:szCs w:val="24"/>
          <w:highlight w:val="none"/>
        </w:rPr>
        <w:t xml:space="preserve">获取招标文件，并于</w:t>
      </w:r>
      <w:r>
        <w:rPr>
          <w:rFonts w:ascii="Times New Roman" w:hAnsi="Times New Roman" w:cs="Times New Roman"/>
          <w:sz w:val="24"/>
          <w:szCs w:val="24"/>
          <w:highlight w:val="none"/>
          <w:lang w:val="en-US"/>
        </w:rPr>
        <w:t xml:space="preserve"> </w:t>
      </w:r>
      <w:r>
        <w:rPr>
          <w:rFonts w:ascii="Times New Roman" w:hAnsi="Times New Roman" w:cs="Times New Roman"/>
          <w:sz w:val="24"/>
          <w:szCs w:val="24"/>
          <w:highlight w:val="none"/>
          <w:u w:val="single"/>
        </w:rPr>
        <w:t xml:space="preserve">202</w:t>
      </w:r>
      <w:r>
        <w:rPr>
          <w:rFonts w:ascii="Times New Roman" w:hAnsi="Times New Roman" w:cs="Times New Roman"/>
          <w:sz w:val="24"/>
          <w:szCs w:val="24"/>
          <w:highlight w:val="none"/>
          <w:u w:val="single"/>
          <w:lang w:val="en-US"/>
        </w:rPr>
        <w:t xml:space="preserve">4</w:t>
      </w:r>
      <w:r>
        <w:rPr>
          <w:rFonts w:ascii="Times New Roman" w:hAnsi="Times New Roman" w:cs="Times New Roman"/>
          <w:bCs/>
          <w:sz w:val="24"/>
          <w:szCs w:val="24"/>
          <w:highlight w:val="none"/>
          <w:u w:val="single"/>
        </w:rPr>
        <w:t xml:space="preserve">年</w:t>
      </w:r>
      <w:r>
        <w:rPr>
          <w:rFonts w:hint="eastAsia" w:ascii="Times New Roman" w:hAnsi="Times New Roman" w:cs="Times New Roman"/>
          <w:bCs/>
          <w:sz w:val="24"/>
          <w:szCs w:val="24"/>
          <w:highlight w:val="none"/>
          <w:u w:val="single"/>
          <w:lang w:val="en-US" w:eastAsia="zh-CN"/>
        </w:rPr>
        <w:t xml:space="preserve">10</w:t>
      </w:r>
      <w:r>
        <w:rPr>
          <w:rFonts w:ascii="Times New Roman" w:hAnsi="Times New Roman" w:cs="Times New Roman"/>
          <w:bCs/>
          <w:sz w:val="24"/>
          <w:szCs w:val="24"/>
          <w:highlight w:val="none"/>
          <w:u w:val="single"/>
        </w:rPr>
        <w:t xml:space="preserve">月</w:t>
      </w:r>
      <w:r>
        <w:rPr>
          <w:rFonts w:hint="eastAsia" w:ascii="Times New Roman" w:hAnsi="Times New Roman" w:cs="Times New Roman"/>
          <w:bCs/>
          <w:sz w:val="24"/>
          <w:szCs w:val="24"/>
          <w:highlight w:val="none"/>
          <w:u w:val="single"/>
          <w:lang w:val="en-US" w:eastAsia="zh-CN"/>
        </w:rPr>
        <w:t xml:space="preserve">16</w:t>
      </w:r>
      <w:r>
        <w:rPr>
          <w:rFonts w:ascii="Times New Roman" w:hAnsi="Times New Roman" w:cs="Times New Roman"/>
          <w:bCs/>
          <w:sz w:val="24"/>
          <w:szCs w:val="24"/>
          <w:highlight w:val="none"/>
          <w:u w:val="single"/>
        </w:rPr>
        <w:t xml:space="preserve">日</w:t>
      </w:r>
      <w:r>
        <w:rPr>
          <w:rFonts w:ascii="Times New Roman" w:hAnsi="Times New Roman" w:cs="Times New Roman"/>
          <w:bCs/>
          <w:sz w:val="24"/>
          <w:szCs w:val="24"/>
          <w:highlight w:val="none"/>
          <w:u w:val="single"/>
          <w:lang w:val="en-US"/>
        </w:rPr>
        <w:t xml:space="preserve">14</w:t>
      </w:r>
      <w:r>
        <w:rPr>
          <w:rFonts w:ascii="Times New Roman" w:hAnsi="Times New Roman" w:cs="Times New Roman"/>
          <w:bCs/>
          <w:sz w:val="24"/>
          <w:szCs w:val="24"/>
          <w:highlight w:val="none"/>
          <w:u w:val="single"/>
        </w:rPr>
        <w:t xml:space="preserve">点</w:t>
      </w:r>
      <w:r>
        <w:rPr>
          <w:rFonts w:ascii="Times New Roman" w:hAnsi="Times New Roman" w:cs="Times New Roman"/>
          <w:bCs/>
          <w:sz w:val="24"/>
          <w:szCs w:val="24"/>
          <w:highlight w:val="none"/>
          <w:u w:val="single"/>
          <w:lang w:val="en-US"/>
        </w:rPr>
        <w:t xml:space="preserve">0</w:t>
      </w:r>
      <w:r>
        <w:rPr>
          <w:rFonts w:ascii="Times New Roman" w:hAnsi="Times New Roman" w:cs="Times New Roman"/>
          <w:bCs/>
          <w:sz w:val="24"/>
          <w:szCs w:val="24"/>
          <w:highlight w:val="none"/>
          <w:u w:val="single"/>
        </w:rPr>
        <w:t xml:space="preserve">分（</w:t>
      </w:r>
      <w:r>
        <w:rPr>
          <w:rFonts w:ascii="Times New Roman" w:hAnsi="Times New Roman" w:cs="Times New Roman"/>
          <w:bCs/>
          <w:sz w:val="24"/>
          <w:szCs w:val="24"/>
          <w:highlight w:val="none"/>
        </w:rPr>
        <w:t xml:space="preserve">北京时间）前提交投标文件。</w:t>
      </w:r>
      <w:r>
        <w:rPr>
          <w:rFonts w:ascii="SimSun" w:hAnsi="SimSun" w:eastAsia="SimSun" w:cs="SimSun"/>
          <w:sz w:val="22"/>
        </w:rPr>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一、项目基本情况</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1.项目编号：JSZC-320106-JYCS-G2024-0036</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2.项目名称：鼓楼区生态环境综合调度智慧监管服务项目（一期）</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3.采购方式：公开招标</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4.项目预算：人民币3</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0万元/年，三年</w:t>
      </w:r>
      <w:r>
        <w:rPr>
          <w:rFonts w:hint="eastAsia" w:ascii="宋体" w:hAnsi="宋体" w:eastAsia="宋体" w:cs="宋体"/>
          <w:b/>
          <w:bCs/>
          <w:color w:val="auto"/>
          <w:sz w:val="21"/>
          <w:szCs w:val="21"/>
          <w:highlight w:val="none"/>
          <w:lang w:val="en-US" w:eastAsia="zh-CN"/>
        </w:rPr>
        <w:t xml:space="preserve">960</w:t>
      </w:r>
      <w:r>
        <w:rPr>
          <w:rFonts w:hint="eastAsia" w:ascii="宋体" w:hAnsi="宋体" w:eastAsia="宋体" w:cs="宋体"/>
          <w:b/>
          <w:bCs/>
          <w:color w:val="auto"/>
          <w:sz w:val="21"/>
          <w:szCs w:val="21"/>
          <w:highlight w:val="none"/>
        </w:rPr>
        <w:t xml:space="preserve">万元</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5.最高限价：人民币3</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0万元/年</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6.采购需求：为</w:t>
      </w:r>
      <w:r>
        <w:rPr>
          <w:rFonts w:hint="eastAsia" w:ascii="宋体" w:hAnsi="宋体" w:eastAsia="宋体" w:cs="宋体"/>
          <w:b/>
          <w:bCs/>
          <w:color w:val="auto"/>
          <w:sz w:val="21"/>
          <w:szCs w:val="21"/>
          <w:highlight w:val="none"/>
        </w:rPr>
        <w:t xml:space="preserve">解决鼓楼区生态环境治理在协同性和智能化方面存在的“各领域数据融合不充分、数据挖掘利用深度不够、智能化治理水平不高”等问题，鼓楼生态环境局利用大数据、人工智能等技术，融合遥感卫星、气象、地面监测设备数据，综合利用鼓楼大气热点网格监测监管系统，建立鼓楼区生态环境智慧监管综合调度平台，整合全区生态环境监测资源，打通生态环境领域的信息孤岛，实现资源共享，实现在智能化指挥调度平台上的生态环境全要素统筹、全过程监管、多场景应用，全面提升鼓楼区污染防治工作的决策指挥能力、监管执法水平、行政服务效能，具体详见招标文件第五章</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7.合同履行期限：三年。</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8.本项目（是/否）接受联合体投标：否。</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9.是否接受进口产品：否。</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二、申请人的资格要求</w:t>
      </w:r>
      <w:r/>
    </w:p>
    <w:p>
      <w:pPr>
        <w:pStyle w:val="1086"/>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eastAsia="zh-CN"/>
        </w:rPr>
        <w:t xml:space="preserve">1.满足《中华人民共和国政府采购法》第二十二条规定：</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(1)具有独立承担民事责任的能力；</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(2)具有良好的商业信誉和健全的财务会计制度；</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(3)具有履行合同所必需的设备和专业技术能力；</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(4)有依法缴纳税收和社会保障资金的良好记录；</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(5)参加政府采购活动前三年内，在经营活动中没有重大违法记录；</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(6)法律、行政法规规定的其他条件（提供项目实施所必</w:t>
      </w:r>
      <w:r>
        <w:rPr>
          <w:rFonts w:ascii="Times New Roman" w:hAnsi="Times New Roman" w:cs="Times New Roman"/>
          <w:sz w:val="24"/>
          <w:szCs w:val="24"/>
          <w:highlight w:val="none"/>
          <w:lang w:val="en-US"/>
        </w:rPr>
        <w:t xml:space="preserve">须</w:t>
      </w:r>
      <w:r>
        <w:rPr>
          <w:rFonts w:ascii="Times New Roman" w:hAnsi="Times New Roman" w:cs="Times New Roman"/>
          <w:sz w:val="24"/>
          <w:szCs w:val="24"/>
          <w:highlight w:val="none"/>
        </w:rPr>
        <w:t xml:space="preserve">的许可资质证明材料）。</w:t>
      </w:r>
      <w:r/>
    </w:p>
    <w:p>
      <w:pPr>
        <w:ind w:firstLine="482"/>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b/>
          <w:sz w:val="24"/>
          <w:szCs w:val="24"/>
          <w:highlight w:val="none"/>
          <w:lang w:val="en-US" w:bidi="ar-SA"/>
        </w:rPr>
        <w:t xml:space="preserve">2.落实政府采购政策需满足的资格要求：</w:t>
      </w:r>
      <w:r>
        <w:rPr>
          <w:rFonts w:ascii="Times New Roman" w:hAnsi="Times New Roman" w:cs="Times New Roman"/>
          <w:sz w:val="24"/>
          <w:szCs w:val="24"/>
          <w:highlight w:val="none"/>
        </w:rPr>
        <w:t xml:space="preserve">（如属于专门面向中小企业采购的项目，供应商应为中小微企业、监狱企业、残疾人福利性单位）本项目采用以下第（4）种方式落实政府采购促进中小企业发展的要求：</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（1）本项目整体专门面向中小企业采购工程（以中小企业声明函为准）。</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（2）本项目整体专门面向小微企业采购工程。</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（3）本项目通过以下第（）种方式预留部分采购份额采购中小企业工程：</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①</w:t>
      </w:r>
      <w:r>
        <w:rPr>
          <w:rFonts w:ascii="Times New Roman" w:hAnsi="Times New Roman" w:cs="Times New Roman"/>
          <w:sz w:val="24"/>
          <w:szCs w:val="24"/>
          <w:highlight w:val="none"/>
        </w:rPr>
        <w:t xml:space="preserve">本项目要求供应商以联合体形式参加，中小企业合同金额应当达到的比例为%。</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②</w:t>
      </w:r>
      <w:r>
        <w:rPr>
          <w:rFonts w:ascii="Times New Roman" w:hAnsi="Times New Roman" w:cs="Times New Roman"/>
          <w:sz w:val="24"/>
          <w:szCs w:val="24"/>
          <w:highlight w:val="none"/>
        </w:rPr>
        <w:t xml:space="preserve">本项目要求供应商进行合同分包，中小企业合同金额应当达到的比例为%。</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（4）本项目为非预留份额的采购项目或采购包，执行价格扣除优惠政策，具体详见第四章评标办法及标准。</w:t>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3.本项目的特定资格要求：有下列情形之一的，不得参加本次采购活动：</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(1)被信用中国网站、中国政府采购网站列入失信被执行人名单、重大税收违法案件当事人名单、政府采购严重违法失信行为记录名单；</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(2)为本采购项目提供整体设计、规范编制，以及项目管理、监理、检测等服务； </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(3)参加本次采购活动不同投标人的法定代表人或委托代理人有夫妻、直系血亲关系的； </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(4)参加本次采购活动不同投标人的负责人为同一人，或不同投标人之间存在直接控股、管理关系的；</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(5)如本项目接受联合体投标，联合体成员存在不良信用记录的，视同联合体存在不良信用记录。</w:t>
      </w:r>
      <w:r/>
    </w:p>
    <w:p>
      <w:pPr>
        <w:pStyle w:val="1085"/>
        <w:ind w:left="0" w:right="0" w:firstLine="482"/>
        <w:jc w:val="both"/>
        <w:spacing w:line="360" w:lineRule="auto"/>
        <w:rPr>
          <w:rFonts w:ascii="Times New Roman" w:hAnsi="Times New Roman" w:cs="Times New Roman"/>
          <w:sz w:val="24"/>
          <w:szCs w:val="24"/>
          <w:highlight w:val="none"/>
          <w:u w:val="none"/>
        </w:rPr>
      </w:pPr>
      <w:r/>
      <w:bookmarkStart w:id="1" w:name="_Toc35393792"/>
      <w:r/>
      <w:bookmarkStart w:id="2" w:name="_Toc35393623"/>
      <w:r>
        <w:rPr>
          <w:rFonts w:ascii="Times New Roman" w:hAnsi="Times New Roman" w:cs="Times New Roman"/>
          <w:sz w:val="24"/>
          <w:szCs w:val="24"/>
          <w:highlight w:val="none"/>
          <w:u w:val="none"/>
        </w:rPr>
        <w:t xml:space="preserve">三、获取招标文件</w:t>
      </w:r>
      <w:bookmarkEnd w:id="1"/>
      <w:r/>
      <w:bookmarkEnd w:id="2"/>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1.时间：2024年</w:t>
      </w:r>
      <w:r>
        <w:rPr>
          <w:rFonts w:hint="eastAsia" w:ascii="Times New Roman" w:hAnsi="Times New Roman" w:cs="Times New Roman"/>
          <w:sz w:val="24"/>
          <w:szCs w:val="24"/>
          <w:highlight w:val="none"/>
          <w:lang w:val="en-US" w:eastAsia="zh-CN"/>
        </w:rPr>
        <w:t xml:space="preserve">9</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24</w:t>
      </w:r>
      <w:r>
        <w:rPr>
          <w:rFonts w:ascii="Times New Roman" w:hAnsi="Times New Roman" w:cs="Times New Roman"/>
          <w:sz w:val="24"/>
          <w:szCs w:val="24"/>
          <w:highlight w:val="none"/>
        </w:rPr>
        <w:t xml:space="preserve">日至2024年</w:t>
      </w:r>
      <w:r>
        <w:rPr>
          <w:rFonts w:hint="eastAsia" w:ascii="Times New Roman" w:hAnsi="Times New Roman" w:cs="Times New Roman"/>
          <w:sz w:val="24"/>
          <w:szCs w:val="24"/>
          <w:highlight w:val="none"/>
          <w:lang w:val="en-US" w:eastAsia="zh-CN"/>
        </w:rPr>
        <w:t xml:space="preserve">9</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30</w:t>
      </w:r>
      <w:r>
        <w:rPr>
          <w:rFonts w:ascii="Times New Roman" w:hAnsi="Times New Roman" w:cs="Times New Roman"/>
          <w:sz w:val="24"/>
          <w:szCs w:val="24"/>
          <w:highlight w:val="none"/>
        </w:rPr>
        <w:t xml:space="preserve">日，每天上午09：00至11:30，下午13:30至17:00（北京时间，周末、节假日除外）。</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2.地点</w:t>
      </w:r>
      <w:r>
        <w:rPr>
          <w:rFonts w:hint="eastAsia" w:ascii="Times New Roman" w:hAnsi="Times New Roman" w:cs="Times New Roman"/>
          <w:sz w:val="24"/>
          <w:szCs w:val="24"/>
          <w:highlight w:val="none"/>
          <w:lang w:eastAsia="zh-CN"/>
        </w:rPr>
        <w:t xml:space="preserve">：“江苏政府采购网、南京公共采购信息网”自行免费下载</w:t>
      </w:r>
      <w:r>
        <w:rPr>
          <w:rFonts w:ascii="Times New Roman" w:hAnsi="Times New Roman" w:cs="Times New Roman"/>
          <w:sz w:val="24"/>
          <w:szCs w:val="24"/>
          <w:highlight w:val="none"/>
        </w:rPr>
        <w:t xml:space="preserve">。</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3.方式：</w:t>
      </w:r>
      <w:r>
        <w:rPr>
          <w:rFonts w:hint="eastAsia" w:ascii="Times New Roman" w:hAnsi="Times New Roman" w:cs="Times New Roman"/>
          <w:sz w:val="24"/>
          <w:szCs w:val="24"/>
          <w:highlight w:val="none"/>
          <w:lang w:eastAsia="zh-CN"/>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4.售价：</w:t>
      </w:r>
      <w:r>
        <w:rPr>
          <w:rFonts w:hint="eastAsia" w:ascii="Times New Roman" w:hAnsi="Times New Roman" w:cs="Times New Roman"/>
          <w:sz w:val="24"/>
          <w:szCs w:val="24"/>
          <w:highlight w:val="none"/>
        </w:rPr>
        <w:t xml:space="preserve">0.00元。</w:t>
      </w:r>
      <w:r/>
    </w:p>
    <w:p>
      <w:pPr>
        <w:pStyle w:val="1085"/>
        <w:ind w:left="0" w:right="0" w:firstLine="482"/>
        <w:jc w:val="both"/>
        <w:spacing w:line="360" w:lineRule="auto"/>
        <w:rPr>
          <w:rFonts w:ascii="Times New Roman" w:hAnsi="Times New Roman" w:cs="Times New Roman"/>
          <w:sz w:val="24"/>
          <w:szCs w:val="24"/>
          <w:highlight w:val="none"/>
          <w:u w:val="none"/>
        </w:rPr>
      </w:pPr>
      <w:r/>
      <w:bookmarkStart w:id="3" w:name="_Toc28359005"/>
      <w:r/>
      <w:bookmarkStart w:id="4" w:name="_Toc28359082"/>
      <w:r/>
      <w:bookmarkStart w:id="5" w:name="_Toc35393793"/>
      <w:r/>
      <w:bookmarkStart w:id="6" w:name="_Toc35393624"/>
      <w:r>
        <w:rPr>
          <w:rFonts w:ascii="Times New Roman" w:hAnsi="Times New Roman" w:cs="Times New Roman"/>
          <w:sz w:val="24"/>
          <w:szCs w:val="24"/>
          <w:highlight w:val="none"/>
          <w:u w:val="none"/>
        </w:rPr>
        <w:t xml:space="preserve">四、提交投标文件</w:t>
      </w:r>
      <w:bookmarkEnd w:id="3"/>
      <w:r/>
      <w:bookmarkEnd w:id="4"/>
      <w:r>
        <w:rPr>
          <w:rFonts w:ascii="Times New Roman" w:hAnsi="Times New Roman" w:cs="Times New Roman"/>
          <w:sz w:val="24"/>
          <w:szCs w:val="24"/>
          <w:highlight w:val="none"/>
          <w:u w:val="none"/>
        </w:rPr>
        <w:t xml:space="preserve">截止时间、开标时间和地点</w:t>
      </w:r>
      <w:bookmarkEnd w:id="5"/>
      <w:r/>
      <w:bookmarkEnd w:id="6"/>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截止时间：2024年</w:t>
      </w:r>
      <w:r>
        <w:rPr>
          <w:rFonts w:hint="eastAsia" w:ascii="Times New Roman" w:hAnsi="Times New Roman" w:cs="Times New Roman"/>
          <w:sz w:val="24"/>
          <w:szCs w:val="24"/>
          <w:highlight w:val="none"/>
          <w:lang w:val="en-US" w:eastAsia="zh-CN"/>
        </w:rPr>
        <w:t xml:space="preserve">10</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16</w:t>
      </w:r>
      <w:r>
        <w:rPr>
          <w:rFonts w:ascii="Times New Roman" w:hAnsi="Times New Roman" w:cs="Times New Roman"/>
          <w:sz w:val="24"/>
          <w:szCs w:val="24"/>
          <w:highlight w:val="none"/>
        </w:rPr>
        <w:t xml:space="preserve">日14点0分（北京时间） </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地点：</w:t>
      </w:r>
      <w:r>
        <w:rPr>
          <w:rFonts w:hint="eastAsia" w:ascii="Times New Roman" w:hAnsi="Times New Roman" w:cs="Times New Roman"/>
          <w:sz w:val="24"/>
          <w:szCs w:val="24"/>
          <w:highlight w:val="none"/>
          <w:lang w:eastAsia="zh-CN"/>
        </w:rPr>
        <w:t xml:space="preserve">江苏省政府采购交易系统（以下简称“苏采云系统”）网上开标大厅</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开标时间：2024年</w:t>
      </w:r>
      <w:r>
        <w:rPr>
          <w:rFonts w:hint="eastAsia" w:ascii="Times New Roman" w:hAnsi="Times New Roman" w:cs="Times New Roman"/>
          <w:sz w:val="24"/>
          <w:szCs w:val="24"/>
          <w:highlight w:val="none"/>
          <w:lang w:val="en-US" w:eastAsia="zh-CN"/>
        </w:rPr>
        <w:t xml:space="preserve">10</w:t>
      </w:r>
      <w:r>
        <w:rPr>
          <w:rFonts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16</w:t>
      </w:r>
      <w:r>
        <w:rPr>
          <w:rFonts w:ascii="Times New Roman" w:hAnsi="Times New Roman" w:cs="Times New Roman"/>
          <w:sz w:val="24"/>
          <w:szCs w:val="24"/>
          <w:highlight w:val="none"/>
        </w:rPr>
        <w:t xml:space="preserve">日14点0分（北京时间）</w:t>
      </w:r>
      <w:r/>
    </w:p>
    <w:p>
      <w:pPr>
        <w:ind w:firstLine="480"/>
        <w:jc w:val="both"/>
        <w:spacing w:line="360" w:lineRule="auto"/>
        <w:tabs>
          <w:tab w:val="left" w:pos="1464" w:leader="none"/>
        </w:tabs>
        <w:rPr>
          <w:rFonts w:hint="eastAsia" w:ascii="Times New Roman" w:hAnsi="Times New Roman" w:cs="Times New Roman"/>
          <w:sz w:val="24"/>
          <w:szCs w:val="24"/>
          <w:highlight w:val="none"/>
          <w:lang w:eastAsia="zh-CN"/>
        </w:rPr>
      </w:pPr>
      <w:r>
        <w:rPr>
          <w:rFonts w:ascii="Times New Roman" w:hAnsi="Times New Roman" w:cs="Times New Roman"/>
          <w:sz w:val="24"/>
          <w:szCs w:val="24"/>
          <w:highlight w:val="none"/>
        </w:rPr>
        <w:t xml:space="preserve">地点：</w:t>
      </w:r>
      <w:r>
        <w:rPr>
          <w:rFonts w:hint="eastAsia" w:ascii="Times New Roman" w:hAnsi="Times New Roman" w:cs="Times New Roman"/>
          <w:sz w:val="24"/>
          <w:szCs w:val="24"/>
          <w:highlight w:val="none"/>
          <w:lang w:eastAsia="zh-CN"/>
        </w:rPr>
        <w:t xml:space="preserve">江苏省政府采购交易系统（以下简称“苏采云系统”）网上开标大厅</w:t>
      </w:r>
      <w:r/>
    </w:p>
    <w:p>
      <w:pPr>
        <w:pStyle w:val="1085"/>
        <w:ind w:left="0" w:right="0" w:firstLine="482"/>
        <w:jc w:val="both"/>
        <w:spacing w:line="360" w:lineRule="auto"/>
        <w:rPr>
          <w:rFonts w:ascii="Times New Roman" w:hAnsi="Times New Roman" w:cs="Times New Roman"/>
          <w:sz w:val="24"/>
          <w:szCs w:val="24"/>
          <w:highlight w:val="none"/>
          <w:u w:val="none"/>
        </w:rPr>
      </w:pPr>
      <w:r/>
      <w:bookmarkStart w:id="7" w:name="_Toc35393794"/>
      <w:r/>
      <w:bookmarkStart w:id="8" w:name="_Toc35393625"/>
      <w:r/>
      <w:bookmarkStart w:id="9" w:name="_Toc28359007"/>
      <w:r/>
      <w:bookmarkStart w:id="10" w:name="_Toc28359084"/>
      <w:r>
        <w:rPr>
          <w:rFonts w:ascii="Times New Roman" w:hAnsi="Times New Roman" w:cs="Times New Roman"/>
          <w:sz w:val="24"/>
          <w:szCs w:val="24"/>
          <w:highlight w:val="none"/>
          <w:u w:val="none"/>
        </w:rPr>
        <w:t xml:space="preserve">五、公告期限</w:t>
      </w:r>
      <w:bookmarkEnd w:id="7"/>
      <w:r/>
      <w:bookmarkEnd w:id="8"/>
      <w:r/>
      <w:bookmarkEnd w:id="9"/>
      <w:r/>
      <w:bookmarkEnd w:id="10"/>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自本公告发布之日起5个工作日。</w:t>
      </w:r>
      <w:r/>
    </w:p>
    <w:p>
      <w:pPr>
        <w:pStyle w:val="1085"/>
        <w:ind w:left="0" w:right="0" w:firstLine="482"/>
        <w:jc w:val="both"/>
        <w:spacing w:line="360" w:lineRule="auto"/>
        <w:rPr>
          <w:rFonts w:ascii="Times New Roman" w:hAnsi="Times New Roman" w:cs="Times New Roman"/>
          <w:sz w:val="24"/>
          <w:szCs w:val="24"/>
          <w:highlight w:val="none"/>
          <w:u w:val="none"/>
        </w:rPr>
      </w:pPr>
      <w:r/>
      <w:bookmarkStart w:id="11" w:name="_Toc35393795"/>
      <w:r/>
      <w:bookmarkStart w:id="12" w:name="_Toc35393626"/>
      <w:r>
        <w:rPr>
          <w:rFonts w:ascii="Times New Roman" w:hAnsi="Times New Roman" w:cs="Times New Roman"/>
          <w:sz w:val="24"/>
          <w:szCs w:val="24"/>
          <w:highlight w:val="none"/>
          <w:u w:val="none"/>
        </w:rPr>
        <w:t xml:space="preserve">六、其他补充事宜</w:t>
      </w:r>
      <w:bookmarkEnd w:id="11"/>
      <w:r/>
      <w:bookmarkEnd w:id="12"/>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1.投标供应商需提供“南京市政府采购供应商信用记录表暨信用承诺书”。</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w:t>
      </w:r>
      <w:r>
        <w:rPr>
          <w:rFonts w:ascii="Times New Roman" w:hAnsi="Times New Roman" w:cs="Times New Roman"/>
          <w:sz w:val="24"/>
          <w:szCs w:val="24"/>
          <w:highlight w:val="none"/>
        </w:rPr>
        <w:t xml:space="preserve">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在政府采购资格审查环节，供应商只需提供书面《南京市政府采购供应商信用记录表暨信用承诺书》，即可替代以下证明材料：</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（1）符合国家相关规定的财务状况报告；</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（2）依法缴纳税收的证明材料；</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（3）依法缴纳社会保障资金的证明材料；</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（4）具备履行政府采购合同所必需的设备和专业技术能力的证明材料；</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（5）参加政府采购活动前三年内在经营活动中没有重大违法记录的证明材料；</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（6）未被列入失信被执行人、重大税收违法失信主体、政府采购严重违法失信行为记录名单的证明材料。</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供应商涉及以下情形的，不适用信用承诺：</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（1）供应商被列入严重失信主体名单；</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（2）被相关监管部门作出行政处罚且尚在处罚有效期内；</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（3）其他法律、行政法规规定的不适用信用承诺的情形。</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2.集中现场考察或答疑：</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采购人不组织，投标人可自行联系采购人。未考察现场或考察工作不详细的投标人成交后，不得以不完全了解现场情况为理由而向采购人提出任何索赔或其他要求，对此采购人不承担任何责任并将不作任何答复。</w:t>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3.公告媒体</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(1)公告发布媒介：江苏政府采购网、南京公共采购信息网站，敬请各投标人关注；</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有关本招标的事项若存在变动或修改，敬请及时关注“中国政府采购网”、“江苏政府采购网”、“南京公共采购信息网”发布的信息更正公告。若因供应商未及时关注网站公告导致误投标，其责任由供应商自行承担。</w:t>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4.采购项目需要落实的政府采购政策：</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(1)政府采购促进中小企业发展</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(2)政府采购支持监狱企业发展</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(3)政府采购促进残疾人就业</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(4)政府采购鼓励采购节能环保产品</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(5)信息安全产品政策</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(6)进口产品政策</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(7)投标担保政策</w:t>
      </w:r>
      <w:r/>
    </w:p>
    <w:p>
      <w:pPr>
        <w:ind w:firstLine="482"/>
        <w:jc w:val="left"/>
        <w:spacing w:line="360" w:lineRule="auto"/>
        <w:tabs>
          <w:tab w:val="left" w:pos="1464" w:leader="none"/>
        </w:tabs>
        <w:rPr>
          <w:rFonts w:hint="eastAsia" w:ascii="Times New Roman" w:hAnsi="Times New Roman" w:cs="Times New Roman"/>
          <w:b/>
          <w:sz w:val="24"/>
          <w:szCs w:val="24"/>
          <w:highlight w:val="none"/>
          <w:lang w:val="en-US" w:eastAsia="zh-CN" w:bidi="ar-SA"/>
        </w:rPr>
      </w:pPr>
      <w:r>
        <w:rPr>
          <w:rFonts w:ascii="Times New Roman" w:hAnsi="Times New Roman" w:cs="Times New Roman"/>
          <w:b/>
          <w:sz w:val="24"/>
          <w:szCs w:val="24"/>
          <w:highlight w:val="none"/>
          <w:lang w:val="en-US" w:bidi="ar-SA"/>
        </w:rPr>
        <w:t xml:space="preserve">5.</w:t>
      </w:r>
      <w:r>
        <w:rPr>
          <w:rFonts w:hint="eastAsia" w:ascii="Times New Roman" w:hAnsi="Times New Roman" w:cs="Times New Roman"/>
          <w:b/>
          <w:sz w:val="24"/>
          <w:szCs w:val="24"/>
          <w:highlight w:val="none"/>
          <w:lang w:val="en-US" w:eastAsia="zh-CN" w:bidi="ar-SA"/>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Times New Roman" w:hAnsi="Times New Roman" w:cs="Times New Roman"/>
          <w:b/>
          <w:sz w:val="24"/>
          <w:szCs w:val="24"/>
          <w:highlight w:val="none"/>
          <w:lang w:val="en-US" w:eastAsia="zh-CN" w:bidi="ar-SA"/>
        </w:rPr>
        <w:fldChar w:fldCharType="begin"/>
      </w:r>
      <w:r>
        <w:rPr>
          <w:rFonts w:hint="eastAsia" w:ascii="Times New Roman" w:hAnsi="Times New Roman" w:cs="Times New Roman"/>
          <w:b/>
          <w:sz w:val="24"/>
          <w:szCs w:val="24"/>
          <w:highlight w:val="none"/>
          <w:lang w:val="en-US" w:eastAsia="zh-CN" w:bidi="ar-SA"/>
        </w:rPr>
        <w:instrText xml:space="preserve"> HYPERLINK "http://www.ccgp-jiangsu.gov.cn/jiangsu/zlxz/ee/ee3a4bc5a3454aa2b0d9312230633ce9.html。" </w:instrText>
      </w:r>
      <w:r>
        <w:rPr>
          <w:rFonts w:hint="eastAsia" w:ascii="Times New Roman" w:hAnsi="Times New Roman" w:cs="Times New Roman"/>
          <w:b/>
          <w:sz w:val="24"/>
          <w:szCs w:val="24"/>
          <w:highlight w:val="none"/>
          <w:lang w:val="en-US" w:eastAsia="zh-CN" w:bidi="ar-SA"/>
        </w:rPr>
        <w:fldChar w:fldCharType="separate"/>
      </w:r>
      <w:r>
        <w:rPr>
          <w:rStyle w:val="1104"/>
          <w:rFonts w:hint="eastAsia" w:ascii="Times New Roman" w:hAnsi="Times New Roman" w:cs="Times New Roman"/>
          <w:b/>
          <w:sz w:val="24"/>
          <w:szCs w:val="24"/>
          <w:highlight w:val="none"/>
          <w:lang w:val="en-US" w:eastAsia="zh-CN" w:bidi="ar-SA"/>
        </w:rPr>
        <w:t xml:space="preserve">http://www.ccgp-jiangsu.gov.cn/jiangsu/zlxz/ee/ee3a4bc5a3454aa2b0d9312230633ce9.html。</w:t>
      </w:r>
      <w:r>
        <w:rPr>
          <w:rFonts w:hint="eastAsia" w:ascii="Times New Roman" w:hAnsi="Times New Roman" w:cs="Times New Roman"/>
          <w:b/>
          <w:sz w:val="24"/>
          <w:szCs w:val="24"/>
          <w:highlight w:val="none"/>
          <w:lang w:val="en-US" w:eastAsia="zh-CN" w:bidi="ar-SA"/>
        </w:rPr>
        <w:fldChar w:fldCharType="end"/>
      </w:r>
      <w:r/>
    </w:p>
    <w:p>
      <w:pPr>
        <w:ind w:firstLine="482"/>
        <w:jc w:val="left"/>
        <w:spacing w:line="360" w:lineRule="auto"/>
        <w:tabs>
          <w:tab w:val="left" w:pos="1464" w:leader="none"/>
        </w:tabs>
        <w:rPr>
          <w:rFonts w:hint="eastAsia" w:ascii="Times New Roman" w:hAnsi="Times New Roman" w:cs="Times New Roman"/>
          <w:b/>
          <w:sz w:val="24"/>
          <w:szCs w:val="24"/>
          <w:highlight w:val="none"/>
          <w:lang w:val="en-US" w:eastAsia="zh-CN" w:bidi="ar-SA"/>
        </w:rPr>
      </w:pPr>
      <w:r>
        <w:rPr>
          <w:rFonts w:hint="eastAsia" w:ascii="Times New Roman" w:hAnsi="Times New Roman" w:cs="Times New Roman"/>
          <w:b/>
          <w:sz w:val="24"/>
          <w:szCs w:val="24"/>
          <w:highlight w:val="none"/>
          <w:lang w:val="en-US" w:eastAsia="zh-CN" w:bidi="ar-SA"/>
        </w:rPr>
        <w:t xml:space="preserve">请潜在供应商提前安装相应的控件（详见《江苏省政府采购管理交易系统（苏采云）供应商操作手册》）并使用谷歌浏览器登录“苏采云”系统参与不见面开评标。</w:t>
      </w:r>
      <w:r/>
    </w:p>
    <w:p>
      <w:pPr>
        <w:ind w:firstLine="482"/>
        <w:jc w:val="left"/>
        <w:spacing w:line="360" w:lineRule="auto"/>
        <w:tabs>
          <w:tab w:val="left" w:pos="1464" w:leader="none"/>
        </w:tabs>
        <w:rPr>
          <w:rFonts w:hint="eastAsia" w:ascii="Times New Roman" w:hAnsi="Times New Roman" w:cs="Times New Roman"/>
          <w:b/>
          <w:sz w:val="24"/>
          <w:szCs w:val="24"/>
          <w:highlight w:val="none"/>
          <w:lang w:val="en-US" w:eastAsia="zh-CN" w:bidi="ar-SA"/>
        </w:rPr>
      </w:pPr>
      <w:r>
        <w:rPr>
          <w:rFonts w:hint="eastAsia" w:ascii="Times New Roman" w:hAnsi="Times New Roman" w:cs="Times New Roman"/>
          <w:b/>
          <w:sz w:val="24"/>
          <w:szCs w:val="24"/>
          <w:highlight w:val="none"/>
          <w:lang w:val="en-US" w:eastAsia="zh-CN" w:bidi="ar-SA"/>
        </w:rPr>
        <w:t xml:space="preserve">注：如潜在供应商未按上述要求操作，将自行承担所产生的风险。</w:t>
      </w:r>
      <w:r/>
    </w:p>
    <w:p>
      <w:pPr>
        <w:pStyle w:val="1085"/>
        <w:ind w:left="0" w:right="0" w:firstLine="482"/>
        <w:jc w:val="both"/>
        <w:spacing w:line="360" w:lineRule="auto"/>
        <w:rPr>
          <w:rFonts w:ascii="Times New Roman" w:hAnsi="Times New Roman" w:cs="Times New Roman"/>
          <w:sz w:val="24"/>
          <w:szCs w:val="24"/>
          <w:highlight w:val="none"/>
          <w:u w:val="none"/>
        </w:rPr>
      </w:pPr>
      <w:r/>
      <w:bookmarkStart w:id="13" w:name="_Toc35393627"/>
      <w:r/>
      <w:bookmarkStart w:id="14" w:name="_Toc28359008"/>
      <w:r/>
      <w:bookmarkStart w:id="15" w:name="_Toc28359085"/>
      <w:r/>
      <w:bookmarkStart w:id="16" w:name="_Toc35393796"/>
      <w:r>
        <w:rPr>
          <w:sz w:val="24"/>
          <w:szCs w:val="24"/>
          <w:u w:val="none"/>
        </w:rPr>
        <w:t xml:space="preserve">6.</w:t>
      </w:r>
      <w:r>
        <w:rPr>
          <w:sz w:val="24"/>
          <w:szCs w:val="24"/>
          <w:u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w:t>
      </w:r>
      <w:r>
        <w:rPr>
          <w:sz w:val="24"/>
          <w:szCs w:val="24"/>
          <w:u w:val="none"/>
        </w:rPr>
        <w:t xml:space="preserve">台发生故障，导致无法按时完成投标文件解密或开、评标工作无法进行的，可根据实际情况相应延迟解密时间或调整开、评标时间。</w:t>
      </w:r>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七、</w:t>
      </w:r>
      <w:bookmarkStart w:id="17" w:name="_Hlk36132310"/>
      <w:r>
        <w:rPr>
          <w:rFonts w:ascii="Times New Roman" w:hAnsi="Times New Roman" w:cs="Times New Roman"/>
          <w:sz w:val="24"/>
          <w:szCs w:val="24"/>
          <w:highlight w:val="none"/>
          <w:u w:val="none"/>
        </w:rPr>
        <w:t xml:space="preserve">对本次招标提出询问，请按以下方式联系。</w:t>
      </w:r>
      <w:bookmarkEnd w:id="13"/>
      <w:r/>
      <w:bookmarkEnd w:id="14"/>
      <w:r/>
      <w:bookmarkEnd w:id="15"/>
      <w:r/>
      <w:bookmarkEnd w:id="16"/>
      <w:r/>
      <w:bookmarkEnd w:id="17"/>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1.采购人信息</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采购单位名称：南京市鼓楼生态环境局</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w:t>
      </w:r>
      <w:r>
        <w:rPr>
          <w:rFonts w:ascii="Times New Roman" w:hAnsi="Times New Roman" w:cs="Times New Roman"/>
          <w:sz w:val="24"/>
          <w:szCs w:val="24"/>
          <w:highlight w:val="none"/>
        </w:rPr>
        <w:t xml:space="preserve">南京市鼓楼区中山北路540号下关大厦8楼</w:t>
      </w:r>
      <w:r>
        <w:rPr>
          <w:rFonts w:ascii="Times New Roman" w:hAnsi="Times New Roman" w:cs="Times New Roman"/>
          <w:sz w:val="24"/>
          <w:szCs w:val="24"/>
          <w:highlight w:val="none"/>
        </w:rPr>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联系人：</w:t>
      </w:r>
      <w:r>
        <w:rPr>
          <w:rFonts w:ascii="Times New Roman" w:hAnsi="Times New Roman" w:cs="Times New Roman"/>
          <w:sz w:val="24"/>
          <w:szCs w:val="24"/>
          <w:highlight w:val="none"/>
        </w:rPr>
        <w:t xml:space="preserve">许永超</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联系方式：</w:t>
      </w:r>
      <w:r>
        <w:rPr>
          <w:rFonts w:ascii="Times New Roman" w:hAnsi="Times New Roman" w:cs="Times New Roman"/>
          <w:sz w:val="24"/>
          <w:szCs w:val="24"/>
          <w:highlight w:val="none"/>
        </w:rPr>
        <w:t xml:space="preserve">18951658262</w:t>
      </w:r>
      <w:r>
        <w:rPr>
          <w:rFonts w:ascii="Times New Roman" w:hAnsi="Times New Roman" w:cs="Times New Roman"/>
          <w:sz w:val="24"/>
          <w:szCs w:val="24"/>
          <w:highlight w:val="none"/>
        </w:rPr>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2.采购代理机构信息</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名称：江苏金永诚建设投资管理咨询有限公司</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联系人：</w:t>
      </w:r>
      <w:r>
        <w:rPr>
          <w:rFonts w:ascii="Times New Roman" w:hAnsi="Times New Roman" w:cs="Times New Roman"/>
          <w:sz w:val="24"/>
          <w:szCs w:val="24"/>
          <w:highlight w:val="none"/>
        </w:rPr>
        <w:t xml:space="preserve">李若男</w:t>
      </w:r>
      <w:r>
        <w:rPr>
          <w:rFonts w:ascii="Times New Roman" w:hAnsi="Times New Roman" w:cs="Times New Roman"/>
          <w:sz w:val="24"/>
          <w:szCs w:val="24"/>
          <w:highlight w:val="none"/>
        </w:rPr>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联系电话：025-86209787</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联系邮箱：jinyczb@163.com</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地址：南京市建邺区云龙山路1号建邺科技创新产业园B1栋五楼</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邮编：210000</w:t>
      </w:r>
      <w:r/>
    </w:p>
    <w:p>
      <w:pPr>
        <w:ind w:firstLine="482"/>
        <w:jc w:val="both"/>
        <w:spacing w:line="360" w:lineRule="auto"/>
        <w:tabs>
          <w:tab w:val="left" w:pos="1464" w:leader="none"/>
        </w:tabs>
        <w:rPr>
          <w:rFonts w:ascii="Times New Roman" w:hAnsi="Times New Roman" w:cs="Times New Roman"/>
          <w:b/>
          <w:sz w:val="24"/>
          <w:szCs w:val="24"/>
          <w:highlight w:val="none"/>
          <w:lang w:val="en-US" w:bidi="ar-SA"/>
        </w:rPr>
      </w:pPr>
      <w:r>
        <w:rPr>
          <w:rFonts w:ascii="Times New Roman" w:hAnsi="Times New Roman" w:cs="Times New Roman"/>
          <w:b/>
          <w:sz w:val="24"/>
          <w:szCs w:val="24"/>
          <w:highlight w:val="none"/>
          <w:lang w:val="en-US" w:bidi="ar-SA"/>
        </w:rPr>
        <w:t xml:space="preserve">3.项目联系方式</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项目联系人：</w:t>
      </w:r>
      <w:r>
        <w:rPr>
          <w:rFonts w:ascii="Times New Roman" w:hAnsi="Times New Roman" w:cs="Times New Roman"/>
          <w:sz w:val="24"/>
          <w:szCs w:val="24"/>
          <w:highlight w:val="none"/>
        </w:rPr>
        <w:t xml:space="preserve">李若男</w:t>
      </w:r>
      <w:r>
        <w:rPr>
          <w:rFonts w:ascii="Times New Roman" w:hAnsi="Times New Roman" w:cs="Times New Roman"/>
          <w:sz w:val="24"/>
          <w:szCs w:val="24"/>
          <w:highlight w:val="none"/>
        </w:rPr>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电话：025-86209787</w:t>
      </w:r>
      <w:r/>
    </w:p>
    <w:p>
      <w:pPr>
        <w:ind w:firstLine="640"/>
        <w:jc w:val="both"/>
        <w:widowControl/>
        <w:rPr>
          <w:rFonts w:ascii="Times New Roman" w:hAnsi="Times New Roman" w:cs="Times New Roman"/>
          <w:sz w:val="32"/>
          <w:highlight w:val="none"/>
        </w:rPr>
      </w:pPr>
      <w:r>
        <w:rPr>
          <w:rFonts w:ascii="Times New Roman" w:hAnsi="Times New Roman" w:cs="Times New Roman"/>
          <w:sz w:val="32"/>
          <w:highlight w:val="none"/>
        </w:rPr>
        <w:br w:type="page" w:clear="all"/>
      </w:r>
      <w:r/>
    </w:p>
    <w:p>
      <w:pPr>
        <w:jc w:val="center"/>
        <w:spacing w:line="360" w:lineRule="auto"/>
        <w:rPr>
          <w:rFonts w:ascii="Times New Roman" w:hAnsi="Times New Roman" w:eastAsia="黑体" w:cs="Times New Roman"/>
          <w:sz w:val="32"/>
          <w:highlight w:val="none"/>
        </w:rPr>
        <w:outlineLvl w:val="0"/>
      </w:pPr>
      <w:r>
        <w:rPr>
          <w:rFonts w:ascii="Times New Roman" w:hAnsi="Times New Roman" w:eastAsia="黑体" w:cs="Times New Roman"/>
          <w:sz w:val="32"/>
          <w:highlight w:val="none"/>
        </w:rPr>
        <w:t xml:space="preserve">第二章</w:t>
      </w:r>
      <w:r>
        <w:rPr>
          <w:rFonts w:ascii="Times New Roman" w:hAnsi="Times New Roman" w:eastAsia="黑体" w:cs="Times New Roman"/>
          <w:sz w:val="32"/>
          <w:highlight w:val="none"/>
        </w:rPr>
        <w:tab/>
      </w:r>
      <w:r>
        <w:rPr>
          <w:rFonts w:ascii="Times New Roman" w:hAnsi="Times New Roman" w:eastAsia="黑体" w:cs="Times New Roman"/>
          <w:sz w:val="32"/>
          <w:highlight w:val="none"/>
        </w:rPr>
        <w:t xml:space="preserve">  投标人须知</w:t>
      </w:r>
      <w:r/>
    </w:p>
    <w:p>
      <w:pPr>
        <w:jc w:val="center"/>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投标须知前附表</w:t>
      </w:r>
      <w:r/>
    </w:p>
    <w:p>
      <w:pPr>
        <w:jc w:val="center"/>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如有投标人须知正文条款与投标人须知前附表不一致，以投标人须知前附表为准</w:t>
      </w:r>
      <w:r/>
    </w:p>
    <w:tbl>
      <w:tblPr>
        <w:tblStyle w:val="1090"/>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701"/>
        <w:gridCol w:w="7848"/>
      </w:tblGrid>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序号</w:t>
            </w:r>
            <w:r/>
          </w:p>
        </w:tc>
        <w:tc>
          <w:tcPr>
            <w:tcW w:w="1701" w:type="dxa"/>
            <w:vAlign w:val="center"/>
            <w:textDirection w:val="lrTb"/>
            <w:noWrap w:val="false"/>
          </w:tcPr>
          <w:p>
            <w:pPr>
              <w:ind w:right="-11" w:firstLine="54"/>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名  称</w:t>
            </w:r>
            <w:r/>
          </w:p>
        </w:tc>
        <w:tc>
          <w:tcPr>
            <w:tcW w:w="7848" w:type="dxa"/>
            <w:vAlign w:val="center"/>
            <w:textDirection w:val="lrTb"/>
            <w:noWrap w:val="false"/>
          </w:tcPr>
          <w:p>
            <w:pPr>
              <w:ind w:left="1" w:right="57" w:hanging="56"/>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内           容</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1</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投标保证金</w:t>
            </w:r>
            <w:r/>
          </w:p>
        </w:tc>
        <w:tc>
          <w:tcPr>
            <w:tcW w:w="7848" w:type="dxa"/>
            <w:vAlign w:val="center"/>
            <w:textDirection w:val="lrTb"/>
            <w:noWrap w:val="false"/>
          </w:tcPr>
          <w:p>
            <w:pPr>
              <w:jc w:val="both"/>
              <w:spacing w:line="360" w:lineRule="auto"/>
              <w:rPr>
                <w:rFonts w:ascii="Times New Roman" w:hAnsi="Times New Roman" w:cs="Times New Roman"/>
                <w:b/>
                <w:bCs/>
                <w:sz w:val="21"/>
                <w:szCs w:val="21"/>
                <w:highlight w:val="none"/>
                <w:lang w:val="en-US"/>
              </w:rPr>
            </w:pPr>
            <w:r>
              <w:rPr>
                <w:rFonts w:ascii="Times New Roman" w:hAnsi="Times New Roman" w:cs="Times New Roman"/>
                <w:b/>
                <w:bCs/>
                <w:sz w:val="21"/>
                <w:szCs w:val="21"/>
                <w:highlight w:val="none"/>
                <w:lang w:val="en-US"/>
              </w:rPr>
              <w:t xml:space="preserve">本项目不设投标保证金</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2</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投标文件数量</w:t>
            </w:r>
            <w:r/>
          </w:p>
        </w:tc>
        <w:tc>
          <w:tcPr>
            <w:tcW w:w="7848" w:type="dxa"/>
            <w:vAlign w:val="center"/>
            <w:textDirection w:val="lrTb"/>
            <w:noWrap w:val="false"/>
          </w:tcPr>
          <w:p>
            <w:pPr>
              <w:numPr>
                <w:ilvl w:val="0"/>
                <w:numId w:val="0"/>
              </w:numPr>
              <w:jc w:val="both"/>
              <w:spacing w:line="360" w:lineRule="auto"/>
              <w:rPr>
                <w:rFonts w:ascii="Times New Roman" w:hAnsi="Times New Roman" w:cs="Times New Roman"/>
                <w:sz w:val="21"/>
                <w:szCs w:val="21"/>
                <w:highlight w:val="none"/>
              </w:rPr>
            </w:pPr>
            <w:r>
              <w:rPr>
                <w:rFonts w:hint="eastAsia" w:ascii="Times New Roman" w:hAnsi="Times New Roman" w:cs="Times New Roman"/>
                <w:b/>
                <w:bCs/>
                <w:sz w:val="21"/>
                <w:szCs w:val="21"/>
                <w:highlight w:val="none"/>
              </w:rPr>
              <w:t xml:space="preserve">中标后</w:t>
            </w:r>
            <w:r>
              <w:rPr>
                <w:rFonts w:hint="eastAsia" w:ascii="Times New Roman" w:hAnsi="Times New Roman" w:cs="Times New Roman"/>
                <w:sz w:val="21"/>
                <w:szCs w:val="21"/>
                <w:highlight w:val="none"/>
              </w:rPr>
              <w:t xml:space="preserve">，投标供应商需无偿提供纸质版响应文件一式肆份（壹份正本、叁份副本）；(电子版标书一份</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rPr>
              <w:t xml:space="preserve">U盘形式</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rPr>
              <w:t xml:space="preserve">响应文件电子版中必须包含响应文件的全部内容，不得加密，所有文档、图表等采用PDF格式或WORD格式)，每份响应文件须清楚标明“正本”或“副本”字样。</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3</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投标文件的编制、密封、递交</w:t>
            </w:r>
            <w:r/>
          </w:p>
        </w:tc>
        <w:tc>
          <w:tcPr>
            <w:tcW w:w="7848" w:type="dxa"/>
            <w:vAlign w:val="center"/>
            <w:textDirection w:val="lrTb"/>
            <w:noWrap w:val="false"/>
          </w:tcPr>
          <w:p>
            <w:pPr>
              <w:numPr>
                <w:ilvl w:val="0"/>
                <w:numId w:val="2"/>
              </w:numPr>
              <w:jc w:val="left"/>
              <w:spacing w:line="360" w:lineRule="auto"/>
              <w:rPr>
                <w:rFonts w:ascii="Times New Roman" w:hAnsi="Times New Roman" w:cs="Times New Roman"/>
                <w:sz w:val="21"/>
                <w:szCs w:val="21"/>
                <w:highlight w:val="none"/>
                <w:lang w:val="en-US"/>
              </w:rPr>
            </w:pPr>
            <w:r>
              <w:rPr>
                <w:rFonts w:hint="eastAsia" w:ascii="Times New Roman" w:hAnsi="Times New Roman" w:cs="Times New Roman"/>
                <w:sz w:val="21"/>
                <w:szCs w:val="21"/>
                <w:highlight w:val="none"/>
                <w:lang w:val="en-U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2"/>
              </w:numPr>
              <w:jc w:val="both"/>
              <w:spacing w:line="360" w:lineRule="auto"/>
              <w:rPr>
                <w:rFonts w:ascii="Times New Roman" w:hAnsi="Times New Roman" w:cs="Times New Roman"/>
                <w:sz w:val="21"/>
                <w:szCs w:val="21"/>
                <w:highlight w:val="none"/>
              </w:rPr>
            </w:pPr>
            <w:r>
              <w:rPr>
                <w:rFonts w:hint="eastAsia"/>
                <w:highlight w:val="none"/>
              </w:rPr>
              <w:t xml:space="preserve">投标文件的解密：开标当天各供应商及时登录不见面开标大厅，投标文件递交截止时间后，采购人将在系统内公布供应商名单，然后通</w:t>
            </w:r>
            <w:r>
              <w:rPr>
                <w:rFonts w:hint="eastAsia"/>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numPr>
                <w:ilvl w:val="0"/>
                <w:numId w:val="2"/>
              </w:numPr>
              <w:jc w:val="both"/>
              <w:spacing w:line="360" w:lineRule="auto"/>
              <w:rPr>
                <w:rFonts w:ascii="Times New Roman" w:hAnsi="Times New Roman" w:cs="Times New Roman"/>
                <w:sz w:val="21"/>
                <w:szCs w:val="21"/>
                <w:highlight w:val="none"/>
              </w:rPr>
            </w:pPr>
            <w:r>
              <w:rPr>
                <w:rFonts w:hint="eastAsia" w:ascii="Times New Roman" w:hAnsi="Times New Roman" w:cs="Times New Roman"/>
                <w:b/>
                <w:bCs/>
                <w:sz w:val="21"/>
                <w:szCs w:val="21"/>
                <w:highlight w:val="none"/>
                <w:lang w:val="en-US" w:eastAsia="zh-CN"/>
              </w:rPr>
              <w:t xml:space="preserve">投标</w:t>
            </w:r>
            <w:r>
              <w:rPr>
                <w:rFonts w:hint="eastAsia" w:ascii="Times New Roman" w:hAnsi="Times New Roman" w:cs="Times New Roman"/>
                <w:b/>
                <w:bCs/>
                <w:sz w:val="21"/>
                <w:szCs w:val="21"/>
                <w:highlight w:val="none"/>
                <w:lang w:val="en-US"/>
              </w:rPr>
              <w:t xml:space="preserve">文件提交</w:t>
            </w:r>
            <w:r>
              <w:rPr>
                <w:rFonts w:hint="eastAsia" w:ascii="Times New Roman" w:hAnsi="Times New Roman" w:cs="Times New Roman"/>
                <w:b/>
                <w:bCs/>
                <w:sz w:val="21"/>
                <w:szCs w:val="21"/>
                <w:highlight w:val="none"/>
                <w:lang w:val="en-US" w:eastAsia="zh-CN"/>
              </w:rPr>
              <w:t xml:space="preserve">截止时间</w:t>
            </w:r>
            <w:r>
              <w:rPr>
                <w:rFonts w:ascii="Times New Roman" w:hAnsi="Times New Roman" w:cs="Times New Roman"/>
                <w:b/>
                <w:bCs/>
                <w:sz w:val="21"/>
                <w:szCs w:val="21"/>
                <w:highlight w:val="none"/>
                <w:lang w:val="en-US"/>
              </w:rPr>
              <w:t xml:space="preserve">：</w:t>
            </w:r>
            <w:r>
              <w:rPr>
                <w:rFonts w:hint="eastAsia" w:ascii="Times New Roman" w:hAnsi="Times New Roman" w:cs="Times New Roman"/>
                <w:b/>
                <w:bCs/>
                <w:sz w:val="21"/>
                <w:szCs w:val="21"/>
                <w:highlight w:val="none"/>
                <w:lang w:val="en-US"/>
              </w:rPr>
              <w:t xml:space="preserve">2024年</w:t>
            </w:r>
            <w:r>
              <w:rPr>
                <w:rFonts w:hint="eastAsia" w:ascii="Times New Roman" w:hAnsi="Times New Roman" w:cs="Times New Roman"/>
                <w:b/>
                <w:bCs/>
                <w:sz w:val="21"/>
                <w:szCs w:val="21"/>
                <w:highlight w:val="none"/>
                <w:lang w:val="en-US" w:eastAsia="zh-CN"/>
              </w:rPr>
              <w:t xml:space="preserve">10</w:t>
            </w:r>
            <w:r>
              <w:rPr>
                <w:rFonts w:hint="eastAsia" w:ascii="Times New Roman" w:hAnsi="Times New Roman" w:cs="Times New Roman"/>
                <w:b/>
                <w:bCs/>
                <w:sz w:val="21"/>
                <w:szCs w:val="21"/>
                <w:highlight w:val="none"/>
                <w:lang w:val="en-US"/>
              </w:rPr>
              <w:t xml:space="preserve">月</w:t>
            </w:r>
            <w:r>
              <w:rPr>
                <w:rFonts w:hint="eastAsia" w:ascii="Times New Roman" w:hAnsi="Times New Roman" w:cs="Times New Roman"/>
                <w:b/>
                <w:bCs/>
                <w:sz w:val="21"/>
                <w:szCs w:val="21"/>
                <w:highlight w:val="none"/>
                <w:lang w:val="en-US" w:eastAsia="zh-CN"/>
              </w:rPr>
              <w:t xml:space="preserve">16</w:t>
            </w:r>
            <w:r>
              <w:rPr>
                <w:rFonts w:hint="eastAsia" w:ascii="Times New Roman" w:hAnsi="Times New Roman" w:cs="Times New Roman"/>
                <w:b/>
                <w:bCs/>
                <w:sz w:val="21"/>
                <w:szCs w:val="21"/>
                <w:highlight w:val="none"/>
                <w:lang w:val="en-US"/>
              </w:rPr>
              <w:t xml:space="preserve">日14:00</w:t>
            </w:r>
            <w:r>
              <w:rPr>
                <w:rFonts w:ascii="Times New Roman" w:hAnsi="Times New Roman" w:cs="Times New Roman"/>
                <w:sz w:val="21"/>
                <w:szCs w:val="21"/>
                <w:highlight w:val="none"/>
                <w:lang w:val="en-US"/>
              </w:rPr>
              <w:t xml:space="preserve">。</w:t>
            </w:r>
            <w:r/>
          </w:p>
          <w:p>
            <w:pPr>
              <w:numPr>
                <w:ilvl w:val="0"/>
                <w:numId w:val="2"/>
              </w:numPr>
              <w:jc w:val="both"/>
              <w:spacing w:line="360" w:lineRule="auto"/>
              <w:rPr>
                <w:rFonts w:ascii="Times New Roman" w:hAnsi="Times New Roman" w:cs="Times New Roman"/>
                <w:sz w:val="21"/>
                <w:szCs w:val="21"/>
                <w:highlight w:val="none"/>
              </w:rPr>
            </w:pPr>
            <w:r>
              <w:rPr>
                <w:rFonts w:hint="eastAsia" w:ascii="Times New Roman" w:hAnsi="Times New Roman" w:cs="Times New Roman"/>
                <w:b/>
                <w:bCs/>
                <w:sz w:val="21"/>
                <w:szCs w:val="21"/>
                <w:highlight w:val="none"/>
                <w:lang w:val="en-US" w:eastAsia="zh-CN"/>
              </w:rPr>
              <w:t xml:space="preserve">投标</w:t>
            </w:r>
            <w:r>
              <w:rPr>
                <w:rFonts w:hint="eastAsia" w:ascii="Times New Roman" w:hAnsi="Times New Roman" w:cs="Times New Roman"/>
                <w:b/>
                <w:bCs/>
                <w:sz w:val="21"/>
                <w:szCs w:val="21"/>
                <w:highlight w:val="none"/>
                <w:lang w:val="en-US"/>
              </w:rPr>
              <w:t xml:space="preserve">文件提交</w:t>
            </w:r>
            <w:r>
              <w:rPr>
                <w:rFonts w:hint="eastAsia" w:ascii="Times New Roman" w:hAnsi="Times New Roman" w:cs="Times New Roman"/>
                <w:b/>
                <w:bCs/>
                <w:sz w:val="21"/>
                <w:szCs w:val="21"/>
                <w:highlight w:val="none"/>
                <w:lang w:val="en-US" w:eastAsia="zh-CN"/>
              </w:rPr>
              <w:t xml:space="preserve">地点：</w:t>
            </w:r>
            <w:r>
              <w:rPr>
                <w:rFonts w:hint="eastAsia" w:ascii="宋体" w:hAnsi="宋体"/>
                <w:sz w:val="21"/>
                <w:szCs w:val="21"/>
                <w:highlight w:val="none"/>
                <w:lang w:eastAsia="zh-CN"/>
              </w:rPr>
              <w:t xml:space="preserve">江苏省政府采购交易系统（以下简称“苏采云系统”）网上开标大厅</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4</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投标文件拒收情形</w:t>
            </w:r>
            <w:r/>
          </w:p>
        </w:tc>
        <w:tc>
          <w:tcPr>
            <w:tcW w:w="7848" w:type="dxa"/>
            <w:vAlign w:val="center"/>
            <w:textDirection w:val="lrTb"/>
            <w:noWrap w:val="false"/>
          </w:tcPr>
          <w:p>
            <w:pPr>
              <w:numPr>
                <w:ilvl w:val="0"/>
                <w:numId w:val="0"/>
              </w:numPr>
              <w:jc w:val="both"/>
              <w:spacing w:line="360" w:lineRule="auto"/>
              <w:rPr>
                <w:rFonts w:ascii="Times New Roman" w:hAnsi="Times New Roman" w:cs="Times New Roman"/>
                <w:sz w:val="21"/>
                <w:szCs w:val="21"/>
                <w:highlight w:val="none"/>
                <w:lang w:val="en-US"/>
              </w:rPr>
            </w:pPr>
            <w:r>
              <w:rPr>
                <w:rFonts w:hint="eastAsia" w:ascii="Times New Roman" w:hAnsi="Times New Roman" w:cs="Times New Roman"/>
                <w:sz w:val="21"/>
                <w:szCs w:val="21"/>
                <w:highlight w:val="none"/>
                <w:lang w:val="en-US"/>
              </w:rPr>
              <w:t xml:space="preserve">截至提交</w:t>
            </w:r>
            <w:r>
              <w:rPr>
                <w:rFonts w:hint="eastAsia" w:ascii="Times New Roman" w:hAnsi="Times New Roman" w:cs="Times New Roman"/>
                <w:sz w:val="21"/>
                <w:szCs w:val="21"/>
                <w:highlight w:val="none"/>
                <w:lang w:val="en-US" w:eastAsia="zh-CN"/>
              </w:rPr>
              <w:t xml:space="preserve">投标</w:t>
            </w:r>
            <w:r>
              <w:rPr>
                <w:rFonts w:hint="eastAsia" w:ascii="Times New Roman" w:hAnsi="Times New Roman" w:cs="Times New Roman"/>
                <w:sz w:val="21"/>
                <w:szCs w:val="21"/>
                <w:highlight w:val="none"/>
                <w:lang w:val="en-US"/>
              </w:rPr>
              <w:t xml:space="preserve">文件截止时间，电子交易平台投标通道将关闭，供应商未完成电子</w:t>
            </w:r>
            <w:r>
              <w:rPr>
                <w:rFonts w:hint="eastAsia" w:ascii="Times New Roman" w:hAnsi="Times New Roman" w:cs="Times New Roman"/>
                <w:sz w:val="21"/>
                <w:szCs w:val="21"/>
                <w:highlight w:val="none"/>
                <w:lang w:val="en-US" w:eastAsia="zh-CN"/>
              </w:rPr>
              <w:t xml:space="preserve">投标</w:t>
            </w:r>
            <w:r>
              <w:rPr>
                <w:rFonts w:hint="eastAsia" w:ascii="Times New Roman" w:hAnsi="Times New Roman" w:cs="Times New Roman"/>
                <w:sz w:val="21"/>
                <w:szCs w:val="21"/>
                <w:highlight w:val="none"/>
                <w:lang w:val="en-US"/>
              </w:rPr>
              <w:t xml:space="preserve">文件有效提交的，其</w:t>
            </w:r>
            <w:r>
              <w:rPr>
                <w:rFonts w:hint="eastAsia" w:ascii="Times New Roman" w:hAnsi="Times New Roman" w:cs="Times New Roman"/>
                <w:sz w:val="21"/>
                <w:szCs w:val="21"/>
                <w:highlight w:val="none"/>
                <w:lang w:val="en-US" w:eastAsia="zh-CN"/>
              </w:rPr>
              <w:t xml:space="preserve">投标</w:t>
            </w:r>
            <w:r>
              <w:rPr>
                <w:rFonts w:hint="eastAsia" w:ascii="Times New Roman" w:hAnsi="Times New Roman" w:cs="Times New Roman"/>
                <w:sz w:val="21"/>
                <w:szCs w:val="21"/>
                <w:highlight w:val="none"/>
                <w:lang w:val="en-US"/>
              </w:rPr>
              <w:t xml:space="preserve">将被拒绝。</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5</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《中华人民共和国政府采购法》第二十二条规定的证明文件</w:t>
            </w:r>
            <w:r/>
          </w:p>
        </w:tc>
        <w:tc>
          <w:tcPr>
            <w:tcW w:w="7848" w:type="dxa"/>
            <w:vAlign w:val="center"/>
            <w:textDirection w:val="lrTb"/>
            <w:noWrap w:val="false"/>
          </w:tcPr>
          <w:p>
            <w:pPr>
              <w:pStyle w:val="1094"/>
              <w:ind w:left="0"/>
              <w:jc w:val="both"/>
              <w:spacing w:line="360" w:lineRule="auto"/>
              <w:rPr>
                <w:rFonts w:ascii="Times New Roman" w:hAnsi="Times New Roman" w:cs="Times New Roman"/>
                <w:b/>
                <w:bCs/>
                <w:sz w:val="21"/>
                <w:szCs w:val="21"/>
                <w:highlight w:val="none"/>
                <w:lang w:val="en-US"/>
              </w:rPr>
            </w:pPr>
            <w:r>
              <w:rPr>
                <w:rFonts w:ascii="Times New Roman" w:hAnsi="Times New Roman" w:cs="Times New Roman"/>
                <w:b/>
                <w:bCs/>
                <w:sz w:val="21"/>
                <w:szCs w:val="21"/>
                <w:highlight w:val="none"/>
                <w:lang w:val="en-US"/>
              </w:rPr>
              <w:t xml:space="preserve">(1)具有独立承担民事责任的能力的证明材料：</w:t>
            </w:r>
            <w:r/>
          </w:p>
          <w:p>
            <w:pPr>
              <w:pStyle w:val="1094"/>
              <w:numPr>
                <w:ilvl w:val="0"/>
                <w:numId w:val="3"/>
              </w:numPr>
              <w:ind w:left="0" w:firstLine="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如投标人是企业（包括合作企业）的，应提供在工商部门注册的有效“企业法人营业执照”或“营业执照”；</w:t>
            </w:r>
            <w:r/>
          </w:p>
          <w:p>
            <w:pPr>
              <w:pStyle w:val="1094"/>
              <w:numPr>
                <w:ilvl w:val="0"/>
                <w:numId w:val="3"/>
              </w:numPr>
              <w:ind w:left="0" w:firstLine="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如投标人是事业单位的（非公益一类事业单位），应提供有效的“事业单位法人证书”；</w:t>
            </w:r>
            <w:r/>
          </w:p>
          <w:p>
            <w:pPr>
              <w:pStyle w:val="1094"/>
              <w:numPr>
                <w:ilvl w:val="0"/>
                <w:numId w:val="3"/>
              </w:numPr>
              <w:ind w:left="0" w:firstLine="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如投标人是非企业专业服务机构的，应提供有效的执业许可证等证明文件；</w:t>
            </w:r>
            <w:r/>
          </w:p>
          <w:p>
            <w:pPr>
              <w:pStyle w:val="1094"/>
              <w:numPr>
                <w:ilvl w:val="0"/>
                <w:numId w:val="3"/>
              </w:numPr>
              <w:ind w:left="0" w:firstLine="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如投标人是个体工商户的，应提供有效的“个体工商户营业执照”；</w:t>
            </w:r>
            <w:r/>
          </w:p>
          <w:p>
            <w:pPr>
              <w:pStyle w:val="1094"/>
              <w:numPr>
                <w:ilvl w:val="0"/>
                <w:numId w:val="3"/>
              </w:numPr>
              <w:ind w:left="0" w:firstLine="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如投标人是自然人的，应提供有效的自然人身份证明。</w:t>
            </w:r>
            <w:r/>
          </w:p>
          <w:p>
            <w:pPr>
              <w:pStyle w:val="1094"/>
              <w:ind w:left="0"/>
              <w:jc w:val="both"/>
              <w:spacing w:line="360" w:lineRule="auto"/>
              <w:rPr>
                <w:rFonts w:ascii="Times New Roman" w:hAnsi="Times New Roman" w:cs="Times New Roman"/>
                <w:b/>
                <w:bCs/>
                <w:sz w:val="21"/>
                <w:szCs w:val="21"/>
                <w:highlight w:val="none"/>
                <w:lang w:val="en-US"/>
              </w:rPr>
            </w:pPr>
            <w:r>
              <w:rPr>
                <w:rFonts w:ascii="Times New Roman" w:hAnsi="Times New Roman" w:cs="Times New Roman"/>
                <w:b/>
                <w:bCs/>
                <w:sz w:val="21"/>
                <w:szCs w:val="21"/>
                <w:highlight w:val="none"/>
                <w:lang w:val="en-US"/>
              </w:rPr>
              <w:t xml:space="preserve">(2)南京市政府采购供应商信用记录表暨信用承诺书</w:t>
            </w:r>
            <w:r/>
          </w:p>
          <w:p>
            <w:pPr>
              <w:pStyle w:val="1094"/>
              <w:ind w:left="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说明1：供应商在中标（成交）后，应按采购文件要求（详见招标文件第七章投标文件格式），将南京市政府采购供应商信用记录表暨信用承诺书替代的证明材料：1、符合国家相关规定的财务状况报告；2、依法缴纳税收的证明材料；3、依法缴纳社会保障资金的证明材料；4、具备履行政府采购合同所必需的设备和 专业技术能力的证明材料；5、参加政府采购活动前三年内在经营活动中没有重大违法记录的证明材料；提交采购人或采购代理机构核验。经核验无误后，由采购人或采购代理机构发出中标（成交）通知书。</w:t>
            </w:r>
            <w:r/>
          </w:p>
          <w:p>
            <w:pPr>
              <w:pStyle w:val="1094"/>
              <w:ind w:left="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说明2：属于以下情形，须按照招标文件第七章要求提供证明材料，不得以信用承诺书替代：</w:t>
            </w:r>
            <w:r/>
          </w:p>
          <w:p>
            <w:pPr>
              <w:pStyle w:val="1094"/>
              <w:ind w:left="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1、供应商被列入严重失信主体名单；</w:t>
            </w:r>
            <w:r/>
          </w:p>
          <w:p>
            <w:pPr>
              <w:pStyle w:val="1094"/>
              <w:ind w:left="0"/>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rPr>
              <w:t xml:space="preserve">2</w:t>
            </w:r>
            <w:r>
              <w:rPr>
                <w:rFonts w:ascii="Times New Roman" w:hAnsi="Times New Roman" w:cs="Times New Roman"/>
                <w:sz w:val="21"/>
                <w:szCs w:val="21"/>
                <w:highlight w:val="none"/>
                <w:lang w:val="en-US"/>
              </w:rPr>
              <w:t xml:space="preserve">、被相关监管部门作出行政处罚且尚在处罚有效期内；</w:t>
            </w:r>
            <w:r/>
          </w:p>
          <w:p>
            <w:p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rPr>
              <w:t xml:space="preserve">3</w:t>
            </w:r>
            <w:r>
              <w:rPr>
                <w:rFonts w:ascii="Times New Roman" w:hAnsi="Times New Roman" w:cs="Times New Roman"/>
                <w:sz w:val="21"/>
                <w:szCs w:val="21"/>
                <w:highlight w:val="none"/>
                <w:lang w:val="en-US"/>
              </w:rPr>
              <w:t xml:space="preserve">、其他法律、行政法规规定的不适用信用承诺的情形。</w:t>
            </w:r>
            <w:r/>
          </w:p>
          <w:p>
            <w:pPr>
              <w:pStyle w:val="1094"/>
              <w:ind w:left="0"/>
              <w:jc w:val="both"/>
              <w:spacing w:line="360" w:lineRule="auto"/>
              <w:rPr>
                <w:rFonts w:ascii="Times New Roman" w:hAnsi="Times New Roman" w:cs="Times New Roman"/>
                <w:sz w:val="21"/>
                <w:szCs w:val="21"/>
                <w:highlight w:val="none"/>
                <w:lang w:val="en-US"/>
              </w:rPr>
            </w:pPr>
            <w:r>
              <w:rPr>
                <w:rFonts w:ascii="Times New Roman" w:hAnsi="Times New Roman" w:cs="Times New Roman"/>
                <w:b/>
                <w:bCs/>
                <w:sz w:val="21"/>
                <w:szCs w:val="21"/>
                <w:highlight w:val="none"/>
                <w:lang w:val="en-US"/>
              </w:rPr>
              <w:t xml:space="preserve">(3)法律、行政法规规定的其他条件：</w:t>
            </w:r>
            <w:r>
              <w:rPr>
                <w:rFonts w:ascii="Times New Roman" w:hAnsi="Times New Roman" w:cs="Times New Roman"/>
                <w:sz w:val="21"/>
                <w:szCs w:val="21"/>
                <w:highlight w:val="none"/>
                <w:lang w:val="en-US"/>
              </w:rPr>
              <w:t xml:space="preserve">提供项目实施所必须的许可资质证明材料。</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6</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投标无效情形</w:t>
            </w:r>
            <w:r/>
          </w:p>
        </w:tc>
        <w:tc>
          <w:tcPr>
            <w:tcW w:w="7848" w:type="dxa"/>
            <w:vAlign w:val="center"/>
            <w:textDirection w:val="lrTb"/>
            <w:noWrap w:val="false"/>
          </w:tcPr>
          <w:p>
            <w:pPr>
              <w:numPr>
                <w:ilvl w:val="0"/>
                <w:numId w:val="4"/>
              </w:numPr>
              <w:jc w:val="both"/>
              <w:spacing w:line="360" w:lineRule="auto"/>
              <w:rPr>
                <w:rFonts w:ascii="Times New Roman" w:hAnsi="Times New Roman" w:cs="Times New Roman"/>
                <w:b/>
                <w:bCs/>
                <w:sz w:val="21"/>
                <w:szCs w:val="21"/>
                <w:highlight w:val="none"/>
                <w:lang w:val="en-US"/>
              </w:rPr>
            </w:pPr>
            <w:r>
              <w:rPr>
                <w:rFonts w:ascii="Times New Roman" w:hAnsi="Times New Roman" w:cs="Times New Roman"/>
                <w:b/>
                <w:bCs/>
                <w:sz w:val="21"/>
                <w:szCs w:val="21"/>
                <w:highlight w:val="none"/>
                <w:lang w:val="en-US"/>
              </w:rPr>
              <w:t xml:space="preserve">针对本章“三、投标”中的“5、投标文件的商务部分”和“6、投标文件的技术部分”加</w:t>
            </w:r>
            <w:r>
              <w:rPr>
                <w:rFonts w:ascii="Segoe UI Symbol" w:hAnsi="Segoe UI Symbol" w:cs="Segoe UI Symbol"/>
                <w:b/>
                <w:bCs/>
                <w:sz w:val="21"/>
                <w:szCs w:val="21"/>
                <w:highlight w:val="none"/>
              </w:rPr>
              <w:t xml:space="preserve">★</w:t>
            </w:r>
            <w:r>
              <w:rPr>
                <w:rFonts w:ascii="Times New Roman" w:hAnsi="Times New Roman" w:cs="Times New Roman"/>
                <w:b/>
                <w:bCs/>
                <w:sz w:val="21"/>
                <w:szCs w:val="21"/>
                <w:highlight w:val="none"/>
                <w:lang w:val="en-US"/>
              </w:rPr>
              <w:t xml:space="preserve">项要求，投标文件提供的证明材料缺失或无效的；</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投标文件未按照招标文件规定要求</w:t>
            </w:r>
            <w:r>
              <w:rPr>
                <w:rFonts w:ascii="Times New Roman" w:hAnsi="Times New Roman" w:cs="Times New Roman"/>
                <w:b/>
                <w:bCs/>
                <w:sz w:val="21"/>
                <w:szCs w:val="21"/>
                <w:highlight w:val="none"/>
                <w:lang w:val="en-US"/>
              </w:rPr>
              <w:t xml:space="preserve">签署、</w:t>
            </w:r>
            <w:r>
              <w:rPr>
                <w:rFonts w:hint="eastAsia" w:ascii="Times New Roman" w:hAnsi="Times New Roman" w:cs="Times New Roman"/>
                <w:b/>
                <w:bCs/>
                <w:sz w:val="21"/>
                <w:szCs w:val="21"/>
                <w:highlight w:val="none"/>
                <w:lang w:val="en-US" w:eastAsia="zh-CN"/>
              </w:rPr>
              <w:t xml:space="preserve">签</w:t>
            </w:r>
            <w:r>
              <w:rPr>
                <w:rFonts w:ascii="Times New Roman" w:hAnsi="Times New Roman" w:cs="Times New Roman"/>
                <w:b/>
                <w:bCs/>
                <w:sz w:val="21"/>
                <w:szCs w:val="21"/>
                <w:highlight w:val="none"/>
                <w:lang w:val="en-US"/>
              </w:rPr>
              <w:t xml:space="preserve">章</w:t>
            </w:r>
            <w:r>
              <w:rPr>
                <w:rFonts w:ascii="Times New Roman" w:hAnsi="Times New Roman" w:cs="Times New Roman"/>
                <w:sz w:val="21"/>
                <w:szCs w:val="21"/>
                <w:highlight w:val="none"/>
                <w:lang w:val="en-US"/>
              </w:rPr>
              <w:t xml:space="preserve">的，以及没有《开标一览表》</w:t>
            </w:r>
            <w:r>
              <w:rPr>
                <w:rFonts w:hint="eastAsia" w:ascii="Times New Roman" w:hAnsi="Times New Roman" w:cs="Times New Roman"/>
                <w:sz w:val="21"/>
                <w:szCs w:val="21"/>
                <w:highlight w:val="none"/>
                <w:lang w:val="en-US" w:eastAsia="zh-CN"/>
              </w:rPr>
              <w:t xml:space="preserve">的</w:t>
            </w:r>
            <w:r>
              <w:rPr>
                <w:rFonts w:ascii="Times New Roman" w:hAnsi="Times New Roman" w:cs="Times New Roman"/>
                <w:sz w:val="21"/>
                <w:szCs w:val="21"/>
                <w:highlight w:val="none"/>
                <w:lang w:val="en-US"/>
              </w:rPr>
              <w:t xml:space="preserve">；</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投标文件未响应采购项目需求中规定的实质性要求的；</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投标总报价超过项目预算金额或最高限价；</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投标报价存在缺项、漏项；</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rPr>
              <w:t xml:space="preserve">评标委员会认为投标人的报价明显低于其他通过符合性审查投标人的报价，有可能影响服务质量或者不能诚信履约的，投标人</w:t>
            </w:r>
            <w:r>
              <w:rPr>
                <w:rFonts w:ascii="Times New Roman" w:hAnsi="Times New Roman" w:cs="Times New Roman"/>
                <w:sz w:val="21"/>
                <w:szCs w:val="21"/>
                <w:highlight w:val="none"/>
                <w:lang w:val="en-US"/>
              </w:rPr>
              <w:t xml:space="preserve">未在</w:t>
            </w:r>
            <w:r>
              <w:rPr>
                <w:rFonts w:ascii="Times New Roman" w:hAnsi="Times New Roman" w:cs="Times New Roman"/>
                <w:sz w:val="21"/>
                <w:szCs w:val="21"/>
                <w:highlight w:val="none"/>
              </w:rPr>
              <w:t xml:space="preserve">评标现场合理的时间内提供书面说明</w:t>
            </w:r>
            <w:r>
              <w:rPr>
                <w:rFonts w:ascii="Times New Roman" w:hAnsi="Times New Roman" w:cs="Times New Roman"/>
                <w:sz w:val="21"/>
                <w:szCs w:val="21"/>
                <w:highlight w:val="none"/>
                <w:lang w:val="en-US"/>
              </w:rPr>
              <w:t xml:space="preserve">或相关证明材料，</w:t>
            </w:r>
            <w:r>
              <w:rPr>
                <w:rFonts w:ascii="Times New Roman" w:hAnsi="Times New Roman" w:cs="Times New Roman"/>
                <w:sz w:val="21"/>
                <w:szCs w:val="21"/>
                <w:highlight w:val="none"/>
              </w:rPr>
              <w:t xml:space="preserve">不能证明其报价合理性的；</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投标文件含有采购人不能接受的附加条件的；</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不同投标人的投标文件由同一单位或者个人编制；</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不同投标人委托同一单位或者个人办理投标事宜；</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不同投标人的投标文件载明的项目管理成员或联系人员为同一人；</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不同投标人的投标文件异常一致或者投标报价呈规律性差异；</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为本采购项目提供整体设计、规范编制，以及项目管理、监理、检测等服务的投标人；</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不同投标人的法定代表人或委托代理人有夫妻、直系血亲关系；</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不同投标人的负责人为同一人或者存在控股、管理关系的；</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rPr>
              <w:t xml:space="preserve">被信用中国网站、中国政府采购网站列入失信被执行人名单、重大税收违法案件当事人名单、政府采购严重违法失信行为记录名单</w:t>
            </w:r>
            <w:r>
              <w:rPr>
                <w:rFonts w:ascii="Times New Roman" w:hAnsi="Times New Roman" w:cs="Times New Roman"/>
                <w:sz w:val="21"/>
                <w:szCs w:val="21"/>
                <w:highlight w:val="none"/>
                <w:lang w:val="en-US"/>
              </w:rPr>
              <w:t xml:space="preserve">；如本项目接受联合体投标，联合体成员存在不良信用记录的，视同联合体存在不良信用记录；</w:t>
            </w:r>
            <w:r/>
          </w:p>
          <w:p>
            <w:pPr>
              <w:numPr>
                <w:ilvl w:val="0"/>
                <w:numId w:val="4"/>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法律、法规和招标文件规定的其他无效情形。</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7</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废标情形</w:t>
            </w:r>
            <w:r/>
          </w:p>
        </w:tc>
        <w:tc>
          <w:tcPr>
            <w:tcW w:w="7848" w:type="dxa"/>
            <w:vAlign w:val="center"/>
            <w:textDirection w:val="lrTb"/>
            <w:noWrap w:val="false"/>
          </w:tcPr>
          <w:p>
            <w:pPr>
              <w:numPr>
                <w:ilvl w:val="0"/>
                <w:numId w:val="5"/>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符合专业条件的投标人或者对招标文件作实质响应的投标人不足三家的；</w:t>
            </w:r>
            <w:r/>
          </w:p>
          <w:p>
            <w:pPr>
              <w:numPr>
                <w:ilvl w:val="0"/>
                <w:numId w:val="5"/>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出现影响采购公正的违法、违规行为的；</w:t>
            </w:r>
            <w:r/>
          </w:p>
          <w:p>
            <w:pPr>
              <w:numPr>
                <w:ilvl w:val="0"/>
                <w:numId w:val="5"/>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投标人的报价均超过了采购预算，采购人不能支付的；</w:t>
            </w:r>
            <w:r/>
          </w:p>
          <w:p>
            <w:pPr>
              <w:numPr>
                <w:ilvl w:val="0"/>
                <w:numId w:val="5"/>
              </w:num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lang w:val="en-US"/>
              </w:rPr>
              <w:t xml:space="preserve">因重大变故，采购任务取消的。</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8</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 xml:space="preserve">签</w:t>
            </w:r>
            <w:r>
              <w:rPr>
                <w:rFonts w:ascii="Times New Roman" w:hAnsi="Times New Roman" w:cs="Times New Roman"/>
                <w:sz w:val="21"/>
                <w:szCs w:val="21"/>
                <w:highlight w:val="none"/>
              </w:rPr>
              <w:t xml:space="preserve">章要求</w:t>
            </w:r>
            <w:r/>
          </w:p>
        </w:tc>
        <w:tc>
          <w:tcPr>
            <w:tcW w:w="7848" w:type="dxa"/>
            <w:vAlign w:val="center"/>
            <w:textDirection w:val="lrTb"/>
            <w:noWrap w:val="false"/>
          </w:tcPr>
          <w:p>
            <w:pPr>
              <w:jc w:val="both"/>
              <w:spacing w:line="360" w:lineRule="auto"/>
              <w:rPr>
                <w:rFonts w:ascii="Times New Roman" w:hAnsi="Times New Roman" w:cs="Times New Roman"/>
                <w:sz w:val="21"/>
                <w:szCs w:val="21"/>
                <w:highlight w:val="none"/>
                <w:lang w:val="en-US"/>
              </w:rPr>
            </w:pPr>
            <w:r>
              <w:rPr>
                <w:rFonts w:ascii="Times New Roman" w:hAnsi="Times New Roman" w:cs="Times New Roman"/>
                <w:b/>
                <w:bCs/>
                <w:sz w:val="21"/>
                <w:szCs w:val="21"/>
                <w:highlight w:val="none"/>
              </w:rPr>
              <w:t xml:space="preserve">投标人投标文件中</w:t>
            </w:r>
            <w:r>
              <w:rPr>
                <w:rFonts w:hint="eastAsia" w:ascii="Times New Roman" w:hAnsi="Times New Roman" w:cs="Times New Roman"/>
                <w:b/>
                <w:bCs/>
                <w:sz w:val="21"/>
                <w:szCs w:val="21"/>
                <w:highlight w:val="none"/>
                <w:lang w:val="en-US" w:eastAsia="zh-CN"/>
              </w:rPr>
              <w:t xml:space="preserve">签署的</w:t>
            </w:r>
            <w:r>
              <w:rPr>
                <w:rFonts w:ascii="Times New Roman" w:hAnsi="Times New Roman" w:cs="Times New Roman"/>
                <w:b/>
                <w:bCs/>
                <w:sz w:val="21"/>
                <w:szCs w:val="21"/>
                <w:highlight w:val="none"/>
              </w:rPr>
              <w:t xml:space="preserve">公章仅能使用与投标人名称一致的标准公章</w:t>
            </w:r>
            <w:r>
              <w:rPr>
                <w:rFonts w:ascii="Times New Roman" w:hAnsi="Times New Roman" w:cs="Times New Roman"/>
                <w:sz w:val="21"/>
                <w:szCs w:val="21"/>
                <w:highlight w:val="none"/>
              </w:rPr>
              <w:t xml:space="preserve">，不得使用其他形式（如带有“专用章”、“合同章”、“财务章”、“业务章”等字样）的印章；</w:t>
            </w:r>
            <w:r>
              <w:rPr>
                <w:rFonts w:ascii="Times New Roman" w:hAnsi="Times New Roman" w:cs="Times New Roman"/>
                <w:b/>
                <w:bCs/>
                <w:sz w:val="21"/>
                <w:szCs w:val="21"/>
                <w:highlight w:val="none"/>
              </w:rPr>
              <w:t xml:space="preserve">否则，按无效投标处理。</w:t>
            </w:r>
            <w:r/>
          </w:p>
        </w:tc>
      </w:tr>
      <w:tr>
        <w:trPr>
          <w:jc w:val="center"/>
        </w:trPr>
        <w:tc>
          <w:tcPr>
            <w:tcW w:w="657"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9</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t xml:space="preserve">需要补充的其他内容</w:t>
            </w:r>
            <w:r/>
          </w:p>
        </w:tc>
        <w:tc>
          <w:tcPr>
            <w:tcW w:w="7848" w:type="dxa"/>
            <w:vAlign w:val="center"/>
            <w:textDirection w:val="lrTb"/>
            <w:noWrap w:val="false"/>
          </w:tcPr>
          <w:p>
            <w:pPr>
              <w:jc w:val="both"/>
              <w:spacing w:line="360" w:lineRule="auto"/>
              <w:rPr>
                <w:rFonts w:ascii="Times New Roman" w:hAnsi="Times New Roman" w:cs="Times New Roman"/>
                <w:sz w:val="21"/>
                <w:szCs w:val="21"/>
                <w:highlight w:val="none"/>
                <w:lang w:val="en-US"/>
              </w:rPr>
            </w:pPr>
            <w:r>
              <w:rPr>
                <w:rFonts w:ascii="Times New Roman" w:hAnsi="Times New Roman" w:cs="Times New Roman"/>
                <w:sz w:val="21"/>
                <w:szCs w:val="21"/>
                <w:highlight w:val="none"/>
              </w:rPr>
              <w:t xml:space="preserve">除本招标文件另有规定外，招标文件中出现的类似于“近</w:t>
            </w:r>
            <w:r>
              <w:rPr>
                <w:rFonts w:ascii="Times New Roman" w:hAnsi="Times New Roman" w:cs="Times New Roman"/>
                <w:sz w:val="21"/>
                <w:szCs w:val="21"/>
                <w:highlight w:val="none"/>
                <w:lang w:val="en-US"/>
              </w:rPr>
              <w:t xml:space="preserve">一</w:t>
            </w:r>
            <w:r>
              <w:rPr>
                <w:rFonts w:ascii="Times New Roman" w:hAnsi="Times New Roman" w:cs="Times New Roman"/>
                <w:sz w:val="21"/>
                <w:szCs w:val="21"/>
                <w:highlight w:val="none"/>
              </w:rPr>
              <w:t xml:space="preserve">年”或“前</w:t>
            </w:r>
            <w:r>
              <w:rPr>
                <w:rFonts w:ascii="Times New Roman" w:hAnsi="Times New Roman" w:cs="Times New Roman"/>
                <w:sz w:val="21"/>
                <w:szCs w:val="21"/>
                <w:highlight w:val="none"/>
                <w:lang w:val="en-US"/>
              </w:rPr>
              <w:t xml:space="preserve">一</w:t>
            </w:r>
            <w:r>
              <w:rPr>
                <w:rFonts w:ascii="Times New Roman" w:hAnsi="Times New Roman" w:cs="Times New Roman"/>
                <w:sz w:val="21"/>
                <w:szCs w:val="21"/>
                <w:highlight w:val="none"/>
              </w:rPr>
              <w:t xml:space="preserve">年”、“近</w:t>
            </w:r>
            <w:r>
              <w:rPr>
                <w:rFonts w:ascii="Times New Roman" w:hAnsi="Times New Roman" w:cs="Times New Roman"/>
                <w:sz w:val="21"/>
                <w:szCs w:val="21"/>
                <w:highlight w:val="none"/>
                <w:lang w:val="en-US"/>
              </w:rPr>
              <w:t xml:space="preserve">三</w:t>
            </w:r>
            <w:r>
              <w:rPr>
                <w:rFonts w:ascii="Times New Roman" w:hAnsi="Times New Roman" w:cs="Times New Roman"/>
                <w:sz w:val="21"/>
                <w:szCs w:val="21"/>
                <w:highlight w:val="none"/>
              </w:rPr>
              <w:t xml:space="preserve">年”或“前</w:t>
            </w:r>
            <w:r>
              <w:rPr>
                <w:rFonts w:ascii="Times New Roman" w:hAnsi="Times New Roman" w:cs="Times New Roman"/>
                <w:sz w:val="21"/>
                <w:szCs w:val="21"/>
                <w:highlight w:val="none"/>
                <w:lang w:val="en-US"/>
              </w:rPr>
              <w:t xml:space="preserve">三</w:t>
            </w:r>
            <w:r>
              <w:rPr>
                <w:rFonts w:ascii="Times New Roman" w:hAnsi="Times New Roman" w:cs="Times New Roman"/>
                <w:sz w:val="21"/>
                <w:szCs w:val="21"/>
                <w:highlight w:val="none"/>
              </w:rPr>
              <w:t xml:space="preserve">年”均指递交投标文件时间以前</w:t>
            </w:r>
            <w:r>
              <w:rPr>
                <w:rFonts w:ascii="Times New Roman" w:hAnsi="Times New Roman" w:cs="Times New Roman"/>
                <w:sz w:val="21"/>
                <w:szCs w:val="21"/>
                <w:highlight w:val="none"/>
                <w:lang w:val="en-US"/>
              </w:rPr>
              <w:t xml:space="preserve">1</w:t>
            </w:r>
            <w:r>
              <w:rPr>
                <w:rFonts w:ascii="Times New Roman" w:hAnsi="Times New Roman" w:cs="Times New Roman"/>
                <w:sz w:val="21"/>
                <w:szCs w:val="21"/>
                <w:highlight w:val="none"/>
              </w:rPr>
              <w:t xml:space="preserve">年或前</w:t>
            </w:r>
            <w:r>
              <w:rPr>
                <w:rFonts w:ascii="Times New Roman" w:hAnsi="Times New Roman" w:cs="Times New Roman"/>
                <w:sz w:val="21"/>
                <w:szCs w:val="21"/>
                <w:highlight w:val="none"/>
                <w:lang w:val="en-US"/>
              </w:rPr>
              <w:t xml:space="preserve">3</w:t>
            </w:r>
            <w:r>
              <w:rPr>
                <w:rFonts w:ascii="Times New Roman" w:hAnsi="Times New Roman" w:cs="Times New Roman"/>
                <w:sz w:val="21"/>
                <w:szCs w:val="21"/>
                <w:highlight w:val="none"/>
              </w:rPr>
              <w:t xml:space="preserve">年，以此类推。如：递交投标文件时间为2020年3月1日，则“近三年”是指201</w:t>
            </w:r>
            <w:r>
              <w:rPr>
                <w:rFonts w:ascii="Times New Roman" w:hAnsi="Times New Roman" w:cs="Times New Roman"/>
                <w:sz w:val="21"/>
                <w:szCs w:val="21"/>
                <w:highlight w:val="none"/>
                <w:lang w:val="en-US"/>
              </w:rPr>
              <w:t xml:space="preserve">7</w:t>
            </w:r>
            <w:r>
              <w:rPr>
                <w:rFonts w:ascii="Times New Roman" w:hAnsi="Times New Roman" w:cs="Times New Roman"/>
                <w:sz w:val="21"/>
                <w:szCs w:val="21"/>
                <w:highlight w:val="none"/>
              </w:rPr>
              <w:t xml:space="preserve">年3月1日至2020年3月1日。</w:t>
            </w:r>
            <w:r/>
          </w:p>
        </w:tc>
      </w:tr>
      <w:tr>
        <w:trPr>
          <w:jc w:val="center"/>
        </w:trPr>
        <w:tc>
          <w:tcPr>
            <w:tcW w:w="657" w:type="dxa"/>
            <w:vAlign w:val="center"/>
            <w:textDirection w:val="lrTb"/>
            <w:noWrap w:val="false"/>
          </w:tcPr>
          <w:p>
            <w:pPr>
              <w:ind w:left="-55" w:right="-29"/>
              <w:jc w:val="center"/>
              <w:spacing w:line="360" w:lineRule="auto"/>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10</w:t>
            </w:r>
            <w:r/>
          </w:p>
        </w:tc>
        <w:tc>
          <w:tcPr>
            <w:tcW w:w="1701" w:type="dxa"/>
            <w:vAlign w:val="center"/>
            <w:textDirection w:val="lrTb"/>
            <w:noWrap w:val="false"/>
          </w:tcPr>
          <w:p>
            <w:pPr>
              <w:ind w:left="-55" w:right="-29"/>
              <w:jc w:val="center"/>
              <w:spacing w:line="360" w:lineRule="auto"/>
              <w:rPr>
                <w:rFonts w:ascii="Times New Roman" w:hAnsi="Times New Roman" w:cs="Times New Roman"/>
                <w:sz w:val="21"/>
                <w:szCs w:val="21"/>
                <w:highlight w:val="none"/>
              </w:rPr>
            </w:pPr>
            <w:r>
              <w:rPr>
                <w:rFonts w:hint="eastAsia" w:ascii="Times New Roman" w:hAnsi="Times New Roman" w:cs="Times New Roman"/>
                <w:sz w:val="21"/>
                <w:szCs w:val="21"/>
                <w:highlight w:val="none"/>
              </w:rPr>
              <w:t xml:space="preserve">采购标的所属行业</w:t>
            </w:r>
            <w:r/>
          </w:p>
        </w:tc>
        <w:tc>
          <w:tcPr>
            <w:tcW w:w="7848" w:type="dxa"/>
            <w:vAlign w:val="center"/>
            <w:textDirection w:val="lrTb"/>
            <w:noWrap w:val="false"/>
          </w:tcPr>
          <w:p>
            <w:pPr>
              <w:jc w:val="both"/>
              <w:spacing w:line="360" w:lineRule="auto"/>
              <w:rPr>
                <w:rFonts w:hint="eastAsia" w:ascii="Times New Roman" w:hAnsi="Times New Roman" w:eastAsia="宋体" w:cs="Times New Roman"/>
                <w:sz w:val="21"/>
                <w:szCs w:val="21"/>
                <w:highlight w:val="none"/>
                <w:lang w:eastAsia="zh-CN"/>
              </w:rPr>
            </w:pPr>
            <w:r>
              <w:rPr>
                <w:rFonts w:hint="eastAsia" w:ascii="Times New Roman" w:hAnsi="Times New Roman" w:cs="Times New Roman"/>
                <w:sz w:val="21"/>
                <w:szCs w:val="21"/>
                <w:highlight w:val="none"/>
              </w:rPr>
              <w:t xml:space="preserve">其他未列明行业</w:t>
            </w:r>
            <w:r>
              <w:rPr>
                <w:rFonts w:hint="eastAsia" w:ascii="Times New Roman" w:hAnsi="Times New Roman" w:cs="Times New Roman"/>
                <w:sz w:val="21"/>
                <w:szCs w:val="21"/>
                <w:highlight w:val="none"/>
                <w:lang w:eastAsia="zh-CN"/>
              </w:rPr>
              <w:t xml:space="preserve">。</w:t>
            </w:r>
            <w:r/>
          </w:p>
        </w:tc>
      </w:tr>
    </w:tbl>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一、总</w:t>
      </w:r>
      <w:r>
        <w:rPr>
          <w:rFonts w:ascii="Times New Roman" w:hAnsi="Times New Roman" w:cs="Times New Roman"/>
          <w:sz w:val="24"/>
          <w:szCs w:val="24"/>
          <w:highlight w:val="none"/>
          <w:u w:val="none"/>
        </w:rPr>
        <w:tab/>
      </w:r>
      <w:r>
        <w:rPr>
          <w:rFonts w:ascii="Times New Roman" w:hAnsi="Times New Roman" w:cs="Times New Roman"/>
          <w:sz w:val="24"/>
          <w:szCs w:val="24"/>
          <w:highlight w:val="none"/>
          <w:u w:val="none"/>
        </w:rPr>
        <w:t xml:space="preserve">则</w:t>
      </w:r>
      <w:r/>
    </w:p>
    <w:p>
      <w:pPr>
        <w:pStyle w:val="1086"/>
        <w:ind w:firstLine="482"/>
        <w:jc w:val="both"/>
        <w:spacing w:line="360" w:lineRule="auto"/>
        <w:rPr>
          <w:rFonts w:ascii="Times New Roman" w:hAnsi="Times New Roman" w:eastAsia="宋体" w:cs="Times New Roman"/>
          <w:b/>
          <w:bCs/>
          <w:sz w:val="24"/>
          <w:szCs w:val="24"/>
          <w:highlight w:val="none"/>
        </w:rPr>
      </w:pPr>
      <w:r/>
      <w:bookmarkStart w:id="18" w:name="__1、适用法律"/>
      <w:r/>
      <w:bookmarkEnd w:id="18"/>
      <w:r>
        <w:rPr>
          <w:rFonts w:ascii="Times New Roman" w:hAnsi="Times New Roman" w:eastAsia="宋体" w:cs="Times New Roman"/>
          <w:b/>
          <w:bCs/>
          <w:sz w:val="24"/>
          <w:szCs w:val="24"/>
          <w:highlight w:val="none"/>
        </w:rPr>
        <w:t xml:space="preserve">1、适用法律</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1.1国家、江苏省、南京市有关法律、规章和规定。</w:t>
      </w:r>
      <w:r/>
    </w:p>
    <w:p>
      <w:pPr>
        <w:pStyle w:val="1086"/>
        <w:ind w:firstLine="482"/>
        <w:jc w:val="both"/>
        <w:spacing w:line="360" w:lineRule="auto"/>
        <w:rPr>
          <w:rFonts w:ascii="Times New Roman" w:hAnsi="Times New Roman" w:eastAsia="宋体" w:cs="Times New Roman"/>
          <w:b/>
          <w:bCs/>
          <w:sz w:val="24"/>
          <w:szCs w:val="24"/>
          <w:highlight w:val="none"/>
        </w:rPr>
      </w:pPr>
      <w:r/>
      <w:bookmarkStart w:id="19" w:name="__2、定义"/>
      <w:r/>
      <w:bookmarkEnd w:id="19"/>
      <w:r>
        <w:rPr>
          <w:rFonts w:ascii="Times New Roman" w:hAnsi="Times New Roman" w:eastAsia="宋体" w:cs="Times New Roman"/>
          <w:b/>
          <w:bCs/>
          <w:sz w:val="24"/>
          <w:szCs w:val="24"/>
          <w:highlight w:val="none"/>
        </w:rPr>
        <w:t xml:space="preserve">2、定义</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2.1“投标人”是指响应招标、参加投标竞争的法人、其他组织或者自然人。</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2.2“货物和服务”指本采购文件中所述产品及相关服务。</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2.3“用户或使用单位”是指本项目采购人。</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3、政策功能</w:t>
      </w:r>
      <w:r/>
    </w:p>
    <w:p>
      <w:pPr>
        <w:pStyle w:val="1107"/>
        <w:ind w:left="0" w:firstLine="442"/>
        <w:keepLines w:val="0"/>
        <w:keepNext w:val="0"/>
        <w:pageBreakBefore w:val="0"/>
        <w:widowControl w:val="off"/>
        <w:rPr>
          <w:rFonts w:ascii="Times New Roman" w:hAnsi="Times New Roman" w:cs="Times New Roman"/>
          <w:highlight w:val="none"/>
        </w:rPr>
      </w:pPr>
      <w:r>
        <w:rPr>
          <w:rFonts w:ascii="Times New Roman" w:hAnsi="Times New Roman" w:cs="Times New Roman"/>
          <w:highlight w:val="none"/>
        </w:rPr>
        <w:t xml:space="preserve">中小企业政策</w:t>
      </w:r>
      <w:r/>
    </w:p>
    <w:p>
      <w:pPr>
        <w:ind w:firstLine="480"/>
        <w:jc w:val="both"/>
        <w:spacing w:line="360" w:lineRule="auto"/>
        <w:tabs>
          <w:tab w:val="left" w:pos="1464" w:leader="none"/>
        </w:tabs>
        <w:rPr>
          <w:rFonts w:ascii="Times New Roman" w:hAnsi="Times New Roman" w:cs="Times New Roman"/>
          <w:sz w:val="24"/>
          <w:szCs w:val="24"/>
          <w:highlight w:val="none"/>
        </w:rPr>
      </w:pPr>
      <w:r/>
      <w:bookmarkStart w:id="20" w:name="_Hlk66864185"/>
      <w:r>
        <w:rPr>
          <w:rFonts w:ascii="Times New Roman" w:hAnsi="Times New Roman" w:cs="Times New Roman"/>
          <w:sz w:val="24"/>
          <w:szCs w:val="24"/>
          <w:highlight w:val="none"/>
        </w:rPr>
        <w:t xml:space="preserve">（1）中小企业（含中型、小型、微型企业）应当符合《政府采购促进中小企业发展管理办法》（财库〔2020〕46号）第二条、《关于政府采购支持监狱企业发展有关问 题的通知》（财库〔2014〕68 号）第一条或《关于促进残疾人就业政府采购政策的通知》（财库〔2017〕141 号）第一条的规定。</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对于接受投标人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2%的价格扣除。</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jc w:val="both"/>
        <w:spacing w:line="360" w:lineRule="auto"/>
        <w:tabs>
          <w:tab w:val="left" w:pos="1464"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（5）未按要求提供相关材料的，不享受相关政策。</w:t>
      </w:r>
      <w:bookmarkEnd w:id="20"/>
      <w:r/>
      <w:r/>
    </w:p>
    <w:p>
      <w:pPr>
        <w:pStyle w:val="1107"/>
        <w:ind w:left="0" w:firstLine="442"/>
        <w:rPr>
          <w:rFonts w:ascii="Times New Roman" w:hAnsi="Times New Roman" w:cs="Times New Roman"/>
          <w:highlight w:val="none"/>
        </w:rPr>
      </w:pPr>
      <w:r>
        <w:rPr>
          <w:rFonts w:ascii="Times New Roman" w:hAnsi="Times New Roman" w:cs="Times New Roman"/>
          <w:highlight w:val="none"/>
        </w:rPr>
        <w:t xml:space="preserve">信息安全产品政策</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（1）</w:t>
      </w:r>
      <w:r>
        <w:rPr>
          <w:rFonts w:ascii="Times New Roman" w:hAnsi="Times New Roman" w:cs="Times New Roman"/>
          <w:sz w:val="24"/>
          <w:szCs w:val="24"/>
          <w:highlight w:val="none"/>
        </w:rPr>
        <w:t xml:space="preserve">信息安全产品是指列入国家质检总局、国家认监委《信息安全产品强制性认证目录》，并获得强制性产品认证证书的产品。</w:t>
      </w:r>
      <w:r/>
    </w:p>
    <w:p>
      <w:pPr>
        <w:ind w:firstLine="480"/>
        <w:jc w:val="both"/>
        <w:spacing w:line="360" w:lineRule="auto"/>
        <w:tabs>
          <w:tab w:val="left" w:pos="1464" w:leader="none"/>
        </w:tabs>
        <w:rPr>
          <w:rFonts w:ascii="Times New Roman" w:hAnsi="Times New Roman" w:cs="Times New Roman"/>
          <w:sz w:val="21"/>
          <w:szCs w:val="21"/>
          <w:highlight w:val="none"/>
          <w:lang w:val="en-US"/>
        </w:rPr>
      </w:pPr>
      <w:r>
        <w:rPr>
          <w:rFonts w:hint="eastAsia"/>
          <w:sz w:val="24"/>
          <w:szCs w:val="24"/>
          <w:highlight w:val="none"/>
        </w:rPr>
        <w:t xml:space="preserve">（</w:t>
      </w:r>
      <w:r>
        <w:rPr>
          <w:sz w:val="24"/>
          <w:szCs w:val="24"/>
          <w:highlight w:val="none"/>
        </w:rPr>
        <w:t xml:space="preserve">2</w:t>
      </w:r>
      <w:r>
        <w:rPr>
          <w:rFonts w:hint="eastAsia"/>
          <w:sz w:val="24"/>
          <w:szCs w:val="24"/>
          <w:highlight w:val="none"/>
        </w:rPr>
        <w:t xml:space="preserve">）</w:t>
      </w:r>
      <w:r>
        <w:rPr>
          <w:rFonts w:ascii="Times New Roman" w:hAnsi="Times New Roman" w:cs="Times New Roman"/>
          <w:sz w:val="24"/>
          <w:szCs w:val="24"/>
          <w:highlight w:val="none"/>
        </w:rPr>
        <w:t xml:space="preserve">提供的产品属于信息安全产品的，投标人应当选择经国家认证的信息安全产品投标，</w:t>
      </w:r>
      <w:r>
        <w:rPr>
          <w:rFonts w:ascii="Times New Roman" w:hAnsi="Times New Roman" w:cs="Times New Roman"/>
          <w:b/>
          <w:sz w:val="24"/>
          <w:szCs w:val="24"/>
          <w:highlight w:val="none"/>
        </w:rPr>
        <w:t xml:space="preserve">并提供由中国信息安全认证中心按国家标准认证颁发的有效认证证书。</w:t>
      </w:r>
      <w:r/>
    </w:p>
    <w:p>
      <w:pPr>
        <w:pStyle w:val="1107"/>
        <w:ind w:left="0" w:firstLine="442"/>
        <w:rPr>
          <w:rFonts w:ascii="Times New Roman" w:hAnsi="Times New Roman" w:cs="Times New Roman"/>
          <w:highlight w:val="none"/>
        </w:rPr>
      </w:pPr>
      <w:r>
        <w:rPr>
          <w:rFonts w:ascii="Times New Roman" w:hAnsi="Times New Roman" w:cs="Times New Roman"/>
          <w:highlight w:val="none"/>
        </w:rPr>
        <w:t xml:space="preserve">节能产品政策</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（1）</w:t>
      </w:r>
      <w:r>
        <w:rPr>
          <w:rFonts w:ascii="Times New Roman" w:hAnsi="Times New Roman" w:cs="Times New Roman"/>
          <w:sz w:val="24"/>
          <w:szCs w:val="24"/>
          <w:highlight w:val="none"/>
        </w:rPr>
        <w:t xml:space="preserve">节能产品是指列入财政部、国家发展和改革委员会制定的节能产品品目政府采购清单，且经过认证的节能产品；</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w:t>
      </w:r>
      <w:r>
        <w:rPr>
          <w:sz w:val="24"/>
          <w:szCs w:val="24"/>
          <w:highlight w:val="none"/>
        </w:rPr>
        <w:t xml:space="preserve">2</w:t>
      </w:r>
      <w:r>
        <w:rPr>
          <w:rFonts w:hint="eastAsia"/>
          <w:sz w:val="24"/>
          <w:szCs w:val="24"/>
          <w:highlight w:val="none"/>
        </w:rPr>
        <w:t xml:space="preserve">）</w:t>
      </w:r>
      <w:r>
        <w:rPr>
          <w:rFonts w:ascii="Times New Roman" w:hAnsi="Times New Roman" w:cs="Times New Roman"/>
          <w:sz w:val="24"/>
          <w:szCs w:val="24"/>
          <w:highlight w:val="none"/>
        </w:rPr>
        <w:t xml:space="preserve">拟采购产品属于节能产品政府采购清单规定必须强制采购的，实行强制采购。</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w:t>
      </w:r>
      <w:r>
        <w:rPr>
          <w:sz w:val="24"/>
          <w:szCs w:val="24"/>
          <w:highlight w:val="none"/>
        </w:rPr>
        <w:t xml:space="preserve">3</w:t>
      </w:r>
      <w:r>
        <w:rPr>
          <w:rFonts w:hint="eastAsia"/>
          <w:sz w:val="24"/>
          <w:szCs w:val="24"/>
          <w:highlight w:val="none"/>
        </w:rPr>
        <w:t xml:space="preserve">）</w:t>
      </w:r>
      <w:r>
        <w:rPr>
          <w:rFonts w:ascii="Times New Roman" w:hAnsi="Times New Roman" w:cs="Times New Roman"/>
          <w:sz w:val="24"/>
          <w:szCs w:val="24"/>
          <w:highlight w:val="none"/>
        </w:rPr>
        <w:t xml:space="preserve">拟采购产品属于节能产品政府采购清单规定优先采购的，在技术、服务等指标同等条件下，实行优先采购，优先采购的要求详见第四章评标标准说明内容。</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w:t>
      </w:r>
      <w:r>
        <w:rPr>
          <w:sz w:val="24"/>
          <w:szCs w:val="24"/>
          <w:highlight w:val="none"/>
        </w:rPr>
        <w:t xml:space="preserve">4</w:t>
      </w:r>
      <w:r>
        <w:rPr>
          <w:rFonts w:hint="eastAsia"/>
          <w:sz w:val="24"/>
          <w:szCs w:val="24"/>
          <w:highlight w:val="none"/>
        </w:rPr>
        <w:t xml:space="preserve">）</w:t>
      </w:r>
      <w:r>
        <w:rPr>
          <w:rFonts w:ascii="Times New Roman" w:hAnsi="Times New Roman" w:cs="Times New Roman"/>
          <w:sz w:val="24"/>
          <w:szCs w:val="24"/>
          <w:highlight w:val="none"/>
        </w:rPr>
        <w:t xml:space="preserve">参加政府采购活动的节能产品投标人应当提供有效的节能产品认证证书。</w:t>
      </w:r>
      <w:r/>
    </w:p>
    <w:p>
      <w:pPr>
        <w:ind w:firstLine="480"/>
        <w:jc w:val="both"/>
        <w:spacing w:line="360" w:lineRule="auto"/>
        <w:tabs>
          <w:tab w:val="left" w:pos="1464" w:leader="none"/>
        </w:tabs>
        <w:rPr>
          <w:rFonts w:ascii="Times New Roman" w:hAnsi="Times New Roman" w:cs="Times New Roman"/>
          <w:sz w:val="24"/>
          <w:szCs w:val="24"/>
          <w:highlight w:val="none"/>
        </w:rPr>
      </w:pPr>
      <w:r>
        <w:rPr>
          <w:rFonts w:hint="eastAsia"/>
          <w:sz w:val="24"/>
          <w:szCs w:val="24"/>
          <w:highlight w:val="none"/>
        </w:rPr>
        <w:t xml:space="preserve">（</w:t>
      </w:r>
      <w:r>
        <w:rPr>
          <w:sz w:val="24"/>
          <w:szCs w:val="24"/>
          <w:highlight w:val="none"/>
        </w:rPr>
        <w:t xml:space="preserve">5</w:t>
      </w:r>
      <w:r>
        <w:rPr>
          <w:rFonts w:hint="eastAsia"/>
          <w:sz w:val="24"/>
          <w:szCs w:val="24"/>
          <w:highlight w:val="none"/>
        </w:rPr>
        <w:t xml:space="preserve">）</w:t>
      </w:r>
      <w:r>
        <w:rPr>
          <w:rFonts w:ascii="Times New Roman" w:hAnsi="Times New Roman" w:cs="Times New Roman"/>
          <w:sz w:val="24"/>
          <w:szCs w:val="24"/>
          <w:highlight w:val="none"/>
        </w:rPr>
        <w:t xml:space="preserve">未按要求提供相关材料的，不享受相关政策。</w:t>
      </w:r>
      <w:r/>
    </w:p>
    <w:p>
      <w:pPr>
        <w:pStyle w:val="1107"/>
        <w:ind w:left="0" w:firstLine="442"/>
        <w:rPr>
          <w:rFonts w:ascii="Times New Roman" w:hAnsi="Times New Roman" w:cs="Times New Roman"/>
          <w:highlight w:val="none"/>
        </w:rPr>
      </w:pPr>
      <w:r>
        <w:rPr>
          <w:rFonts w:ascii="Times New Roman" w:hAnsi="Times New Roman" w:cs="Times New Roman"/>
          <w:highlight w:val="none"/>
        </w:rPr>
        <w:t xml:space="preserve">环境标志产品政策</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（1）</w:t>
      </w:r>
      <w:r>
        <w:rPr>
          <w:sz w:val="24"/>
          <w:szCs w:val="24"/>
          <w:highlight w:val="none"/>
        </w:rPr>
        <w:t xml:space="preserve">环境标志产品是指列入财政部、生态环境部制定的环境标志产品品目政府采购清单，且经过认证的环境标志产品；</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2</w:t>
      </w:r>
      <w:r>
        <w:rPr>
          <w:rFonts w:hint="eastAsia"/>
          <w:sz w:val="24"/>
          <w:szCs w:val="24"/>
          <w:highlight w:val="none"/>
        </w:rPr>
        <w:t xml:space="preserve">）</w:t>
      </w:r>
      <w:r>
        <w:rPr>
          <w:sz w:val="24"/>
          <w:szCs w:val="24"/>
          <w:highlight w:val="none"/>
        </w:rPr>
        <w:t xml:space="preserve">拟采购产品属于环境标志产品政府采购清单规定优先采购的，在性能、技术、服务等指标同等条件下，实行优先采购，优先采购的要求详见第四章评标标准说明内容。</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3</w:t>
      </w:r>
      <w:r>
        <w:rPr>
          <w:rFonts w:hint="eastAsia"/>
          <w:sz w:val="24"/>
          <w:szCs w:val="24"/>
          <w:highlight w:val="none"/>
        </w:rPr>
        <w:t xml:space="preserve">）</w:t>
      </w:r>
      <w:r>
        <w:rPr>
          <w:sz w:val="24"/>
          <w:szCs w:val="24"/>
          <w:highlight w:val="none"/>
        </w:rPr>
        <w:t xml:space="preserve">参加政府采购活动的环境标志产品应当提供有效的环境标志产品认证证书。</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4</w:t>
      </w:r>
      <w:r>
        <w:rPr>
          <w:rFonts w:hint="eastAsia"/>
          <w:sz w:val="24"/>
          <w:szCs w:val="24"/>
          <w:highlight w:val="none"/>
        </w:rPr>
        <w:t xml:space="preserve">）</w:t>
      </w:r>
      <w:r>
        <w:rPr>
          <w:sz w:val="24"/>
          <w:szCs w:val="24"/>
          <w:highlight w:val="none"/>
        </w:rPr>
        <w:t xml:space="preserve">未按要求提供相关材料的，不享受相关政策。</w:t>
      </w:r>
      <w:r/>
    </w:p>
    <w:p>
      <w:pPr>
        <w:pStyle w:val="1107"/>
        <w:ind w:left="0" w:firstLine="442"/>
        <w:rPr>
          <w:rFonts w:ascii="Times New Roman" w:hAnsi="Times New Roman" w:cs="Times New Roman"/>
          <w:highlight w:val="none"/>
        </w:rPr>
      </w:pPr>
      <w:r>
        <w:rPr>
          <w:rFonts w:ascii="Times New Roman" w:hAnsi="Times New Roman" w:cs="Times New Roman"/>
          <w:highlight w:val="none"/>
        </w:rPr>
        <w:t xml:space="preserve">进口产品政策</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（1）</w:t>
      </w:r>
      <w:r>
        <w:rPr>
          <w:sz w:val="24"/>
          <w:szCs w:val="24"/>
          <w:highlight w:val="none"/>
        </w:rPr>
        <w:t xml:space="preserve">除第一章招标公告另有规定外，不允许进口产品参加。进口产品认定依照《财政部关于政府采购进口产品管理有关问题的通知》（财办库〔2008〕248 号）的规定。</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2</w:t>
      </w:r>
      <w:r>
        <w:rPr>
          <w:rFonts w:hint="eastAsia"/>
          <w:sz w:val="24"/>
          <w:szCs w:val="24"/>
          <w:highlight w:val="none"/>
        </w:rPr>
        <w:t xml:space="preserve">）</w:t>
      </w:r>
      <w:r>
        <w:rPr>
          <w:sz w:val="24"/>
          <w:szCs w:val="24"/>
          <w:highlight w:val="none"/>
        </w:rPr>
        <w:t xml:space="preserve">允许进口产品参加的，满足需求的国内产品可以参加。</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3</w:t>
      </w:r>
      <w:r>
        <w:rPr>
          <w:rFonts w:hint="eastAsia"/>
          <w:sz w:val="24"/>
          <w:szCs w:val="24"/>
          <w:highlight w:val="none"/>
        </w:rPr>
        <w:t xml:space="preserve">）</w:t>
      </w:r>
      <w:r>
        <w:rPr>
          <w:sz w:val="24"/>
          <w:szCs w:val="24"/>
          <w:highlight w:val="none"/>
        </w:rPr>
        <w:t xml:space="preserve">允许进口产品参加的，优先采购向我国企业转让技术、与我国企业签订消化吸收再创新方案的投标人的进口产品。</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4</w:t>
      </w:r>
      <w:r>
        <w:rPr>
          <w:rFonts w:hint="eastAsia"/>
          <w:sz w:val="24"/>
          <w:szCs w:val="24"/>
          <w:highlight w:val="none"/>
        </w:rPr>
        <w:t xml:space="preserve">）</w:t>
      </w:r>
      <w:r>
        <w:rPr>
          <w:sz w:val="24"/>
          <w:szCs w:val="24"/>
          <w:highlight w:val="none"/>
        </w:rPr>
        <w:t xml:space="preserve">未按要求提供相关材料的，不享受相关政策。</w:t>
      </w:r>
      <w:r/>
    </w:p>
    <w:p>
      <w:pPr>
        <w:pStyle w:val="1107"/>
        <w:ind w:left="0" w:firstLine="442"/>
        <w:rPr>
          <w:rFonts w:ascii="Times New Roman" w:hAnsi="Times New Roman" w:cs="Times New Roman"/>
          <w:highlight w:val="none"/>
        </w:rPr>
      </w:pPr>
      <w:r>
        <w:rPr>
          <w:rFonts w:ascii="Times New Roman" w:hAnsi="Times New Roman" w:cs="Times New Roman"/>
          <w:highlight w:val="none"/>
        </w:rPr>
        <w:t xml:space="preserve">投标担保政策</w:t>
      </w:r>
      <w:r/>
    </w:p>
    <w:p>
      <w:pPr>
        <w:ind w:firstLine="480"/>
        <w:jc w:val="both"/>
        <w:spacing w:line="360" w:lineRule="auto"/>
        <w:tabs>
          <w:tab w:val="left" w:pos="1464" w:leader="none"/>
        </w:tabs>
        <w:rPr>
          <w:sz w:val="24"/>
          <w:szCs w:val="24"/>
          <w:highlight w:val="none"/>
        </w:rPr>
      </w:pPr>
      <w:r>
        <w:rPr>
          <w:sz w:val="24"/>
          <w:szCs w:val="24"/>
          <w:highlight w:val="none"/>
        </w:rPr>
        <w:t xml:space="preserve">投标人投标保证金可以用担保形式递交，保函要求详见关于开展政府采购信用担保试点工作的通知(财库[2011]124 号)。</w:t>
      </w:r>
      <w:r/>
    </w:p>
    <w:p>
      <w:pPr>
        <w:pStyle w:val="1107"/>
        <w:ind w:left="0" w:firstLine="442"/>
        <w:rPr>
          <w:rFonts w:ascii="Times New Roman" w:hAnsi="Times New Roman" w:cs="Times New Roman"/>
          <w:highlight w:val="none"/>
        </w:rPr>
      </w:pPr>
      <w:r>
        <w:rPr>
          <w:rFonts w:ascii="Times New Roman" w:hAnsi="Times New Roman" w:cs="Times New Roman"/>
          <w:highlight w:val="none"/>
        </w:rPr>
        <w:t xml:space="preserve">投标人信用信息查询</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（1）</w:t>
      </w:r>
      <w:r>
        <w:rPr>
          <w:sz w:val="24"/>
          <w:szCs w:val="24"/>
          <w:highlight w:val="none"/>
        </w:rPr>
        <w:t xml:space="preserve">采购人或采购代理机构将在“信用中国”（www.creditchina.gov.cn）、“中国政府采购网”（www.ccgp.gov.cn）对投标人进行信用信息查询，并将网站查询有关记录留存（财库[2016]125 号）。</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2</w:t>
      </w:r>
      <w:r>
        <w:rPr>
          <w:rFonts w:hint="eastAsia"/>
          <w:sz w:val="24"/>
          <w:szCs w:val="24"/>
          <w:highlight w:val="none"/>
        </w:rPr>
        <w:t xml:space="preserve">）</w:t>
      </w:r>
      <w:r>
        <w:rPr>
          <w:sz w:val="24"/>
          <w:szCs w:val="24"/>
          <w:highlight w:val="none"/>
        </w:rPr>
        <w:t xml:space="preserve">查询截止时间：投标截止时间前</w:t>
      </w:r>
      <w:r/>
    </w:p>
    <w:p>
      <w:pPr>
        <w:ind w:firstLine="480"/>
        <w:jc w:val="both"/>
        <w:spacing w:line="360" w:lineRule="auto"/>
        <w:tabs>
          <w:tab w:val="left" w:pos="1464" w:leader="none"/>
        </w:tabs>
        <w:rPr>
          <w:sz w:val="24"/>
          <w:szCs w:val="24"/>
          <w:highlight w:val="none"/>
        </w:rPr>
      </w:pPr>
      <w:r>
        <w:rPr>
          <w:rFonts w:hint="eastAsia"/>
          <w:sz w:val="24"/>
          <w:szCs w:val="24"/>
          <w:highlight w:val="none"/>
        </w:rPr>
        <w:t xml:space="preserve">（</w:t>
      </w:r>
      <w:r>
        <w:rPr>
          <w:sz w:val="24"/>
          <w:szCs w:val="24"/>
          <w:highlight w:val="none"/>
        </w:rPr>
        <w:t xml:space="preserve">3</w:t>
      </w:r>
      <w:r>
        <w:rPr>
          <w:rFonts w:hint="eastAsia"/>
          <w:sz w:val="24"/>
          <w:szCs w:val="24"/>
          <w:highlight w:val="none"/>
        </w:rPr>
        <w:t xml:space="preserve">）</w:t>
      </w:r>
      <w:r>
        <w:rPr>
          <w:sz w:val="24"/>
          <w:szCs w:val="24"/>
          <w:highlight w:val="none"/>
        </w:rPr>
        <w:t xml:space="preserve">投标人信用查询记录不符合要求的，采购人或采购代理机构将依法拒绝投标人参加本次采购活动。</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4、招标文件的约束力</w:t>
      </w:r>
      <w:r/>
    </w:p>
    <w:p>
      <w:pPr>
        <w:ind w:firstLine="480"/>
        <w:jc w:val="both"/>
        <w:spacing w:line="360" w:lineRule="auto"/>
        <w:tabs>
          <w:tab w:val="left" w:pos="1464" w:leader="none"/>
        </w:tabs>
        <w:rPr>
          <w:sz w:val="24"/>
          <w:szCs w:val="24"/>
          <w:highlight w:val="none"/>
        </w:rPr>
      </w:pPr>
      <w:r>
        <w:rPr>
          <w:sz w:val="24"/>
          <w:szCs w:val="24"/>
          <w:highlight w:val="none"/>
        </w:rPr>
        <w:t xml:space="preserve">投标人一旦领取了本招标文件并参加投标，即被认为接受了本招标文件中的所有条件和规定。</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二、招标文件构成</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1、招标文件组成</w:t>
      </w:r>
      <w:r/>
    </w:p>
    <w:p>
      <w:pPr>
        <w:ind w:firstLine="480"/>
        <w:jc w:val="both"/>
        <w:spacing w:line="360" w:lineRule="auto"/>
        <w:tabs>
          <w:tab w:val="left" w:pos="1464" w:leader="none"/>
        </w:tabs>
        <w:rPr>
          <w:sz w:val="24"/>
          <w:szCs w:val="24"/>
          <w:highlight w:val="none"/>
        </w:rPr>
      </w:pPr>
      <w:r>
        <w:rPr>
          <w:sz w:val="24"/>
          <w:szCs w:val="24"/>
          <w:highlight w:val="none"/>
        </w:rPr>
        <w:t xml:space="preserve">1.1招标公告</w:t>
      </w:r>
      <w:r/>
    </w:p>
    <w:p>
      <w:pPr>
        <w:ind w:firstLine="480"/>
        <w:jc w:val="both"/>
        <w:spacing w:line="360" w:lineRule="auto"/>
        <w:tabs>
          <w:tab w:val="left" w:pos="1464" w:leader="none"/>
        </w:tabs>
        <w:rPr>
          <w:sz w:val="24"/>
          <w:szCs w:val="24"/>
          <w:highlight w:val="none"/>
        </w:rPr>
      </w:pPr>
      <w:r>
        <w:rPr>
          <w:sz w:val="24"/>
          <w:szCs w:val="24"/>
          <w:highlight w:val="none"/>
        </w:rPr>
        <w:t xml:space="preserve">1.2投标人须知</w:t>
      </w:r>
      <w:r/>
    </w:p>
    <w:p>
      <w:pPr>
        <w:ind w:firstLine="480"/>
        <w:jc w:val="both"/>
        <w:spacing w:line="360" w:lineRule="auto"/>
        <w:tabs>
          <w:tab w:val="left" w:pos="1464" w:leader="none"/>
        </w:tabs>
        <w:rPr>
          <w:sz w:val="24"/>
          <w:szCs w:val="24"/>
          <w:highlight w:val="none"/>
        </w:rPr>
      </w:pPr>
      <w:r>
        <w:rPr>
          <w:sz w:val="24"/>
          <w:szCs w:val="24"/>
          <w:highlight w:val="none"/>
        </w:rPr>
        <w:t xml:space="preserve">1.3纪律和职责</w:t>
      </w:r>
      <w:r/>
    </w:p>
    <w:p>
      <w:pPr>
        <w:ind w:firstLine="480"/>
        <w:jc w:val="both"/>
        <w:spacing w:line="360" w:lineRule="auto"/>
        <w:tabs>
          <w:tab w:val="left" w:pos="1464" w:leader="none"/>
        </w:tabs>
        <w:rPr>
          <w:sz w:val="24"/>
          <w:szCs w:val="24"/>
          <w:highlight w:val="none"/>
        </w:rPr>
      </w:pPr>
      <w:r>
        <w:rPr>
          <w:sz w:val="24"/>
          <w:szCs w:val="24"/>
          <w:highlight w:val="none"/>
        </w:rPr>
        <w:t xml:space="preserve">1.4评标办法及标准</w:t>
      </w:r>
      <w:r/>
    </w:p>
    <w:p>
      <w:pPr>
        <w:ind w:firstLine="480"/>
        <w:jc w:val="both"/>
        <w:spacing w:line="360" w:lineRule="auto"/>
        <w:tabs>
          <w:tab w:val="left" w:pos="1464" w:leader="none"/>
        </w:tabs>
        <w:rPr>
          <w:sz w:val="24"/>
          <w:szCs w:val="24"/>
          <w:highlight w:val="none"/>
        </w:rPr>
      </w:pPr>
      <w:r>
        <w:rPr>
          <w:sz w:val="24"/>
          <w:szCs w:val="24"/>
          <w:highlight w:val="none"/>
        </w:rPr>
        <w:t xml:space="preserve">1.5项目名称及需求</w:t>
      </w:r>
      <w:r/>
    </w:p>
    <w:p>
      <w:pPr>
        <w:ind w:firstLine="480"/>
        <w:jc w:val="both"/>
        <w:spacing w:line="360" w:lineRule="auto"/>
        <w:tabs>
          <w:tab w:val="left" w:pos="1464" w:leader="none"/>
        </w:tabs>
        <w:rPr>
          <w:sz w:val="24"/>
          <w:szCs w:val="24"/>
          <w:highlight w:val="none"/>
        </w:rPr>
      </w:pPr>
      <w:r>
        <w:rPr>
          <w:sz w:val="24"/>
          <w:szCs w:val="24"/>
          <w:highlight w:val="none"/>
        </w:rPr>
        <w:t xml:space="preserve">1.6合同主要条款及格式</w:t>
      </w:r>
      <w:r/>
    </w:p>
    <w:p>
      <w:pPr>
        <w:ind w:firstLine="480"/>
        <w:jc w:val="both"/>
        <w:spacing w:line="360" w:lineRule="auto"/>
        <w:tabs>
          <w:tab w:val="left" w:pos="1464" w:leader="none"/>
        </w:tabs>
        <w:rPr>
          <w:sz w:val="24"/>
          <w:szCs w:val="24"/>
          <w:highlight w:val="none"/>
        </w:rPr>
      </w:pPr>
      <w:r>
        <w:rPr>
          <w:sz w:val="24"/>
          <w:szCs w:val="24"/>
          <w:highlight w:val="none"/>
        </w:rPr>
        <w:t xml:space="preserve">1.7投标文件格式</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2、招标文件的澄清、补充或修改</w:t>
      </w:r>
      <w:r/>
    </w:p>
    <w:p>
      <w:pPr>
        <w:ind w:firstLine="480"/>
        <w:jc w:val="both"/>
        <w:spacing w:line="360" w:lineRule="auto"/>
        <w:tabs>
          <w:tab w:val="left" w:pos="1464" w:leader="none"/>
        </w:tabs>
        <w:rPr>
          <w:sz w:val="24"/>
          <w:szCs w:val="24"/>
          <w:highlight w:val="none"/>
        </w:rPr>
      </w:pPr>
      <w:r>
        <w:rPr>
          <w:sz w:val="24"/>
          <w:szCs w:val="24"/>
          <w:highlight w:val="none"/>
        </w:rPr>
        <w:t xml:space="preserve">2.1采购代理机构对已发出的招标文件进行必要澄清、补充或者修改的，将在招标文件要求投标截止时间15日前，在原招标公告媒体发布更正公告；不足15日的，采购代理机构将顺延提交投标文件的截止时间。该澄清、补充或者修改的内容为招标文件的组成部分。</w:t>
      </w:r>
      <w:r/>
    </w:p>
    <w:p>
      <w:pPr>
        <w:ind w:firstLine="480"/>
        <w:jc w:val="both"/>
        <w:spacing w:line="360" w:lineRule="auto"/>
        <w:tabs>
          <w:tab w:val="left" w:pos="1464" w:leader="none"/>
        </w:tabs>
        <w:rPr>
          <w:sz w:val="24"/>
          <w:szCs w:val="24"/>
          <w:highlight w:val="none"/>
        </w:rPr>
      </w:pPr>
      <w:r>
        <w:rPr>
          <w:sz w:val="24"/>
          <w:szCs w:val="24"/>
          <w:highlight w:val="none"/>
        </w:rPr>
        <w:t xml:space="preserve">2.2投标人应在投标截止时间前关注原采购信息发布媒体上有关本招标项目有无变更公告。</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三、投标</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1、投标文件的语言、计量单位、货币</w:t>
      </w:r>
      <w:r/>
    </w:p>
    <w:p>
      <w:pPr>
        <w:ind w:firstLine="480"/>
        <w:jc w:val="both"/>
        <w:spacing w:line="360" w:lineRule="auto"/>
        <w:tabs>
          <w:tab w:val="left" w:pos="1464" w:leader="none"/>
        </w:tabs>
        <w:rPr>
          <w:sz w:val="24"/>
          <w:szCs w:val="24"/>
          <w:highlight w:val="none"/>
        </w:rPr>
      </w:pPr>
      <w:r>
        <w:rPr>
          <w:sz w:val="24"/>
          <w:szCs w:val="24"/>
          <w:highlight w:val="none"/>
        </w:rPr>
        <w:t xml:space="preserve">1.1投标人提交的投标文件、技术文件和资料，包括相关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jc w:val="both"/>
        <w:spacing w:line="360" w:lineRule="auto"/>
        <w:tabs>
          <w:tab w:val="left" w:pos="1464" w:leader="none"/>
        </w:tabs>
        <w:rPr>
          <w:sz w:val="24"/>
          <w:szCs w:val="24"/>
          <w:highlight w:val="none"/>
        </w:rPr>
      </w:pPr>
      <w:r>
        <w:rPr>
          <w:sz w:val="24"/>
          <w:szCs w:val="24"/>
          <w:highlight w:val="none"/>
        </w:rPr>
        <w:t xml:space="preserve">1.2投标人所使用的计量单位应为国家法定计量单位。</w:t>
      </w:r>
      <w:r/>
    </w:p>
    <w:p>
      <w:pPr>
        <w:ind w:firstLine="480"/>
        <w:jc w:val="both"/>
        <w:spacing w:line="360" w:lineRule="auto"/>
        <w:tabs>
          <w:tab w:val="left" w:pos="1464" w:leader="none"/>
        </w:tabs>
        <w:rPr>
          <w:sz w:val="24"/>
          <w:szCs w:val="24"/>
          <w:highlight w:val="none"/>
        </w:rPr>
      </w:pPr>
      <w:r>
        <w:rPr>
          <w:sz w:val="24"/>
          <w:szCs w:val="24"/>
          <w:highlight w:val="none"/>
        </w:rPr>
        <w:t xml:space="preserve">1.3投标人应用人民币报价。</w:t>
      </w:r>
      <w:r/>
    </w:p>
    <w:p>
      <w:pPr>
        <w:pStyle w:val="1086"/>
        <w:ind w:firstLine="482"/>
        <w:jc w:val="both"/>
        <w:spacing w:line="360" w:lineRule="auto"/>
        <w:rPr>
          <w:rFonts w:ascii="Times New Roman" w:hAnsi="Times New Roman" w:eastAsia="宋体" w:cs="Times New Roman"/>
          <w:b/>
          <w:bCs/>
          <w:sz w:val="24"/>
          <w:szCs w:val="24"/>
          <w:highlight w:val="none"/>
        </w:rPr>
      </w:pPr>
      <w:r/>
      <w:bookmarkStart w:id="21" w:name="__9、投标费用"/>
      <w:r/>
      <w:bookmarkEnd w:id="21"/>
      <w:r>
        <w:rPr>
          <w:rFonts w:ascii="Times New Roman" w:hAnsi="Times New Roman" w:eastAsia="宋体" w:cs="Times New Roman"/>
          <w:b/>
          <w:bCs/>
          <w:sz w:val="24"/>
          <w:szCs w:val="24"/>
          <w:highlight w:val="none"/>
        </w:rPr>
        <w:t xml:space="preserve">2、联合投标（本项目不接受）</w:t>
      </w:r>
      <w:r/>
    </w:p>
    <w:p>
      <w:pPr>
        <w:ind w:firstLine="480"/>
        <w:jc w:val="both"/>
        <w:spacing w:line="360" w:lineRule="auto"/>
        <w:tabs>
          <w:tab w:val="left" w:pos="1464" w:leader="none"/>
        </w:tabs>
        <w:rPr>
          <w:sz w:val="24"/>
          <w:szCs w:val="24"/>
          <w:highlight w:val="none"/>
        </w:rPr>
      </w:pPr>
      <w:r>
        <w:rPr>
          <w:sz w:val="24"/>
          <w:szCs w:val="24"/>
          <w:highlight w:val="none"/>
        </w:rPr>
        <w:t xml:space="preserve">2.1两个以上的自然人、法人或者其他组织可以组成一个联合体，以一个投标人的身份共同参加政府采购。</w:t>
      </w:r>
      <w:r/>
    </w:p>
    <w:p>
      <w:pPr>
        <w:ind w:firstLine="480"/>
        <w:jc w:val="both"/>
        <w:spacing w:line="360" w:lineRule="auto"/>
        <w:tabs>
          <w:tab w:val="left" w:pos="1464" w:leader="none"/>
        </w:tabs>
        <w:rPr>
          <w:sz w:val="24"/>
          <w:szCs w:val="24"/>
          <w:highlight w:val="none"/>
        </w:rPr>
      </w:pPr>
      <w:r>
        <w:rPr>
          <w:sz w:val="24"/>
          <w:szCs w:val="24"/>
          <w:highlight w:val="none"/>
        </w:rPr>
        <w:t xml:space="preserve">2.2鼓励大中型企业和其他自然人、法人或者其他组织与小型、微型企业组成联合体共同参加非专门面向中小企业的政府采购活动。</w:t>
      </w:r>
      <w:r/>
    </w:p>
    <w:p>
      <w:pPr>
        <w:ind w:firstLine="480"/>
        <w:jc w:val="both"/>
        <w:spacing w:line="360" w:lineRule="auto"/>
        <w:tabs>
          <w:tab w:val="left" w:pos="1464" w:leader="none"/>
        </w:tabs>
        <w:rPr>
          <w:sz w:val="24"/>
          <w:szCs w:val="24"/>
          <w:highlight w:val="none"/>
        </w:rPr>
      </w:pPr>
      <w:r>
        <w:rPr>
          <w:sz w:val="24"/>
          <w:szCs w:val="24"/>
          <w:highlight w:val="none"/>
        </w:rPr>
        <w:t xml:space="preserve">2.3</w:t>
      </w:r>
      <w:r>
        <w:rPr>
          <w:sz w:val="24"/>
          <w:szCs w:val="24"/>
          <w:highlight w:val="none"/>
        </w:rPr>
        <w:t xml:space="preserve">以联合体形式参加投标的，联合体各方均应当符合政府采购法第二十二条第一款规定的条件；采购人根据采购项目的特殊要求规定投标人特定条件的，联合体各方中至少应当有一方符合采购人规定的特定条件。由同一专业的投标人组成的联合体，联合体中有同类资质的投标人按照联合体分工承担相同工作的，按照资质等级较低的投标人确定资质等级， 并以投标全权代表方的应答材料作为商务评审的依据。由不同专业的投标人组成联合体，首先以投标全权代表方的应答材料作为认定资质以及商务评审的依据，涉及行业专属的资质，按照所属行业对应的投标人的应答材料确定。</w:t>
      </w:r>
      <w:r/>
    </w:p>
    <w:p>
      <w:pPr>
        <w:ind w:firstLine="480"/>
        <w:jc w:val="both"/>
        <w:spacing w:line="360" w:lineRule="auto"/>
        <w:tabs>
          <w:tab w:val="left" w:pos="1464" w:leader="none"/>
        </w:tabs>
        <w:rPr>
          <w:sz w:val="24"/>
          <w:szCs w:val="24"/>
          <w:highlight w:val="none"/>
        </w:rPr>
      </w:pPr>
      <w:r>
        <w:rPr>
          <w:sz w:val="24"/>
          <w:szCs w:val="24"/>
          <w:highlight w:val="none"/>
        </w:rPr>
        <w:t xml:space="preserve">2.4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3、投标费用</w:t>
      </w:r>
      <w:r/>
    </w:p>
    <w:p>
      <w:pPr>
        <w:ind w:firstLine="480"/>
        <w:jc w:val="both"/>
        <w:spacing w:line="360" w:lineRule="auto"/>
        <w:tabs>
          <w:tab w:val="left" w:pos="1464" w:leader="none"/>
        </w:tabs>
        <w:rPr>
          <w:sz w:val="24"/>
          <w:szCs w:val="24"/>
          <w:highlight w:val="none"/>
        </w:rPr>
      </w:pPr>
      <w:r>
        <w:rPr>
          <w:sz w:val="24"/>
          <w:szCs w:val="24"/>
          <w:highlight w:val="none"/>
        </w:rPr>
        <w:t xml:space="preserve">3.1 投标人应承担所有与准备和参加投标有关的费用，无论采购结果如何，采购代理机构和采购人在任何情况下均无义务和责任承担这些费用。</w:t>
      </w:r>
      <w:r/>
    </w:p>
    <w:p>
      <w:pPr>
        <w:ind w:firstLine="480"/>
        <w:jc w:val="both"/>
        <w:spacing w:line="360" w:lineRule="auto"/>
        <w:tabs>
          <w:tab w:val="left" w:pos="1464" w:leader="none"/>
        </w:tabs>
        <w:rPr>
          <w:sz w:val="24"/>
          <w:szCs w:val="24"/>
          <w:highlight w:val="none"/>
        </w:rPr>
      </w:pPr>
      <w:r>
        <w:rPr>
          <w:sz w:val="24"/>
          <w:szCs w:val="24"/>
          <w:highlight w:val="none"/>
        </w:rPr>
        <w:t xml:space="preserve">3.2 本次采购代理服务费由中标供应商在领取项目中标通知书前一次性支付。</w:t>
      </w:r>
      <w:r/>
    </w:p>
    <w:p>
      <w:pPr>
        <w:ind w:firstLine="480"/>
        <w:jc w:val="both"/>
        <w:spacing w:line="360" w:lineRule="auto"/>
        <w:tabs>
          <w:tab w:val="left" w:pos="1464" w:leader="none"/>
        </w:tabs>
        <w:rPr>
          <w:sz w:val="24"/>
          <w:szCs w:val="24"/>
          <w:highlight w:val="none"/>
        </w:rPr>
      </w:pPr>
      <w:r>
        <w:rPr>
          <w:sz w:val="24"/>
          <w:szCs w:val="24"/>
          <w:highlight w:val="none"/>
        </w:rPr>
        <w:t xml:space="preserve">3.3 服务费缴纳方法（需用企业对公账号支付）</w:t>
      </w:r>
      <w:r/>
    </w:p>
    <w:p>
      <w:pPr>
        <w:ind w:firstLine="480"/>
        <w:jc w:val="both"/>
        <w:spacing w:line="360" w:lineRule="auto"/>
        <w:tabs>
          <w:tab w:val="left" w:pos="1464" w:leader="none"/>
        </w:tabs>
        <w:rPr>
          <w:sz w:val="24"/>
          <w:szCs w:val="24"/>
          <w:highlight w:val="none"/>
        </w:rPr>
      </w:pPr>
      <w:r>
        <w:rPr>
          <w:sz w:val="24"/>
          <w:szCs w:val="24"/>
          <w:highlight w:val="none"/>
        </w:rPr>
        <w:t xml:space="preserve">交纳方式：银行网银、电汇等非现金形式；</w:t>
      </w:r>
      <w:r/>
    </w:p>
    <w:p>
      <w:pPr>
        <w:ind w:firstLine="480"/>
        <w:jc w:val="both"/>
        <w:spacing w:line="360" w:lineRule="auto"/>
        <w:tabs>
          <w:tab w:val="left" w:pos="1464" w:leader="none"/>
        </w:tabs>
        <w:rPr>
          <w:sz w:val="24"/>
          <w:szCs w:val="24"/>
          <w:highlight w:val="none"/>
        </w:rPr>
      </w:pPr>
      <w:r>
        <w:rPr>
          <w:sz w:val="24"/>
          <w:szCs w:val="24"/>
          <w:highlight w:val="none"/>
        </w:rPr>
        <w:t xml:space="preserve">收款单位、开户银行及帐号：</w:t>
      </w:r>
      <w:r/>
    </w:p>
    <w:p>
      <w:pPr>
        <w:ind w:firstLine="482"/>
        <w:jc w:val="both"/>
        <w:spacing w:line="360" w:lineRule="auto"/>
        <w:tabs>
          <w:tab w:val="left" w:pos="1464" w:leader="none"/>
        </w:tabs>
        <w:rPr>
          <w:b/>
          <w:bCs/>
          <w:sz w:val="24"/>
          <w:szCs w:val="24"/>
          <w:highlight w:val="none"/>
        </w:rPr>
      </w:pPr>
      <w:r>
        <w:rPr>
          <w:rFonts w:hint="eastAsia"/>
          <w:b/>
          <w:bCs/>
          <w:sz w:val="24"/>
          <w:szCs w:val="24"/>
          <w:highlight w:val="none"/>
        </w:rPr>
        <w:t xml:space="preserve">收款单位：江苏金永诚建设投资管理咨询有限公司</w:t>
      </w:r>
      <w:r/>
    </w:p>
    <w:p>
      <w:pPr>
        <w:ind w:firstLine="482"/>
        <w:jc w:val="both"/>
        <w:spacing w:line="360" w:lineRule="auto"/>
        <w:tabs>
          <w:tab w:val="left" w:pos="1464" w:leader="none"/>
        </w:tabs>
        <w:rPr>
          <w:b/>
          <w:bCs/>
          <w:sz w:val="24"/>
          <w:szCs w:val="24"/>
          <w:highlight w:val="none"/>
        </w:rPr>
      </w:pPr>
      <w:r>
        <w:rPr>
          <w:rFonts w:hint="eastAsia"/>
          <w:b/>
          <w:bCs/>
          <w:sz w:val="24"/>
          <w:szCs w:val="24"/>
          <w:highlight w:val="none"/>
        </w:rPr>
        <w:t xml:space="preserve">开 户 行：南京银行云南路支行</w:t>
      </w:r>
      <w:r/>
    </w:p>
    <w:p>
      <w:pPr>
        <w:ind w:firstLine="482"/>
        <w:jc w:val="both"/>
        <w:spacing w:line="360" w:lineRule="auto"/>
        <w:tabs>
          <w:tab w:val="left" w:pos="1464" w:leader="none"/>
        </w:tabs>
        <w:rPr>
          <w:b/>
          <w:bCs/>
          <w:sz w:val="24"/>
          <w:szCs w:val="24"/>
          <w:highlight w:val="none"/>
        </w:rPr>
      </w:pPr>
      <w:r>
        <w:rPr>
          <w:rFonts w:hint="eastAsia"/>
          <w:b/>
          <w:bCs/>
          <w:sz w:val="24"/>
          <w:szCs w:val="24"/>
          <w:highlight w:val="none"/>
        </w:rPr>
        <w:t xml:space="preserve">帐    号：088350201091958016</w:t>
      </w:r>
      <w:r/>
    </w:p>
    <w:p>
      <w:pPr>
        <w:ind w:firstLine="480"/>
        <w:jc w:val="both"/>
        <w:spacing w:line="360" w:lineRule="auto"/>
        <w:tabs>
          <w:tab w:val="left" w:pos="1464" w:leader="none"/>
        </w:tabs>
        <w:rPr>
          <w:sz w:val="24"/>
          <w:szCs w:val="24"/>
          <w:highlight w:val="none"/>
        </w:rPr>
      </w:pPr>
      <w:r>
        <w:rPr>
          <w:bCs/>
          <w:sz w:val="24"/>
          <w:szCs w:val="24"/>
          <w:highlight w:val="none"/>
        </w:rPr>
        <w:t xml:space="preserve">3.</w:t>
      </w:r>
      <w:r>
        <w:rPr>
          <w:rFonts w:hint="eastAsia"/>
          <w:bCs/>
          <w:sz w:val="24"/>
          <w:szCs w:val="24"/>
          <w:highlight w:val="none"/>
        </w:rPr>
        <w:t xml:space="preserve">4</w:t>
      </w:r>
      <w:r>
        <w:rPr>
          <w:bCs/>
          <w:sz w:val="24"/>
          <w:szCs w:val="24"/>
          <w:highlight w:val="none"/>
        </w:rPr>
        <w:t xml:space="preserve"> </w:t>
      </w:r>
      <w:r>
        <w:rPr>
          <w:rFonts w:hint="eastAsia"/>
          <w:bCs/>
          <w:sz w:val="24"/>
          <w:szCs w:val="24"/>
          <w:highlight w:val="none"/>
        </w:rPr>
        <w:t xml:space="preserve">服务费发票开具：联系采购代理机构开具。</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4、投标文件组成</w:t>
      </w:r>
      <w:r/>
    </w:p>
    <w:p>
      <w:pPr>
        <w:ind w:firstLine="480"/>
        <w:jc w:val="both"/>
        <w:spacing w:line="360" w:lineRule="auto"/>
        <w:tabs>
          <w:tab w:val="left" w:pos="1464" w:leader="none"/>
        </w:tabs>
        <w:rPr>
          <w:sz w:val="24"/>
          <w:szCs w:val="24"/>
          <w:highlight w:val="none"/>
        </w:rPr>
      </w:pPr>
      <w:r>
        <w:rPr>
          <w:sz w:val="24"/>
          <w:szCs w:val="24"/>
          <w:highlight w:val="none"/>
        </w:rPr>
        <w:t xml:space="preserve">4.1投标人应当根据招标文件要求编制投标文件，投标文件应对招标文件提出的要求和条件作出实质性响应，并在《商务条款偏离表》和《技术条款偏离表》等处逐条标明满足与否。</w:t>
      </w:r>
      <w:r/>
    </w:p>
    <w:p>
      <w:pPr>
        <w:ind w:firstLine="480"/>
        <w:jc w:val="both"/>
        <w:spacing w:line="360" w:lineRule="auto"/>
        <w:tabs>
          <w:tab w:val="left" w:pos="1464" w:leader="none"/>
        </w:tabs>
        <w:rPr>
          <w:sz w:val="24"/>
          <w:szCs w:val="24"/>
          <w:highlight w:val="none"/>
        </w:rPr>
      </w:pPr>
      <w:r>
        <w:rPr>
          <w:sz w:val="24"/>
          <w:szCs w:val="24"/>
          <w:highlight w:val="none"/>
        </w:rPr>
        <w:t xml:space="preserve">4.2投标人根据招标文件的规定和项目名称的实际情况，拟在中标后将中标项目的非主体、非关键性工作分包的，应当在投标文件中载明分包承担主体，分包承担主体应当具备相应资质条件且不得再次分包。</w:t>
      </w:r>
      <w:r/>
    </w:p>
    <w:p>
      <w:pPr>
        <w:ind w:firstLine="480"/>
        <w:jc w:val="both"/>
        <w:spacing w:line="360" w:lineRule="auto"/>
        <w:tabs>
          <w:tab w:val="left" w:pos="1464" w:leader="none"/>
        </w:tabs>
        <w:rPr>
          <w:sz w:val="24"/>
          <w:szCs w:val="24"/>
          <w:highlight w:val="none"/>
        </w:rPr>
      </w:pPr>
      <w:r>
        <w:rPr>
          <w:sz w:val="24"/>
          <w:szCs w:val="24"/>
          <w:highlight w:val="none"/>
        </w:rPr>
        <w:t xml:space="preserve">4.3投标文件由商务部分、技术部分、价格部分，以及其他部分组成。</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5、投标文件的商务部分</w:t>
      </w:r>
      <w:r/>
    </w:p>
    <w:p>
      <w:pPr>
        <w:ind w:firstLine="480"/>
        <w:jc w:val="both"/>
        <w:spacing w:line="360" w:lineRule="auto"/>
        <w:tabs>
          <w:tab w:val="left" w:pos="1464" w:leader="none"/>
        </w:tabs>
        <w:rPr>
          <w:sz w:val="24"/>
          <w:szCs w:val="24"/>
          <w:highlight w:val="none"/>
        </w:rPr>
      </w:pPr>
      <w:r>
        <w:rPr>
          <w:sz w:val="24"/>
          <w:szCs w:val="24"/>
          <w:highlight w:val="none"/>
        </w:rPr>
        <w:t xml:space="preserve">商务部分是证明投标人有资格参加投标和中标后有能力履行合同的文件，这些文件应能满足招标的要求，包括但不限于下列文件，</w:t>
      </w:r>
      <w:r>
        <w:rPr>
          <w:b/>
          <w:sz w:val="24"/>
          <w:szCs w:val="24"/>
          <w:highlight w:val="none"/>
        </w:rPr>
        <w:t xml:space="preserve">其中加★项目不得有缺失或无效：</w:t>
      </w:r>
      <w:r/>
    </w:p>
    <w:p>
      <w:pPr>
        <w:ind w:firstLine="482"/>
        <w:jc w:val="both"/>
        <w:spacing w:line="360" w:lineRule="auto"/>
        <w:tabs>
          <w:tab w:val="left" w:pos="1464" w:leader="none"/>
        </w:tabs>
        <w:rPr>
          <w:b/>
          <w:sz w:val="24"/>
          <w:szCs w:val="24"/>
          <w:highlight w:val="none"/>
        </w:rPr>
      </w:pPr>
      <w:r>
        <w:rPr>
          <w:b/>
          <w:sz w:val="24"/>
          <w:szCs w:val="24"/>
          <w:highlight w:val="none"/>
        </w:rPr>
        <w:t xml:space="preserve">（</w:t>
      </w:r>
      <w:r>
        <w:rPr>
          <w:rFonts w:hint="eastAsia"/>
          <w:b/>
          <w:sz w:val="24"/>
          <w:szCs w:val="24"/>
          <w:highlight w:val="none"/>
        </w:rPr>
        <w:t xml:space="preserve">1</w:t>
      </w:r>
      <w:r>
        <w:rPr>
          <w:b/>
          <w:sz w:val="24"/>
          <w:szCs w:val="24"/>
          <w:highlight w:val="none"/>
        </w:rPr>
        <w:t xml:space="preserve">）★投标函；</w:t>
      </w:r>
      <w:r/>
    </w:p>
    <w:p>
      <w:pPr>
        <w:ind w:firstLine="482"/>
        <w:jc w:val="both"/>
        <w:spacing w:line="360" w:lineRule="auto"/>
        <w:tabs>
          <w:tab w:val="left" w:pos="1464" w:leader="none"/>
        </w:tabs>
        <w:rPr>
          <w:b/>
          <w:sz w:val="24"/>
          <w:szCs w:val="24"/>
          <w:highlight w:val="none"/>
        </w:rPr>
      </w:pPr>
      <w:r>
        <w:rPr>
          <w:b/>
          <w:sz w:val="24"/>
          <w:szCs w:val="24"/>
          <w:highlight w:val="none"/>
        </w:rPr>
        <w:t xml:space="preserve">（2）★法定代表人授权委托书及委托代理人的身份证明文件；</w:t>
      </w:r>
      <w:r/>
    </w:p>
    <w:p>
      <w:pPr>
        <w:ind w:firstLine="482"/>
        <w:jc w:val="both"/>
        <w:spacing w:line="360" w:lineRule="auto"/>
        <w:tabs>
          <w:tab w:val="left" w:pos="1464" w:leader="none"/>
        </w:tabs>
        <w:rPr>
          <w:b/>
          <w:sz w:val="24"/>
          <w:szCs w:val="24"/>
          <w:highlight w:val="none"/>
        </w:rPr>
      </w:pPr>
      <w:r>
        <w:rPr>
          <w:b/>
          <w:sz w:val="24"/>
          <w:szCs w:val="24"/>
          <w:highlight w:val="none"/>
        </w:rPr>
        <w:t xml:space="preserve">（3）★第一章招标公告中“1.满足《中华人民共和国政府采购法》第二十二条规定”的证明文件；（详见投标须知前附表）</w:t>
      </w:r>
      <w:r/>
    </w:p>
    <w:p>
      <w:pPr>
        <w:ind w:firstLine="482"/>
        <w:jc w:val="both"/>
        <w:spacing w:line="360" w:lineRule="auto"/>
        <w:tabs>
          <w:tab w:val="left" w:pos="1464" w:leader="none"/>
        </w:tabs>
        <w:rPr>
          <w:b/>
          <w:sz w:val="24"/>
          <w:szCs w:val="24"/>
          <w:highlight w:val="none"/>
        </w:rPr>
      </w:pPr>
      <w:r>
        <w:rPr>
          <w:b/>
          <w:sz w:val="24"/>
          <w:szCs w:val="24"/>
          <w:highlight w:val="none"/>
        </w:rPr>
        <w:t xml:space="preserve">（4）★第一章招标公告中“2.落实政府采购政策需满足的资格要求”的证明文件；</w:t>
      </w:r>
      <w:r/>
    </w:p>
    <w:p>
      <w:pPr>
        <w:ind w:firstLine="482"/>
        <w:jc w:val="both"/>
        <w:spacing w:line="360" w:lineRule="auto"/>
        <w:tabs>
          <w:tab w:val="left" w:pos="1464" w:leader="none"/>
        </w:tabs>
        <w:rPr>
          <w:b/>
          <w:sz w:val="24"/>
          <w:szCs w:val="24"/>
          <w:highlight w:val="none"/>
        </w:rPr>
      </w:pPr>
      <w:r>
        <w:rPr>
          <w:b/>
          <w:sz w:val="24"/>
          <w:szCs w:val="24"/>
          <w:highlight w:val="none"/>
        </w:rPr>
        <w:t xml:space="preserve">（5）★第一章招标公告中“3.本项目的特定资格要求”的证明文件；</w:t>
      </w:r>
      <w:r/>
    </w:p>
    <w:p>
      <w:pPr>
        <w:ind w:firstLine="482"/>
        <w:jc w:val="both"/>
        <w:spacing w:line="360" w:lineRule="auto"/>
        <w:tabs>
          <w:tab w:val="left" w:pos="1464" w:leader="none"/>
        </w:tabs>
        <w:rPr>
          <w:b/>
          <w:sz w:val="24"/>
          <w:szCs w:val="24"/>
          <w:highlight w:val="none"/>
        </w:rPr>
      </w:pPr>
      <w:r>
        <w:rPr>
          <w:b/>
          <w:sz w:val="24"/>
          <w:szCs w:val="24"/>
          <w:highlight w:val="none"/>
        </w:rPr>
        <w:t xml:space="preserve">（6）★《南京市政府采购供应商信用记录表暨信用承诺书》；</w:t>
      </w:r>
      <w:r/>
    </w:p>
    <w:p>
      <w:pPr>
        <w:ind w:firstLine="480"/>
        <w:jc w:val="both"/>
        <w:spacing w:line="360" w:lineRule="auto"/>
        <w:tabs>
          <w:tab w:val="left" w:pos="1464" w:leader="none"/>
        </w:tabs>
        <w:rPr>
          <w:sz w:val="24"/>
          <w:szCs w:val="24"/>
          <w:highlight w:val="none"/>
        </w:rPr>
      </w:pPr>
      <w:r>
        <w:rPr>
          <w:sz w:val="24"/>
          <w:szCs w:val="24"/>
          <w:highlight w:val="none"/>
        </w:rPr>
        <w:t xml:space="preserve">（7）投标人认为需要提供的其他资格证明文件和商务资料；</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8</w:t>
      </w:r>
      <w:r>
        <w:rPr>
          <w:sz w:val="24"/>
          <w:szCs w:val="24"/>
          <w:highlight w:val="none"/>
        </w:rPr>
        <w:t xml:space="preserve">）《商务条款偏离表》。</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6、投标文件的技术部分</w:t>
      </w:r>
      <w:r/>
    </w:p>
    <w:p>
      <w:pPr>
        <w:ind w:firstLine="480"/>
        <w:jc w:val="both"/>
        <w:spacing w:line="360" w:lineRule="auto"/>
        <w:tabs>
          <w:tab w:val="left" w:pos="1464" w:leader="none"/>
        </w:tabs>
        <w:rPr>
          <w:sz w:val="24"/>
          <w:szCs w:val="24"/>
          <w:highlight w:val="none"/>
        </w:rPr>
      </w:pPr>
      <w:r>
        <w:rPr>
          <w:sz w:val="24"/>
          <w:szCs w:val="24"/>
          <w:highlight w:val="none"/>
        </w:rPr>
        <w:t xml:space="preserve">6.1技术部分是证明投标人提供的货物是合格的、并符合招标文件要求的证明文件，以及对投标报价表中的货物的详细说明，这些文件可以是文字资料、图纸（表）和数据等。</w:t>
      </w:r>
      <w:r/>
    </w:p>
    <w:p>
      <w:pPr>
        <w:ind w:firstLine="480"/>
        <w:jc w:val="both"/>
        <w:spacing w:line="360" w:lineRule="auto"/>
        <w:tabs>
          <w:tab w:val="left" w:pos="1464" w:leader="none"/>
        </w:tabs>
        <w:rPr>
          <w:sz w:val="24"/>
          <w:szCs w:val="24"/>
          <w:highlight w:val="none"/>
        </w:rPr>
      </w:pPr>
      <w:r>
        <w:rPr>
          <w:sz w:val="24"/>
          <w:szCs w:val="24"/>
          <w:highlight w:val="none"/>
        </w:rPr>
        <w:t xml:space="preserve">6.2若技术性能无特殊说明，则按国家有关部门最新颁布的标准及规范为准；</w:t>
      </w:r>
      <w:r/>
    </w:p>
    <w:p>
      <w:pPr>
        <w:ind w:firstLine="480"/>
        <w:jc w:val="both"/>
        <w:spacing w:line="360" w:lineRule="auto"/>
        <w:tabs>
          <w:tab w:val="left" w:pos="1464" w:leader="none"/>
        </w:tabs>
        <w:rPr>
          <w:sz w:val="24"/>
          <w:szCs w:val="24"/>
          <w:highlight w:val="none"/>
        </w:rPr>
      </w:pPr>
      <w:r>
        <w:rPr>
          <w:sz w:val="24"/>
          <w:szCs w:val="24"/>
          <w:highlight w:val="none"/>
        </w:rPr>
        <w:t xml:space="preserve">6.3提供的货物如与招标文件要求有不符之处，应说明其差别之所在，并在《技术条款偏离表》中逐条予以说明。</w:t>
      </w:r>
      <w:r/>
    </w:p>
    <w:p>
      <w:pPr>
        <w:ind w:firstLine="480"/>
        <w:jc w:val="both"/>
        <w:spacing w:line="360" w:lineRule="auto"/>
        <w:tabs>
          <w:tab w:val="left" w:pos="1464" w:leader="none"/>
        </w:tabs>
        <w:rPr>
          <w:sz w:val="24"/>
          <w:szCs w:val="24"/>
          <w:highlight w:val="none"/>
        </w:rPr>
      </w:pPr>
      <w:r>
        <w:rPr>
          <w:sz w:val="24"/>
          <w:szCs w:val="24"/>
          <w:highlight w:val="none"/>
        </w:rPr>
        <w:t xml:space="preserve">6.4投标文件应按照招标文件要求提供技术资料、文件和有关证明，包括但不限于下列文件，其中加★项目不得有缺失或无效：</w:t>
      </w:r>
      <w:r/>
    </w:p>
    <w:p>
      <w:pPr>
        <w:ind w:firstLine="482"/>
        <w:jc w:val="both"/>
        <w:spacing w:line="360" w:lineRule="auto"/>
        <w:tabs>
          <w:tab w:val="left" w:pos="1464" w:leader="none"/>
        </w:tabs>
        <w:rPr>
          <w:b/>
          <w:sz w:val="24"/>
          <w:szCs w:val="24"/>
          <w:highlight w:val="none"/>
        </w:rPr>
      </w:pPr>
      <w:r>
        <w:rPr>
          <w:b/>
          <w:sz w:val="24"/>
          <w:szCs w:val="24"/>
          <w:highlight w:val="none"/>
        </w:rPr>
        <w:t xml:space="preserve">（</w:t>
      </w:r>
      <w:r>
        <w:rPr>
          <w:rFonts w:hint="eastAsia"/>
          <w:b/>
          <w:sz w:val="24"/>
          <w:szCs w:val="24"/>
          <w:highlight w:val="none"/>
        </w:rPr>
        <w:t xml:space="preserve">1</w:t>
      </w:r>
      <w:r>
        <w:rPr>
          <w:b/>
          <w:sz w:val="24"/>
          <w:szCs w:val="24"/>
          <w:highlight w:val="none"/>
        </w:rPr>
        <w:t xml:space="preserve">）★货物、服务等内容的详细说明；</w:t>
      </w:r>
      <w:r/>
    </w:p>
    <w:p>
      <w:pPr>
        <w:ind w:firstLine="482"/>
        <w:jc w:val="both"/>
        <w:spacing w:line="360" w:lineRule="auto"/>
        <w:tabs>
          <w:tab w:val="left" w:pos="1464" w:leader="none"/>
        </w:tabs>
        <w:rPr>
          <w:b/>
          <w:sz w:val="24"/>
          <w:szCs w:val="24"/>
          <w:highlight w:val="none"/>
        </w:rPr>
      </w:pPr>
      <w:r>
        <w:rPr>
          <w:b/>
          <w:sz w:val="24"/>
          <w:szCs w:val="24"/>
          <w:highlight w:val="none"/>
        </w:rPr>
        <w:t xml:space="preserve">（</w:t>
      </w:r>
      <w:r>
        <w:rPr>
          <w:rFonts w:hint="eastAsia"/>
          <w:b/>
          <w:sz w:val="24"/>
          <w:szCs w:val="24"/>
          <w:highlight w:val="none"/>
        </w:rPr>
        <w:t xml:space="preserve">2</w:t>
      </w:r>
      <w:r>
        <w:rPr>
          <w:b/>
          <w:sz w:val="24"/>
          <w:szCs w:val="24"/>
          <w:highlight w:val="none"/>
        </w:rPr>
        <w:t xml:space="preserve">）★《技术条款偏离表》；</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3</w:t>
      </w:r>
      <w:r>
        <w:rPr>
          <w:sz w:val="24"/>
          <w:szCs w:val="24"/>
          <w:highlight w:val="none"/>
        </w:rPr>
        <w:t xml:space="preserve">）技术服务方案；</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）验收标准、技术资料；</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5</w:t>
      </w:r>
      <w:r>
        <w:rPr>
          <w:sz w:val="24"/>
          <w:szCs w:val="24"/>
          <w:highlight w:val="none"/>
        </w:rPr>
        <w:t xml:space="preserve">）服务承诺；</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6</w:t>
      </w:r>
      <w:r>
        <w:rPr>
          <w:sz w:val="24"/>
          <w:szCs w:val="24"/>
          <w:highlight w:val="none"/>
        </w:rPr>
        <w:t xml:space="preserve">）投标人认为需要提供的其他技术资料等；</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7、投标文件的价格部分</w:t>
      </w:r>
      <w:r/>
    </w:p>
    <w:p>
      <w:pPr>
        <w:ind w:firstLine="480"/>
        <w:jc w:val="both"/>
        <w:spacing w:line="360" w:lineRule="auto"/>
        <w:tabs>
          <w:tab w:val="left" w:pos="1464" w:leader="none"/>
        </w:tabs>
        <w:rPr>
          <w:sz w:val="24"/>
          <w:szCs w:val="24"/>
          <w:highlight w:val="none"/>
        </w:rPr>
      </w:pPr>
      <w:r>
        <w:rPr>
          <w:sz w:val="24"/>
          <w:szCs w:val="24"/>
          <w:highlight w:val="none"/>
        </w:rPr>
        <w:t xml:space="preserve">7.1价格部分是对投标货物和服务价格构成的说明，每一项货物或服务仅接受一个价格。</w:t>
      </w:r>
      <w:r/>
    </w:p>
    <w:p>
      <w:pPr>
        <w:ind w:firstLine="480"/>
        <w:jc w:val="both"/>
        <w:spacing w:line="360" w:lineRule="auto"/>
        <w:tabs>
          <w:tab w:val="left" w:pos="1464" w:leader="none"/>
        </w:tabs>
        <w:rPr>
          <w:sz w:val="24"/>
          <w:szCs w:val="24"/>
          <w:highlight w:val="none"/>
        </w:rPr>
      </w:pPr>
      <w:r>
        <w:rPr>
          <w:sz w:val="24"/>
          <w:szCs w:val="24"/>
          <w:highlight w:val="none"/>
        </w:rPr>
        <w:t xml:space="preserve">7.2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80"/>
        <w:jc w:val="both"/>
        <w:spacing w:line="360" w:lineRule="auto"/>
        <w:tabs>
          <w:tab w:val="left" w:pos="1464" w:leader="none"/>
        </w:tabs>
        <w:rPr>
          <w:sz w:val="24"/>
          <w:szCs w:val="24"/>
          <w:highlight w:val="none"/>
        </w:rPr>
      </w:pPr>
      <w:r>
        <w:rPr>
          <w:sz w:val="24"/>
          <w:szCs w:val="24"/>
          <w:highlight w:val="none"/>
        </w:rPr>
        <w:t xml:space="preserve">7.3投标人应充分考虑到市场价格变动，以及项目实施过程中的不可预见因素，一旦成交，总价不变。如果有漏项，视同让利。</w:t>
      </w:r>
      <w:r/>
    </w:p>
    <w:p>
      <w:pPr>
        <w:ind w:firstLine="480"/>
        <w:jc w:val="both"/>
        <w:spacing w:line="360" w:lineRule="auto"/>
        <w:tabs>
          <w:tab w:val="left" w:pos="1464" w:leader="none"/>
        </w:tabs>
        <w:rPr>
          <w:sz w:val="24"/>
          <w:szCs w:val="24"/>
          <w:highlight w:val="none"/>
        </w:rPr>
      </w:pPr>
      <w:r>
        <w:rPr>
          <w:sz w:val="24"/>
          <w:szCs w:val="24"/>
          <w:highlight w:val="none"/>
        </w:rPr>
        <w:t xml:space="preserve">7.4投标人的任何错漏、优惠、竞争性报价不得作为减轻责任、减少服务、增加收费、降低质量的理由。</w:t>
      </w:r>
      <w:r/>
    </w:p>
    <w:p>
      <w:pPr>
        <w:ind w:firstLine="480"/>
        <w:jc w:val="both"/>
        <w:spacing w:line="360" w:lineRule="auto"/>
        <w:tabs>
          <w:tab w:val="left" w:pos="1464" w:leader="none"/>
        </w:tabs>
        <w:rPr>
          <w:sz w:val="24"/>
          <w:szCs w:val="24"/>
          <w:highlight w:val="none"/>
        </w:rPr>
      </w:pPr>
      <w:r>
        <w:rPr>
          <w:sz w:val="24"/>
          <w:szCs w:val="24"/>
          <w:highlight w:val="none"/>
        </w:rPr>
        <w:t xml:space="preserve">7.5投标人应在《开标一览表》、《投标分项报价》等标明提供货物或服务的总价以及分项报价。</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8、投标文件的其他部分</w:t>
      </w:r>
      <w:r/>
    </w:p>
    <w:p>
      <w:pPr>
        <w:ind w:firstLine="480"/>
        <w:jc w:val="both"/>
        <w:spacing w:line="360" w:lineRule="auto"/>
        <w:tabs>
          <w:tab w:val="left" w:pos="1464" w:leader="none"/>
        </w:tabs>
        <w:rPr>
          <w:sz w:val="24"/>
          <w:szCs w:val="24"/>
          <w:highlight w:val="none"/>
        </w:rPr>
      </w:pPr>
      <w:r>
        <w:rPr>
          <w:sz w:val="24"/>
          <w:szCs w:val="24"/>
          <w:highlight w:val="none"/>
        </w:rPr>
        <w:t xml:space="preserve">8.1其他部分由投标人根据编制投标文件需要提供的其他相关文件。</w:t>
      </w:r>
      <w:r/>
    </w:p>
    <w:p>
      <w:pPr>
        <w:pStyle w:val="1086"/>
        <w:ind w:firstLine="482"/>
        <w:jc w:val="both"/>
        <w:spacing w:line="360" w:lineRule="auto"/>
        <w:rPr>
          <w:rFonts w:ascii="Times New Roman" w:hAnsi="Times New Roman" w:eastAsia="宋体" w:cs="Times New Roman"/>
          <w:sz w:val="21"/>
          <w:szCs w:val="21"/>
          <w:highlight w:val="none"/>
        </w:rPr>
      </w:pPr>
      <w:r>
        <w:rPr>
          <w:rFonts w:ascii="Times New Roman" w:hAnsi="Times New Roman" w:eastAsia="宋体" w:cs="Times New Roman"/>
          <w:b/>
          <w:bCs/>
          <w:sz w:val="24"/>
          <w:szCs w:val="24"/>
          <w:highlight w:val="none"/>
        </w:rPr>
        <w:t xml:space="preserve">9、投标保证金：本项目不设投标保证金。</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10、投标有效期</w:t>
      </w:r>
      <w:r/>
    </w:p>
    <w:p>
      <w:pPr>
        <w:ind w:firstLine="480"/>
        <w:jc w:val="both"/>
        <w:spacing w:line="360" w:lineRule="auto"/>
        <w:tabs>
          <w:tab w:val="left" w:pos="1464" w:leader="none"/>
        </w:tabs>
        <w:rPr>
          <w:sz w:val="24"/>
          <w:szCs w:val="24"/>
          <w:highlight w:val="none"/>
        </w:rPr>
      </w:pPr>
      <w:r>
        <w:rPr>
          <w:sz w:val="24"/>
          <w:szCs w:val="24"/>
          <w:highlight w:val="none"/>
        </w:rPr>
        <w:t xml:space="preserve">10.1自提交投标文件截止之日起90日。</w:t>
      </w:r>
      <w:r/>
    </w:p>
    <w:p>
      <w:pPr>
        <w:ind w:firstLine="480"/>
        <w:jc w:val="both"/>
        <w:spacing w:line="360" w:lineRule="auto"/>
        <w:tabs>
          <w:tab w:val="left" w:pos="1464" w:leader="none"/>
        </w:tabs>
        <w:rPr>
          <w:sz w:val="24"/>
          <w:szCs w:val="24"/>
          <w:highlight w:val="none"/>
        </w:rPr>
      </w:pPr>
      <w:r>
        <w:rPr>
          <w:sz w:val="24"/>
          <w:szCs w:val="24"/>
          <w:highlight w:val="none"/>
        </w:rPr>
        <w:t xml:space="preserve">10.2在特殊情况下，在原投标有效期截止之前，采购代理机构可要求投标人同意延长投标有效期，这种要求与答复均以书面形式提交，投标人可拒绝这种要求。</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11、投标文件签署</w:t>
      </w:r>
      <w:r/>
    </w:p>
    <w:p>
      <w:pPr>
        <w:ind w:firstLine="480"/>
        <w:jc w:val="both"/>
        <w:spacing w:line="360" w:lineRule="auto"/>
        <w:tabs>
          <w:tab w:val="left" w:pos="1464" w:leader="none"/>
        </w:tabs>
        <w:rPr>
          <w:sz w:val="24"/>
          <w:szCs w:val="24"/>
          <w:highlight w:val="none"/>
        </w:rPr>
      </w:pPr>
      <w:r>
        <w:rPr>
          <w:sz w:val="24"/>
          <w:szCs w:val="24"/>
          <w:highlight w:val="none"/>
        </w:rPr>
        <w:t xml:space="preserve">投标文件的正本和副本均由投标人法定代表人或经正式授权并对投标人有约束力的委托代理人用不褪色墨水书写签署。</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12、投标文件的编制、密封、递交</w:t>
      </w:r>
      <w:r/>
    </w:p>
    <w:p>
      <w:pPr>
        <w:ind w:firstLine="480"/>
        <w:jc w:val="left"/>
        <w:spacing w:line="360" w:lineRule="auto"/>
        <w:tabs>
          <w:tab w:val="left" w:pos="1464" w:leader="none"/>
        </w:tabs>
        <w:rPr>
          <w:rFonts w:hint="eastAsia"/>
          <w:sz w:val="24"/>
          <w:szCs w:val="24"/>
          <w:highlight w:val="none"/>
        </w:rPr>
      </w:pPr>
      <w:r>
        <w:rPr>
          <w:rFonts w:hint="eastAsia"/>
          <w:sz w:val="24"/>
          <w:szCs w:val="24"/>
          <w:highlight w:val="none"/>
          <w:lang w:val="en-US" w:eastAsia="zh-CN"/>
        </w:rPr>
        <w:t xml:space="preserve">12.1</w:t>
      </w:r>
      <w:r>
        <w:rPr>
          <w:rFonts w:hint="eastAsia"/>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jc w:val="both"/>
        <w:spacing w:line="360" w:lineRule="auto"/>
        <w:tabs>
          <w:tab w:val="left" w:pos="1464" w:leader="none"/>
        </w:tabs>
        <w:rPr>
          <w:rFonts w:hint="eastAsia"/>
          <w:sz w:val="24"/>
          <w:szCs w:val="24"/>
          <w:highlight w:val="none"/>
        </w:rPr>
      </w:pPr>
      <w:r>
        <w:rPr>
          <w:rFonts w:hint="eastAsia"/>
          <w:sz w:val="24"/>
          <w:szCs w:val="24"/>
          <w:highlight w:val="none"/>
          <w:lang w:val="en-US" w:eastAsia="zh-CN"/>
        </w:rPr>
        <w:t xml:space="preserve">12.2投标文件的解密：开标当天各供应商及时登录不见面开标大厅，投标文件递交截止时间后，采购人将在系统内公布供应商名单，然后</w:t>
      </w:r>
      <w:r>
        <w:rPr>
          <w:rFonts w:hint="eastAsia"/>
          <w:sz w:val="24"/>
          <w:szCs w:val="24"/>
          <w:highlight w:val="none"/>
          <w:lang w:val="en-US" w:eastAsia="zh-CN"/>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sz w:val="24"/>
          <w:szCs w:val="24"/>
          <w:highlight w:val="none"/>
        </w:rPr>
        <w:t xml:space="preserve">。</w:t>
      </w:r>
      <w:r/>
    </w:p>
    <w:p>
      <w:pPr>
        <w:ind w:firstLine="480"/>
        <w:jc w:val="both"/>
        <w:spacing w:line="360" w:lineRule="auto"/>
        <w:tabs>
          <w:tab w:val="left" w:pos="1464" w:leader="none"/>
        </w:tabs>
        <w:rPr>
          <w:sz w:val="24"/>
          <w:szCs w:val="24"/>
          <w:highlight w:val="none"/>
        </w:rPr>
      </w:pPr>
      <w:r>
        <w:rPr>
          <w:sz w:val="24"/>
          <w:szCs w:val="24"/>
          <w:highlight w:val="none"/>
        </w:rPr>
        <w:t xml:space="preserve">12.</w:t>
      </w:r>
      <w:r>
        <w:rPr>
          <w:rFonts w:hint="eastAsia"/>
          <w:sz w:val="24"/>
          <w:szCs w:val="24"/>
          <w:highlight w:val="none"/>
          <w:lang w:val="en-US" w:eastAsia="zh-CN"/>
        </w:rPr>
        <w:t xml:space="preserve">3</w:t>
      </w:r>
      <w:r>
        <w:rPr>
          <w:sz w:val="24"/>
          <w:szCs w:val="24"/>
          <w:highlight w:val="none"/>
        </w:rPr>
        <w:t xml:space="preserve">投标文件不应有涂改、增删之处，如必须修改时，修改处必须有投标人公章或投标人法定代表人或授权代表签字。</w:t>
      </w:r>
      <w:r/>
    </w:p>
    <w:p>
      <w:pPr>
        <w:ind w:firstLine="480"/>
        <w:jc w:val="both"/>
        <w:spacing w:line="360" w:lineRule="auto"/>
        <w:tabs>
          <w:tab w:val="left" w:pos="1464" w:leader="none"/>
        </w:tabs>
        <w:rPr>
          <w:sz w:val="24"/>
          <w:szCs w:val="24"/>
          <w:highlight w:val="none"/>
        </w:rPr>
      </w:pPr>
      <w:r>
        <w:rPr>
          <w:sz w:val="24"/>
          <w:szCs w:val="24"/>
          <w:highlight w:val="none"/>
        </w:rPr>
        <w:t xml:space="preserve">12.</w:t>
      </w:r>
      <w:r>
        <w:rPr>
          <w:rFonts w:hint="eastAsia"/>
          <w:sz w:val="24"/>
          <w:szCs w:val="24"/>
          <w:highlight w:val="none"/>
          <w:lang w:val="en-US" w:eastAsia="zh-CN"/>
        </w:rPr>
        <w:t xml:space="preserve">4</w:t>
      </w:r>
      <w:r>
        <w:rPr>
          <w:sz w:val="24"/>
          <w:szCs w:val="24"/>
          <w:highlight w:val="none"/>
        </w:rPr>
        <w:t xml:space="preserve">投标人应当在招标文件要求提交投标文件的截止时间前，将投标文件</w:t>
      </w:r>
      <w:r>
        <w:rPr>
          <w:rFonts w:hint="eastAsia"/>
          <w:sz w:val="24"/>
          <w:szCs w:val="24"/>
          <w:highlight w:val="none"/>
          <w:lang w:val="en-US" w:eastAsia="zh-CN"/>
        </w:rPr>
        <w:t xml:space="preserve">递交至</w:t>
      </w:r>
      <w:r>
        <w:rPr>
          <w:rFonts w:hint="eastAsia"/>
          <w:sz w:val="24"/>
          <w:szCs w:val="24"/>
          <w:highlight w:val="none"/>
        </w:rPr>
        <w:t xml:space="preserve">江苏省政府采购交易系统（以下简称“苏采云系统”）网上开标大厅</w:t>
      </w:r>
      <w:r>
        <w:rPr>
          <w:sz w:val="24"/>
          <w:szCs w:val="24"/>
          <w:highlight w:val="none"/>
        </w:rPr>
        <w:t xml:space="preserve">。</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13、有下列情形之一的投标文件将拒收：</w:t>
      </w:r>
      <w:r/>
    </w:p>
    <w:p>
      <w:pPr>
        <w:ind w:firstLine="480"/>
        <w:jc w:val="both"/>
        <w:spacing w:line="360" w:lineRule="auto"/>
        <w:tabs>
          <w:tab w:val="left" w:pos="1464" w:leader="none"/>
        </w:tabs>
        <w:rPr>
          <w:rFonts w:ascii="Times New Roman" w:hAnsi="Times New Roman" w:cs="Times New Roman"/>
          <w:b/>
          <w:bCs/>
          <w:sz w:val="21"/>
          <w:szCs w:val="21"/>
          <w:highlight w:val="none"/>
        </w:rPr>
      </w:pPr>
      <w:r>
        <w:rPr>
          <w:rFonts w:hint="eastAsia"/>
          <w:sz w:val="24"/>
          <w:szCs w:val="24"/>
          <w:highlight w:val="none"/>
        </w:rPr>
        <w:t xml:space="preserve">截至提交投标文件截止时间，电子交易平台投标通道将关闭，供应商未完成电子</w:t>
      </w:r>
      <w:r>
        <w:rPr>
          <w:rFonts w:hint="eastAsia"/>
          <w:sz w:val="24"/>
          <w:szCs w:val="24"/>
          <w:highlight w:val="none"/>
          <w:lang w:val="en-US" w:eastAsia="zh-CN"/>
        </w:rPr>
        <w:t xml:space="preserve">投标</w:t>
      </w:r>
      <w:r>
        <w:rPr>
          <w:rFonts w:hint="eastAsia"/>
          <w:sz w:val="24"/>
          <w:szCs w:val="24"/>
          <w:highlight w:val="none"/>
        </w:rPr>
        <w:t xml:space="preserve">文件有效提交的，其</w:t>
      </w:r>
      <w:r>
        <w:rPr>
          <w:rFonts w:hint="eastAsia"/>
          <w:sz w:val="24"/>
          <w:szCs w:val="24"/>
          <w:highlight w:val="none"/>
          <w:lang w:val="en-US" w:eastAsia="zh-CN"/>
        </w:rPr>
        <w:t xml:space="preserve">投标</w:t>
      </w:r>
      <w:r>
        <w:rPr>
          <w:rFonts w:hint="eastAsia"/>
          <w:sz w:val="24"/>
          <w:szCs w:val="24"/>
          <w:highlight w:val="none"/>
        </w:rPr>
        <w:t xml:space="preserve">将被拒绝</w:t>
      </w:r>
      <w:r>
        <w:rPr>
          <w:sz w:val="24"/>
          <w:szCs w:val="24"/>
          <w:highlight w:val="none"/>
        </w:rPr>
        <w:t xml:space="preserve">。</w:t>
      </w:r>
      <w:r>
        <w:rPr>
          <w:rFonts w:hint="eastAsia"/>
          <w:sz w:val="24"/>
          <w:szCs w:val="24"/>
          <w:highlight w:val="none"/>
        </w:rPr>
        <w:t xml:space="preserve">供应商应充分考虑网络环境、网络带宽等风险因素。</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14、投标文件的撤回和修改</w:t>
      </w:r>
      <w:r/>
    </w:p>
    <w:p>
      <w:pPr>
        <w:pStyle w:val="1085"/>
        <w:ind w:left="0" w:right="0" w:firstLine="482"/>
        <w:jc w:val="both"/>
        <w:spacing w:line="360" w:lineRule="auto"/>
        <w:rPr>
          <w:rFonts w:ascii="Times New Roman" w:hAnsi="Times New Roman" w:cs="Times New Roman"/>
          <w:sz w:val="24"/>
          <w:szCs w:val="24"/>
          <w:highlight w:val="none"/>
          <w:u w:val="none"/>
          <w:lang w:val="zh-CN"/>
        </w:rPr>
      </w:pPr>
      <w:r>
        <w:rPr>
          <w:rFonts w:hint="eastAsia" w:ascii="Times New Roman" w:hAnsi="Times New Roman" w:cs="Times New Roman"/>
          <w:sz w:val="24"/>
          <w:szCs w:val="24"/>
          <w:highlight w:val="none"/>
          <w:u w:val="none"/>
          <w:lang w:val="en-US" w:eastAsia="zh-CN"/>
        </w:rPr>
        <w:t xml:space="preserve">14</w:t>
      </w:r>
      <w:r>
        <w:rPr>
          <w:rFonts w:hint="eastAsia" w:ascii="Times New Roman" w:hAnsi="Times New Roman" w:cs="Times New Roman"/>
          <w:sz w:val="24"/>
          <w:szCs w:val="24"/>
          <w:highlight w:val="none"/>
          <w:u w:val="none"/>
          <w:lang w:val="zh-CN"/>
        </w:rPr>
        <w:t xml:space="preserve">.1 投标文件的撤回</w:t>
      </w:r>
      <w:r/>
    </w:p>
    <w:p>
      <w:pPr>
        <w:pStyle w:val="1085"/>
        <w:ind w:left="0" w:right="0" w:firstLine="480"/>
        <w:jc w:val="both"/>
        <w:spacing w:line="360" w:lineRule="auto"/>
        <w:rPr>
          <w:rFonts w:ascii="Times New Roman" w:hAnsi="Times New Roman" w:cs="Times New Roman"/>
          <w:b w:val="0"/>
          <w:bCs w:val="0"/>
          <w:sz w:val="24"/>
          <w:szCs w:val="24"/>
          <w:highlight w:val="none"/>
          <w:u w:val="none"/>
          <w:lang w:val="zh-CN"/>
        </w:rPr>
      </w:pPr>
      <w:r>
        <w:rPr>
          <w:rFonts w:hint="eastAsia" w:ascii="Times New Roman" w:hAnsi="Times New Roman" w:cs="Times New Roman"/>
          <w:b w:val="0"/>
          <w:bCs w:val="0"/>
          <w:sz w:val="24"/>
          <w:szCs w:val="24"/>
          <w:highlight w:val="none"/>
          <w:u w:val="none"/>
          <w:lang w:val="en-US" w:eastAsia="zh-CN"/>
        </w:rPr>
        <w:t xml:space="preserve">14</w:t>
      </w:r>
      <w:r>
        <w:rPr>
          <w:rFonts w:hint="eastAsia" w:ascii="Times New Roman" w:hAnsi="Times New Roman" w:cs="Times New Roman"/>
          <w:b w:val="0"/>
          <w:bCs w:val="0"/>
          <w:sz w:val="24"/>
          <w:szCs w:val="24"/>
          <w:highlight w:val="none"/>
          <w:u w:val="none"/>
          <w:lang w:val="zh-CN"/>
        </w:rPr>
        <w:t xml:space="preserve">.1.1</w:t>
      </w:r>
      <w:r>
        <w:rPr>
          <w:rFonts w:hint="eastAsia" w:ascii="Times New Roman" w:hAnsi="Times New Roman" w:cs="Times New Roman"/>
          <w:b w:val="0"/>
          <w:bCs w:val="0"/>
          <w:sz w:val="24"/>
          <w:szCs w:val="24"/>
          <w:highlight w:val="none"/>
          <w:u w:val="none"/>
        </w:rPr>
        <w:t xml:space="preserve"> </w:t>
      </w:r>
      <w:r>
        <w:rPr>
          <w:rFonts w:hint="eastAsia" w:ascii="Times New Roman" w:hAnsi="Times New Roman" w:cs="Times New Roman"/>
          <w:b w:val="0"/>
          <w:bCs w:val="0"/>
          <w:sz w:val="24"/>
          <w:szCs w:val="24"/>
          <w:highlight w:val="none"/>
          <w:u w:val="none"/>
          <w:lang w:val="zh-CN"/>
        </w:rPr>
        <w:t xml:space="preserve">投标人可在投标截止时间前撤回其电子投标文件，具体操作方法见《操作手册》。</w:t>
      </w:r>
      <w:r/>
    </w:p>
    <w:p>
      <w:pPr>
        <w:pStyle w:val="1085"/>
        <w:ind w:left="0" w:right="0" w:firstLine="480"/>
        <w:jc w:val="both"/>
        <w:spacing w:line="360" w:lineRule="auto"/>
        <w:rPr>
          <w:rFonts w:ascii="Times New Roman" w:hAnsi="Times New Roman" w:cs="Times New Roman"/>
          <w:b w:val="0"/>
          <w:bCs w:val="0"/>
          <w:sz w:val="24"/>
          <w:szCs w:val="24"/>
          <w:highlight w:val="none"/>
          <w:u w:val="none"/>
          <w:lang w:val="zh-CN"/>
        </w:rPr>
      </w:pPr>
      <w:r>
        <w:rPr>
          <w:rFonts w:hint="eastAsia" w:ascii="Times New Roman" w:hAnsi="Times New Roman" w:cs="Times New Roman"/>
          <w:b w:val="0"/>
          <w:bCs w:val="0"/>
          <w:sz w:val="24"/>
          <w:szCs w:val="24"/>
          <w:highlight w:val="none"/>
          <w:u w:val="none"/>
          <w:lang w:val="en-US" w:eastAsia="zh-CN"/>
        </w:rPr>
        <w:t xml:space="preserve">14</w:t>
      </w:r>
      <w:r>
        <w:rPr>
          <w:rFonts w:hint="eastAsia" w:ascii="Times New Roman" w:hAnsi="Times New Roman" w:cs="Times New Roman"/>
          <w:b w:val="0"/>
          <w:bCs w:val="0"/>
          <w:sz w:val="24"/>
          <w:szCs w:val="24"/>
          <w:highlight w:val="none"/>
          <w:u w:val="none"/>
          <w:lang w:val="zh-CN"/>
        </w:rPr>
        <w:t xml:space="preserve">.1.2</w:t>
      </w:r>
      <w:r>
        <w:rPr>
          <w:rFonts w:hint="eastAsia" w:ascii="Times New Roman" w:hAnsi="Times New Roman" w:cs="Times New Roman"/>
          <w:b w:val="0"/>
          <w:bCs w:val="0"/>
          <w:sz w:val="24"/>
          <w:szCs w:val="24"/>
          <w:highlight w:val="none"/>
          <w:u w:val="none"/>
        </w:rPr>
        <w:t xml:space="preserve"> </w:t>
      </w:r>
      <w:r>
        <w:rPr>
          <w:rFonts w:hint="eastAsia" w:ascii="Times New Roman" w:hAnsi="Times New Roman" w:cs="Times New Roman"/>
          <w:b w:val="0"/>
          <w:bCs w:val="0"/>
          <w:sz w:val="24"/>
          <w:szCs w:val="24"/>
          <w:highlight w:val="none"/>
          <w:u w:val="none"/>
          <w:lang w:val="zh-CN"/>
        </w:rPr>
        <w:t xml:space="preserve">投标人撤回电子投标文件，则认为其不再参与本项目投标活动。</w:t>
      </w:r>
      <w:r/>
    </w:p>
    <w:p>
      <w:pPr>
        <w:pStyle w:val="1085"/>
        <w:ind w:left="0" w:right="0" w:firstLine="480"/>
        <w:jc w:val="both"/>
        <w:spacing w:line="360" w:lineRule="auto"/>
        <w:rPr>
          <w:rFonts w:ascii="Times New Roman" w:hAnsi="Times New Roman" w:cs="Times New Roman"/>
          <w:b w:val="0"/>
          <w:bCs w:val="0"/>
          <w:sz w:val="24"/>
          <w:szCs w:val="24"/>
          <w:highlight w:val="none"/>
          <w:u w:val="none"/>
          <w:lang w:val="zh-CN"/>
        </w:rPr>
      </w:pPr>
      <w:r>
        <w:rPr>
          <w:rFonts w:hint="eastAsia" w:ascii="Times New Roman" w:hAnsi="Times New Roman" w:cs="Times New Roman"/>
          <w:b w:val="0"/>
          <w:bCs w:val="0"/>
          <w:sz w:val="24"/>
          <w:szCs w:val="24"/>
          <w:highlight w:val="none"/>
          <w:u w:val="none"/>
          <w:lang w:val="en-US" w:eastAsia="zh-CN"/>
        </w:rPr>
        <w:t xml:space="preserve">14</w:t>
      </w:r>
      <w:r>
        <w:rPr>
          <w:rFonts w:hint="eastAsia" w:ascii="Times New Roman" w:hAnsi="Times New Roman" w:cs="Times New Roman"/>
          <w:b w:val="0"/>
          <w:bCs w:val="0"/>
          <w:sz w:val="24"/>
          <w:szCs w:val="24"/>
          <w:highlight w:val="none"/>
          <w:u w:val="none"/>
          <w:lang w:val="zh-CN"/>
        </w:rPr>
        <w:t xml:space="preserve">.2 投标文件的修改</w:t>
      </w:r>
      <w:r/>
    </w:p>
    <w:p>
      <w:pPr>
        <w:pStyle w:val="1085"/>
        <w:ind w:left="0" w:right="0" w:firstLine="480"/>
        <w:jc w:val="both"/>
        <w:spacing w:line="360" w:lineRule="auto"/>
        <w:rPr>
          <w:rFonts w:ascii="Times New Roman" w:hAnsi="Times New Roman" w:cs="Times New Roman"/>
          <w:b w:val="0"/>
          <w:bCs w:val="0"/>
          <w:sz w:val="24"/>
          <w:szCs w:val="24"/>
          <w:highlight w:val="none"/>
          <w:u w:val="none"/>
          <w:lang w:val="zh-CN"/>
        </w:rPr>
      </w:pPr>
      <w:r>
        <w:rPr>
          <w:rFonts w:hint="eastAsia" w:ascii="Times New Roman" w:hAnsi="Times New Roman" w:cs="Times New Roman"/>
          <w:b w:val="0"/>
          <w:bCs w:val="0"/>
          <w:sz w:val="24"/>
          <w:szCs w:val="24"/>
          <w:highlight w:val="none"/>
          <w:u w:val="none"/>
          <w:lang w:val="en-US" w:eastAsia="zh-CN"/>
        </w:rPr>
        <w:t xml:space="preserve">14</w:t>
      </w:r>
      <w:r>
        <w:rPr>
          <w:rFonts w:hint="eastAsia" w:ascii="Times New Roman" w:hAnsi="Times New Roman" w:cs="Times New Roman"/>
          <w:b w:val="0"/>
          <w:bCs w:val="0"/>
          <w:sz w:val="24"/>
          <w:szCs w:val="24"/>
          <w:highlight w:val="none"/>
          <w:u w:val="none"/>
          <w:lang w:val="zh-CN"/>
        </w:rPr>
        <w:t xml:space="preserve">.2.1</w:t>
      </w:r>
      <w:r>
        <w:rPr>
          <w:rFonts w:hint="eastAsia" w:ascii="Times New Roman" w:hAnsi="Times New Roman" w:cs="Times New Roman"/>
          <w:b w:val="0"/>
          <w:bCs w:val="0"/>
          <w:sz w:val="24"/>
          <w:szCs w:val="24"/>
          <w:highlight w:val="none"/>
          <w:u w:val="none"/>
        </w:rPr>
        <w:t xml:space="preserve"> </w:t>
      </w:r>
      <w:r>
        <w:rPr>
          <w:rFonts w:hint="eastAsia" w:ascii="Times New Roman" w:hAnsi="Times New Roman" w:cs="Times New Roman"/>
          <w:b w:val="0"/>
          <w:bCs w:val="0"/>
          <w:sz w:val="24"/>
          <w:szCs w:val="24"/>
          <w:highlight w:val="none"/>
          <w:u w:val="none"/>
          <w:lang w:val="zh-CN"/>
        </w:rPr>
        <w:t xml:space="preserve">投标人可在投标截止时间前对其电子投标文件进行修改，具体操作方法见《操作手册》。</w:t>
      </w:r>
      <w:r/>
    </w:p>
    <w:p>
      <w:pPr>
        <w:pStyle w:val="1085"/>
        <w:ind w:left="0" w:right="0" w:firstLine="480"/>
        <w:jc w:val="both"/>
        <w:spacing w:line="360" w:lineRule="auto"/>
        <w:rPr>
          <w:rFonts w:ascii="Times New Roman" w:hAnsi="Times New Roman" w:cs="Times New Roman"/>
          <w:b w:val="0"/>
          <w:bCs w:val="0"/>
          <w:sz w:val="24"/>
          <w:szCs w:val="24"/>
          <w:highlight w:val="none"/>
          <w:u w:val="none"/>
          <w:lang w:val="zh-CN"/>
        </w:rPr>
      </w:pPr>
      <w:r>
        <w:rPr>
          <w:rFonts w:hint="eastAsia" w:ascii="Times New Roman" w:hAnsi="Times New Roman" w:cs="Times New Roman"/>
          <w:b w:val="0"/>
          <w:bCs w:val="0"/>
          <w:sz w:val="24"/>
          <w:szCs w:val="24"/>
          <w:highlight w:val="none"/>
          <w:u w:val="none"/>
          <w:lang w:val="en-US" w:eastAsia="zh-CN"/>
        </w:rPr>
        <w:t xml:space="preserve">14</w:t>
      </w:r>
      <w:r>
        <w:rPr>
          <w:rFonts w:hint="eastAsia" w:ascii="Times New Roman" w:hAnsi="Times New Roman" w:cs="Times New Roman"/>
          <w:b w:val="0"/>
          <w:bCs w:val="0"/>
          <w:sz w:val="24"/>
          <w:szCs w:val="24"/>
          <w:highlight w:val="none"/>
          <w:u w:val="none"/>
          <w:lang w:val="zh-CN"/>
        </w:rPr>
        <w:t xml:space="preserve">.2.2</w:t>
      </w:r>
      <w:r>
        <w:rPr>
          <w:rFonts w:hint="eastAsia" w:ascii="Times New Roman" w:hAnsi="Times New Roman" w:cs="Times New Roman"/>
          <w:b w:val="0"/>
          <w:bCs w:val="0"/>
          <w:sz w:val="24"/>
          <w:szCs w:val="24"/>
          <w:highlight w:val="none"/>
          <w:u w:val="none"/>
        </w:rPr>
        <w:t xml:space="preserve"> </w:t>
      </w:r>
      <w:r>
        <w:rPr>
          <w:rFonts w:hint="eastAsia" w:ascii="Times New Roman" w:hAnsi="Times New Roman" w:cs="Times New Roman"/>
          <w:b w:val="0"/>
          <w:bCs w:val="0"/>
          <w:sz w:val="24"/>
          <w:szCs w:val="24"/>
          <w:highlight w:val="none"/>
          <w:u w:val="none"/>
          <w:lang w:val="zh-CN"/>
        </w:rPr>
        <w:t xml:space="preserve">投标截止时间之后，投标人不得对其电子投标文件作任何修改。</w:t>
      </w:r>
      <w:r/>
    </w:p>
    <w:p>
      <w:pPr>
        <w:pStyle w:val="1085"/>
        <w:ind w:left="0" w:right="0" w:firstLine="480"/>
        <w:jc w:val="both"/>
        <w:spacing w:line="360" w:lineRule="auto"/>
        <w:rPr>
          <w:rFonts w:ascii="Times New Roman" w:hAnsi="Times New Roman" w:cs="Times New Roman"/>
          <w:b w:val="0"/>
          <w:bCs w:val="0"/>
          <w:sz w:val="24"/>
          <w:szCs w:val="24"/>
          <w:highlight w:val="none"/>
          <w:u w:val="none"/>
        </w:rPr>
      </w:pPr>
      <w:r>
        <w:rPr>
          <w:rFonts w:hint="eastAsia" w:ascii="Times New Roman" w:hAnsi="Times New Roman" w:cs="Times New Roman"/>
          <w:b w:val="0"/>
          <w:bCs w:val="0"/>
          <w:sz w:val="24"/>
          <w:szCs w:val="24"/>
          <w:highlight w:val="none"/>
          <w:u w:val="none"/>
          <w:lang w:val="en-US" w:eastAsia="zh-CN"/>
        </w:rPr>
        <w:t xml:space="preserve">14</w:t>
      </w:r>
      <w:r>
        <w:rPr>
          <w:rFonts w:hint="eastAsia" w:ascii="Times New Roman" w:hAnsi="Times New Roman" w:cs="Times New Roman"/>
          <w:b w:val="0"/>
          <w:bCs w:val="0"/>
          <w:sz w:val="24"/>
          <w:szCs w:val="24"/>
          <w:highlight w:val="none"/>
          <w:u w:val="none"/>
          <w:lang w:val="zh-CN"/>
        </w:rPr>
        <w:t xml:space="preserve">.3 在投标截止时间至招标文件中规定的投标有效期满之间的这段时间内，投标人不得撤回其投标。</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四、开标、评标与确定中标人</w:t>
      </w:r>
      <w:r/>
    </w:p>
    <w:p>
      <w:pPr>
        <w:pStyle w:val="1086"/>
        <w:ind w:firstLine="482"/>
        <w:jc w:val="both"/>
        <w:spacing w:line="360" w:lineRule="auto"/>
        <w:rPr>
          <w:rFonts w:ascii="Times New Roman" w:hAnsi="Times New Roman" w:eastAsia="宋体" w:cs="Times New Roman"/>
          <w:b/>
          <w:bCs/>
          <w:sz w:val="24"/>
          <w:szCs w:val="24"/>
          <w:highlight w:val="none"/>
        </w:rPr>
      </w:pPr>
      <w:r/>
      <w:bookmarkStart w:id="22" w:name="__21、投标文件的接收"/>
      <w:r/>
      <w:bookmarkEnd w:id="22"/>
      <w:r>
        <w:rPr>
          <w:rFonts w:hint="eastAsia" w:ascii="Times New Roman" w:hAnsi="Times New Roman" w:eastAsia="宋体" w:cs="Times New Roman"/>
          <w:b/>
          <w:bCs/>
          <w:sz w:val="24"/>
          <w:szCs w:val="24"/>
          <w:highlight w:val="none"/>
          <w:lang w:val="en-US" w:eastAsia="zh-CN"/>
        </w:rPr>
        <w:t xml:space="preserve">1</w:t>
      </w:r>
      <w:r>
        <w:rPr>
          <w:rFonts w:ascii="Times New Roman" w:hAnsi="Times New Roman" w:eastAsia="宋体" w:cs="Times New Roman"/>
          <w:b/>
          <w:bCs/>
          <w:sz w:val="24"/>
          <w:szCs w:val="24"/>
          <w:highlight w:val="none"/>
        </w:rPr>
        <w:t xml:space="preserve">、开标</w:t>
      </w:r>
      <w:r/>
    </w:p>
    <w:p>
      <w:pPr>
        <w:ind w:firstLine="482"/>
        <w:jc w:val="both"/>
        <w:spacing w:line="360" w:lineRule="auto"/>
        <w:tabs>
          <w:tab w:val="left" w:pos="1464" w:leader="none"/>
        </w:tabs>
        <w:rPr>
          <w:b/>
          <w:sz w:val="24"/>
          <w:szCs w:val="24"/>
          <w:highlight w:val="none"/>
          <w:lang w:val="zh-CN"/>
        </w:rPr>
      </w:pPr>
      <w:r>
        <w:rPr>
          <w:rFonts w:hint="eastAsia"/>
          <w:b/>
          <w:sz w:val="24"/>
          <w:szCs w:val="24"/>
          <w:highlight w:val="none"/>
          <w:lang w:val="en-US" w:eastAsia="zh-CN"/>
        </w:rPr>
        <w:t xml:space="preserve">1</w:t>
      </w:r>
      <w:r>
        <w:rPr>
          <w:rFonts w:hint="eastAsia"/>
          <w:b/>
          <w:sz w:val="24"/>
          <w:szCs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2"/>
        <w:jc w:val="both"/>
        <w:spacing w:line="360" w:lineRule="auto"/>
        <w:tabs>
          <w:tab w:val="left" w:pos="1464" w:leader="none"/>
        </w:tabs>
        <w:rPr>
          <w:b/>
          <w:sz w:val="24"/>
          <w:szCs w:val="24"/>
          <w:highlight w:val="none"/>
          <w:lang w:val="zh-CN"/>
        </w:rPr>
      </w:pPr>
      <w:r>
        <w:rPr>
          <w:rFonts w:hint="eastAsia"/>
          <w:b/>
          <w:sz w:val="24"/>
          <w:szCs w:val="24"/>
          <w:highlight w:val="none"/>
          <w:lang w:val="en-US" w:eastAsia="zh-CN"/>
        </w:rPr>
        <w:t xml:space="preserve">1</w:t>
      </w:r>
      <w:r>
        <w:rPr>
          <w:rFonts w:hint="eastAsia"/>
          <w:b/>
          <w:sz w:val="24"/>
          <w:szCs w:val="24"/>
          <w:highlight w:val="none"/>
          <w:lang w:val="zh-CN"/>
        </w:rPr>
        <w:t xml:space="preserve">.</w:t>
      </w:r>
      <w:r>
        <w:rPr>
          <w:rFonts w:hint="eastAsia"/>
          <w:b/>
          <w:sz w:val="24"/>
          <w:szCs w:val="24"/>
          <w:highlight w:val="none"/>
        </w:rPr>
        <w:t xml:space="preserve">2 </w:t>
      </w:r>
      <w:r>
        <w:rPr>
          <w:rFonts w:hint="eastAsia"/>
          <w:b/>
          <w:sz w:val="24"/>
          <w:szCs w:val="24"/>
          <w:highlight w:val="none"/>
          <w:lang w:val="zh-CN"/>
        </w:rPr>
        <w:t xml:space="preserve">投标人在开标过程中涉及到的投标文件解密、开标结果确认等工作，应按照《操作手册》规定执行。</w:t>
      </w:r>
      <w:r/>
    </w:p>
    <w:p>
      <w:pPr>
        <w:ind w:firstLine="482"/>
        <w:jc w:val="both"/>
        <w:spacing w:line="360" w:lineRule="auto"/>
        <w:tabs>
          <w:tab w:val="left" w:pos="1464" w:leader="none"/>
        </w:tabs>
        <w:rPr>
          <w:b/>
          <w:sz w:val="24"/>
          <w:szCs w:val="24"/>
          <w:highlight w:val="none"/>
        </w:rPr>
      </w:pPr>
      <w:r>
        <w:rPr>
          <w:rFonts w:hint="eastAsia"/>
          <w:b/>
          <w:sz w:val="24"/>
          <w:szCs w:val="24"/>
          <w:highlight w:val="none"/>
          <w:lang w:val="en-US" w:eastAsia="zh-CN"/>
        </w:rPr>
        <w:t xml:space="preserve">1</w:t>
      </w:r>
      <w:r>
        <w:rPr>
          <w:rFonts w:hint="eastAsia"/>
          <w:b/>
          <w:sz w:val="24"/>
          <w:szCs w:val="24"/>
          <w:highlight w:val="none"/>
          <w:lang w:val="zh-CN"/>
        </w:rPr>
        <w:t xml:space="preserve">.</w:t>
      </w:r>
      <w:r>
        <w:rPr>
          <w:rFonts w:hint="eastAsia"/>
          <w:b/>
          <w:sz w:val="24"/>
          <w:szCs w:val="24"/>
          <w:highlight w:val="none"/>
        </w:rPr>
        <w:t xml:space="preserve">3 </w:t>
      </w:r>
      <w:r>
        <w:rPr>
          <w:rFonts w:hint="eastAsia"/>
          <w:b/>
          <w:sz w:val="24"/>
          <w:szCs w:val="24"/>
          <w:highlight w:val="none"/>
          <w:lang w:val="zh-CN"/>
        </w:rPr>
        <w:t xml:space="preserve">投标人如果对开标过程和开标结果有疑义，应当根据《操作手册》规定提出，苏采云系统中《开标记录表》公布后5分钟内未提出的，视同认可开标结果。</w:t>
      </w:r>
      <w:r/>
    </w:p>
    <w:p>
      <w:pPr>
        <w:ind w:firstLine="482"/>
        <w:jc w:val="both"/>
        <w:spacing w:line="360" w:lineRule="auto"/>
        <w:tabs>
          <w:tab w:val="left" w:pos="1464" w:leader="none"/>
        </w:tabs>
        <w:rPr>
          <w:b/>
          <w:sz w:val="24"/>
          <w:szCs w:val="24"/>
          <w:highlight w:val="none"/>
        </w:rPr>
      </w:pPr>
      <w:r>
        <w:rPr>
          <w:rFonts w:hint="eastAsia"/>
          <w:b/>
          <w:sz w:val="24"/>
          <w:szCs w:val="24"/>
          <w:highlight w:val="none"/>
          <w:lang w:val="en-US" w:eastAsia="zh-CN"/>
        </w:rPr>
        <w:t xml:space="preserve">1</w:t>
      </w:r>
      <w:r>
        <w:rPr>
          <w:b/>
          <w:sz w:val="24"/>
          <w:szCs w:val="24"/>
          <w:highlight w:val="none"/>
        </w:rPr>
        <w:t xml:space="preserve">.</w:t>
      </w:r>
      <w:r>
        <w:rPr>
          <w:rFonts w:hint="eastAsia"/>
          <w:b/>
          <w:sz w:val="24"/>
          <w:szCs w:val="24"/>
          <w:highlight w:val="none"/>
          <w:lang w:val="en-US" w:eastAsia="zh-CN"/>
        </w:rPr>
        <w:t xml:space="preserve">4</w:t>
      </w:r>
      <w:r>
        <w:rPr>
          <w:b/>
          <w:sz w:val="24"/>
          <w:szCs w:val="24"/>
          <w:highlight w:val="none"/>
        </w:rPr>
        <w:t xml:space="preserve">投标文件报价出现前后不一致的，按照下列规定修正：</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1</w:t>
      </w:r>
      <w:r>
        <w:rPr>
          <w:sz w:val="24"/>
          <w:szCs w:val="24"/>
          <w:highlight w:val="none"/>
        </w:rPr>
        <w:t xml:space="preserve">）开标一览表内容与投标文件中相应内容不一致的，以开标一览表为准；</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2</w:t>
      </w:r>
      <w:r>
        <w:rPr>
          <w:sz w:val="24"/>
          <w:szCs w:val="24"/>
          <w:highlight w:val="none"/>
        </w:rPr>
        <w:t xml:space="preserve">）大写金额和小写金额不一致的，以大写金额为准；</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3</w:t>
      </w:r>
      <w:r>
        <w:rPr>
          <w:sz w:val="24"/>
          <w:szCs w:val="24"/>
          <w:highlight w:val="none"/>
        </w:rPr>
        <w:t xml:space="preserve">）单价金额小数点或者百分比有明显错位的，以开标一览表的总价为准，并修改单价；</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）总价金额与按单价汇总金额不一致的，以单价金额计算结果为准；</w:t>
      </w:r>
      <w:r/>
    </w:p>
    <w:p>
      <w:pPr>
        <w:ind w:firstLine="480"/>
        <w:jc w:val="both"/>
        <w:spacing w:line="360" w:lineRule="auto"/>
        <w:tabs>
          <w:tab w:val="left" w:pos="1464" w:leader="none"/>
        </w:tabs>
        <w:rPr>
          <w:sz w:val="24"/>
          <w:szCs w:val="24"/>
          <w:highlight w:val="none"/>
        </w:rPr>
      </w:pPr>
      <w:r>
        <w:rPr>
          <w:sz w:val="24"/>
          <w:szCs w:val="24"/>
          <w:highlight w:val="none"/>
        </w:rPr>
        <w:t xml:space="preserve">（</w:t>
      </w:r>
      <w:r>
        <w:rPr>
          <w:rFonts w:hint="eastAsia"/>
          <w:sz w:val="24"/>
          <w:szCs w:val="24"/>
          <w:highlight w:val="none"/>
        </w:rPr>
        <w:t xml:space="preserve">5</w:t>
      </w:r>
      <w:r>
        <w:rPr>
          <w:sz w:val="24"/>
          <w:szCs w:val="24"/>
          <w:highlight w:val="none"/>
        </w:rPr>
        <w:t xml:space="preserve">）同时出现两种以上不一致的，按照前款规定的顺序修正。修正后的报价按照本章要求的规定经投标人确认后产生约束力，投标人不确认的，其投标无效。</w:t>
      </w:r>
      <w:r/>
    </w:p>
    <w:p>
      <w:pPr>
        <w:ind w:firstLine="482"/>
        <w:jc w:val="both"/>
        <w:spacing w:line="360" w:lineRule="auto"/>
        <w:tabs>
          <w:tab w:val="left" w:pos="1464" w:leader="none"/>
        </w:tabs>
        <w:rPr>
          <w:b/>
          <w:sz w:val="24"/>
          <w:szCs w:val="24"/>
          <w:highlight w:val="none"/>
        </w:rPr>
      </w:pPr>
      <w:r>
        <w:rPr>
          <w:rFonts w:hint="eastAsia"/>
          <w:b/>
          <w:sz w:val="24"/>
          <w:szCs w:val="24"/>
          <w:highlight w:val="none"/>
          <w:lang w:val="en-US" w:eastAsia="zh-CN"/>
        </w:rPr>
        <w:t xml:space="preserve">1</w:t>
      </w:r>
      <w:r>
        <w:rPr>
          <w:b/>
          <w:sz w:val="24"/>
          <w:szCs w:val="24"/>
          <w:highlight w:val="none"/>
        </w:rPr>
        <w:t xml:space="preserve">.</w:t>
      </w:r>
      <w:r>
        <w:rPr>
          <w:rFonts w:hint="eastAsia"/>
          <w:b/>
          <w:sz w:val="24"/>
          <w:szCs w:val="24"/>
          <w:highlight w:val="none"/>
          <w:lang w:val="en-US" w:eastAsia="zh-CN"/>
        </w:rPr>
        <w:t xml:space="preserve">5</w:t>
      </w:r>
      <w:r>
        <w:rPr>
          <w:b/>
          <w:sz w:val="24"/>
          <w:szCs w:val="24"/>
          <w:highlight w:val="none"/>
        </w:rPr>
        <w:t xml:space="preserve">投标人未参加开标的，视同认可开标结果。</w:t>
      </w:r>
      <w:r/>
    </w:p>
    <w:p>
      <w:pPr>
        <w:ind w:firstLine="480"/>
        <w:jc w:val="both"/>
        <w:spacing w:line="360" w:lineRule="auto"/>
        <w:rPr>
          <w:sz w:val="24"/>
          <w:szCs w:val="24"/>
          <w:highlight w:val="none"/>
        </w:rPr>
      </w:pPr>
      <w:r>
        <w:rPr>
          <w:rFonts w:hint="eastAsia"/>
          <w:sz w:val="24"/>
          <w:szCs w:val="24"/>
          <w:highlight w:val="none"/>
          <w:lang w:val="en-US" w:eastAsia="zh-CN"/>
        </w:rPr>
        <w:t xml:space="preserve">1</w:t>
      </w:r>
      <w:r>
        <w:rPr>
          <w:sz w:val="24"/>
          <w:szCs w:val="24"/>
          <w:highlight w:val="none"/>
        </w:rPr>
        <w:t xml:space="preserve">.</w:t>
      </w:r>
      <w:r>
        <w:rPr>
          <w:rFonts w:hint="eastAsia"/>
          <w:sz w:val="24"/>
          <w:szCs w:val="24"/>
          <w:highlight w:val="none"/>
          <w:lang w:val="en-US" w:eastAsia="zh-CN"/>
        </w:rPr>
        <w:t xml:space="preserve">6</w:t>
      </w:r>
      <w:r>
        <w:rPr>
          <w:sz w:val="24"/>
          <w:szCs w:val="24"/>
          <w:highlight w:val="none"/>
        </w:rPr>
        <w:t xml:space="preserve">投标截止时间结束后参加投标的投标人不足三家或者通过资格审查或符合性审查的投标人不足三家的，除采购任务取消情形外，重新招标或者采购人履行审批手续后可以改为其他采购方式。</w:t>
      </w:r>
      <w:r/>
    </w:p>
    <w:p>
      <w:pPr>
        <w:pStyle w:val="1086"/>
        <w:ind w:firstLine="482"/>
        <w:jc w:val="both"/>
        <w:spacing w:line="360" w:lineRule="auto"/>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2</w:t>
      </w:r>
      <w:r>
        <w:rPr>
          <w:rFonts w:ascii="Times New Roman" w:hAnsi="Times New Roman" w:eastAsia="宋体" w:cs="Times New Roman"/>
          <w:b/>
          <w:bCs/>
          <w:sz w:val="24"/>
          <w:szCs w:val="24"/>
          <w:highlight w:val="none"/>
        </w:rPr>
        <w:t xml:space="preserve">、评标</w:t>
      </w:r>
      <w:r/>
    </w:p>
    <w:p>
      <w:pPr>
        <w:pStyle w:val="1087"/>
        <w:ind w:left="0" w:firstLine="482"/>
        <w:jc w:val="both"/>
        <w:spacing w:line="360" w:lineRule="auto"/>
        <w:rPr>
          <w:rFonts w:ascii="Times New Roman" w:hAnsi="Times New Roman" w:cs="Times New Roman"/>
          <w:highlight w:val="none"/>
        </w:rPr>
      </w:pPr>
      <w:r>
        <w:rPr>
          <w:rFonts w:hint="eastAsia" w:ascii="Times New Roman" w:hAnsi="Times New Roman" w:cs="Times New Roman"/>
          <w:highlight w:val="none"/>
          <w:lang w:val="en-US" w:eastAsia="zh-CN"/>
        </w:rPr>
        <w:t xml:space="preserve">2</w:t>
      </w:r>
      <w:r>
        <w:rPr>
          <w:rFonts w:ascii="Times New Roman" w:hAnsi="Times New Roman" w:cs="Times New Roman"/>
          <w:highlight w:val="none"/>
          <w:lang w:val="en-US"/>
        </w:rPr>
        <w:t xml:space="preserve">.1</w:t>
      </w:r>
      <w:r>
        <w:rPr>
          <w:rFonts w:ascii="Times New Roman" w:hAnsi="Times New Roman" w:cs="Times New Roman"/>
          <w:highlight w:val="none"/>
        </w:rPr>
        <w:t xml:space="preserve">评标组织</w:t>
      </w:r>
      <w:r/>
    </w:p>
    <w:p>
      <w:pPr>
        <w:ind w:firstLine="482"/>
        <w:jc w:val="both"/>
        <w:spacing w:line="360" w:lineRule="auto"/>
        <w:rPr>
          <w:b/>
          <w:sz w:val="24"/>
          <w:szCs w:val="24"/>
          <w:highlight w:val="none"/>
        </w:rPr>
      </w:pPr>
      <w:r>
        <w:rPr>
          <w:rFonts w:hint="eastAsia"/>
          <w:b/>
          <w:sz w:val="24"/>
          <w:szCs w:val="24"/>
          <w:highlight w:val="none"/>
          <w:lang w:val="en-US" w:eastAsia="zh-CN"/>
        </w:rPr>
        <w:t xml:space="preserve">2</w:t>
      </w:r>
      <w:r>
        <w:rPr>
          <w:b/>
          <w:sz w:val="24"/>
          <w:szCs w:val="24"/>
          <w:highlight w:val="none"/>
        </w:rPr>
        <w:t xml:space="preserve">.1.1评标工作由采购代理机构负责组织，具体评标事务由依法组建的评标委员会负责，并独立履行下列职责：</w:t>
      </w:r>
      <w:r/>
    </w:p>
    <w:p>
      <w:pPr>
        <w:ind w:firstLine="480"/>
        <w:jc w:val="both"/>
        <w:spacing w:line="360" w:lineRule="auto"/>
        <w:rPr>
          <w:sz w:val="24"/>
          <w:szCs w:val="24"/>
          <w:highlight w:val="none"/>
        </w:rPr>
      </w:pPr>
      <w:r>
        <w:rPr>
          <w:sz w:val="24"/>
          <w:szCs w:val="24"/>
          <w:highlight w:val="none"/>
        </w:rPr>
        <w:t xml:space="preserve">（</w:t>
      </w:r>
      <w:r>
        <w:rPr>
          <w:rFonts w:hint="eastAsia"/>
          <w:sz w:val="24"/>
          <w:szCs w:val="24"/>
          <w:highlight w:val="none"/>
        </w:rPr>
        <w:t xml:space="preserve">1</w:t>
      </w:r>
      <w:r>
        <w:rPr>
          <w:sz w:val="24"/>
          <w:szCs w:val="24"/>
          <w:highlight w:val="none"/>
        </w:rPr>
        <w:t xml:space="preserve">）审查、评价投标文件是否符合招标文件的商务、技术等实质性要求；</w:t>
      </w:r>
      <w:r/>
    </w:p>
    <w:p>
      <w:pPr>
        <w:ind w:firstLine="480"/>
        <w:jc w:val="both"/>
        <w:spacing w:line="360" w:lineRule="auto"/>
        <w:rPr>
          <w:sz w:val="24"/>
          <w:szCs w:val="24"/>
          <w:highlight w:val="none"/>
        </w:rPr>
      </w:pPr>
      <w:r>
        <w:rPr>
          <w:sz w:val="24"/>
          <w:szCs w:val="24"/>
          <w:highlight w:val="none"/>
        </w:rPr>
        <w:t xml:space="preserve">（</w:t>
      </w:r>
      <w:r>
        <w:rPr>
          <w:rFonts w:hint="eastAsia"/>
          <w:sz w:val="24"/>
          <w:szCs w:val="24"/>
          <w:highlight w:val="none"/>
        </w:rPr>
        <w:t xml:space="preserve">2</w:t>
      </w:r>
      <w:r>
        <w:rPr>
          <w:sz w:val="24"/>
          <w:szCs w:val="24"/>
          <w:highlight w:val="none"/>
        </w:rPr>
        <w:t xml:space="preserve">）要求投标人对投标文件有关事项作出澄清或者说明；</w:t>
      </w:r>
      <w:r/>
    </w:p>
    <w:p>
      <w:pPr>
        <w:ind w:firstLine="480"/>
        <w:jc w:val="both"/>
        <w:spacing w:line="360" w:lineRule="auto"/>
        <w:rPr>
          <w:sz w:val="24"/>
          <w:szCs w:val="24"/>
          <w:highlight w:val="none"/>
        </w:rPr>
      </w:pPr>
      <w:r>
        <w:rPr>
          <w:sz w:val="24"/>
          <w:szCs w:val="24"/>
          <w:highlight w:val="none"/>
        </w:rPr>
        <w:t xml:space="preserve">（</w:t>
      </w:r>
      <w:r>
        <w:rPr>
          <w:rFonts w:hint="eastAsia"/>
          <w:sz w:val="24"/>
          <w:szCs w:val="24"/>
          <w:highlight w:val="none"/>
        </w:rPr>
        <w:t xml:space="preserve">3</w:t>
      </w:r>
      <w:r>
        <w:rPr>
          <w:sz w:val="24"/>
          <w:szCs w:val="24"/>
          <w:highlight w:val="none"/>
        </w:rPr>
        <w:t xml:space="preserve">）对投标文件进行比较和评价；</w:t>
      </w:r>
      <w:r/>
    </w:p>
    <w:p>
      <w:pPr>
        <w:ind w:firstLine="480"/>
        <w:jc w:val="both"/>
        <w:spacing w:line="360" w:lineRule="auto"/>
        <w:rPr>
          <w:sz w:val="24"/>
          <w:szCs w:val="24"/>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）确定中标候选人名单，以及根据采购人委托直接确定中标人；</w:t>
      </w:r>
      <w:r/>
    </w:p>
    <w:p>
      <w:pPr>
        <w:ind w:firstLine="480"/>
        <w:jc w:val="both"/>
        <w:spacing w:line="360" w:lineRule="auto"/>
        <w:rPr>
          <w:sz w:val="24"/>
          <w:szCs w:val="24"/>
          <w:highlight w:val="none"/>
        </w:rPr>
      </w:pPr>
      <w:r>
        <w:rPr>
          <w:sz w:val="24"/>
          <w:szCs w:val="24"/>
          <w:highlight w:val="none"/>
        </w:rPr>
        <w:t xml:space="preserve">（</w:t>
      </w:r>
      <w:r>
        <w:rPr>
          <w:rFonts w:hint="eastAsia"/>
          <w:sz w:val="24"/>
          <w:szCs w:val="24"/>
          <w:highlight w:val="none"/>
        </w:rPr>
        <w:t xml:space="preserve">5</w:t>
      </w:r>
      <w:r>
        <w:rPr>
          <w:sz w:val="24"/>
          <w:szCs w:val="24"/>
          <w:highlight w:val="none"/>
        </w:rPr>
        <w:t xml:space="preserve">）向采购人、采购代理机构或者有关部门报告评标中发现的违法行为。</w:t>
      </w:r>
      <w:r/>
    </w:p>
    <w:p>
      <w:pPr>
        <w:ind w:firstLine="482"/>
        <w:jc w:val="both"/>
        <w:spacing w:line="360" w:lineRule="auto"/>
        <w:rPr>
          <w:b/>
          <w:sz w:val="24"/>
          <w:szCs w:val="24"/>
          <w:highlight w:val="none"/>
        </w:rPr>
      </w:pPr>
      <w:r>
        <w:rPr>
          <w:rFonts w:hint="eastAsia"/>
          <w:b/>
          <w:sz w:val="24"/>
          <w:szCs w:val="24"/>
          <w:highlight w:val="none"/>
          <w:lang w:val="en-US" w:eastAsia="zh-CN"/>
        </w:rPr>
        <w:t xml:space="preserve">2</w:t>
      </w:r>
      <w:r>
        <w:rPr>
          <w:b/>
          <w:sz w:val="24"/>
          <w:szCs w:val="24"/>
          <w:highlight w:val="none"/>
        </w:rPr>
        <w:t xml:space="preserve">.1.2评标委员会由财政部门设立的政府采购评审专家库中随机方式抽取的评审专家及采购人代表组成，独立开展评审工作。</w:t>
      </w:r>
      <w:r/>
    </w:p>
    <w:p>
      <w:pPr>
        <w:pStyle w:val="1087"/>
        <w:ind w:left="0" w:firstLine="482"/>
        <w:jc w:val="both"/>
        <w:spacing w:line="360" w:lineRule="auto"/>
        <w:rPr>
          <w:rFonts w:ascii="Times New Roman" w:hAnsi="Times New Roman" w:cs="Times New Roman"/>
          <w:highlight w:val="none"/>
          <w:lang w:val="en-US"/>
        </w:rPr>
      </w:pPr>
      <w:r>
        <w:rPr>
          <w:rFonts w:hint="eastAsia" w:ascii="Times New Roman" w:hAnsi="Times New Roman" w:cs="Times New Roman"/>
          <w:highlight w:val="none"/>
          <w:lang w:val="en-US" w:eastAsia="zh-CN"/>
        </w:rPr>
        <w:t xml:space="preserve">2</w:t>
      </w:r>
      <w:r>
        <w:rPr>
          <w:rFonts w:ascii="Times New Roman" w:hAnsi="Times New Roman" w:cs="Times New Roman"/>
          <w:highlight w:val="none"/>
          <w:lang w:val="en-US"/>
        </w:rPr>
        <w:t xml:space="preserve">.2评标程序</w:t>
      </w:r>
      <w:r/>
    </w:p>
    <w:p>
      <w:pPr>
        <w:ind w:firstLine="482"/>
        <w:jc w:val="both"/>
        <w:spacing w:line="360" w:lineRule="auto"/>
        <w:rPr>
          <w:b/>
          <w:sz w:val="24"/>
          <w:szCs w:val="24"/>
          <w:highlight w:val="none"/>
        </w:rPr>
      </w:pPr>
      <w:r>
        <w:rPr>
          <w:rFonts w:hint="eastAsia"/>
          <w:b/>
          <w:sz w:val="24"/>
          <w:szCs w:val="24"/>
          <w:highlight w:val="none"/>
          <w:lang w:val="en-US" w:eastAsia="zh-CN"/>
        </w:rPr>
        <w:t xml:space="preserve">2</w:t>
      </w:r>
      <w:r>
        <w:rPr>
          <w:b/>
          <w:sz w:val="24"/>
          <w:szCs w:val="24"/>
          <w:highlight w:val="none"/>
        </w:rPr>
        <w:t xml:space="preserve">.2.1投标文件的资格性检查。开标结束后，由采购代理机构根据法律法规和招标文件的规定依法对投标人的资格进行审查，以确定投标人是否具备投标资格。资格性审查详见第四章《资格性审查方法及标准》。</w:t>
      </w:r>
      <w:r/>
    </w:p>
    <w:p>
      <w:pPr>
        <w:ind w:firstLine="482"/>
        <w:jc w:val="both"/>
        <w:spacing w:line="560" w:lineRule="exact"/>
        <w:rPr>
          <w:b/>
          <w:sz w:val="24"/>
          <w:szCs w:val="24"/>
          <w:highlight w:val="none"/>
        </w:rPr>
      </w:pPr>
      <w:r>
        <w:rPr>
          <w:rFonts w:hint="eastAsia"/>
          <w:b/>
          <w:sz w:val="24"/>
          <w:szCs w:val="24"/>
          <w:highlight w:val="none"/>
          <w:lang w:val="en-US" w:eastAsia="zh-CN"/>
        </w:rPr>
        <w:t xml:space="preserve">2</w:t>
      </w:r>
      <w:r>
        <w:rPr>
          <w:b/>
          <w:sz w:val="24"/>
          <w:szCs w:val="24"/>
          <w:highlight w:val="none"/>
        </w:rPr>
        <w:t xml:space="preserve">.2.2投标文件的符合性检查。</w:t>
      </w:r>
      <w:r>
        <w:rPr>
          <w:sz w:val="24"/>
          <w:szCs w:val="24"/>
          <w:highlight w:val="none"/>
        </w:rPr>
        <w:t xml:space="preserve">评标委员会应当对符合资格的投标人的投标文件进行符合性审查，以确定其是否满足招标文件的实质性要求。</w:t>
      </w:r>
      <w:r>
        <w:rPr>
          <w:b/>
          <w:sz w:val="24"/>
          <w:szCs w:val="24"/>
          <w:highlight w:val="none"/>
        </w:rPr>
        <w:t xml:space="preserve">符合性审查详见第四章《符合性审查方法及标准》。</w:t>
      </w:r>
      <w:r/>
    </w:p>
    <w:p>
      <w:pPr>
        <w:pStyle w:val="1091"/>
        <w:rPr>
          <w:highlight w:val="none"/>
        </w:rPr>
      </w:pPr>
      <w:r>
        <w:rPr>
          <w:rFonts w:hint="eastAsia"/>
          <w:highlight w:val="none"/>
          <w:lang w:val="en-US" w:eastAsia="zh-CN"/>
        </w:rPr>
        <w:t xml:space="preserve">2</w:t>
      </w:r>
      <w:r>
        <w:rPr>
          <w:highlight w:val="none"/>
        </w:rPr>
        <w:t xml:space="preserve">.2.3在评标期间，出现符合专业条件的投标人或者对招标文件作出实质性响应的投标人不足三家情形的，比照本章四、投标文件的接收、开标、评标与确定中标人 2.9 规定要求执行。</w:t>
      </w:r>
      <w:r/>
    </w:p>
    <w:p>
      <w:pPr>
        <w:ind w:firstLine="482"/>
        <w:jc w:val="both"/>
        <w:spacing w:line="360" w:lineRule="auto"/>
        <w:rPr>
          <w:b/>
          <w:sz w:val="24"/>
          <w:szCs w:val="24"/>
          <w:highlight w:val="none"/>
        </w:rPr>
      </w:pPr>
      <w:r>
        <w:rPr>
          <w:rFonts w:hint="eastAsia"/>
          <w:b/>
          <w:sz w:val="24"/>
          <w:szCs w:val="24"/>
          <w:highlight w:val="none"/>
          <w:lang w:val="en-US" w:eastAsia="zh-CN"/>
        </w:rPr>
        <w:t xml:space="preserve">2.</w:t>
      </w:r>
      <w:r>
        <w:rPr>
          <w:b/>
          <w:sz w:val="24"/>
          <w:szCs w:val="24"/>
          <w:highlight w:val="none"/>
        </w:rPr>
        <w:t xml:space="preserve">2.4澄清有关问题。对于投标文件中含义不明确、同类问题表述不一致或者有明显文字和计算错误的内容，评标委员会</w:t>
      </w:r>
      <w:r>
        <w:rPr>
          <w:rFonts w:hint="eastAsia"/>
          <w:b/>
          <w:sz w:val="24"/>
          <w:szCs w:val="24"/>
          <w:highlight w:val="none"/>
          <w:lang w:val="en-US" w:eastAsia="zh-CN"/>
        </w:rPr>
        <w:t xml:space="preserve">有权</w:t>
      </w:r>
      <w:r>
        <w:rPr>
          <w:b/>
          <w:sz w:val="24"/>
          <w:szCs w:val="24"/>
          <w:highlight w:val="none"/>
        </w:rPr>
        <w:t xml:space="preserve">要求投标人作出必要的澄清、说明或者补正。投标人的澄清、说明或者补正不得超出投标文件的范围或者改变投标文件的实质性内容。</w:t>
      </w:r>
      <w:r/>
    </w:p>
    <w:p>
      <w:pPr>
        <w:ind w:firstLine="482"/>
        <w:jc w:val="both"/>
        <w:spacing w:line="360" w:lineRule="auto"/>
        <w:rPr>
          <w:rFonts w:hint="eastAsia"/>
          <w:b/>
          <w:sz w:val="24"/>
          <w:szCs w:val="24"/>
          <w:highlight w:val="none"/>
        </w:rPr>
      </w:pPr>
      <w:r>
        <w:rPr>
          <w:rFonts w:hint="eastAsia"/>
          <w:b/>
          <w:sz w:val="24"/>
          <w:szCs w:val="24"/>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2"/>
        <w:jc w:val="both"/>
        <w:spacing w:line="360" w:lineRule="auto"/>
        <w:rPr>
          <w:b/>
          <w:sz w:val="24"/>
          <w:szCs w:val="24"/>
          <w:highlight w:val="none"/>
        </w:rPr>
      </w:pPr>
      <w:r>
        <w:rPr>
          <w:rFonts w:hint="eastAsia"/>
          <w:b/>
          <w:sz w:val="24"/>
          <w:szCs w:val="24"/>
          <w:highlight w:val="none"/>
        </w:rPr>
        <w:t xml:space="preserve">接到评委会澄清、说明和补正要求的，投标人如未按规定作出澄清、说明和补正，其风险由投标人自行承担。</w:t>
      </w:r>
      <w:r/>
    </w:p>
    <w:p>
      <w:pPr>
        <w:ind w:firstLine="482"/>
        <w:jc w:val="both"/>
        <w:spacing w:line="360" w:lineRule="auto"/>
        <w:rPr>
          <w:b/>
          <w:sz w:val="24"/>
          <w:szCs w:val="24"/>
          <w:highlight w:val="none"/>
        </w:rPr>
      </w:pPr>
      <w:r>
        <w:rPr>
          <w:rFonts w:hint="eastAsia"/>
          <w:b/>
          <w:sz w:val="24"/>
          <w:szCs w:val="24"/>
          <w:highlight w:val="none"/>
          <w:lang w:val="en-US" w:eastAsia="zh-CN"/>
        </w:rPr>
        <w:t xml:space="preserve">2</w:t>
      </w:r>
      <w:r>
        <w:rPr>
          <w:b/>
          <w:sz w:val="24"/>
          <w:szCs w:val="24"/>
          <w:highlight w:val="none"/>
        </w:rPr>
        <w:t xml:space="preserve">.2.5比较与评价。评标委员会应当按照招标文件中规定的评标方法和标准，对符合性审查合格的投标文件进行商务和技术评估，综合比较与评价。</w:t>
      </w:r>
      <w:r/>
    </w:p>
    <w:p>
      <w:pPr>
        <w:pStyle w:val="1087"/>
        <w:ind w:left="0" w:firstLine="482"/>
        <w:jc w:val="both"/>
        <w:spacing w:line="360" w:lineRule="auto"/>
        <w:rPr>
          <w:rFonts w:ascii="Times New Roman" w:hAnsi="Times New Roman" w:cs="Times New Roman"/>
          <w:highlight w:val="none"/>
          <w:lang w:val="en-US"/>
        </w:rPr>
      </w:pPr>
      <w:r>
        <w:rPr>
          <w:rFonts w:hint="eastAsia" w:ascii="Times New Roman" w:hAnsi="Times New Roman" w:cs="Times New Roman"/>
          <w:highlight w:val="none"/>
          <w:lang w:val="en-US" w:eastAsia="zh-CN"/>
        </w:rPr>
        <w:t xml:space="preserve">2</w:t>
      </w:r>
      <w:r>
        <w:rPr>
          <w:rFonts w:ascii="Times New Roman" w:hAnsi="Times New Roman" w:cs="Times New Roman"/>
          <w:highlight w:val="none"/>
          <w:lang w:val="en-US"/>
        </w:rPr>
        <w:t xml:space="preserve">.3评标方法和标准</w:t>
      </w:r>
      <w:r/>
    </w:p>
    <w:p>
      <w:pPr>
        <w:pStyle w:val="1091"/>
        <w:rPr>
          <w:highlight w:val="none"/>
        </w:rPr>
      </w:pPr>
      <w:r>
        <w:rPr>
          <w:rFonts w:hint="eastAsia"/>
          <w:highlight w:val="none"/>
          <w:lang w:val="en-US" w:eastAsia="zh-CN"/>
        </w:rPr>
        <w:t xml:space="preserve">2</w:t>
      </w:r>
      <w:r>
        <w:rPr>
          <w:highlight w:val="none"/>
        </w:rPr>
        <w:t xml:space="preserve">.3.1采用综合评分法。即投标文件满足招标文件全部实质性要求，且按照评审因素的量化指标评审得分最高的投标人为中标候选人的评标方法。</w:t>
      </w:r>
      <w:r/>
    </w:p>
    <w:p>
      <w:pPr>
        <w:pStyle w:val="1091"/>
        <w:rPr>
          <w:highlight w:val="none"/>
        </w:rPr>
      </w:pPr>
      <w:r>
        <w:rPr>
          <w:rFonts w:hint="eastAsia"/>
          <w:highlight w:val="none"/>
          <w:lang w:val="en-US" w:eastAsia="zh-CN"/>
        </w:rPr>
        <w:t xml:space="preserve">2</w:t>
      </w:r>
      <w:r>
        <w:rPr>
          <w:highlight w:val="none"/>
        </w:rPr>
        <w:t xml:space="preserve">.3.2评标标准及评审因素详见招标文件第四章。</w:t>
      </w:r>
      <w:r/>
    </w:p>
    <w:p>
      <w:pPr>
        <w:pStyle w:val="1087"/>
        <w:ind w:left="0" w:firstLine="482"/>
        <w:jc w:val="both"/>
        <w:spacing w:line="360" w:lineRule="auto"/>
        <w:rPr>
          <w:rFonts w:ascii="Times New Roman" w:hAnsi="Times New Roman" w:cs="Times New Roman"/>
          <w:highlight w:val="none"/>
          <w:lang w:val="en-US"/>
        </w:rPr>
      </w:pPr>
      <w:r>
        <w:rPr>
          <w:rFonts w:hint="eastAsia" w:ascii="Times New Roman" w:hAnsi="Times New Roman" w:cs="Times New Roman"/>
          <w:highlight w:val="none"/>
          <w:lang w:val="en-US" w:eastAsia="zh-CN"/>
        </w:rPr>
        <w:t xml:space="preserve">2</w:t>
      </w:r>
      <w:r>
        <w:rPr>
          <w:rFonts w:ascii="Times New Roman" w:hAnsi="Times New Roman" w:cs="Times New Roman"/>
          <w:highlight w:val="none"/>
          <w:lang w:val="en-US"/>
        </w:rPr>
        <w:t xml:space="preserve">.4特别说明</w:t>
      </w:r>
      <w:r/>
    </w:p>
    <w:p>
      <w:pPr>
        <w:pStyle w:val="1091"/>
        <w:rPr>
          <w:highlight w:val="none"/>
        </w:rPr>
      </w:pPr>
      <w:r>
        <w:rPr>
          <w:rFonts w:hint="eastAsia"/>
          <w:highlight w:val="none"/>
          <w:lang w:val="en-US" w:eastAsia="zh-CN"/>
        </w:rPr>
        <w:t xml:space="preserve">2</w:t>
      </w:r>
      <w:r>
        <w:rPr>
          <w:highlight w:val="none"/>
        </w:rPr>
        <w:t xml:space="preserve">.4.1评标委员会认为投标人的报价明显低于其他通过符合性审查投标人的报价， 有可能影响服务质量或者不能诚信履约的，投标人应</w:t>
      </w:r>
      <w:r>
        <w:rPr>
          <w:rFonts w:hint="eastAsia"/>
          <w:highlight w:val="none"/>
        </w:rPr>
        <w:t xml:space="preserve">通过苏采云系统</w:t>
      </w:r>
      <w:r>
        <w:rPr>
          <w:rFonts w:hint="eastAsia"/>
          <w:highlight w:val="none"/>
          <w:lang w:val="en-US" w:eastAsia="zh-CN"/>
        </w:rPr>
        <w:t xml:space="preserve">在</w:t>
      </w:r>
      <w:r>
        <w:rPr>
          <w:highlight w:val="none"/>
        </w:rPr>
        <w:t xml:space="preserve">合理的时间内提供书面说明，必要时提交相关证明材料；投标人不能证明其报价合理性的，评标委员会将其作为无效投标处理。</w:t>
      </w:r>
      <w:r/>
    </w:p>
    <w:p>
      <w:pPr>
        <w:pStyle w:val="1091"/>
        <w:rPr>
          <w:highlight w:val="none"/>
        </w:rPr>
      </w:pPr>
      <w:r>
        <w:rPr>
          <w:rFonts w:hint="eastAsia"/>
          <w:highlight w:val="none"/>
          <w:lang w:val="en-US" w:eastAsia="zh-CN"/>
        </w:rPr>
        <w:t xml:space="preserve">2</w:t>
      </w:r>
      <w:r>
        <w:rPr>
          <w:highlight w:val="none"/>
        </w:rPr>
        <w:t xml:space="preserve">.4.2如发生上述情形的，投标人应保持其投标文件上联系方式的通讯畅通；如采购代理机构或评标委员会联系未果（在十分钟内联系五次）或者投标人在二十分钟内未按时提交说明，则视为投标人放弃上述权利，评标委员会将其作为无效投标处理。</w:t>
      </w:r>
      <w:r/>
    </w:p>
    <w:p>
      <w:pPr>
        <w:pStyle w:val="1086"/>
        <w:ind w:firstLine="482"/>
        <w:jc w:val="both"/>
        <w:spacing w:line="360" w:lineRule="auto"/>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3</w:t>
      </w:r>
      <w:r>
        <w:rPr>
          <w:rFonts w:ascii="Times New Roman" w:hAnsi="Times New Roman" w:eastAsia="宋体" w:cs="Times New Roman"/>
          <w:b/>
          <w:bCs/>
          <w:sz w:val="24"/>
          <w:szCs w:val="24"/>
          <w:highlight w:val="none"/>
        </w:rPr>
        <w:t xml:space="preserve">、确定中标候选人</w:t>
      </w:r>
      <w:r/>
    </w:p>
    <w:p>
      <w:pPr>
        <w:pStyle w:val="1091"/>
        <w:rPr>
          <w:highlight w:val="none"/>
        </w:rPr>
      </w:pPr>
      <w:r>
        <w:rPr>
          <w:rFonts w:hint="eastAsia"/>
          <w:highlight w:val="none"/>
          <w:lang w:val="en-US" w:eastAsia="zh-CN"/>
        </w:rPr>
        <w:t xml:space="preserve">3</w:t>
      </w:r>
      <w:r>
        <w:rPr>
          <w:highlight w:val="none"/>
        </w:rPr>
        <w:t xml:space="preserve">.1评标时，评标委员会各成员将独立对每个投标人的投标文件进行评价，并汇总每个投标人的得分。</w:t>
      </w:r>
      <w:r/>
    </w:p>
    <w:p>
      <w:pPr>
        <w:pStyle w:val="1091"/>
        <w:rPr>
          <w:highlight w:val="none"/>
        </w:rPr>
      </w:pPr>
      <w:r>
        <w:rPr>
          <w:rFonts w:hint="eastAsia"/>
          <w:highlight w:val="none"/>
          <w:lang w:val="en-US" w:eastAsia="zh-CN"/>
        </w:rPr>
        <w:t xml:space="preserve">3</w:t>
      </w:r>
      <w:r>
        <w:rPr>
          <w:highlight w:val="none"/>
        </w:rPr>
        <w:t xml:space="preserve">.2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91"/>
        <w:rPr>
          <w:highlight w:val="none"/>
        </w:rPr>
      </w:pPr>
      <w:r>
        <w:rPr>
          <w:rFonts w:hint="eastAsia"/>
          <w:highlight w:val="none"/>
          <w:lang w:val="en-US" w:eastAsia="zh-CN"/>
        </w:rPr>
        <w:t xml:space="preserve">3</w:t>
      </w:r>
      <w:r>
        <w:rPr>
          <w:highlight w:val="none"/>
        </w:rPr>
        <w:t xml:space="preserve">.3评标委员会根据全体评标成员签字的原始评标记录和评标结果编写评标报告。</w:t>
      </w:r>
      <w:r/>
    </w:p>
    <w:p>
      <w:pPr>
        <w:pStyle w:val="1086"/>
        <w:ind w:firstLine="482"/>
        <w:jc w:val="both"/>
        <w:spacing w:line="360" w:lineRule="auto"/>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4</w:t>
      </w:r>
      <w:r>
        <w:rPr>
          <w:rFonts w:ascii="Times New Roman" w:hAnsi="Times New Roman" w:eastAsia="宋体" w:cs="Times New Roman"/>
          <w:b/>
          <w:bCs/>
          <w:sz w:val="24"/>
          <w:szCs w:val="24"/>
          <w:highlight w:val="none"/>
        </w:rPr>
        <w:t xml:space="preserve">、确定中标人</w:t>
      </w:r>
      <w:r/>
    </w:p>
    <w:p>
      <w:pPr>
        <w:pStyle w:val="1091"/>
        <w:rPr>
          <w:highlight w:val="none"/>
        </w:rPr>
      </w:pPr>
      <w:r>
        <w:rPr>
          <w:rFonts w:hint="eastAsia"/>
          <w:highlight w:val="none"/>
          <w:lang w:val="en-US" w:eastAsia="zh-CN"/>
        </w:rPr>
        <w:t xml:space="preserve">4</w:t>
      </w:r>
      <w:r>
        <w:rPr>
          <w:highlight w:val="none"/>
        </w:rPr>
        <w:t xml:space="preserve">.1评标结果确定后，采购人在评标现场可根据中标候选人名单委托直接确定中标人。</w:t>
      </w:r>
      <w:r/>
    </w:p>
    <w:p>
      <w:pPr>
        <w:pStyle w:val="1091"/>
        <w:rPr>
          <w:highlight w:val="none"/>
        </w:rPr>
      </w:pPr>
      <w:r>
        <w:rPr>
          <w:rFonts w:hint="eastAsia"/>
          <w:highlight w:val="none"/>
          <w:lang w:val="en-US" w:eastAsia="zh-CN"/>
        </w:rPr>
        <w:t xml:space="preserve">4</w:t>
      </w:r>
      <w:r>
        <w:rPr>
          <w:highlight w:val="none"/>
        </w:rPr>
        <w:t xml:space="preserve">.2采购人如未委托直接确定中标人的，采购代理机构在评标结束后 2 个工作日内将评标报告送采购人。采购人在收到评标报告 5 个工作日内，在评标报告确定的中标候选人名单中按顺序确定中标人。中标候选人并列的，由采购人或者采购人委托评标委员会按照随机抽取的方式确定。</w:t>
      </w:r>
      <w:r/>
    </w:p>
    <w:p>
      <w:pPr>
        <w:pStyle w:val="1091"/>
        <w:rPr>
          <w:highlight w:val="none"/>
        </w:rPr>
      </w:pPr>
      <w:r>
        <w:rPr>
          <w:rFonts w:hint="eastAsia"/>
          <w:highlight w:val="none"/>
          <w:lang w:val="en-US" w:eastAsia="zh-CN"/>
        </w:rPr>
        <w:t xml:space="preserve">4</w:t>
      </w:r>
      <w:r>
        <w:rPr>
          <w:highlight w:val="none"/>
        </w:rPr>
        <w:t xml:space="preserve">.3采购代理机构自中标人确定之日起 2 个工作日内，将中标结果在原招标公告发布媒体进行公示，公告期限为1个工作日，公告的同时向中标人发出中标通知书。</w:t>
      </w:r>
      <w:r/>
    </w:p>
    <w:p>
      <w:pPr>
        <w:pStyle w:val="1091"/>
        <w:rPr>
          <w:highlight w:val="none"/>
        </w:rPr>
      </w:pPr>
      <w:r>
        <w:rPr>
          <w:rFonts w:hint="eastAsia"/>
          <w:highlight w:val="none"/>
          <w:lang w:val="en-US" w:eastAsia="zh-CN"/>
        </w:rPr>
        <w:t xml:space="preserve">4</w:t>
      </w:r>
      <w:r>
        <w:rPr>
          <w:highlight w:val="none"/>
        </w:rPr>
        <w:t xml:space="preserve">.4所有投标文件都将作为档案保存，不论中标与否，采购代理机构均不退回。</w:t>
      </w:r>
      <w:r/>
    </w:p>
    <w:p>
      <w:pPr>
        <w:pStyle w:val="1086"/>
        <w:ind w:firstLine="482"/>
        <w:jc w:val="both"/>
        <w:spacing w:line="360" w:lineRule="auto"/>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5</w:t>
      </w:r>
      <w:r>
        <w:rPr>
          <w:rFonts w:ascii="Times New Roman" w:hAnsi="Times New Roman" w:eastAsia="宋体" w:cs="Times New Roman"/>
          <w:b/>
          <w:bCs/>
          <w:sz w:val="24"/>
          <w:szCs w:val="24"/>
          <w:highlight w:val="none"/>
        </w:rPr>
        <w:t xml:space="preserve">、评标过程的保密性</w:t>
      </w:r>
      <w:r/>
    </w:p>
    <w:p>
      <w:pPr>
        <w:pStyle w:val="1091"/>
        <w:rPr>
          <w:highlight w:val="none"/>
        </w:rPr>
      </w:pPr>
      <w:r>
        <w:rPr>
          <w:rFonts w:hint="eastAsia"/>
          <w:highlight w:val="none"/>
          <w:lang w:val="en-US" w:eastAsia="zh-CN"/>
        </w:rPr>
        <w:t xml:space="preserve">5</w:t>
      </w:r>
      <w:r>
        <w:rPr>
          <w:highlight w:val="none"/>
        </w:rPr>
        <w:t xml:space="preserve">.1采购代理机构将采取必要措施，保证评标在严格保密的情况下进行。</w:t>
      </w:r>
      <w:r/>
    </w:p>
    <w:p>
      <w:pPr>
        <w:pStyle w:val="1091"/>
        <w:rPr>
          <w:highlight w:val="none"/>
        </w:rPr>
      </w:pPr>
      <w:r>
        <w:rPr>
          <w:rFonts w:hint="eastAsia"/>
          <w:highlight w:val="none"/>
          <w:lang w:val="en-US" w:eastAsia="zh-CN"/>
        </w:rPr>
        <w:t xml:space="preserve">5</w:t>
      </w:r>
      <w:r>
        <w:rPr>
          <w:highlight w:val="none"/>
        </w:rPr>
        <w:t xml:space="preserve">.2除采购人代表、评标现场组织人员外，采购人的其他工作人员以及与评标工作无关的人员不得进入评标现场。</w:t>
      </w:r>
      <w:r/>
    </w:p>
    <w:p>
      <w:pPr>
        <w:pStyle w:val="1091"/>
        <w:rPr>
          <w:highlight w:val="none"/>
        </w:rPr>
      </w:pPr>
      <w:r>
        <w:rPr>
          <w:rFonts w:hint="eastAsia"/>
          <w:highlight w:val="none"/>
          <w:lang w:val="en-US" w:eastAsia="zh-CN"/>
        </w:rPr>
        <w:t xml:space="preserve">5</w:t>
      </w:r>
      <w:r>
        <w:rPr>
          <w:highlight w:val="none"/>
        </w:rPr>
        <w:t xml:space="preserve">.3有关人员对评标情况以及在评标过程中获悉的国家秘密、商业秘密负有保密责任。</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五、签订合同</w:t>
      </w:r>
      <w:r/>
    </w:p>
    <w:p>
      <w:pPr>
        <w:pStyle w:val="1091"/>
        <w:rPr>
          <w:highlight w:val="none"/>
        </w:rPr>
      </w:pPr>
      <w:r>
        <w:rPr>
          <w:highlight w:val="none"/>
        </w:rPr>
        <w:t xml:space="preserve">1.中标人应当自中标通知书发出之日起30日内，按照招标文件和其投标文件的规定，与采购人签订政府采购合同。所签订的合同不得对招标文件确定的事项和中标人投标文件作实质性修改。</w:t>
      </w:r>
      <w:r/>
    </w:p>
    <w:p>
      <w:pPr>
        <w:pStyle w:val="1091"/>
        <w:rPr>
          <w:highlight w:val="none"/>
        </w:rPr>
      </w:pPr>
      <w:r>
        <w:rPr>
          <w:highlight w:val="none"/>
        </w:rPr>
        <w:t xml:space="preserve">1.中标通知书对采购人和中标人均具有法律效力。</w:t>
      </w:r>
      <w:r/>
    </w:p>
    <w:p>
      <w:pPr>
        <w:pStyle w:val="1091"/>
        <w:rPr>
          <w:highlight w:val="none"/>
        </w:rPr>
      </w:pPr>
      <w:r>
        <w:rPr>
          <w:highlight w:val="none"/>
        </w:rPr>
        <w:t xml:space="preserve">1.采购人不得向中标人提出任何不合理的要求作为签订合同的条件。</w:t>
      </w:r>
      <w:r/>
    </w:p>
    <w:p>
      <w:pPr>
        <w:pStyle w:val="1091"/>
        <w:rPr>
          <w:highlight w:val="none"/>
        </w:rPr>
      </w:pPr>
      <w:r>
        <w:rPr>
          <w:highlight w:val="none"/>
        </w:rPr>
        <w:t xml:space="preserve">1.中标人拒绝与采购人签订合同的，采购人可以按照评审报告推荐的中标候选人名单排序，确定下一候选人为中标人，也可以重新开展政府采购活动。</w:t>
      </w:r>
      <w:r/>
    </w:p>
    <w:p>
      <w:pPr>
        <w:pStyle w:val="1091"/>
        <w:rPr>
          <w:highlight w:val="none"/>
        </w:rPr>
      </w:pPr>
      <w:r>
        <w:rPr>
          <w:highlight w:val="none"/>
        </w:rPr>
        <w:t xml:space="preserve">1.中标通知书发出后，中标人无正当理由拒绝与采购人签订合同的，情节严重的，财政部门将其列入不良行为记录名单，在一至三年内不得参加南京市政府采购活动，并予以通报。</w:t>
      </w:r>
      <w:r/>
    </w:p>
    <w:p>
      <w:pPr>
        <w:pStyle w:val="1091"/>
        <w:rPr>
          <w:highlight w:val="none"/>
        </w:rPr>
      </w:pPr>
      <w:r>
        <w:rPr>
          <w:highlight w:val="none"/>
        </w:rPr>
        <w:t xml:space="preserve">1.政府采购合同履行中，采购人需追加与合同标的相同的货物的，在不改变合同其他条款的前提下，可以与投标人协商签订补充合同，但所有补充合同的采购金额不得超过原合同采购金额的百分之十。</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六、询问、质疑、投诉和诚实信用</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1、询问</w:t>
      </w:r>
      <w:r/>
    </w:p>
    <w:p>
      <w:pPr>
        <w:pStyle w:val="1091"/>
        <w:rPr>
          <w:highlight w:val="none"/>
        </w:rPr>
      </w:pPr>
      <w:r>
        <w:rPr>
          <w:highlight w:val="none"/>
        </w:rPr>
        <w:t xml:space="preserve">1.1投标人对招标活动事项有疑问的，可以依法向采购代理机构、采购人提出询问， 采购人、采购代理机构在三个工作日内对投标人依法提出的询问作出答复，但答复的内容不涉及商业秘密。</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2、质疑</w:t>
      </w:r>
      <w:r/>
    </w:p>
    <w:p>
      <w:pPr>
        <w:pStyle w:val="1091"/>
        <w:rPr>
          <w:highlight w:val="none"/>
        </w:rPr>
      </w:pPr>
      <w:r>
        <w:rPr>
          <w:highlight w:val="none"/>
        </w:rPr>
        <w:t xml:space="preserve">2.1投标人认为采购文件、采购过程、中标结果使自己的权益受到损害的，可以在知道或者应知其权益受到损害之日起七个工作日内，以书面形式向采购人、采购代理机构提出质疑。质疑的投标人是参与所质疑项目采购活动的投标人，并应在法定质疑期内一次性提出针对同一采购程序环节的质疑。</w:t>
      </w:r>
      <w:r/>
    </w:p>
    <w:p>
      <w:pPr>
        <w:pStyle w:val="1091"/>
        <w:rPr>
          <w:highlight w:val="none"/>
        </w:rPr>
      </w:pPr>
      <w:r>
        <w:rPr>
          <w:highlight w:val="none"/>
        </w:rPr>
        <w:t xml:space="preserve">2.2上述“知道或者应知其权益受到损害之日起七个工作日内”是指：</w:t>
      </w:r>
      <w:r/>
    </w:p>
    <w:p>
      <w:pPr>
        <w:pStyle w:val="1091"/>
        <w:rPr>
          <w:highlight w:val="none"/>
        </w:rPr>
      </w:pPr>
      <w:r>
        <w:rPr>
          <w:highlight w:val="none"/>
        </w:rPr>
        <w:t xml:space="preserve">（</w:t>
      </w:r>
      <w:r>
        <w:rPr>
          <w:rFonts w:hint="eastAsia"/>
          <w:highlight w:val="none"/>
        </w:rPr>
        <w:t xml:space="preserve">1</w:t>
      </w:r>
      <w:r>
        <w:rPr>
          <w:highlight w:val="none"/>
        </w:rPr>
        <w:t xml:space="preserve">）对招标文件提出质疑的，应当在招标文件公告期限届满之日起7个工作日内提出；</w:t>
      </w:r>
      <w:r/>
    </w:p>
    <w:p>
      <w:pPr>
        <w:pStyle w:val="1091"/>
        <w:rPr>
          <w:highlight w:val="none"/>
        </w:rPr>
      </w:pPr>
      <w:r>
        <w:rPr>
          <w:highlight w:val="none"/>
        </w:rPr>
        <w:t xml:space="preserve">（</w:t>
      </w:r>
      <w:r>
        <w:rPr>
          <w:rFonts w:hint="eastAsia"/>
          <w:highlight w:val="none"/>
        </w:rPr>
        <w:t xml:space="preserve">2</w:t>
      </w:r>
      <w:r>
        <w:rPr>
          <w:highlight w:val="none"/>
        </w:rPr>
        <w:t xml:space="preserve">）对采购过程提出质疑的，应当在采购程序环节结束之日起7个工作日内提出；</w:t>
      </w:r>
      <w:r/>
    </w:p>
    <w:p>
      <w:pPr>
        <w:pStyle w:val="1091"/>
        <w:rPr>
          <w:highlight w:val="none"/>
        </w:rPr>
      </w:pPr>
      <w:r>
        <w:rPr>
          <w:highlight w:val="none"/>
        </w:rPr>
        <w:t xml:space="preserve">（</w:t>
      </w:r>
      <w:r>
        <w:rPr>
          <w:rFonts w:hint="eastAsia"/>
          <w:highlight w:val="none"/>
        </w:rPr>
        <w:t xml:space="preserve">3</w:t>
      </w:r>
      <w:r>
        <w:rPr>
          <w:highlight w:val="none"/>
        </w:rPr>
        <w:t xml:space="preserve">）对中标结果提出质疑的，应当在中标结果公告期限届满之日起7个工作日内提出。</w:t>
      </w:r>
      <w:r/>
    </w:p>
    <w:p>
      <w:pPr>
        <w:pStyle w:val="1091"/>
        <w:rPr>
          <w:highlight w:val="none"/>
        </w:rPr>
      </w:pPr>
      <w:r>
        <w:rPr>
          <w:highlight w:val="none"/>
        </w:rPr>
        <w:t xml:space="preserve">2.3质疑文件接收信息：</w:t>
      </w:r>
      <w:r/>
    </w:p>
    <w:p>
      <w:pPr>
        <w:pStyle w:val="1091"/>
        <w:rPr>
          <w:highlight w:val="none"/>
        </w:rPr>
      </w:pPr>
      <w:r>
        <w:rPr>
          <w:highlight w:val="none"/>
        </w:rPr>
        <w:t xml:space="preserve">（</w:t>
      </w:r>
      <w:r>
        <w:rPr>
          <w:rFonts w:hint="eastAsia"/>
          <w:highlight w:val="none"/>
        </w:rPr>
        <w:t xml:space="preserve">1</w:t>
      </w:r>
      <w:r>
        <w:rPr>
          <w:highlight w:val="none"/>
        </w:rPr>
        <w:t xml:space="preserve">）接收单位：江苏金永诚建设投资管理咨询有限公司</w:t>
      </w:r>
      <w:r/>
    </w:p>
    <w:p>
      <w:pPr>
        <w:pStyle w:val="1091"/>
        <w:rPr>
          <w:highlight w:val="none"/>
        </w:rPr>
      </w:pPr>
      <w:r>
        <w:rPr>
          <w:highlight w:val="none"/>
        </w:rPr>
        <w:t xml:space="preserve">（</w:t>
      </w:r>
      <w:r>
        <w:rPr>
          <w:rFonts w:hint="eastAsia"/>
          <w:highlight w:val="none"/>
        </w:rPr>
        <w:t xml:space="preserve">2</w:t>
      </w:r>
      <w:r>
        <w:rPr>
          <w:highlight w:val="none"/>
        </w:rPr>
        <w:t xml:space="preserve">）联系人：李工</w:t>
      </w:r>
      <w:r/>
    </w:p>
    <w:p>
      <w:pPr>
        <w:pStyle w:val="1091"/>
        <w:rPr>
          <w:highlight w:val="none"/>
        </w:rPr>
      </w:pPr>
      <w:r>
        <w:rPr>
          <w:highlight w:val="none"/>
        </w:rPr>
        <w:t xml:space="preserve">（3）联系电话：025-86209787</w:t>
      </w:r>
      <w:r/>
    </w:p>
    <w:p>
      <w:pPr>
        <w:pStyle w:val="1091"/>
        <w:rPr>
          <w:highlight w:val="none"/>
        </w:rPr>
      </w:pPr>
      <w:r>
        <w:rPr>
          <w:highlight w:val="none"/>
        </w:rPr>
        <w:t xml:space="preserve">（4）联系邮箱：jinyczb@163.com</w:t>
      </w:r>
      <w:r/>
    </w:p>
    <w:p>
      <w:pPr>
        <w:pStyle w:val="1091"/>
        <w:rPr>
          <w:highlight w:val="none"/>
        </w:rPr>
      </w:pPr>
      <w:r>
        <w:rPr>
          <w:highlight w:val="none"/>
        </w:rPr>
        <w:t xml:space="preserve">（5）接收地址：南京市建邺区云龙山路1号建邺科技创新产业园B1栋五楼</w:t>
      </w:r>
      <w:r/>
    </w:p>
    <w:p>
      <w:pPr>
        <w:pStyle w:val="1091"/>
        <w:rPr>
          <w:highlight w:val="none"/>
        </w:rPr>
      </w:pPr>
      <w:r>
        <w:rPr>
          <w:highlight w:val="none"/>
        </w:rPr>
        <w:t xml:space="preserve">（</w:t>
      </w:r>
      <w:r>
        <w:rPr>
          <w:rFonts w:hint="eastAsia"/>
          <w:highlight w:val="none"/>
        </w:rPr>
        <w:t xml:space="preserve">6</w:t>
      </w:r>
      <w:r>
        <w:rPr>
          <w:highlight w:val="none"/>
        </w:rPr>
        <w:t xml:space="preserve">）邮编：210000</w:t>
      </w:r>
      <w:r/>
    </w:p>
    <w:p>
      <w:pPr>
        <w:pStyle w:val="1091"/>
        <w:rPr>
          <w:highlight w:val="none"/>
        </w:rPr>
      </w:pPr>
      <w:r>
        <w:rPr>
          <w:highlight w:val="none"/>
        </w:rPr>
        <w:t xml:space="preserve">2.4质疑文件应包括以下主要内容，否则，采购代理机构不予受理：</w:t>
      </w:r>
      <w:r/>
    </w:p>
    <w:p>
      <w:pPr>
        <w:pStyle w:val="1091"/>
        <w:rPr>
          <w:highlight w:val="none"/>
        </w:rPr>
      </w:pPr>
      <w:r>
        <w:rPr>
          <w:highlight w:val="none"/>
        </w:rPr>
        <w:t xml:space="preserve">（</w:t>
      </w:r>
      <w:r>
        <w:rPr>
          <w:rFonts w:hint="eastAsia"/>
          <w:highlight w:val="none"/>
        </w:rPr>
        <w:t xml:space="preserve">1</w:t>
      </w:r>
      <w:r>
        <w:rPr>
          <w:highlight w:val="none"/>
        </w:rPr>
        <w:t xml:space="preserve">）质疑投标人的姓名或者名称、地址、邮编、联系人及联系电话；</w:t>
      </w:r>
      <w:r/>
    </w:p>
    <w:p>
      <w:pPr>
        <w:pStyle w:val="1091"/>
        <w:rPr>
          <w:highlight w:val="none"/>
        </w:rPr>
      </w:pPr>
      <w:r>
        <w:rPr>
          <w:highlight w:val="none"/>
        </w:rPr>
        <w:t xml:space="preserve">（</w:t>
      </w:r>
      <w:r>
        <w:rPr>
          <w:rFonts w:hint="eastAsia"/>
          <w:highlight w:val="none"/>
        </w:rPr>
        <w:t xml:space="preserve">2</w:t>
      </w:r>
      <w:r>
        <w:rPr>
          <w:highlight w:val="none"/>
        </w:rPr>
        <w:t xml:space="preserve">）质疑项目的名称、编号</w:t>
      </w:r>
      <w:r/>
    </w:p>
    <w:p>
      <w:pPr>
        <w:pStyle w:val="1091"/>
        <w:rPr>
          <w:highlight w:val="none"/>
        </w:rPr>
      </w:pPr>
      <w:r>
        <w:rPr>
          <w:highlight w:val="none"/>
        </w:rPr>
        <w:t xml:space="preserve">（</w:t>
      </w:r>
      <w:r>
        <w:rPr>
          <w:rFonts w:hint="eastAsia"/>
          <w:highlight w:val="none"/>
        </w:rPr>
        <w:t xml:space="preserve">3</w:t>
      </w:r>
      <w:r>
        <w:rPr>
          <w:highlight w:val="none"/>
        </w:rPr>
        <w:t xml:space="preserve">）具体、明确的质疑事项和与质疑事项相关的请求；</w:t>
      </w:r>
      <w:r/>
    </w:p>
    <w:p>
      <w:pPr>
        <w:pStyle w:val="1091"/>
        <w:rPr>
          <w:highlight w:val="none"/>
        </w:rPr>
      </w:pPr>
      <w:r>
        <w:rPr>
          <w:highlight w:val="none"/>
        </w:rPr>
        <w:t xml:space="preserve">（</w:t>
      </w:r>
      <w:r>
        <w:rPr>
          <w:rFonts w:hint="eastAsia"/>
          <w:highlight w:val="none"/>
        </w:rPr>
        <w:t xml:space="preserve">4</w:t>
      </w:r>
      <w:r>
        <w:rPr>
          <w:highlight w:val="none"/>
        </w:rPr>
        <w:t xml:space="preserve">）事实依据；</w:t>
      </w:r>
      <w:r/>
    </w:p>
    <w:p>
      <w:pPr>
        <w:pStyle w:val="1091"/>
        <w:rPr>
          <w:highlight w:val="none"/>
        </w:rPr>
      </w:pPr>
      <w:r>
        <w:rPr>
          <w:highlight w:val="none"/>
        </w:rPr>
        <w:t xml:space="preserve">（</w:t>
      </w:r>
      <w:r>
        <w:rPr>
          <w:rFonts w:hint="eastAsia"/>
          <w:highlight w:val="none"/>
        </w:rPr>
        <w:t xml:space="preserve">5</w:t>
      </w:r>
      <w:r>
        <w:rPr>
          <w:highlight w:val="none"/>
        </w:rPr>
        <w:t xml:space="preserve">）必要的法律依据；</w:t>
      </w:r>
      <w:r/>
    </w:p>
    <w:p>
      <w:pPr>
        <w:pStyle w:val="1091"/>
        <w:rPr>
          <w:highlight w:val="none"/>
        </w:rPr>
      </w:pPr>
      <w:r>
        <w:rPr>
          <w:highlight w:val="none"/>
        </w:rPr>
        <w:t xml:space="preserve">（</w:t>
      </w:r>
      <w:r>
        <w:rPr>
          <w:rFonts w:hint="eastAsia"/>
          <w:highlight w:val="none"/>
        </w:rPr>
        <w:t xml:space="preserve">6</w:t>
      </w:r>
      <w:r>
        <w:rPr>
          <w:highlight w:val="none"/>
        </w:rPr>
        <w:t xml:space="preserve">）提出质疑的日期。</w:t>
      </w:r>
      <w:r/>
    </w:p>
    <w:p>
      <w:pPr>
        <w:pStyle w:val="1091"/>
        <w:rPr>
          <w:highlight w:val="none"/>
        </w:rPr>
      </w:pPr>
      <w:r>
        <w:rPr>
          <w:highlight w:val="none"/>
        </w:rPr>
        <w:t xml:space="preserve">（</w:t>
      </w:r>
      <w:r>
        <w:rPr>
          <w:rFonts w:hint="eastAsia"/>
          <w:highlight w:val="none"/>
        </w:rPr>
        <w:t xml:space="preserve">7</w:t>
      </w:r>
      <w:r>
        <w:rPr>
          <w:highlight w:val="none"/>
        </w:rPr>
        <w:t xml:space="preserve">）质疑投标人可以委托代理人进行质疑和投诉。其授权委托书应当载明代理人的姓名或者名称、代理事项、具体权限、期限和相关事项，代理人提出质疑和投诉，应当提交质疑投标人签署的授权委托书。</w:t>
      </w:r>
      <w:r/>
    </w:p>
    <w:p>
      <w:pPr>
        <w:pStyle w:val="1091"/>
        <w:rPr>
          <w:highlight w:val="none"/>
        </w:rPr>
      </w:pPr>
      <w:r>
        <w:rPr>
          <w:highlight w:val="none"/>
        </w:rPr>
        <w:t xml:space="preserve">（</w:t>
      </w:r>
      <w:r>
        <w:rPr>
          <w:rFonts w:hint="eastAsia"/>
          <w:highlight w:val="none"/>
        </w:rPr>
        <w:t xml:space="preserve">8</w:t>
      </w:r>
      <w:r>
        <w:rPr>
          <w:highlight w:val="none"/>
        </w:rPr>
        <w:t xml:space="preserve">）质疑投标人为自然人的，应当由本人签字；投标人为法人或者其他组织的，应当由法定代表人、主要负责人，或者其授权代表签字或者盖章，并加盖公章。</w:t>
      </w:r>
      <w:r/>
    </w:p>
    <w:p>
      <w:pPr>
        <w:pStyle w:val="1091"/>
        <w:rPr>
          <w:highlight w:val="none"/>
        </w:rPr>
      </w:pPr>
      <w:r>
        <w:rPr>
          <w:highlight w:val="none"/>
        </w:rPr>
        <w:t xml:space="preserve">2.5投标人提出的询问或者质疑超出采购人对采购代理机构委托授权范围的，投标人应向采购人提出。</w:t>
      </w:r>
      <w:r/>
    </w:p>
    <w:p>
      <w:pPr>
        <w:pStyle w:val="1091"/>
        <w:rPr>
          <w:highlight w:val="none"/>
        </w:rPr>
      </w:pPr>
      <w:r>
        <w:rPr>
          <w:highlight w:val="none"/>
        </w:rPr>
        <w:t xml:space="preserve">2.6投标人不得虚假质疑和恶意质疑，并对质疑内容的真实性承担责任。投标人或者其他利害关系人通过捏造事实、伪造证明材料等方式提出异议或投诉，阻碍政府采购活动正常进行的，属于严重不良行为，采购代理机构将提请财政部门将其列入不良行为记录名单，并依法予以处罚。</w:t>
      </w:r>
      <w:r/>
    </w:p>
    <w:p>
      <w:pPr>
        <w:pStyle w:val="1091"/>
        <w:rPr>
          <w:highlight w:val="none"/>
        </w:rPr>
      </w:pPr>
      <w:r>
        <w:rPr>
          <w:highlight w:val="none"/>
        </w:rPr>
        <w:t xml:space="preserve">2.7采购代理机构在收到投标人的书面质疑后将及时组织调查核实，在七个工作日内作出答复，并以书面或电子邮件形式通知质疑投标人和其他有关投标人，答复的内容不涉及商业秘密。采购代理机构遵循“谁过错谁负担”的原则，有过错的一方承担调查论证费用。</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3、投诉</w:t>
      </w:r>
      <w:r/>
    </w:p>
    <w:p>
      <w:pPr>
        <w:pStyle w:val="1091"/>
        <w:rPr>
          <w:highlight w:val="none"/>
        </w:rPr>
      </w:pPr>
      <w:r>
        <w:rPr>
          <w:highlight w:val="none"/>
        </w:rPr>
        <w:t xml:space="preserve">质疑投标人对采购人、采购代理机构的答复不满意或者采购人、采购代理机构未在规定的时间内作出答复的，可以在答复期满后十五个工作日内向同级政府采购监督管理部门投诉。</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4、诚实信用</w:t>
      </w:r>
      <w:r/>
    </w:p>
    <w:p>
      <w:pPr>
        <w:pStyle w:val="1091"/>
        <w:rPr>
          <w:highlight w:val="none"/>
        </w:rPr>
      </w:pPr>
      <w:r>
        <w:rPr>
          <w:highlight w:val="none"/>
        </w:rPr>
        <w:t xml:space="preserve">4.1投标人之间不得相互串通投标报价，不得妨碍其他投标人的公平竞争，不得损害采购人和其他投标人的合法权益。</w:t>
      </w:r>
      <w:r/>
    </w:p>
    <w:p>
      <w:pPr>
        <w:pStyle w:val="1091"/>
        <w:rPr>
          <w:highlight w:val="none"/>
        </w:rPr>
      </w:pPr>
      <w:r>
        <w:rPr>
          <w:highlight w:val="none"/>
        </w:rPr>
        <w:t xml:space="preserve">4.2投标人不得以向采购代理机构工作人员、评标委员会成员行贿或者采取其他不正当手段谋取中标。经查实投标人有此行为的，将提请政府采购监督管理部门将投标人列入不良行为记录名单，按照政府采购法有关规定处理。</w:t>
      </w:r>
      <w:r/>
    </w:p>
    <w:p>
      <w:pPr>
        <w:pStyle w:val="1091"/>
        <w:rPr>
          <w:highlight w:val="none"/>
        </w:rPr>
      </w:pPr>
      <w:r>
        <w:rPr>
          <w:highlight w:val="none"/>
        </w:rPr>
        <w:t xml:space="preserve">4.3 投标人不得虚假质疑和恶意质疑，并对质疑内容的真实性承担责任。投标人或者其他利害关系人通过捏造事实、伪造证明材料等方式提出异议或投诉，阻碍招投标活动正常进行的，属于严重不良行为，将提请财政部门将其列入不良行为记录名单，并依法予以处罚。</w:t>
      </w:r>
      <w:r/>
    </w:p>
    <w:p>
      <w:pPr>
        <w:pStyle w:val="1091"/>
        <w:rPr>
          <w:highlight w:val="none"/>
        </w:rPr>
      </w:pPr>
      <w:r>
        <w:rPr>
          <w:highlight w:val="none"/>
        </w:rPr>
        <w:t xml:space="preserve">4.4投标人不得虚假承诺，否则，按照提供虚假材料谋取中标成交处理。</w:t>
      </w:r>
      <w:r/>
    </w:p>
    <w:p>
      <w:pPr>
        <w:pStyle w:val="1095"/>
        <w:rPr>
          <w:highlight w:val="none"/>
        </w:rPr>
      </w:pPr>
      <w:r/>
      <w:bookmarkStart w:id="23" w:name="_TOC_250003"/>
      <w:r/>
      <w:bookmarkEnd w:id="23"/>
      <w:r/>
      <w:r/>
    </w:p>
    <w:p>
      <w:pPr>
        <w:ind w:firstLine="640"/>
        <w:jc w:val="both"/>
        <w:rPr>
          <w:rFonts w:ascii="Times New Roman" w:hAnsi="Times New Roman" w:eastAsia="黑体" w:cs="Times New Roman"/>
          <w:sz w:val="32"/>
          <w:highlight w:val="none"/>
        </w:rPr>
      </w:pPr>
      <w:r>
        <w:rPr>
          <w:rFonts w:ascii="Times New Roman" w:hAnsi="Times New Roman" w:eastAsia="黑体" w:cs="Times New Roman"/>
          <w:sz w:val="32"/>
          <w:highlight w:val="none"/>
        </w:rPr>
        <w:br w:type="page" w:clear="all"/>
      </w:r>
      <w:r/>
    </w:p>
    <w:p>
      <w:pPr>
        <w:jc w:val="center"/>
        <w:spacing w:line="360" w:lineRule="auto"/>
        <w:rPr>
          <w:rFonts w:ascii="Times New Roman" w:hAnsi="Times New Roman" w:eastAsia="黑体" w:cs="Times New Roman"/>
          <w:sz w:val="32"/>
          <w:highlight w:val="none"/>
        </w:rPr>
        <w:outlineLvl w:val="0"/>
      </w:pPr>
      <w:r>
        <w:rPr>
          <w:rFonts w:ascii="Times New Roman" w:hAnsi="Times New Roman" w:eastAsia="黑体" w:cs="Times New Roman"/>
          <w:sz w:val="32"/>
          <w:highlight w:val="none"/>
        </w:rPr>
        <w:t xml:space="preserve">第三章</w:t>
      </w:r>
      <w:r>
        <w:rPr>
          <w:rFonts w:ascii="Times New Roman" w:hAnsi="Times New Roman" w:eastAsia="黑体" w:cs="Times New Roman"/>
          <w:sz w:val="32"/>
          <w:highlight w:val="none"/>
        </w:rPr>
        <w:tab/>
      </w:r>
      <w:r>
        <w:rPr>
          <w:rFonts w:ascii="Times New Roman" w:hAnsi="Times New Roman" w:eastAsia="黑体" w:cs="Times New Roman"/>
          <w:sz w:val="32"/>
          <w:highlight w:val="none"/>
        </w:rPr>
        <w:t xml:space="preserve">  纪律和职责</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一、采购代理机构负责组织评标工作，并履行下列职责：</w:t>
      </w:r>
      <w:r/>
    </w:p>
    <w:p>
      <w:pPr>
        <w:pStyle w:val="1091"/>
        <w:rPr>
          <w:highlight w:val="none"/>
        </w:rPr>
      </w:pPr>
      <w:r>
        <w:rPr>
          <w:highlight w:val="none"/>
        </w:rPr>
        <w:t xml:space="preserve">（一）核对评审专家身份和采购人代表授权函，对评审专家在政府采购活动中的职责履行情况予以记录，并及时将有关违法违规行为向财政部门报告；</w:t>
      </w:r>
      <w:r/>
    </w:p>
    <w:p>
      <w:pPr>
        <w:pStyle w:val="1091"/>
        <w:rPr>
          <w:highlight w:val="none"/>
        </w:rPr>
      </w:pPr>
      <w:r>
        <w:rPr>
          <w:highlight w:val="none"/>
        </w:rPr>
        <w:t xml:space="preserve">（二）宣布评标纪律；</w:t>
      </w:r>
      <w:r/>
    </w:p>
    <w:p>
      <w:pPr>
        <w:pStyle w:val="1091"/>
        <w:rPr>
          <w:highlight w:val="none"/>
        </w:rPr>
      </w:pPr>
      <w:r>
        <w:rPr>
          <w:highlight w:val="none"/>
        </w:rPr>
        <w:t xml:space="preserve">（三）公布投标人名单，告知评审专家应当回避的情形；</w:t>
      </w:r>
      <w:r/>
    </w:p>
    <w:p>
      <w:pPr>
        <w:pStyle w:val="1091"/>
        <w:rPr>
          <w:highlight w:val="none"/>
        </w:rPr>
      </w:pPr>
      <w:r>
        <w:rPr>
          <w:highlight w:val="none"/>
        </w:rPr>
        <w:t xml:space="preserve">（四）组织评标委员会推选评标组长，采购人代表不得担任组长；</w:t>
      </w:r>
      <w:r/>
    </w:p>
    <w:p>
      <w:pPr>
        <w:pStyle w:val="1091"/>
        <w:rPr>
          <w:highlight w:val="none"/>
        </w:rPr>
      </w:pPr>
      <w:r>
        <w:rPr>
          <w:highlight w:val="none"/>
        </w:rPr>
        <w:t xml:space="preserve">（五）在评标期间采取必要的通讯管理措施，保证评标活动不受外界干扰；</w:t>
      </w:r>
      <w:r/>
    </w:p>
    <w:p>
      <w:pPr>
        <w:pStyle w:val="1091"/>
        <w:rPr>
          <w:highlight w:val="none"/>
        </w:rPr>
      </w:pPr>
      <w:r>
        <w:rPr>
          <w:highlight w:val="none"/>
        </w:rPr>
        <w:t xml:space="preserve">（六）根据评标委员会的要求介绍政府采购相关政策法规、招标文件；</w:t>
      </w:r>
      <w:r/>
    </w:p>
    <w:p>
      <w:pPr>
        <w:pStyle w:val="1091"/>
        <w:rPr>
          <w:highlight w:val="none"/>
        </w:rPr>
      </w:pPr>
      <w:r>
        <w:rPr>
          <w:highlight w:val="none"/>
        </w:rPr>
        <w:t xml:space="preserve">（七）维护评标秩序，监督评标委员会依照招标文件规定的评标程序、方法和标准进行独立评审，及时制止和纠正采购人代表、评审专家的倾向性言论或者违法违规行为；</w:t>
      </w:r>
      <w:r/>
    </w:p>
    <w:p>
      <w:pPr>
        <w:pStyle w:val="1091"/>
        <w:rPr>
          <w:highlight w:val="none"/>
        </w:rPr>
      </w:pPr>
      <w:r>
        <w:rPr>
          <w:highlight w:val="none"/>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pStyle w:val="1091"/>
        <w:rPr>
          <w:highlight w:val="none"/>
        </w:rPr>
      </w:pPr>
      <w:r>
        <w:rPr>
          <w:highlight w:val="none"/>
        </w:rPr>
        <w:t xml:space="preserve">（九）评审工作完成后，按照规定向评审专家支付劳务报酬和异地评审差旅费，不得向评审专家以外的其他人员支付评审劳务报酬；</w:t>
      </w:r>
      <w:r/>
    </w:p>
    <w:p>
      <w:pPr>
        <w:pStyle w:val="1091"/>
        <w:rPr>
          <w:highlight w:val="none"/>
        </w:rPr>
      </w:pPr>
      <w:r>
        <w:rPr>
          <w:highlight w:val="none"/>
        </w:rPr>
        <w:t xml:space="preserve">（十）处理与评标有关的其他事项；</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二、评标委员会及其成员不得有下列行为：</w:t>
      </w:r>
      <w:r/>
    </w:p>
    <w:p>
      <w:pPr>
        <w:pStyle w:val="1091"/>
        <w:rPr>
          <w:highlight w:val="none"/>
        </w:rPr>
      </w:pPr>
      <w:r>
        <w:rPr>
          <w:highlight w:val="none"/>
        </w:rPr>
        <w:t xml:space="preserve">（一）确定参与评标至评标结束前私自接触投标人；</w:t>
      </w:r>
      <w:r/>
    </w:p>
    <w:p>
      <w:pPr>
        <w:pStyle w:val="1091"/>
        <w:rPr>
          <w:highlight w:val="none"/>
        </w:rPr>
      </w:pPr>
      <w:r>
        <w:rPr>
          <w:highlight w:val="none"/>
        </w:rPr>
        <w:t xml:space="preserve">（二）接受投标人提出的与投标文件不一致的澄清或者说明，第二章“四、投标文件的接收、开标、评标与确定中标人3.2.4”规定的情形除外；</w:t>
      </w:r>
      <w:r/>
    </w:p>
    <w:p>
      <w:pPr>
        <w:pStyle w:val="1091"/>
        <w:rPr>
          <w:highlight w:val="none"/>
        </w:rPr>
      </w:pPr>
      <w:r>
        <w:rPr>
          <w:highlight w:val="none"/>
        </w:rPr>
        <w:t xml:space="preserve">（三）违反评标纪律发表倾向性意见或者征询采购人的倾向性意见；</w:t>
      </w:r>
      <w:r/>
    </w:p>
    <w:p>
      <w:pPr>
        <w:pStyle w:val="1091"/>
        <w:rPr>
          <w:highlight w:val="none"/>
        </w:rPr>
      </w:pPr>
      <w:r>
        <w:rPr>
          <w:highlight w:val="none"/>
        </w:rPr>
        <w:t xml:space="preserve">（四）对需要专业判断的主观评审因素协商评分；</w:t>
      </w:r>
      <w:r/>
    </w:p>
    <w:p>
      <w:pPr>
        <w:pStyle w:val="1091"/>
        <w:rPr>
          <w:highlight w:val="none"/>
        </w:rPr>
      </w:pPr>
      <w:r>
        <w:rPr>
          <w:highlight w:val="none"/>
        </w:rPr>
        <w:t xml:space="preserve">（五）在评标过程中擅离职守，影响评标程序正常进行的；</w:t>
      </w:r>
      <w:r/>
    </w:p>
    <w:p>
      <w:pPr>
        <w:pStyle w:val="1091"/>
        <w:rPr>
          <w:highlight w:val="none"/>
        </w:rPr>
      </w:pPr>
      <w:r>
        <w:rPr>
          <w:highlight w:val="none"/>
        </w:rPr>
        <w:t xml:space="preserve">（六）记录、复制或者带走任何评标资料；</w:t>
      </w:r>
      <w:r/>
    </w:p>
    <w:p>
      <w:pPr>
        <w:pStyle w:val="1091"/>
        <w:rPr>
          <w:rFonts w:ascii="Times New Roman" w:hAnsi="Times New Roman" w:cs="Times New Roman"/>
          <w:sz w:val="21"/>
          <w:szCs w:val="21"/>
          <w:highlight w:val="none"/>
        </w:rPr>
      </w:pPr>
      <w:r>
        <w:rPr>
          <w:highlight w:val="none"/>
        </w:rPr>
        <w:t xml:space="preserve">（七）其他不遵守评标纪律的行为。</w:t>
      </w:r>
      <w:r/>
    </w:p>
    <w:p>
      <w:pPr>
        <w:ind w:firstLine="440"/>
        <w:jc w:val="both"/>
        <w:rPr>
          <w:rFonts w:ascii="Times New Roman" w:hAnsi="Times New Roman" w:cs="Times New Roman"/>
          <w:highlight w:val="none"/>
        </w:rPr>
        <w:sectPr>
          <w:headerReference w:type="default" r:id="rId10"/>
          <w:footerReference w:type="default" r:id="rId12"/>
          <w:footnotePr/>
          <w:endnotePr/>
          <w:type w:val="nextPage"/>
          <w:pgSz w:w="11910" w:h="16840" w:orient="portrait"/>
          <w:pgMar w:top="1460" w:right="1361" w:bottom="920" w:left="1417" w:header="492" w:footer="726" w:gutter="0"/>
          <w:cols w:num="1" w:sep="0" w:space="720" w:equalWidth="1"/>
          <w:docGrid w:linePitch="360"/>
        </w:sectPr>
      </w:pPr>
      <w:r>
        <w:rPr>
          <w:rFonts w:ascii="Times New Roman" w:hAnsi="Times New Roman" w:cs="Times New Roman"/>
          <w:highlight w:val="none"/>
        </w:rPr>
      </w:r>
      <w:r/>
    </w:p>
    <w:p>
      <w:pPr>
        <w:jc w:val="center"/>
        <w:spacing w:line="360" w:lineRule="auto"/>
        <w:rPr>
          <w:rFonts w:ascii="Times New Roman" w:hAnsi="Times New Roman" w:eastAsia="黑体" w:cs="Times New Roman"/>
          <w:sz w:val="32"/>
          <w:highlight w:val="none"/>
        </w:rPr>
        <w:outlineLvl w:val="0"/>
      </w:pPr>
      <w:r/>
      <w:bookmarkStart w:id="24" w:name="_TOC_250002"/>
      <w:r/>
      <w:bookmarkEnd w:id="24"/>
      <w:r>
        <w:rPr>
          <w:rFonts w:ascii="Times New Roman" w:hAnsi="Times New Roman" w:eastAsia="黑体" w:cs="Times New Roman"/>
          <w:sz w:val="32"/>
          <w:highlight w:val="none"/>
        </w:rPr>
        <w:t xml:space="preserve">第四章  </w:t>
      </w:r>
      <w:r>
        <w:rPr>
          <w:rFonts w:ascii="Times New Roman" w:hAnsi="Times New Roman" w:eastAsia="黑体" w:cs="Times New Roman"/>
          <w:sz w:val="32"/>
          <w:highlight w:val="none"/>
        </w:rPr>
        <w:tab/>
      </w:r>
      <w:r>
        <w:rPr>
          <w:rFonts w:ascii="Times New Roman" w:hAnsi="Times New Roman" w:eastAsia="黑体" w:cs="Times New Roman"/>
          <w:sz w:val="32"/>
          <w:highlight w:val="none"/>
        </w:rPr>
        <w:t xml:space="preserve">评标办法及标准</w:t>
      </w:r>
      <w:r/>
    </w:p>
    <w:p>
      <w:pPr>
        <w:pStyle w:val="1085"/>
        <w:ind w:left="0" w:right="0" w:firstLine="482"/>
        <w:jc w:val="both"/>
        <w:spacing w:line="360" w:lineRule="auto"/>
        <w:rPr>
          <w:rFonts w:ascii="Times New Roman" w:hAnsi="Times New Roman" w:cs="Times New Roman"/>
          <w:sz w:val="24"/>
          <w:szCs w:val="24"/>
          <w:highlight w:val="none"/>
          <w:u w:val="none"/>
        </w:rPr>
      </w:pPr>
      <w:r/>
      <w:bookmarkStart w:id="25" w:name="_Toc1518"/>
      <w:r>
        <w:rPr>
          <w:rFonts w:ascii="Times New Roman" w:hAnsi="Times New Roman" w:cs="Times New Roman"/>
          <w:sz w:val="24"/>
          <w:szCs w:val="24"/>
          <w:highlight w:val="none"/>
          <w:u w:val="none"/>
        </w:rPr>
        <w:t xml:space="preserve">一、评标办法</w:t>
      </w:r>
      <w:bookmarkEnd w:id="25"/>
      <w:r/>
      <w:r/>
    </w:p>
    <w:p>
      <w:pPr>
        <w:pStyle w:val="1091"/>
        <w:rPr>
          <w:highlight w:val="none"/>
        </w:rPr>
      </w:pPr>
      <w:r>
        <w:rPr>
          <w:highlight w:val="none"/>
        </w:rPr>
        <w:t xml:space="preserve">本次评标采用综合评分法</w:t>
      </w:r>
      <w:r/>
    </w:p>
    <w:p>
      <w:pPr>
        <w:pStyle w:val="1085"/>
        <w:ind w:left="0" w:right="0" w:firstLine="482"/>
        <w:jc w:val="both"/>
        <w:spacing w:line="360" w:lineRule="auto"/>
        <w:rPr>
          <w:rFonts w:ascii="Times New Roman" w:hAnsi="Times New Roman" w:cs="Times New Roman"/>
          <w:sz w:val="24"/>
          <w:szCs w:val="24"/>
          <w:highlight w:val="none"/>
          <w:u w:val="none"/>
        </w:rPr>
      </w:pPr>
      <w:r/>
      <w:bookmarkStart w:id="26" w:name="_Toc28248"/>
      <w:r/>
      <w:bookmarkStart w:id="27" w:name="_Toc29145"/>
      <w:r/>
      <w:bookmarkStart w:id="28" w:name="_Toc49171543"/>
      <w:r>
        <w:rPr>
          <w:rFonts w:ascii="Times New Roman" w:hAnsi="Times New Roman" w:cs="Times New Roman"/>
          <w:sz w:val="24"/>
          <w:szCs w:val="24"/>
          <w:highlight w:val="none"/>
          <w:u w:val="none"/>
        </w:rPr>
        <w:t xml:space="preserve">二、资格性审查方法及标准</w:t>
      </w:r>
      <w:bookmarkEnd w:id="26"/>
      <w:r/>
      <w:bookmarkEnd w:id="27"/>
      <w:r/>
      <w:bookmarkEnd w:id="28"/>
      <w:r/>
      <w:r/>
    </w:p>
    <w:p>
      <w:pPr>
        <w:pStyle w:val="1086"/>
        <w:ind w:firstLine="482"/>
        <w:jc w:val="both"/>
        <w:spacing w:line="360" w:lineRule="auto"/>
        <w:rPr>
          <w:rFonts w:ascii="Times New Roman" w:hAnsi="Times New Roman" w:eastAsia="宋体" w:cs="Times New Roman"/>
          <w:b/>
          <w:bCs/>
          <w:sz w:val="24"/>
          <w:szCs w:val="24"/>
          <w:highlight w:val="none"/>
        </w:rPr>
      </w:pPr>
      <w:r/>
      <w:bookmarkStart w:id="29" w:name="_Toc3593"/>
      <w:r/>
      <w:bookmarkStart w:id="30" w:name="_Toc49171544"/>
      <w:r/>
      <w:bookmarkStart w:id="31" w:name="_Toc26080"/>
      <w:r>
        <w:rPr>
          <w:rFonts w:ascii="Times New Roman" w:hAnsi="Times New Roman" w:eastAsia="宋体" w:cs="Times New Roman"/>
          <w:b/>
          <w:bCs/>
          <w:sz w:val="24"/>
          <w:szCs w:val="24"/>
          <w:highlight w:val="none"/>
        </w:rPr>
        <w:t xml:space="preserve">1、资格审查方法</w:t>
      </w:r>
      <w:bookmarkEnd w:id="29"/>
      <w:r/>
      <w:bookmarkEnd w:id="30"/>
      <w:r/>
      <w:bookmarkEnd w:id="31"/>
      <w:r/>
      <w:r/>
    </w:p>
    <w:p>
      <w:pPr>
        <w:pStyle w:val="1091"/>
        <w:rPr>
          <w:highlight w:val="none"/>
        </w:rPr>
      </w:pPr>
      <w:r>
        <w:rPr>
          <w:highlight w:val="none"/>
        </w:rPr>
        <w:t xml:space="preserve">公开招标采购项目开标结束后，采购机构依据法律、法规及招标文件的规定，对投标人的资格进行审查，以确定投标人资格是否合格。</w:t>
      </w:r>
      <w:r/>
    </w:p>
    <w:p>
      <w:pPr>
        <w:pStyle w:val="1086"/>
        <w:ind w:firstLine="482"/>
        <w:jc w:val="both"/>
        <w:spacing w:line="360" w:lineRule="auto"/>
        <w:rPr>
          <w:rFonts w:ascii="Times New Roman" w:hAnsi="Times New Roman" w:eastAsia="宋体" w:cs="Times New Roman"/>
          <w:b/>
          <w:bCs/>
          <w:sz w:val="24"/>
          <w:szCs w:val="24"/>
          <w:highlight w:val="none"/>
        </w:rPr>
      </w:pPr>
      <w:r/>
      <w:bookmarkStart w:id="32" w:name="_Toc25973"/>
      <w:r/>
      <w:bookmarkStart w:id="33" w:name="_Toc30692"/>
      <w:r/>
      <w:bookmarkStart w:id="34" w:name="_Toc49171545"/>
      <w:r>
        <w:rPr>
          <w:rFonts w:ascii="Times New Roman" w:hAnsi="Times New Roman" w:eastAsia="宋体" w:cs="Times New Roman"/>
          <w:b/>
          <w:bCs/>
          <w:sz w:val="24"/>
          <w:szCs w:val="24"/>
          <w:highlight w:val="none"/>
        </w:rPr>
        <w:t xml:space="preserve">2、资格审查标准</w:t>
      </w:r>
      <w:bookmarkEnd w:id="32"/>
      <w:r/>
      <w:bookmarkEnd w:id="33"/>
      <w:r/>
      <w:bookmarkEnd w:id="34"/>
      <w:r/>
      <w:r/>
    </w:p>
    <w:tbl>
      <w:tblPr>
        <w:tblStyle w:val="1102"/>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3828"/>
        <w:gridCol w:w="5670"/>
      </w:tblGrid>
      <w:tr>
        <w:trPr>
          <w:jc w:val="center"/>
        </w:trPr>
        <w:tc>
          <w:tcPr>
            <w:tcW w:w="851" w:type="dxa"/>
            <w:textDirection w:val="lrTb"/>
            <w:noWrap w:val="false"/>
          </w:tcPr>
          <w:p>
            <w:pPr>
              <w:jc w:val="both"/>
              <w:spacing w:line="560" w:lineRule="exact"/>
              <w:rPr>
                <w:rFonts w:ascii="Times New Roman" w:hAnsi="Times New Roman" w:cs="Times New Roman"/>
                <w:b/>
                <w:bCs/>
                <w:sz w:val="21"/>
                <w:szCs w:val="21"/>
                <w:highlight w:val="none"/>
              </w:rPr>
            </w:pPr>
            <w:r>
              <w:rPr>
                <w:rFonts w:ascii="Times New Roman" w:hAnsi="Times New Roman" w:cs="Times New Roman"/>
                <w:b/>
                <w:bCs/>
                <w:sz w:val="21"/>
                <w:szCs w:val="21"/>
                <w:highlight w:val="none"/>
              </w:rPr>
              <w:t xml:space="preserve">序号</w:t>
            </w:r>
            <w:r/>
          </w:p>
        </w:tc>
        <w:tc>
          <w:tcPr>
            <w:tcW w:w="3828" w:type="dxa"/>
            <w:textDirection w:val="lrTb"/>
            <w:noWrap w:val="false"/>
          </w:tcPr>
          <w:p>
            <w:pPr>
              <w:ind w:firstLine="422"/>
              <w:jc w:val="both"/>
              <w:spacing w:line="560" w:lineRule="exact"/>
              <w:rPr>
                <w:rFonts w:ascii="Times New Roman" w:hAnsi="Times New Roman" w:cs="Times New Roman"/>
                <w:b/>
                <w:bCs/>
                <w:sz w:val="21"/>
                <w:szCs w:val="21"/>
                <w:highlight w:val="none"/>
              </w:rPr>
            </w:pPr>
            <w:r>
              <w:rPr>
                <w:rFonts w:ascii="Times New Roman" w:hAnsi="Times New Roman" w:cs="Times New Roman"/>
                <w:b/>
                <w:bCs/>
                <w:sz w:val="21"/>
                <w:szCs w:val="21"/>
                <w:highlight w:val="none"/>
              </w:rPr>
              <w:t xml:space="preserve">资格条件</w:t>
            </w:r>
            <w:r/>
          </w:p>
        </w:tc>
        <w:tc>
          <w:tcPr>
            <w:tcW w:w="5670" w:type="dxa"/>
            <w:textDirection w:val="lrTb"/>
            <w:noWrap w:val="false"/>
          </w:tcPr>
          <w:p>
            <w:pPr>
              <w:ind w:firstLine="422"/>
              <w:jc w:val="both"/>
              <w:spacing w:line="560" w:lineRule="exact"/>
              <w:rPr>
                <w:rFonts w:ascii="Times New Roman" w:hAnsi="Times New Roman" w:cs="Times New Roman"/>
                <w:b/>
                <w:bCs/>
                <w:sz w:val="21"/>
                <w:szCs w:val="21"/>
                <w:highlight w:val="none"/>
              </w:rPr>
            </w:pPr>
            <w:r>
              <w:rPr>
                <w:rFonts w:ascii="Times New Roman" w:hAnsi="Times New Roman" w:cs="Times New Roman"/>
                <w:b/>
                <w:bCs/>
                <w:sz w:val="21"/>
                <w:szCs w:val="21"/>
                <w:highlight w:val="none"/>
              </w:rPr>
              <w:t xml:space="preserve">审查内容和审查标准</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（一）</w:t>
            </w:r>
            <w:r/>
          </w:p>
        </w:tc>
        <w:tc>
          <w:tcPr>
            <w:tcW w:w="3828" w:type="dxa"/>
            <w:textDirection w:val="lrTb"/>
            <w:noWrap w:val="false"/>
          </w:tcPr>
          <w:p>
            <w:pPr>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投标函</w:t>
            </w:r>
            <w:r/>
          </w:p>
        </w:tc>
        <w:tc>
          <w:tcPr>
            <w:tcW w:w="5670" w:type="dxa"/>
            <w:textDirection w:val="lrTb"/>
            <w:noWrap w:val="false"/>
          </w:tcPr>
          <w:p>
            <w:pPr>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是否按照投标函格式要求正确填写，是否按照要求</w:t>
            </w:r>
            <w:r>
              <w:rPr>
                <w:rFonts w:hint="eastAsia" w:ascii="Times New Roman" w:hAnsi="Times New Roman" w:cs="Times New Roman"/>
                <w:sz w:val="21"/>
                <w:szCs w:val="21"/>
                <w:highlight w:val="none"/>
                <w:lang w:val="en-US" w:eastAsia="zh-CN"/>
              </w:rPr>
              <w:t xml:space="preserve">签</w:t>
            </w:r>
            <w:r>
              <w:rPr>
                <w:rFonts w:ascii="Times New Roman" w:hAnsi="Times New Roman" w:cs="Times New Roman"/>
                <w:sz w:val="21"/>
                <w:szCs w:val="21"/>
                <w:highlight w:val="none"/>
              </w:rPr>
              <w:t xml:space="preserve">章。</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法定代表人授权委托书及委托代理人的身份证明文件</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是否按照法定代表人授权委托书格式要求正确填写，是否按照要求签字或签章，是否按要求提供代理人身份证明文件。</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（三）</w:t>
            </w:r>
            <w:r/>
          </w:p>
        </w:tc>
        <w:tc>
          <w:tcPr>
            <w:gridSpan w:val="2"/>
            <w:tcW w:w="949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投标人应符合《中华人民共和国政府采购法》第二十二条的规定;</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3.1</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具有独立承担民事责任的能力</w:t>
            </w:r>
            <w:r/>
          </w:p>
        </w:tc>
        <w:tc>
          <w:tcPr>
            <w:tcW w:w="5670" w:type="dxa"/>
            <w:textDirection w:val="lrTb"/>
            <w:noWrap w:val="false"/>
          </w:tcPr>
          <w:p>
            <w:pPr>
              <w:pStyle w:val="1094"/>
              <w:ind w:left="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如投标人是企业（包括合作企业）的，应提供在工商部门注册的有效“企业法人营业执照”或“营业执照”；</w:t>
            </w:r>
            <w:r/>
          </w:p>
          <w:p>
            <w:pPr>
              <w:pStyle w:val="1094"/>
              <w:ind w:left="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如投标人是事业单位的，应提供有效的“事业单位法人证书”；</w:t>
            </w:r>
            <w:r/>
          </w:p>
          <w:p>
            <w:pPr>
              <w:pStyle w:val="1094"/>
              <w:ind w:left="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如投标人是非企业专业服务机构的，应提供有效的执业许可证等证明文件；</w:t>
            </w:r>
            <w:r/>
          </w:p>
          <w:p>
            <w:pPr>
              <w:pStyle w:val="1094"/>
              <w:ind w:left="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如投标人是个体工商户的，应提供有效的“个体工商户营业执照”；</w:t>
            </w:r>
            <w:r/>
          </w:p>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如投标人是自然人的，应提供有效的自然人身份证明。</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3.2</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南京市政府采购供应商信用记录表暨信用承诺书</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是否按要求提供，是否有法定代表人签字及投标人单位公章。若投标人为联合体投标的，则联合体成员均须提供。属于以下情形，须按照招标文件第七章要求提供证明材料，不得以信用承诺书替代：</w:t>
            </w:r>
            <w:r/>
          </w:p>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1、供应商被列入严重失信主体名单；</w:t>
            </w:r>
            <w:r/>
          </w:p>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2、被相关监管部门作出行政处罚且尚在处罚有效期内；</w:t>
            </w:r>
            <w:r/>
          </w:p>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3、其他法律、行政法规规定的不适用信用承诺的情形。</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（四）</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第一章招标公告中“落实政府采购政策需满足的资格要求”的证明文件（若有）</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是否按照招标文件规定的要求提供相关证明材料，如未做要求，则可以不予提供。</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（五）</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第一章招标公告中“本项目的特定资格要求”的证明文件；（若有）</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是否按照招标文件规定的要求提供相关证明材料，如未做要求，则可以不予提供。</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（六）</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联合体投标</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不接受联合体投标的项目，投标人若以联合体投标，则投标无效；</w:t>
            </w:r>
            <w:r/>
          </w:p>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接受联合体投标的项目，审查投标人是否提供联合体协议。</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（七）</w:t>
            </w:r>
            <w:r/>
          </w:p>
        </w:tc>
        <w:tc>
          <w:tcPr>
            <w:gridSpan w:val="2"/>
            <w:tcW w:w="949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投标人不得存在的情形</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7.1</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投标人参加政府采购活动前三年内被信用中国网站、中国政府采购网站列入失信被执行人名单、重大税收违法失信主体、政府采购严重违法失信行为记录名单。如本项目接受联合体投标，联合体成员存在不良信用记录的，视同联合体存在不良信用记录。</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不得存在</w:t>
            </w:r>
            <w:r/>
          </w:p>
        </w:tc>
      </w:tr>
      <w:tr>
        <w:trPr>
          <w:cantSplit/>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7.2</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单位负责人为同一人或者存在控股、管理关系的不同投标人</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不得存在</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7.3</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为采购项目提供整体设计、规范编制或者项目管理、监理、检测等服务的</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不得存在</w:t>
            </w:r>
            <w:r/>
          </w:p>
        </w:tc>
      </w:tr>
      <w:tr>
        <w:trPr>
          <w:jc w:val="center"/>
        </w:trPr>
        <w:tc>
          <w:tcPr>
            <w:tcW w:w="851"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7.4</w:t>
            </w:r>
            <w:r/>
          </w:p>
        </w:tc>
        <w:tc>
          <w:tcPr>
            <w:tcW w:w="3828"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不同投标人的法定代表人或委托代理人有夫妻、直系血亲关系</w:t>
            </w:r>
            <w:r/>
          </w:p>
        </w:tc>
        <w:tc>
          <w:tcPr>
            <w:tcW w:w="5670" w:type="dxa"/>
            <w:textDirection w:val="lrTb"/>
            <w:noWrap w:val="false"/>
          </w:tcPr>
          <w:p>
            <w:pPr>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不得存在</w:t>
            </w:r>
            <w:r/>
          </w:p>
        </w:tc>
      </w:tr>
    </w:tbl>
    <w:p>
      <w:pPr>
        <w:ind w:firstLine="482"/>
        <w:jc w:val="both"/>
        <w:spacing w:line="560" w:lineRule="exact"/>
        <w:rPr>
          <w:rFonts w:ascii="Times New Roman" w:hAnsi="Times New Roman" w:cs="Times New Roman"/>
          <w:b/>
          <w:bCs/>
          <w:sz w:val="24"/>
          <w:szCs w:val="21"/>
          <w:highlight w:val="none"/>
        </w:rPr>
      </w:pPr>
      <w:r>
        <w:rPr>
          <w:rFonts w:ascii="Times New Roman" w:hAnsi="Times New Roman" w:cs="Times New Roman"/>
          <w:b/>
          <w:bCs/>
          <w:sz w:val="24"/>
          <w:szCs w:val="21"/>
          <w:highlight w:val="none"/>
        </w:rPr>
        <w:t xml:space="preserve">备注：</w:t>
      </w:r>
      <w:r/>
    </w:p>
    <w:p>
      <w:pPr>
        <w:pStyle w:val="1091"/>
        <w:rPr>
          <w:highlight w:val="none"/>
        </w:rPr>
      </w:pPr>
      <w:r>
        <w:rPr>
          <w:highlight w:val="none"/>
        </w:rPr>
        <w:t xml:space="preserve">（</w:t>
      </w:r>
      <w:r>
        <w:rPr>
          <w:rFonts w:hint="eastAsia"/>
          <w:highlight w:val="none"/>
        </w:rPr>
        <w:t xml:space="preserve">1</w:t>
      </w:r>
      <w:r>
        <w:rPr>
          <w:highlight w:val="none"/>
        </w:rPr>
        <w:t xml:space="preserve">）所有证书、证明文件必须是真实可查证的，证明材料须清晰可辨认，如因证明材料模糊无法辨认，缺页、漏页导致无法进行评审认定的责任由投标人自负。如发现弄虚作假将按照有关规定严肃处理。</w:t>
      </w:r>
      <w:r/>
    </w:p>
    <w:p>
      <w:pPr>
        <w:pStyle w:val="1091"/>
        <w:rPr>
          <w:highlight w:val="none"/>
        </w:rPr>
      </w:pPr>
      <w:r>
        <w:rPr>
          <w:highlight w:val="none"/>
        </w:rPr>
        <w:t xml:space="preserve">（</w:t>
      </w:r>
      <w:r>
        <w:rPr>
          <w:rFonts w:hint="eastAsia"/>
          <w:highlight w:val="none"/>
        </w:rPr>
        <w:t xml:space="preserve">2</w:t>
      </w:r>
      <w:r>
        <w:rPr>
          <w:highlight w:val="none"/>
        </w:rPr>
        <w:t xml:space="preserve">）证明材料仅限于投标人本身，参股或控股单位及独立法人子公司的材料不能作为证明材料。</w:t>
      </w:r>
      <w:r/>
    </w:p>
    <w:p>
      <w:pPr>
        <w:pStyle w:val="1091"/>
        <w:rPr>
          <w:highlight w:val="none"/>
        </w:rPr>
      </w:pPr>
      <w:r>
        <w:rPr>
          <w:highlight w:val="none"/>
        </w:rPr>
        <w:t xml:space="preserve">（</w:t>
      </w:r>
      <w:r>
        <w:rPr>
          <w:rFonts w:hint="eastAsia"/>
          <w:highlight w:val="none"/>
        </w:rPr>
        <w:t xml:space="preserve">3</w:t>
      </w:r>
      <w:r>
        <w:rPr>
          <w:highlight w:val="none"/>
        </w:rPr>
        <w:t xml:space="preserve">）对于投标文件中有任意一条不满足上表要求的将导致其投标无效，不进入下一项评审。</w:t>
      </w:r>
      <w:r/>
    </w:p>
    <w:p>
      <w:pPr>
        <w:pStyle w:val="1085"/>
        <w:ind w:left="0" w:right="0" w:firstLine="482"/>
        <w:jc w:val="both"/>
        <w:spacing w:line="360" w:lineRule="auto"/>
        <w:rPr>
          <w:rFonts w:ascii="Times New Roman" w:hAnsi="Times New Roman" w:cs="Times New Roman"/>
          <w:sz w:val="24"/>
          <w:szCs w:val="24"/>
          <w:highlight w:val="none"/>
          <w:u w:val="none"/>
        </w:rPr>
      </w:pPr>
      <w:r/>
      <w:bookmarkStart w:id="35" w:name="_Toc21669"/>
      <w:r/>
      <w:bookmarkStart w:id="36" w:name="_Toc49171546"/>
      <w:r/>
      <w:bookmarkStart w:id="37" w:name="_Toc20730"/>
      <w:r>
        <w:rPr>
          <w:rFonts w:ascii="Times New Roman" w:hAnsi="Times New Roman" w:cs="Times New Roman"/>
          <w:sz w:val="24"/>
          <w:szCs w:val="24"/>
          <w:highlight w:val="none"/>
          <w:u w:val="none"/>
        </w:rPr>
        <w:t xml:space="preserve">三、符合性审查方法及标准</w:t>
      </w:r>
      <w:bookmarkEnd w:id="35"/>
      <w:r/>
      <w:bookmarkEnd w:id="36"/>
      <w:r/>
      <w:bookmarkEnd w:id="37"/>
      <w:r/>
      <w:r/>
    </w:p>
    <w:p>
      <w:pPr>
        <w:pStyle w:val="1086"/>
        <w:ind w:firstLine="482"/>
        <w:jc w:val="both"/>
        <w:spacing w:line="360" w:lineRule="auto"/>
        <w:rPr>
          <w:rFonts w:ascii="Times New Roman" w:hAnsi="Times New Roman" w:eastAsia="宋体" w:cs="Times New Roman"/>
          <w:b/>
          <w:bCs/>
          <w:sz w:val="24"/>
          <w:szCs w:val="24"/>
          <w:highlight w:val="none"/>
        </w:rPr>
      </w:pPr>
      <w:r/>
      <w:bookmarkStart w:id="38" w:name="_Toc31357"/>
      <w:r/>
      <w:bookmarkStart w:id="39" w:name="_Toc28020"/>
      <w:r/>
      <w:bookmarkStart w:id="40" w:name="_Toc49171547"/>
      <w:r>
        <w:rPr>
          <w:rFonts w:ascii="Times New Roman" w:hAnsi="Times New Roman" w:eastAsia="宋体" w:cs="Times New Roman"/>
          <w:b/>
          <w:bCs/>
          <w:sz w:val="24"/>
          <w:szCs w:val="24"/>
          <w:highlight w:val="none"/>
        </w:rPr>
        <w:t xml:space="preserve">1、符合性审查方法</w:t>
      </w:r>
      <w:bookmarkEnd w:id="38"/>
      <w:r/>
      <w:bookmarkEnd w:id="39"/>
      <w:r/>
      <w:bookmarkEnd w:id="40"/>
      <w:r/>
      <w:r/>
    </w:p>
    <w:p>
      <w:pPr>
        <w:pStyle w:val="1091"/>
        <w:rPr>
          <w:highlight w:val="none"/>
        </w:rPr>
      </w:pPr>
      <w:r>
        <w:rPr>
          <w:highlight w:val="none"/>
        </w:rPr>
        <w:t xml:space="preserve">评标委员会应当对符合资格的投标人的投标文件进行符合性审查，以确定其是否满足招标文件的实质性要求。</w:t>
      </w:r>
      <w:r/>
    </w:p>
    <w:p>
      <w:pPr>
        <w:pStyle w:val="1086"/>
        <w:ind w:firstLine="482"/>
        <w:jc w:val="both"/>
        <w:spacing w:line="360" w:lineRule="auto"/>
        <w:rPr>
          <w:rFonts w:ascii="Times New Roman" w:hAnsi="Times New Roman" w:eastAsia="宋体" w:cs="Times New Roman"/>
          <w:b/>
          <w:bCs/>
          <w:sz w:val="24"/>
          <w:szCs w:val="24"/>
          <w:highlight w:val="none"/>
        </w:rPr>
      </w:pPr>
      <w:r/>
      <w:bookmarkStart w:id="41" w:name="_Toc7621"/>
      <w:r/>
      <w:bookmarkStart w:id="42" w:name="_Toc14126"/>
      <w:r/>
      <w:bookmarkStart w:id="43" w:name="_Toc49171548"/>
      <w:r>
        <w:rPr>
          <w:rFonts w:ascii="Times New Roman" w:hAnsi="Times New Roman" w:eastAsia="宋体" w:cs="Times New Roman"/>
          <w:b/>
          <w:bCs/>
          <w:sz w:val="24"/>
          <w:szCs w:val="24"/>
          <w:highlight w:val="none"/>
        </w:rPr>
        <w:t xml:space="preserve">2、符合性审查标准</w:t>
      </w:r>
      <w:bookmarkEnd w:id="41"/>
      <w:r/>
      <w:bookmarkEnd w:id="42"/>
      <w:r/>
      <w:bookmarkEnd w:id="43"/>
      <w:r/>
      <w:r/>
    </w:p>
    <w:p>
      <w:pPr>
        <w:pStyle w:val="1091"/>
        <w:rPr>
          <w:highlight w:val="none"/>
        </w:rPr>
      </w:pPr>
      <w:r>
        <w:rPr>
          <w:highlight w:val="none"/>
        </w:rPr>
        <w:t xml:space="preserve">符合性审查出现下列情形之一的投标按照无效响应处理：</w:t>
      </w:r>
      <w:r/>
    </w:p>
    <w:p>
      <w:pPr>
        <w:pStyle w:val="1091"/>
        <w:rPr>
          <w:highlight w:val="none"/>
        </w:rPr>
      </w:pPr>
      <w:r>
        <w:rPr>
          <w:highlight w:val="none"/>
        </w:rPr>
        <w:t xml:space="preserve">（</w:t>
      </w:r>
      <w:r>
        <w:rPr>
          <w:rFonts w:hint="eastAsia"/>
          <w:highlight w:val="none"/>
        </w:rPr>
        <w:t xml:space="preserve">1</w:t>
      </w:r>
      <w:r>
        <w:rPr>
          <w:highlight w:val="none"/>
        </w:rPr>
        <w:t xml:space="preserve">）针对第二章投标人须知“三、投标”中的“6、投标文件的技术部分”加★项要求，投标文件提供的证明材料缺失或无效的；</w:t>
      </w:r>
      <w:r/>
    </w:p>
    <w:p>
      <w:pPr>
        <w:pStyle w:val="1091"/>
        <w:rPr>
          <w:highlight w:val="none"/>
        </w:rPr>
      </w:pPr>
      <w:r>
        <w:rPr>
          <w:highlight w:val="none"/>
        </w:rPr>
        <w:t xml:space="preserve">（2）投标文件未按照招标文件规定要求签署、盖章的；</w:t>
      </w:r>
      <w:r/>
    </w:p>
    <w:p>
      <w:pPr>
        <w:pStyle w:val="1091"/>
        <w:rPr>
          <w:highlight w:val="none"/>
        </w:rPr>
      </w:pPr>
      <w:r>
        <w:rPr>
          <w:highlight w:val="none"/>
        </w:rPr>
        <w:t xml:space="preserve">（</w:t>
      </w:r>
      <w:r>
        <w:rPr>
          <w:rFonts w:hint="eastAsia"/>
          <w:highlight w:val="none"/>
          <w:lang w:val="en-US" w:eastAsia="zh-CN"/>
        </w:rPr>
        <w:t xml:space="preserve">3</w:t>
      </w:r>
      <w:r>
        <w:rPr>
          <w:highlight w:val="none"/>
        </w:rPr>
        <w:t xml:space="preserve">）投标文件未响应采购项目需求中规定的实质性要求的；</w:t>
      </w:r>
      <w:r/>
    </w:p>
    <w:p>
      <w:pPr>
        <w:pStyle w:val="1091"/>
        <w:rPr>
          <w:highlight w:val="none"/>
        </w:rPr>
      </w:pPr>
      <w:r>
        <w:rPr>
          <w:highlight w:val="none"/>
        </w:rPr>
        <w:t xml:space="preserve">（</w:t>
      </w:r>
      <w:r>
        <w:rPr>
          <w:rFonts w:hint="eastAsia"/>
          <w:highlight w:val="none"/>
          <w:lang w:val="en-US" w:eastAsia="zh-CN"/>
        </w:rPr>
        <w:t xml:space="preserve">4</w:t>
      </w:r>
      <w:r>
        <w:rPr>
          <w:highlight w:val="none"/>
        </w:rPr>
        <w:t xml:space="preserve">）投标总报价超过项目预算金额或最高限价；</w:t>
      </w:r>
      <w:r/>
    </w:p>
    <w:p>
      <w:pPr>
        <w:pStyle w:val="1091"/>
        <w:rPr>
          <w:highlight w:val="none"/>
        </w:rPr>
      </w:pPr>
      <w:r>
        <w:rPr>
          <w:highlight w:val="none"/>
        </w:rPr>
        <w:t xml:space="preserve">（</w:t>
      </w:r>
      <w:r>
        <w:rPr>
          <w:rFonts w:hint="eastAsia"/>
          <w:highlight w:val="none"/>
          <w:lang w:val="en-US" w:eastAsia="zh-CN"/>
        </w:rPr>
        <w:t xml:space="preserve">5</w:t>
      </w:r>
      <w:r>
        <w:rPr>
          <w:highlight w:val="none"/>
        </w:rPr>
        <w:t xml:space="preserve">）投标报价存在缺项、漏项；</w:t>
      </w:r>
      <w:r/>
    </w:p>
    <w:p>
      <w:pPr>
        <w:pStyle w:val="1091"/>
        <w:rPr>
          <w:highlight w:val="none"/>
        </w:rPr>
      </w:pPr>
      <w:r>
        <w:rPr>
          <w:highlight w:val="none"/>
        </w:rPr>
        <w:t xml:space="preserve">（</w:t>
      </w:r>
      <w:r>
        <w:rPr>
          <w:rFonts w:hint="eastAsia"/>
          <w:highlight w:val="none"/>
          <w:lang w:val="en-US" w:eastAsia="zh-CN"/>
        </w:rPr>
        <w:t xml:space="preserve">6</w:t>
      </w:r>
      <w:r>
        <w:rPr>
          <w:highlight w:val="none"/>
        </w:rPr>
        <w:t xml:space="preserve">）评标委员会认为投标人的报价明显低于其他通过符合性审查投标人的报价，有可能影响服务质量或者不能诚信履约的，投标人未在评标现场合理的时间内提供书面说明或相关证明材料，不能证明其报价合理性的；</w:t>
      </w:r>
      <w:r/>
    </w:p>
    <w:p>
      <w:pPr>
        <w:pStyle w:val="1091"/>
        <w:rPr>
          <w:highlight w:val="none"/>
        </w:rPr>
      </w:pPr>
      <w:r>
        <w:rPr>
          <w:highlight w:val="none"/>
        </w:rPr>
        <w:t xml:space="preserve">（</w:t>
      </w:r>
      <w:r>
        <w:rPr>
          <w:rFonts w:hint="eastAsia"/>
          <w:highlight w:val="none"/>
          <w:lang w:val="en-US" w:eastAsia="zh-CN"/>
        </w:rPr>
        <w:t xml:space="preserve">7</w:t>
      </w:r>
      <w:r>
        <w:rPr>
          <w:highlight w:val="none"/>
        </w:rPr>
        <w:t xml:space="preserve">）投标文件含有采购人不能接受的附加条件的；</w:t>
      </w:r>
      <w:r/>
    </w:p>
    <w:p>
      <w:pPr>
        <w:pStyle w:val="1091"/>
        <w:rPr>
          <w:highlight w:val="none"/>
        </w:rPr>
      </w:pPr>
      <w:r>
        <w:rPr>
          <w:highlight w:val="none"/>
        </w:rPr>
        <w:t xml:space="preserve">（</w:t>
      </w:r>
      <w:r>
        <w:rPr>
          <w:rFonts w:hint="eastAsia"/>
          <w:highlight w:val="none"/>
          <w:lang w:val="en-US" w:eastAsia="zh-CN"/>
        </w:rPr>
        <w:t xml:space="preserve">8</w:t>
      </w:r>
      <w:r>
        <w:rPr>
          <w:highlight w:val="none"/>
        </w:rPr>
        <w:t xml:space="preserve">）不同投标人的投标文件由同一单位或者个人编制；</w:t>
      </w:r>
      <w:r/>
    </w:p>
    <w:p>
      <w:pPr>
        <w:pStyle w:val="1091"/>
        <w:rPr>
          <w:highlight w:val="none"/>
        </w:rPr>
      </w:pPr>
      <w:r>
        <w:rPr>
          <w:highlight w:val="none"/>
        </w:rPr>
        <w:t xml:space="preserve">（</w:t>
      </w:r>
      <w:r>
        <w:rPr>
          <w:rFonts w:hint="eastAsia"/>
          <w:highlight w:val="none"/>
          <w:lang w:val="en-US" w:eastAsia="zh-CN"/>
        </w:rPr>
        <w:t xml:space="preserve">9</w:t>
      </w:r>
      <w:r>
        <w:rPr>
          <w:highlight w:val="none"/>
        </w:rPr>
        <w:t xml:space="preserve">）不同投标人委托同一单位或者个人办理投标事宜；</w:t>
      </w:r>
      <w:r/>
    </w:p>
    <w:p>
      <w:pPr>
        <w:pStyle w:val="1091"/>
        <w:rPr>
          <w:highlight w:val="none"/>
        </w:rPr>
      </w:pPr>
      <w:r>
        <w:rPr>
          <w:highlight w:val="none"/>
        </w:rPr>
        <w:t xml:space="preserve">（</w:t>
      </w:r>
      <w:r>
        <w:rPr>
          <w:rFonts w:hint="eastAsia"/>
          <w:highlight w:val="none"/>
          <w:lang w:val="en-US" w:eastAsia="zh-CN"/>
        </w:rPr>
        <w:t xml:space="preserve">10</w:t>
      </w:r>
      <w:r>
        <w:rPr>
          <w:highlight w:val="none"/>
        </w:rPr>
        <w:t xml:space="preserve">）不同投标人的投标文件载明的项目管理成员或联系人员为同一人；</w:t>
      </w:r>
      <w:r/>
    </w:p>
    <w:p>
      <w:pPr>
        <w:pStyle w:val="1091"/>
        <w:rPr>
          <w:highlight w:val="none"/>
        </w:rPr>
      </w:pPr>
      <w:r>
        <w:rPr>
          <w:highlight w:val="none"/>
        </w:rPr>
        <w:t xml:space="preserve">（</w:t>
      </w:r>
      <w:r>
        <w:rPr>
          <w:rFonts w:hint="eastAsia"/>
          <w:highlight w:val="none"/>
        </w:rPr>
        <w:t xml:space="preserve">1</w:t>
      </w:r>
      <w:r>
        <w:rPr>
          <w:rFonts w:hint="eastAsia"/>
          <w:highlight w:val="none"/>
          <w:lang w:val="en-US" w:eastAsia="zh-CN"/>
        </w:rPr>
        <w:t xml:space="preserve">1</w:t>
      </w:r>
      <w:r>
        <w:rPr>
          <w:highlight w:val="none"/>
        </w:rPr>
        <w:t xml:space="preserve">）不同投标人的投标文件异常一致或者投标报价呈规律性差异；</w:t>
      </w:r>
      <w:r/>
    </w:p>
    <w:p>
      <w:pPr>
        <w:pStyle w:val="1091"/>
        <w:rPr>
          <w:highlight w:val="none"/>
        </w:rPr>
      </w:pPr>
      <w:r>
        <w:rPr>
          <w:highlight w:val="none"/>
        </w:rPr>
        <w:t xml:space="preserve">（</w:t>
      </w:r>
      <w:r>
        <w:rPr>
          <w:rFonts w:hint="eastAsia"/>
          <w:highlight w:val="none"/>
        </w:rPr>
        <w:t xml:space="preserve">1</w:t>
      </w:r>
      <w:r>
        <w:rPr>
          <w:rFonts w:hint="eastAsia"/>
          <w:highlight w:val="none"/>
          <w:lang w:val="en-US" w:eastAsia="zh-CN"/>
        </w:rPr>
        <w:t xml:space="preserve">2</w:t>
      </w:r>
      <w:r>
        <w:rPr>
          <w:highlight w:val="none"/>
        </w:rPr>
        <w:t xml:space="preserve">）法律、法规和招标文件规定的其他无效情形。</w:t>
      </w:r>
      <w:r/>
    </w:p>
    <w:p>
      <w:pPr>
        <w:pStyle w:val="1085"/>
        <w:ind w:left="0" w:right="0" w:firstLine="482"/>
        <w:jc w:val="both"/>
        <w:spacing w:line="360" w:lineRule="auto"/>
        <w:rPr>
          <w:rFonts w:ascii="Times New Roman" w:hAnsi="Times New Roman" w:cs="Times New Roman"/>
          <w:sz w:val="24"/>
          <w:szCs w:val="24"/>
          <w:highlight w:val="none"/>
          <w:u w:val="none"/>
        </w:rPr>
      </w:pPr>
      <w:r/>
      <w:bookmarkStart w:id="44" w:name="_Toc49171549"/>
      <w:r/>
      <w:bookmarkStart w:id="45" w:name="_Toc17601"/>
      <w:r/>
      <w:bookmarkStart w:id="46" w:name="_Toc7455"/>
      <w:r>
        <w:rPr>
          <w:rFonts w:ascii="Times New Roman" w:hAnsi="Times New Roman" w:cs="Times New Roman"/>
          <w:sz w:val="24"/>
          <w:szCs w:val="24"/>
          <w:highlight w:val="none"/>
          <w:u w:val="none"/>
        </w:rPr>
        <w:t xml:space="preserve">四、评分标准</w:t>
      </w:r>
      <w:bookmarkEnd w:id="44"/>
      <w:r/>
      <w:bookmarkEnd w:id="45"/>
      <w:r/>
      <w:bookmarkEnd w:id="46"/>
      <w:r/>
      <w:r/>
    </w:p>
    <w:tbl>
      <w:tblPr>
        <w:tblStyle w:val="1090"/>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228"/>
        <w:gridCol w:w="6782"/>
        <w:gridCol w:w="710"/>
      </w:tblGrid>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both"/>
              <w:spacing w:line="360" w:lineRule="auto"/>
              <w:rPr>
                <w:rFonts w:ascii="Times New Roman" w:hAnsi="Times New Roman" w:cs="Times New Roman"/>
                <w:b/>
                <w:szCs w:val="21"/>
                <w:highlight w:val="none"/>
              </w:rPr>
            </w:pPr>
            <w:r/>
            <w:bookmarkStart w:id="47" w:name="_Hlk44577072"/>
            <w:r>
              <w:rPr>
                <w:rFonts w:ascii="Times New Roman" w:hAnsi="Times New Roman"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both"/>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2"/>
              <w:jc w:val="both"/>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710" w:type="dxa"/>
            <w:textDirection w:val="lrTb"/>
            <w:noWrap w:val="false"/>
          </w:tcPr>
          <w:p>
            <w:pPr>
              <w:jc w:val="both"/>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价格</w:t>
            </w:r>
            <w:r/>
          </w:p>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szCs w:val="21"/>
                <w:highlight w:val="none"/>
                <w:lang w:val="en-US"/>
              </w:rPr>
            </w:pPr>
            <w:r>
              <w:rPr>
                <w:rFonts w:ascii="Times New Roman" w:hAnsi="Times New Roman" w:cs="Times New Roman"/>
                <w:szCs w:val="21"/>
                <w:highlight w:val="none"/>
              </w:rPr>
              <w:t xml:space="preserve">本次招标以满足招标文件要求且投标价格最低的投标报价为评标基准价，其价格分为满分，即10分。投标报价得分=（评标基准价/投标报价）*10。（</w:t>
            </w:r>
            <w:r>
              <w:rPr>
                <w:rFonts w:ascii="Times New Roman" w:hAnsi="Times New Roman" w:cs="Times New Roman"/>
                <w:szCs w:val="21"/>
                <w:highlight w:val="none"/>
                <w:lang w:val="en-US"/>
              </w:rPr>
              <w:t xml:space="preserve">小数点后保留两位</w:t>
            </w:r>
            <w:r>
              <w:rPr>
                <w:rFonts w:ascii="Times New Roman" w:hAnsi="Times New Roman" w:cs="Times New Roman"/>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2</w:t>
            </w:r>
            <w:r/>
          </w:p>
        </w:tc>
        <w:tc>
          <w:tcPr>
            <w:tcBorders>
              <w:top w:val="single" w:color="auto" w:sz="4" w:space="0"/>
              <w:left w:val="single" w:color="auto" w:sz="4" w:space="0"/>
              <w:right w:val="single" w:color="auto" w:sz="4" w:space="0"/>
            </w:tcBorders>
            <w:tcW w:w="1228"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系统功能</w:t>
            </w:r>
            <w:r/>
          </w:p>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演示</w:t>
            </w:r>
            <w:r/>
          </w:p>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2"/>
              <w:jc w:val="both"/>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t xml:space="preserve">供应商应以系统录屏方式（提供不超过10分钟的视频文件）响应，录屏内容为真实系统案例，能够展示供应商所使用的系统能够满足本次招标有关技术要求：</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(1) 多来源数据融合子系统，具体包括：</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 支持接入卫星分析结果，提供可视化的方式展示省级空气质量反演结果；</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 支持接入地区气象数据资料，并以可视化的方式进行展示；</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 支持日污染热力图的绘制、播放和导出，包括等值线等绘图要素；</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 支持月污染热力图的绘制、播放和导出，包括等值线等绘图要素； </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上述要点，全部提供演示且完全满足要求，得2分；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上述要点，全部提供演示且基本满足要求，得1分；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上述要点，不提供演示，或不满足要求，不得分。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(2) 大气颗粒物粒径检测仪监测溯源子系统，具体包括：</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-提供大气颗粒物溯源分析服务，通过粒径属地污染画像、多元统计模型等方法实现颗粒物污染溯源；</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-基于大数据平台，通过构建本地化污染预报警模型，实现多源数据在线实时监控等。</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上述要点，全部提供演示且完全满足要求，得2分；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上述要点，全部提供演示且基本满足要求，得1分；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上述要点，不提供演示，或不满足要求，不得分。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(3) 达标评估智能分析，具体包括：</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-空气质量考核指标量化分解，确定站点年、月、日考核指标；</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-站点考核指标评估分析，小时、日、月、年累计浓度、剩余控制量进行分析。</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上述要点，全部提供演示且完全满足要求，得2分；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上述要点，全部提供演示且基本满足要求，得1分；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上述要点，不提供演示，或不满足要求，不得分。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(4) 手机APP，具体包括：</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 支持手机APP的全景展示、全区报警信息、网格员轨迹等功能等。</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 支持实时报警和累计高值报警，支持引导网格员到报警区域核查、上传、打卡功能，支持网格员到报警点或固定点打卡，形成网格员巡查轨迹图等。</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上述要点，全部提供演示且完全满足要求，得2分；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上述要点，全部提供演示且基本满足要求，得1分；</w:t>
            </w:r>
            <w:r/>
          </w:p>
          <w:p>
            <w:pPr>
              <w:ind w:firstLine="440"/>
              <w:jc w:val="both"/>
              <w:spacing w:line="360" w:lineRule="auto"/>
              <w:rPr>
                <w:rFonts w:ascii="Times New Roman" w:hAnsi="Times New Roman" w:cs="Times New Roman"/>
                <w:b/>
                <w:bCs/>
                <w:szCs w:val="21"/>
                <w:highlight w:val="none"/>
              </w:rPr>
            </w:pPr>
            <w:r>
              <w:rPr>
                <w:rFonts w:ascii="Times New Roman" w:hAnsi="Times New Roman" w:cs="Times New Roman"/>
                <w:szCs w:val="21"/>
                <w:highlight w:val="none"/>
              </w:rPr>
              <w:t xml:space="preserve">上述要点，不提供演示，或不满足要求，不得分。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3．1</w:t>
            </w:r>
            <w:r/>
          </w:p>
        </w:tc>
        <w:tc>
          <w:tcPr>
            <w:tcBorders>
              <w:left w:val="single" w:color="auto" w:sz="4" w:space="0"/>
              <w:right w:val="single" w:color="auto" w:sz="4" w:space="0"/>
            </w:tcBorders>
            <w:tcW w:w="1228" w:type="dxa"/>
            <w:vAlign w:val="center"/>
            <w:vMerge w:val="restart"/>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技术服务方案</w:t>
            </w:r>
            <w:r/>
          </w:p>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（45分）</w:t>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项目总体实施方案，针对各项服务内容拟投入的设备与系统平台功能描述，项目开展进度方案与实施细则等，方案全面详细，规范、可操作性强，具有针对性的得10分；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方案基本完整、可操作性一般，得7分；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方案有缺失或不具有针对性得4分；未提供不得分。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3.2</w:t>
            </w:r>
            <w:r/>
          </w:p>
        </w:tc>
        <w:tc>
          <w:tcPr>
            <w:tcBorders>
              <w:left w:val="single" w:color="auto" w:sz="4" w:space="0"/>
              <w:right w:val="single" w:color="auto" w:sz="4" w:space="0"/>
            </w:tcBorders>
            <w:tcW w:w="1228" w:type="dxa"/>
            <w:vAlign w:val="center"/>
            <w:vMerge w:val="continue"/>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监测点位布设服务方案：供应商需提供监测设备布点方案。根据供应商提供方案的合理性、可行性等情况进行综合评审。</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方案完整合理、可行性强的得9分；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方案完整度一般、可行性一般的得7分；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方案较差，不具备可行性的得5分；方案不提供不得分。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3.3</w:t>
            </w:r>
            <w:r/>
          </w:p>
        </w:tc>
        <w:tc>
          <w:tcPr>
            <w:tcBorders>
              <w:left w:val="single" w:color="auto" w:sz="4" w:space="0"/>
              <w:right w:val="single" w:color="auto" w:sz="4" w:space="0"/>
            </w:tcBorders>
            <w:tcW w:w="1228" w:type="dxa"/>
            <w:vAlign w:val="center"/>
            <w:vMerge w:val="continue"/>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数据接入、整合及大模型服务方案：供应商需提供鼓楼区生态环境监测数据接入整合及大模型相关服务方案。</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技术路线成熟可靠、各类监测数据运用逻辑关系清晰、业务分析详细透彻，材料提供完整得10分；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材料完整性一般，各类监测数据整合运用较合理的得7分；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材料完整性较差，各类监测数据整合运用一般的得4分；</w:t>
            </w:r>
            <w:r/>
          </w:p>
          <w:p>
            <w:pPr>
              <w:ind w:firstLine="440"/>
              <w:jc w:val="both"/>
              <w:spacing w:line="360" w:lineRule="auto"/>
              <w:rPr>
                <w:rFonts w:ascii="Times New Roman" w:hAnsi="Times New Roman" w:cs="Times New Roman"/>
                <w:b/>
                <w:bCs/>
                <w:szCs w:val="21"/>
                <w:highlight w:val="none"/>
              </w:rPr>
            </w:pPr>
            <w:r>
              <w:rPr>
                <w:rFonts w:ascii="Times New Roman" w:hAnsi="Times New Roman" w:cs="Times New Roman"/>
                <w:szCs w:val="21"/>
                <w:highlight w:val="none"/>
              </w:rPr>
              <w:t xml:space="preserve">材料不完整，或者不提供的不得分。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10</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3.4</w:t>
            </w:r>
            <w:r/>
          </w:p>
        </w:tc>
        <w:tc>
          <w:tcPr>
            <w:tcBorders>
              <w:left w:val="single" w:color="auto" w:sz="4" w:space="0"/>
              <w:right w:val="single" w:color="auto" w:sz="4" w:space="0"/>
            </w:tcBorders>
            <w:tcW w:w="1228" w:type="dxa"/>
            <w:vAlign w:val="center"/>
            <w:vMerge w:val="continue"/>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高精度大气颗粒物粒径检测仪溯源服务方案：包括但不限于技术原理、溯源模型、组分图谱分析等，并运用于鼓楼国控站重点区域溯源服务。 </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原理、运用及提供的示例清晰明确，得8分；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原理、运用阐述及提供的示例清晰性一般，得6分；</w:t>
            </w:r>
            <w:r/>
          </w:p>
          <w:p>
            <w:pPr>
              <w:ind w:firstLine="440"/>
              <w:jc w:val="both"/>
              <w:spacing w:line="360" w:lineRule="auto"/>
              <w:rPr>
                <w:rFonts w:ascii="Times New Roman" w:hAnsi="Times New Roman" w:cs="Times New Roman"/>
                <w:b/>
                <w:bCs/>
                <w:szCs w:val="21"/>
                <w:highlight w:val="none"/>
              </w:rPr>
            </w:pPr>
            <w:r>
              <w:rPr>
                <w:rFonts w:ascii="Times New Roman" w:hAnsi="Times New Roman" w:cs="Times New Roman"/>
                <w:szCs w:val="21"/>
                <w:highlight w:val="none"/>
              </w:rPr>
              <w:t xml:space="preserve">原理、运用阐述及提供的示例不够清晰明确，得4分。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8</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3.7</w:t>
            </w:r>
            <w:r/>
          </w:p>
        </w:tc>
        <w:tc>
          <w:tcPr>
            <w:tcBorders>
              <w:left w:val="single" w:color="auto" w:sz="4" w:space="0"/>
              <w:right w:val="single" w:color="auto" w:sz="4" w:space="0"/>
            </w:tcBorders>
            <w:tcW w:w="1228" w:type="dxa"/>
            <w:vAlign w:val="center"/>
            <w:vMerge w:val="continue"/>
            <w:textDirection w:val="lrTb"/>
            <w:noWrap w:val="false"/>
          </w:tcPr>
          <w:p>
            <w:pPr>
              <w:ind w:firstLine="442"/>
              <w:jc w:val="both"/>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驻场团队服务方案：科学全面，能够针对本项目需求出具深度细化的技术支持与巡查服务内容。</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技术支持、巡查服务流程科学标准，具有合理的巡查及问题反馈机制，得8分；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技术支持、日常维巡查方案较全面，巡查服务流程标准，具有巡查及问题处理机制，得6分；</w:t>
            </w:r>
            <w:r/>
          </w:p>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技术支持、日常巡查方案与项目要求出入较大得4分，未提供不得分。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8</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4</w:t>
            </w:r>
            <w:r/>
          </w:p>
        </w:tc>
        <w:tc>
          <w:tcPr>
            <w:tcBorders>
              <w:top w:val="single" w:color="auto" w:sz="4" w:space="0"/>
              <w:left w:val="single" w:color="auto" w:sz="4" w:space="0"/>
              <w:right w:val="single" w:color="auto" w:sz="4" w:space="0"/>
            </w:tcBorders>
            <w:tcW w:w="1228" w:type="dxa"/>
            <w:vAlign w:val="center"/>
            <w:textDirection w:val="lrTb"/>
            <w:noWrap w:val="false"/>
          </w:tcPr>
          <w:p>
            <w:pPr>
              <w:jc w:val="center"/>
              <w:spacing w:line="360" w:lineRule="auto"/>
              <w:rPr>
                <w:rFonts w:ascii="Times New Roman" w:hAnsi="Times New Roman" w:cs="Times New Roman"/>
                <w:b/>
                <w:bCs/>
                <w:szCs w:val="21"/>
                <w:highlight w:val="none"/>
              </w:rPr>
            </w:pPr>
            <w:r>
              <w:rPr>
                <w:rFonts w:hint="eastAsia" w:ascii="Times New Roman" w:hAnsi="Times New Roman" w:cs="Times New Roman"/>
                <w:b/>
                <w:bCs/>
                <w:szCs w:val="21"/>
                <w:highlight w:val="none"/>
              </w:rPr>
              <w:t xml:space="preserve">溯源</w:t>
            </w:r>
            <w:r>
              <w:rPr>
                <w:rFonts w:ascii="Times New Roman" w:hAnsi="Times New Roman" w:cs="Times New Roman"/>
                <w:b/>
                <w:bCs/>
                <w:szCs w:val="21"/>
                <w:highlight w:val="none"/>
              </w:rPr>
              <w:t xml:space="preserve">能力</w:t>
            </w:r>
            <w:r/>
          </w:p>
          <w:p>
            <w:pPr>
              <w:jc w:val="center"/>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hint="eastAsia" w:ascii="Times New Roman" w:hAnsi="Times New Roman" w:cs="Times New Roman"/>
                <w:szCs w:val="21"/>
                <w:highlight w:val="none"/>
              </w:rPr>
            </w:pPr>
            <w:r>
              <w:rPr>
                <w:rFonts w:ascii="Times New Roman" w:hAnsi="Times New Roman" w:cs="Times New Roman"/>
                <w:szCs w:val="21"/>
                <w:highlight w:val="none"/>
              </w:rPr>
              <w:t xml:space="preserve">供应商能够提供自2021年01月01日（含）以来利用高精度大气</w:t>
            </w:r>
            <w:r>
              <w:rPr>
                <w:rFonts w:hint="eastAsia" w:ascii="Times New Roman" w:hAnsi="Times New Roman" w:cs="Times New Roman"/>
                <w:szCs w:val="21"/>
                <w:highlight w:val="none"/>
                <w:lang w:val="en-US" w:eastAsia="zh-CN"/>
              </w:rPr>
              <w:t xml:space="preserve">颗粒物</w:t>
            </w:r>
            <w:r>
              <w:rPr>
                <w:rFonts w:ascii="Times New Roman" w:hAnsi="Times New Roman" w:cs="Times New Roman"/>
                <w:szCs w:val="21"/>
                <w:highlight w:val="none"/>
              </w:rPr>
              <w:t xml:space="preserve">粒径监测仪设备进行颗粒物污染溯源研究应用的相关案例，每提供一个案例得</w:t>
            </w:r>
            <w:r>
              <w:rPr>
                <w:rFonts w:hint="eastAsia" w:ascii="Times New Roman" w:hAnsi="Times New Roman" w:cs="Times New Roman"/>
                <w:szCs w:val="21"/>
                <w:highlight w:val="none"/>
                <w:lang w:val="en-US" w:eastAsia="zh-CN"/>
              </w:rPr>
              <w:t xml:space="preserve">2</w:t>
            </w:r>
            <w:r>
              <w:rPr>
                <w:rFonts w:hint="eastAsia" w:ascii="Times New Roman" w:hAnsi="Times New Roman" w:cs="Times New Roman"/>
                <w:szCs w:val="21"/>
                <w:highlight w:val="none"/>
              </w:rPr>
              <w:t xml:space="preserve">分</w:t>
            </w: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最多得6分</w:t>
            </w: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提供粒径监测案例合同或其他有效证明材料加盖供应商公章扫描件上传，时间以合同签订时间或其他有效证明材料为准</w:t>
            </w: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6</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5.1</w:t>
            </w:r>
            <w:r/>
          </w:p>
        </w:tc>
        <w:tc>
          <w:tcPr>
            <w:tcBorders>
              <w:left w:val="single" w:color="auto" w:sz="4" w:space="0"/>
              <w:right w:val="single" w:color="auto" w:sz="4" w:space="0"/>
            </w:tcBorders>
            <w:tcW w:w="1228" w:type="dxa"/>
            <w:vAlign w:val="center"/>
            <w:vMerge w:val="restart"/>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履约能力</w:t>
            </w:r>
            <w:r/>
          </w:p>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（9分）</w:t>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供应商具有支持接入卫星分析结果能力（至少包括臭氧、甲醛、甲烷等污染物浓度等）。投标文件中提供往年至少一年的历史数据图片或其他有效证明材料加盖供应商公章</w:t>
            </w:r>
            <w:r>
              <w:rPr>
                <w:rFonts w:hint="eastAsia" w:ascii="Times New Roman" w:hAnsi="Times New Roman" w:cs="Times New Roman"/>
                <w:szCs w:val="21"/>
                <w:highlight w:val="none"/>
                <w:lang w:val="en-US" w:eastAsia="zh-CN"/>
              </w:rPr>
              <w:t xml:space="preserve">扫描件上传</w:t>
            </w:r>
            <w:r>
              <w:rPr>
                <w:rFonts w:ascii="Times New Roman" w:hAnsi="Times New Roman" w:cs="Times New Roman"/>
                <w:szCs w:val="21"/>
                <w:highlight w:val="none"/>
              </w:rPr>
              <w:t xml:space="preserve">，能满足得</w:t>
            </w:r>
            <w:r>
              <w:rPr>
                <w:rFonts w:ascii="Times New Roman" w:hAnsi="Times New Roman" w:cs="Times New Roman"/>
                <w:szCs w:val="21"/>
                <w:highlight w:val="none"/>
                <w:lang w:val="en-US"/>
              </w:rPr>
              <w:t xml:space="preserve">3</w:t>
            </w:r>
            <w:r>
              <w:rPr>
                <w:rFonts w:ascii="Times New Roman" w:hAnsi="Times New Roman" w:cs="Times New Roman"/>
                <w:szCs w:val="21"/>
                <w:highlight w:val="none"/>
              </w:rPr>
              <w:t xml:space="preserve">分，不满足不得分。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3</w:t>
            </w:r>
            <w:r/>
          </w:p>
        </w:tc>
      </w:tr>
      <w:tr>
        <w:trPr>
          <w:jc w:val="center"/>
          <w:trHeight w:val="90"/>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5.2</w:t>
            </w:r>
            <w:r/>
          </w:p>
        </w:tc>
        <w:tc>
          <w:tcPr>
            <w:tcBorders>
              <w:left w:val="single" w:color="auto" w:sz="4" w:space="0"/>
              <w:right w:val="single" w:color="auto" w:sz="4" w:space="0"/>
            </w:tcBorders>
            <w:tcW w:w="1228" w:type="dxa"/>
            <w:vAlign w:val="center"/>
            <w:vMerge w:val="continue"/>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供应商具有支持接入全国范围网格地面及高空气象资料能力。投标文件中提供往年至少一年的历史数据图片或其他有效证明材料加盖供应商公章</w:t>
            </w:r>
            <w:r>
              <w:rPr>
                <w:rFonts w:hint="eastAsia" w:ascii="Times New Roman" w:hAnsi="Times New Roman" w:cs="Times New Roman"/>
                <w:szCs w:val="21"/>
                <w:highlight w:val="none"/>
                <w:lang w:val="en-US" w:eastAsia="zh-CN"/>
              </w:rPr>
              <w:t xml:space="preserve">扫描件上传</w:t>
            </w:r>
            <w:r>
              <w:rPr>
                <w:rFonts w:ascii="Times New Roman" w:hAnsi="Times New Roman" w:cs="Times New Roman"/>
                <w:szCs w:val="21"/>
                <w:highlight w:val="none"/>
              </w:rPr>
              <w:t xml:space="preserve">，能满足得</w:t>
            </w:r>
            <w:r>
              <w:rPr>
                <w:rFonts w:ascii="Times New Roman" w:hAnsi="Times New Roman" w:cs="Times New Roman"/>
                <w:szCs w:val="21"/>
                <w:highlight w:val="none"/>
                <w:lang w:val="en-US"/>
              </w:rPr>
              <w:t xml:space="preserve">3</w:t>
            </w:r>
            <w:r>
              <w:rPr>
                <w:rFonts w:ascii="Times New Roman" w:hAnsi="Times New Roman" w:cs="Times New Roman"/>
                <w:szCs w:val="21"/>
                <w:highlight w:val="none"/>
              </w:rPr>
              <w:t xml:space="preserve">分，不满足不得分。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3</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5.4</w:t>
            </w:r>
            <w:r/>
          </w:p>
        </w:tc>
        <w:tc>
          <w:tcPr>
            <w:tcBorders>
              <w:left w:val="single" w:color="auto" w:sz="4" w:space="0"/>
              <w:right w:val="single" w:color="auto" w:sz="4" w:space="0"/>
            </w:tcBorders>
            <w:tcW w:w="1228" w:type="dxa"/>
            <w:vAlign w:val="center"/>
            <w:vMerge w:val="continue"/>
            <w:textDirection w:val="lrTb"/>
            <w:noWrap w:val="false"/>
          </w:tcPr>
          <w:p>
            <w:pPr>
              <w:ind w:firstLine="442"/>
              <w:jc w:val="both"/>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供应商具有与生态环境综合智慧监管平台有关的软件著作权登记证书（著作权人为供应商）的得</w:t>
            </w:r>
            <w:r>
              <w:rPr>
                <w:rFonts w:hint="eastAsia" w:ascii="Times New Roman" w:hAnsi="Times New Roman" w:cs="Times New Roman"/>
                <w:szCs w:val="21"/>
                <w:highlight w:val="none"/>
                <w:lang w:val="en-US" w:eastAsia="zh-CN"/>
              </w:rPr>
              <w:t xml:space="preserve">3</w:t>
            </w:r>
            <w:r>
              <w:rPr>
                <w:rFonts w:ascii="Times New Roman" w:hAnsi="Times New Roman" w:cs="Times New Roman"/>
                <w:szCs w:val="21"/>
                <w:highlight w:val="none"/>
              </w:rPr>
              <w:t xml:space="preserve">分。须提供证书</w:t>
            </w:r>
            <w:r>
              <w:rPr>
                <w:rFonts w:hint="eastAsia" w:ascii="Times New Roman" w:hAnsi="Times New Roman" w:cs="Times New Roman"/>
                <w:szCs w:val="21"/>
                <w:highlight w:val="none"/>
                <w:lang w:val="en-US" w:eastAsia="zh-CN"/>
              </w:rPr>
              <w:t xml:space="preserve">原件扫描件上传</w:t>
            </w:r>
            <w:r>
              <w:rPr>
                <w:rFonts w:hint="eastAsia"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否则不得分。</w:t>
            </w:r>
            <w:r/>
          </w:p>
        </w:tc>
        <w:tc>
          <w:tcPr>
            <w:tcBorders>
              <w:top w:val="single" w:color="auto" w:sz="4" w:space="0"/>
              <w:left w:val="single" w:color="auto" w:sz="4" w:space="0"/>
              <w:bottom w:val="single" w:color="auto" w:sz="4" w:space="0"/>
              <w:right w:val="single" w:color="auto" w:sz="4" w:space="0"/>
            </w:tcBorders>
            <w:tcW w:w="710" w:type="dxa"/>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r>
            <w:r/>
          </w:p>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3</w:t>
            </w:r>
            <w:r/>
          </w:p>
        </w:tc>
      </w:tr>
      <w:tr>
        <w:trPr>
          <w:jc w:val="center"/>
          <w:trHeight w:val="1424"/>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6</w:t>
            </w:r>
            <w:r/>
          </w:p>
          <w:p>
            <w:pPr>
              <w:ind w:firstLine="442"/>
              <w:jc w:val="both"/>
              <w:spacing w:line="360" w:lineRule="auto"/>
              <w:rPr>
                <w:rFonts w:ascii="Times New Roman" w:hAnsi="Times New Roman" w:cs="Times New Roman"/>
                <w:b/>
                <w:szCs w:val="21"/>
                <w:highlight w:val="none"/>
              </w:rPr>
            </w:pPr>
            <w:r>
              <w:rPr>
                <w:rFonts w:ascii="Times New Roman" w:hAnsi="Times New Roman" w:cs="Times New Roman"/>
                <w:b/>
                <w:szCs w:val="21"/>
                <w:highlight w:val="none"/>
              </w:rPr>
            </w:r>
            <w:r/>
          </w:p>
        </w:tc>
        <w:tc>
          <w:tcPr>
            <w:tcBorders>
              <w:left w:val="single" w:color="auto" w:sz="4" w:space="0"/>
              <w:right w:val="single" w:color="auto" w:sz="4" w:space="0"/>
            </w:tcBorders>
            <w:tcW w:w="1228" w:type="dxa"/>
            <w:vAlign w:val="center"/>
            <w:textDirection w:val="lrTb"/>
            <w:noWrap w:val="false"/>
          </w:tcPr>
          <w:p>
            <w:pPr>
              <w:jc w:val="center"/>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监测设备投入</w:t>
            </w:r>
            <w:r/>
          </w:p>
          <w:p>
            <w:pPr>
              <w:jc w:val="both"/>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w:t>
            </w:r>
            <w:r>
              <w:rPr>
                <w:rFonts w:hint="eastAsia" w:ascii="Times New Roman" w:hAnsi="Times New Roman" w:cs="Times New Roman"/>
                <w:b/>
                <w:bCs/>
                <w:color w:val="auto"/>
                <w:szCs w:val="21"/>
                <w:highlight w:val="none"/>
                <w:lang w:val="en-US" w:eastAsia="zh-CN"/>
              </w:rPr>
              <w:t xml:space="preserve">12</w:t>
            </w:r>
            <w:r>
              <w:rPr>
                <w:rFonts w:ascii="Times New Roman" w:hAnsi="Times New Roman" w:cs="Times New Roman"/>
                <w:b/>
                <w:bCs/>
                <w:color w:val="auto"/>
                <w:szCs w:val="21"/>
                <w:highlight w:val="none"/>
              </w:rPr>
              <w:t xml:space="preserve">分）</w:t>
            </w:r>
            <w:r/>
          </w:p>
        </w:tc>
        <w:tc>
          <w:tcPr>
            <w:tcBorders>
              <w:top w:val="single" w:color="auto" w:sz="4" w:space="0"/>
              <w:left w:val="single" w:color="auto" w:sz="4" w:space="0"/>
              <w:right w:val="single" w:color="auto" w:sz="4" w:space="0"/>
            </w:tcBorders>
            <w:tcW w:w="6782" w:type="dxa"/>
            <w:textDirection w:val="lrTb"/>
            <w:noWrap w:val="false"/>
          </w:tcPr>
          <w:p>
            <w:pPr>
              <w:ind w:firstLine="440"/>
              <w:jc w:val="both"/>
              <w:spacing w:line="360" w:lineRule="auto"/>
              <w:rPr>
                <w:rFonts w:ascii="Times New Roman" w:hAnsi="Times New Roman" w:cs="Times New Roman"/>
                <w:b/>
                <w:bCs/>
                <w:color w:val="auto"/>
                <w:szCs w:val="21"/>
                <w:highlight w:val="none"/>
              </w:rPr>
            </w:pPr>
            <w:r>
              <w:rPr>
                <w:rFonts w:ascii="Times New Roman" w:hAnsi="Times New Roman" w:cs="Times New Roman"/>
                <w:b w:val="0"/>
                <w:bCs w:val="0"/>
                <w:color w:val="auto"/>
                <w:szCs w:val="21"/>
                <w:highlight w:val="none"/>
              </w:rPr>
              <w:t xml:space="preserve">本项目所需的高精度大气颗粒物粒径监测仪完全满足采购需求1.1.2监测指标要求的得</w:t>
            </w:r>
            <w:r>
              <w:rPr>
                <w:rFonts w:hint="eastAsia" w:ascii="Times New Roman" w:hAnsi="Times New Roman" w:cs="Times New Roman"/>
                <w:b w:val="0"/>
                <w:bCs w:val="0"/>
                <w:color w:val="auto"/>
                <w:szCs w:val="21"/>
                <w:highlight w:val="none"/>
                <w:lang w:val="en-US" w:eastAsia="zh-CN"/>
              </w:rPr>
              <w:t xml:space="preserve">8</w:t>
            </w:r>
            <w:r>
              <w:rPr>
                <w:rFonts w:ascii="Times New Roman" w:hAnsi="Times New Roman" w:cs="Times New Roman"/>
                <w:b w:val="0"/>
                <w:bCs w:val="0"/>
                <w:color w:val="auto"/>
                <w:szCs w:val="21"/>
                <w:highlight w:val="none"/>
              </w:rPr>
              <w:t xml:space="preserve">分；具有CMA</w:t>
            </w:r>
            <w:r>
              <w:rPr>
                <w:rFonts w:hint="eastAsia" w:ascii="Times New Roman" w:hAnsi="Times New Roman" w:cs="Times New Roman"/>
                <w:b w:val="0"/>
                <w:bCs w:val="0"/>
                <w:color w:val="auto"/>
                <w:szCs w:val="21"/>
                <w:highlight w:val="none"/>
              </w:rPr>
              <w:t xml:space="preserve">检测报告</w:t>
            </w:r>
            <w:r>
              <w:rPr>
                <w:rFonts w:ascii="Times New Roman" w:hAnsi="Times New Roman" w:cs="Times New Roman"/>
                <w:b w:val="0"/>
                <w:bCs w:val="0"/>
                <w:color w:val="auto"/>
                <w:szCs w:val="21"/>
                <w:highlight w:val="none"/>
              </w:rPr>
              <w:t xml:space="preserve">得</w:t>
            </w:r>
            <w:r>
              <w:rPr>
                <w:rFonts w:ascii="Times New Roman" w:hAnsi="Times New Roman" w:cs="Times New Roman"/>
                <w:b w:val="0"/>
                <w:bCs w:val="0"/>
                <w:color w:val="auto"/>
                <w:szCs w:val="21"/>
                <w:highlight w:val="none"/>
                <w:lang w:val="en-US"/>
              </w:rPr>
              <w:t xml:space="preserve">4</w:t>
            </w:r>
            <w:r>
              <w:rPr>
                <w:rFonts w:ascii="Times New Roman" w:hAnsi="Times New Roman" w:cs="Times New Roman"/>
                <w:b w:val="0"/>
                <w:bCs w:val="0"/>
                <w:color w:val="auto"/>
                <w:szCs w:val="21"/>
                <w:highlight w:val="none"/>
              </w:rPr>
              <w:t xml:space="preserve">分。（提供封面具有CMA标志的权威检测机构的检测报告原件扫描</w:t>
            </w:r>
            <w:r>
              <w:rPr>
                <w:rFonts w:hint="eastAsia" w:ascii="Times New Roman" w:hAnsi="Times New Roman" w:cs="Times New Roman"/>
                <w:b w:val="0"/>
                <w:bCs w:val="0"/>
                <w:color w:val="auto"/>
                <w:szCs w:val="21"/>
                <w:highlight w:val="none"/>
                <w:lang w:val="en-US" w:eastAsia="zh-CN"/>
              </w:rPr>
              <w:t xml:space="preserve">件</w:t>
            </w:r>
            <w:r>
              <w:rPr>
                <w:rFonts w:ascii="Times New Roman" w:hAnsi="Times New Roman" w:cs="Times New Roman"/>
                <w:b w:val="0"/>
                <w:bCs w:val="0"/>
                <w:color w:val="auto"/>
                <w:szCs w:val="21"/>
                <w:highlight w:val="none"/>
              </w:rPr>
              <w:t xml:space="preserve">上传）</w:t>
            </w:r>
            <w:r/>
          </w:p>
        </w:tc>
        <w:tc>
          <w:tcPr>
            <w:tcBorders>
              <w:top w:val="single" w:color="auto" w:sz="4" w:space="0"/>
              <w:left w:val="single" w:color="auto" w:sz="4" w:space="0"/>
              <w:right w:val="single" w:color="auto" w:sz="4" w:space="0"/>
            </w:tcBorders>
            <w:tcW w:w="710" w:type="dxa"/>
            <w:vAlign w:val="center"/>
            <w:textDirection w:val="lrTb"/>
            <w:noWrap w:val="false"/>
          </w:tcPr>
          <w:p>
            <w:pPr>
              <w:jc w:val="center"/>
              <w:spacing w:line="360" w:lineRule="auto"/>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12</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7.1</w:t>
            </w:r>
            <w:r/>
          </w:p>
        </w:tc>
        <w:tc>
          <w:tcPr>
            <w:tcBorders>
              <w:left w:val="single" w:color="auto" w:sz="4" w:space="0"/>
              <w:right w:val="single" w:color="auto" w:sz="4" w:space="0"/>
            </w:tcBorders>
            <w:tcW w:w="1228" w:type="dxa"/>
            <w:vAlign w:val="center"/>
            <w:vMerge w:val="restart"/>
            <w:textDirection w:val="lrTb"/>
            <w:noWrap w:val="false"/>
          </w:tcPr>
          <w:p>
            <w:pPr>
              <w:jc w:val="center"/>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项目人员</w:t>
            </w:r>
            <w:r/>
          </w:p>
          <w:p>
            <w:pPr>
              <w:jc w:val="both"/>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w:t>
            </w:r>
            <w:r>
              <w:rPr>
                <w:rFonts w:ascii="Times New Roman" w:hAnsi="Times New Roman" w:cs="Times New Roman"/>
                <w:b/>
                <w:bCs/>
                <w:color w:val="auto"/>
                <w:szCs w:val="21"/>
                <w:highlight w:val="none"/>
                <w:lang w:val="en-US"/>
              </w:rPr>
              <w:t xml:space="preserve">1</w:t>
            </w:r>
            <w:r>
              <w:rPr>
                <w:rFonts w:hint="eastAsia" w:ascii="Times New Roman" w:hAnsi="Times New Roman" w:cs="Times New Roman"/>
                <w:b/>
                <w:bCs/>
                <w:color w:val="auto"/>
                <w:szCs w:val="21"/>
                <w:highlight w:val="none"/>
                <w:lang w:val="en-US" w:eastAsia="zh-CN"/>
              </w:rPr>
              <w:t xml:space="preserve">0</w:t>
            </w:r>
            <w:r>
              <w:rPr>
                <w:rFonts w:ascii="Times New Roman" w:hAnsi="Times New Roman" w:cs="Times New Roman"/>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拟投入本项目的项目经理与本项目背景专业相关的得</w:t>
            </w:r>
            <w:r>
              <w:rPr>
                <w:rFonts w:ascii="Times New Roman" w:hAnsi="Times New Roman" w:cs="Times New Roman"/>
                <w:color w:val="auto"/>
                <w:szCs w:val="21"/>
                <w:highlight w:val="none"/>
                <w:lang w:val="en-US"/>
              </w:rPr>
              <w:t xml:space="preserve">3</w:t>
            </w:r>
            <w:r>
              <w:rPr>
                <w:rFonts w:ascii="Times New Roman" w:hAnsi="Times New Roman" w:cs="Times New Roman"/>
                <w:color w:val="auto"/>
                <w:szCs w:val="21"/>
                <w:highlight w:val="none"/>
              </w:rPr>
              <w:t xml:space="preserve">分；（须提供项目经理毕业证书</w:t>
            </w:r>
            <w:r>
              <w:rPr>
                <w:rFonts w:ascii="Times New Roman" w:hAnsi="Times New Roman" w:cs="Times New Roman"/>
                <w:color w:val="auto"/>
                <w:szCs w:val="21"/>
                <w:highlight w:val="none"/>
                <w:lang w:val="en-US"/>
              </w:rPr>
              <w:t xml:space="preserve">及投标人为其缴纳的2024年</w:t>
            </w:r>
            <w:r>
              <w:rPr>
                <w:rFonts w:hint="eastAsia" w:ascii="Times New Roman" w:hAnsi="Times New Roman" w:cs="Times New Roman"/>
                <w:color w:val="auto"/>
                <w:szCs w:val="21"/>
                <w:highlight w:val="none"/>
                <w:lang w:val="en-US" w:eastAsia="zh-CN"/>
              </w:rPr>
              <w:t xml:space="preserve">7</w:t>
            </w:r>
            <w:r>
              <w:rPr>
                <w:rFonts w:ascii="Times New Roman" w:hAnsi="Times New Roman" w:cs="Times New Roman"/>
                <w:color w:val="auto"/>
                <w:szCs w:val="21"/>
                <w:highlight w:val="none"/>
                <w:lang w:val="en-US"/>
              </w:rPr>
              <w:t xml:space="preserve">月至9月社保证明材料，</w:t>
            </w:r>
            <w:r>
              <w:rPr>
                <w:rFonts w:ascii="Times New Roman" w:hAnsi="Times New Roman" w:cs="Times New Roman"/>
                <w:b w:val="0"/>
                <w:bCs w:val="0"/>
                <w:color w:val="auto"/>
                <w:szCs w:val="21"/>
                <w:highlight w:val="none"/>
              </w:rPr>
              <w:t xml:space="preserve">原件扫描</w:t>
            </w:r>
            <w:r>
              <w:rPr>
                <w:rFonts w:hint="eastAsia" w:ascii="Times New Roman" w:hAnsi="Times New Roman" w:cs="Times New Roman"/>
                <w:b w:val="0"/>
                <w:bCs w:val="0"/>
                <w:color w:val="auto"/>
                <w:szCs w:val="21"/>
                <w:highlight w:val="none"/>
                <w:lang w:val="en-US" w:eastAsia="zh-CN"/>
              </w:rPr>
              <w:t xml:space="preserve">件</w:t>
            </w:r>
            <w:r>
              <w:rPr>
                <w:rFonts w:ascii="Times New Roman" w:hAnsi="Times New Roman" w:cs="Times New Roman"/>
                <w:b w:val="0"/>
                <w:bCs w:val="0"/>
                <w:color w:val="auto"/>
                <w:szCs w:val="21"/>
                <w:highlight w:val="none"/>
              </w:rPr>
              <w:t xml:space="preserve">上传</w:t>
            </w:r>
            <w:r>
              <w:rPr>
                <w:rFonts w:ascii="Times New Roman" w:hAnsi="Times New Roman" w:cs="Times New Roman"/>
                <w:color w:val="auto"/>
                <w:szCs w:val="21"/>
                <w:highlight w:val="none"/>
              </w:rPr>
              <w:t xml:space="preserve">。否则不得分）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3</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7.2</w:t>
            </w:r>
            <w:r/>
          </w:p>
        </w:tc>
        <w:tc>
          <w:tcPr>
            <w:tcBorders>
              <w:left w:val="single" w:color="auto" w:sz="4" w:space="0"/>
              <w:right w:val="single" w:color="auto" w:sz="4" w:space="0"/>
            </w:tcBorders>
            <w:tcW w:w="1228" w:type="dxa"/>
            <w:vAlign w:val="center"/>
            <w:vMerge w:val="continue"/>
            <w:textDirection w:val="lrTb"/>
            <w:noWrap w:val="false"/>
          </w:tcPr>
          <w:p>
            <w:pPr>
              <w:ind w:firstLine="442"/>
              <w:jc w:val="both"/>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针对本项目配置的其他人员具有环境类中级工程师职称的，每有一人得</w:t>
            </w:r>
            <w:r>
              <w:rPr>
                <w:rFonts w:hint="eastAsia" w:ascii="Times New Roman" w:hAnsi="Times New Roman" w:cs="Times New Roman"/>
                <w:color w:val="auto"/>
                <w:szCs w:val="21"/>
                <w:highlight w:val="none"/>
                <w:lang w:val="en-US" w:eastAsia="zh-CN"/>
              </w:rPr>
              <w:t xml:space="preserve">1</w:t>
            </w:r>
            <w:r>
              <w:rPr>
                <w:rFonts w:ascii="Times New Roman" w:hAnsi="Times New Roman" w:cs="Times New Roman"/>
                <w:color w:val="auto"/>
                <w:szCs w:val="21"/>
                <w:highlight w:val="none"/>
              </w:rPr>
              <w:t xml:space="preserve">分，高级工程师或以上职称的，每有一人得</w:t>
            </w:r>
            <w:r>
              <w:rPr>
                <w:rFonts w:hint="eastAsia" w:ascii="Times New Roman" w:hAnsi="Times New Roman" w:cs="Times New Roman"/>
                <w:color w:val="auto"/>
                <w:szCs w:val="21"/>
                <w:highlight w:val="none"/>
                <w:lang w:val="en-US" w:eastAsia="zh-CN"/>
              </w:rPr>
              <w:t xml:space="preserve">2</w:t>
            </w:r>
            <w:r>
              <w:rPr>
                <w:rFonts w:ascii="Times New Roman" w:hAnsi="Times New Roman" w:cs="Times New Roman"/>
                <w:color w:val="auto"/>
                <w:szCs w:val="21"/>
                <w:highlight w:val="none"/>
              </w:rPr>
              <w:t xml:space="preserve">分，最高得</w:t>
            </w:r>
            <w:r>
              <w:rPr>
                <w:rFonts w:hint="eastAsia" w:ascii="Times New Roman" w:hAnsi="Times New Roman" w:cs="Times New Roman"/>
                <w:color w:val="auto"/>
                <w:szCs w:val="21"/>
                <w:highlight w:val="none"/>
                <w:lang w:val="en-US" w:eastAsia="zh-CN"/>
              </w:rPr>
              <w:t xml:space="preserve">4</w:t>
            </w:r>
            <w:r>
              <w:rPr>
                <w:rFonts w:ascii="Times New Roman" w:hAnsi="Times New Roman" w:cs="Times New Roman"/>
                <w:color w:val="auto"/>
                <w:szCs w:val="21"/>
                <w:highlight w:val="none"/>
              </w:rPr>
              <w:t xml:space="preserve">分。（提供人员相关证书及投标人为其缴纳的2024年</w:t>
            </w:r>
            <w:r>
              <w:rPr>
                <w:rFonts w:hint="eastAsia" w:ascii="Times New Roman" w:hAnsi="Times New Roman" w:cs="Times New Roman"/>
                <w:color w:val="auto"/>
                <w:szCs w:val="21"/>
                <w:highlight w:val="none"/>
                <w:lang w:val="en-US" w:eastAsia="zh-CN"/>
              </w:rPr>
              <w:t xml:space="preserve">7</w:t>
            </w:r>
            <w:r>
              <w:rPr>
                <w:rFonts w:ascii="Times New Roman" w:hAnsi="Times New Roman" w:cs="Times New Roman"/>
                <w:color w:val="auto"/>
                <w:szCs w:val="21"/>
                <w:highlight w:val="none"/>
              </w:rPr>
              <w:t xml:space="preserve">月至9月社保证明材料，</w:t>
            </w:r>
            <w:r>
              <w:rPr>
                <w:rFonts w:ascii="Times New Roman" w:hAnsi="Times New Roman" w:cs="Times New Roman"/>
                <w:b w:val="0"/>
                <w:bCs w:val="0"/>
                <w:color w:val="auto"/>
                <w:szCs w:val="21"/>
                <w:highlight w:val="none"/>
              </w:rPr>
              <w:t xml:space="preserve">原件扫描</w:t>
            </w:r>
            <w:r>
              <w:rPr>
                <w:rFonts w:hint="eastAsia" w:ascii="Times New Roman" w:hAnsi="Times New Roman" w:cs="Times New Roman"/>
                <w:b w:val="0"/>
                <w:bCs w:val="0"/>
                <w:color w:val="auto"/>
                <w:szCs w:val="21"/>
                <w:highlight w:val="none"/>
                <w:lang w:val="en-US" w:eastAsia="zh-CN"/>
              </w:rPr>
              <w:t xml:space="preserve">件</w:t>
            </w:r>
            <w:r>
              <w:rPr>
                <w:rFonts w:ascii="Times New Roman" w:hAnsi="Times New Roman" w:cs="Times New Roman"/>
                <w:b w:val="0"/>
                <w:bCs w:val="0"/>
                <w:color w:val="auto"/>
                <w:szCs w:val="21"/>
                <w:highlight w:val="none"/>
              </w:rPr>
              <w:t xml:space="preserve">上传</w:t>
            </w:r>
            <w:r>
              <w:rPr>
                <w:rFonts w:ascii="Times New Roman" w:hAnsi="Times New Roman" w:cs="Times New Roman"/>
                <w:color w:val="auto"/>
                <w:szCs w:val="21"/>
                <w:highlight w:val="none"/>
              </w:rPr>
              <w:t xml:space="preserve">。否则不得分）</w:t>
            </w:r>
            <w:r/>
          </w:p>
          <w:p>
            <w:pPr>
              <w:ind w:firstLine="440"/>
              <w:jc w:val="both"/>
              <w:spacing w:line="360" w:lineRule="auto"/>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注：7.2和7.3人员可兼得</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hint="eastAsia" w:ascii="Times New Roman" w:hAnsi="Times New Roman" w:eastAsia="宋体" w:cs="Times New Roman"/>
                <w:szCs w:val="21"/>
                <w:highlight w:val="none"/>
                <w:lang w:eastAsia="zh-CN"/>
              </w:rPr>
            </w:pPr>
            <w:r>
              <w:rPr>
                <w:rFonts w:hint="eastAsia" w:ascii="Times New Roman" w:hAnsi="Times New Roman" w:cs="Times New Roman"/>
                <w:szCs w:val="21"/>
                <w:highlight w:val="none"/>
                <w:lang w:val="en-US" w:eastAsia="zh-CN"/>
              </w:rPr>
              <w:t xml:space="preserve">4</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7.3</w:t>
            </w:r>
            <w:r/>
          </w:p>
        </w:tc>
        <w:tc>
          <w:tcPr>
            <w:tcBorders>
              <w:left w:val="single" w:color="auto" w:sz="4" w:space="0"/>
              <w:right w:val="single" w:color="auto" w:sz="4" w:space="0"/>
            </w:tcBorders>
            <w:tcW w:w="1228" w:type="dxa"/>
            <w:vAlign w:val="center"/>
            <w:vMerge w:val="continue"/>
            <w:textDirection w:val="lrTb"/>
            <w:noWrap w:val="false"/>
          </w:tcPr>
          <w:p>
            <w:pPr>
              <w:ind w:firstLine="442"/>
              <w:jc w:val="both"/>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供应商必须按照项目需求提供专业驻场技术支持服务人员及巡查人员，人员数量、专业背景技术能力等能够满足项目开展需求得3分，基本满足得1分，不满足不得分。</w:t>
            </w:r>
            <w:r/>
          </w:p>
          <w:p>
            <w:pPr>
              <w:ind w:firstLine="442"/>
              <w:jc w:val="both"/>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（提供承诺书加盖投标人公章</w:t>
            </w:r>
            <w:r>
              <w:rPr>
                <w:rFonts w:hint="eastAsia" w:ascii="Times New Roman" w:hAnsi="Times New Roman" w:cs="Times New Roman"/>
                <w:b/>
                <w:bCs/>
                <w:color w:val="auto"/>
                <w:szCs w:val="21"/>
                <w:highlight w:val="none"/>
              </w:rPr>
              <w:t xml:space="preserve">扫描件上传</w:t>
            </w:r>
            <w:r>
              <w:rPr>
                <w:rFonts w:ascii="Times New Roman" w:hAnsi="Times New Roman" w:cs="Times New Roman"/>
                <w:b/>
                <w:bCs/>
                <w:color w:val="auto"/>
                <w:szCs w:val="21"/>
                <w:highlight w:val="none"/>
              </w:rPr>
              <w:t xml:space="preserve">，并</w:t>
            </w:r>
            <w:r>
              <w:rPr>
                <w:rFonts w:ascii="Times New Roman" w:hAnsi="Times New Roman" w:cs="Times New Roman"/>
                <w:b/>
                <w:bCs/>
                <w:color w:val="auto"/>
                <w:szCs w:val="21"/>
                <w:highlight w:val="none"/>
                <w:lang w:val="en-US"/>
              </w:rPr>
              <w:t xml:space="preserve">附</w:t>
            </w:r>
            <w:r>
              <w:rPr>
                <w:rFonts w:ascii="Times New Roman" w:hAnsi="Times New Roman" w:cs="Times New Roman"/>
                <w:b/>
                <w:bCs/>
                <w:color w:val="auto"/>
                <w:szCs w:val="21"/>
                <w:highlight w:val="none"/>
              </w:rPr>
              <w:t xml:space="preserve">项目人员名单及相关证明材料。）</w:t>
            </w:r>
            <w:r/>
          </w:p>
          <w:p>
            <w:pPr>
              <w:ind w:firstLine="440"/>
              <w:jc w:val="both"/>
              <w:spacing w:line="360" w:lineRule="auto"/>
              <w:rPr>
                <w:rFonts w:ascii="Times New Roman" w:hAnsi="Times New Roman" w:cs="Times New Roman"/>
                <w:b/>
                <w:bCs/>
                <w:color w:val="auto"/>
                <w:szCs w:val="21"/>
                <w:highlight w:val="none"/>
              </w:rPr>
            </w:pPr>
            <w:r>
              <w:rPr>
                <w:rFonts w:ascii="Times New Roman" w:hAnsi="Times New Roman" w:cs="Times New Roman"/>
                <w:color w:val="auto"/>
                <w:szCs w:val="21"/>
                <w:highlight w:val="none"/>
                <w:lang w:val="en-US"/>
              </w:rPr>
              <w:t xml:space="preserve">注：7.2和7.3人员可兼得</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spacing w:line="360" w:lineRule="auto"/>
              <w:rPr>
                <w:rFonts w:ascii="Times New Roman" w:hAnsi="Times New Roman" w:cs="Times New Roman"/>
                <w:b/>
                <w:szCs w:val="21"/>
                <w:highlight w:val="none"/>
              </w:rPr>
            </w:pPr>
            <w:r>
              <w:rPr>
                <w:rFonts w:ascii="Times New Roman" w:hAnsi="Times New Roman" w:cs="Times New Roman"/>
                <w:b/>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782" w:type="dxa"/>
            <w:vAlign w:val="center"/>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Times New Roman" w:hAnsi="Times New Roman" w:cs="Times New Roman"/>
                <w:szCs w:val="21"/>
                <w:highlight w:val="none"/>
              </w:rPr>
            </w:pPr>
            <w:r>
              <w:rPr>
                <w:rFonts w:ascii="Times New Roman" w:hAnsi="Times New Roman" w:cs="Times New Roman"/>
                <w:szCs w:val="21"/>
                <w:highlight w:val="none"/>
              </w:rPr>
              <w:t xml:space="preserve">100</w:t>
            </w:r>
            <w:bookmarkEnd w:id="47"/>
            <w:r/>
            <w:r/>
          </w:p>
        </w:tc>
      </w:tr>
    </w:tbl>
    <w:p>
      <w:pPr>
        <w:pStyle w:val="1091"/>
        <w:rPr>
          <w:highlight w:val="none"/>
        </w:rPr>
      </w:pPr>
      <w:r>
        <w:rPr>
          <w:highlight w:val="none"/>
        </w:rPr>
        <w:t xml:space="preserve">说明：</w:t>
      </w:r>
      <w:r/>
    </w:p>
    <w:p>
      <w:pPr>
        <w:pStyle w:val="1091"/>
        <w:rPr>
          <w:highlight w:val="none"/>
        </w:rPr>
      </w:pPr>
      <w:r>
        <w:rPr>
          <w:highlight w:val="none"/>
        </w:rPr>
        <w:t xml:space="preserve">1、对国家认定的节能产品和环保产品分别给予投标价的5%、5%价格扣除，用扣除后的价格参与评审（特别说明：节能、环保产品必须提供有效的节能产品、环境标志产品认证证书）。</w:t>
      </w:r>
      <w:r/>
    </w:p>
    <w:p>
      <w:pPr>
        <w:pStyle w:val="1091"/>
        <w:rPr>
          <w:highlight w:val="none"/>
        </w:rPr>
      </w:pPr>
      <w:r>
        <w:rPr>
          <w:highlight w:val="none"/>
        </w:rPr>
        <w:t xml:space="preserve">2、小微企业的价格扣除</w:t>
      </w:r>
      <w:r/>
    </w:p>
    <w:p>
      <w:pPr>
        <w:pStyle w:val="1091"/>
        <w:rPr>
          <w:highlight w:val="none"/>
        </w:rPr>
      </w:pPr>
      <w:r>
        <w:rPr>
          <w:highlight w:val="none"/>
        </w:rPr>
        <w:t xml:space="preserve">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pStyle w:val="1091"/>
        <w:rPr>
          <w:highlight w:val="none"/>
        </w:rPr>
      </w:pPr>
      <w:r>
        <w:rPr>
          <w:highlight w:val="none"/>
        </w:rPr>
        <w:t xml:space="preserve">3、监狱和戒毒企业的价格扣除</w:t>
      </w:r>
      <w:r/>
    </w:p>
    <w:p>
      <w:pPr>
        <w:pStyle w:val="1091"/>
        <w:rPr>
          <w:highlight w:val="none"/>
        </w:rPr>
      </w:pPr>
      <w:r>
        <w:rPr>
          <w:highlight w:val="none"/>
        </w:rPr>
        <w:t xml:space="preserve">3.1本项目对监狱和戒毒企业（简称监狱企业），给予10%的价格扣除，用扣除后的价格参与评审。</w:t>
      </w:r>
      <w:r/>
    </w:p>
    <w:p>
      <w:pPr>
        <w:pStyle w:val="1091"/>
        <w:rPr>
          <w:highlight w:val="none"/>
        </w:rPr>
      </w:pPr>
      <w:r>
        <w:rPr>
          <w:highlight w:val="none"/>
        </w:rPr>
        <w:t xml:space="preserve">3.2监狱企业需提供由省级以上监狱管理局、戒毒管理局（含新疆生产建设兵团）出具的属于监狱企业的证明文件。</w:t>
      </w:r>
      <w:r/>
    </w:p>
    <w:p>
      <w:pPr>
        <w:pStyle w:val="1091"/>
        <w:rPr>
          <w:highlight w:val="none"/>
        </w:rPr>
      </w:pPr>
      <w:r>
        <w:rPr>
          <w:highlight w:val="none"/>
        </w:rPr>
        <w:t xml:space="preserve">3.3监狱企业标准请参照《关于政府采购支持监狱企业发展有关问题的通知》（财库[2014]68号）。</w:t>
      </w:r>
      <w:r/>
    </w:p>
    <w:p>
      <w:pPr>
        <w:pStyle w:val="1091"/>
        <w:rPr>
          <w:highlight w:val="none"/>
        </w:rPr>
      </w:pPr>
      <w:r>
        <w:rPr>
          <w:highlight w:val="none"/>
        </w:rPr>
        <w:t xml:space="preserve">4、残疾人福利性单位的价格扣除</w:t>
      </w:r>
      <w:r/>
    </w:p>
    <w:p>
      <w:pPr>
        <w:pStyle w:val="1091"/>
        <w:rPr>
          <w:highlight w:val="none"/>
        </w:rPr>
      </w:pPr>
      <w:r>
        <w:rPr>
          <w:highlight w:val="none"/>
        </w:rPr>
        <w:t xml:space="preserve">4.1本项目对残疾人福利性单位，给予10%的价格扣除，用扣除后的价格参与评审。</w:t>
      </w:r>
      <w:r/>
    </w:p>
    <w:p>
      <w:pPr>
        <w:pStyle w:val="1091"/>
        <w:rPr>
          <w:highlight w:val="none"/>
        </w:rPr>
      </w:pPr>
      <w:r>
        <w:rPr>
          <w:highlight w:val="none"/>
        </w:rPr>
        <w:t xml:space="preserve">4.2残疾人福利单位需按照采购文件的要求提供《残疾人福利性单位声明函》。</w:t>
      </w:r>
      <w:r/>
    </w:p>
    <w:p>
      <w:pPr>
        <w:pStyle w:val="1091"/>
        <w:rPr>
          <w:highlight w:val="none"/>
        </w:rPr>
      </w:pPr>
      <w:r>
        <w:rPr>
          <w:highlight w:val="none"/>
        </w:rPr>
        <w:t xml:space="preserve">4.3残疾人福利单位标准请参照《关于促进残疾人就业政府采购政策的通知》（财库〔2017〕141号）。</w:t>
      </w:r>
      <w:r/>
    </w:p>
    <w:p>
      <w:pPr>
        <w:pStyle w:val="1091"/>
        <w:rPr>
          <w:rFonts w:ascii="Times New Roman" w:hAnsi="Times New Roman" w:cs="Times New Roman"/>
          <w:bCs/>
          <w:sz w:val="21"/>
          <w:szCs w:val="21"/>
          <w:highlight w:val="none"/>
        </w:rPr>
      </w:pPr>
      <w:r>
        <w:rPr>
          <w:highlight w:val="none"/>
        </w:rPr>
        <w:t xml:space="preserve">5、监狱企业、残疾人福利单位属于小型、微型企业的，不重复享受政策。</w:t>
      </w:r>
      <w:r/>
    </w:p>
    <w:p>
      <w:pPr>
        <w:ind w:firstLine="420"/>
        <w:jc w:val="both"/>
        <w:rPr>
          <w:rFonts w:ascii="Times New Roman" w:hAnsi="Times New Roman" w:cs="Times New Roman"/>
          <w:sz w:val="21"/>
          <w:highlight w:val="none"/>
        </w:rPr>
        <w:sectPr>
          <w:footnotePr/>
          <w:endnotePr/>
          <w:type w:val="nextPage"/>
          <w:pgSz w:w="11910" w:h="16840" w:orient="portrait"/>
          <w:pgMar w:top="1420" w:right="800" w:bottom="920" w:left="800" w:header="492" w:footer="726" w:gutter="0"/>
          <w:cols w:num="1" w:sep="0" w:space="720" w:equalWidth="1"/>
          <w:docGrid w:linePitch="360"/>
        </w:sectPr>
      </w:pPr>
      <w:r>
        <w:rPr>
          <w:rFonts w:ascii="Times New Roman" w:hAnsi="Times New Roman" w:cs="Times New Roman"/>
          <w:sz w:val="21"/>
          <w:highlight w:val="none"/>
        </w:rPr>
      </w:r>
      <w:r/>
    </w:p>
    <w:p>
      <w:pPr>
        <w:jc w:val="center"/>
        <w:spacing w:line="360" w:lineRule="auto"/>
        <w:rPr>
          <w:rFonts w:ascii="Times New Roman" w:hAnsi="Times New Roman" w:eastAsia="黑体" w:cs="Times New Roman"/>
          <w:sz w:val="32"/>
          <w:highlight w:val="none"/>
        </w:rPr>
        <w:outlineLvl w:val="0"/>
      </w:pPr>
      <w:r/>
      <w:bookmarkStart w:id="48" w:name="_TOC_250001"/>
      <w:r/>
      <w:bookmarkEnd w:id="48"/>
      <w:r>
        <w:rPr>
          <w:rFonts w:ascii="Times New Roman" w:hAnsi="Times New Roman" w:eastAsia="黑体" w:cs="Times New Roman"/>
          <w:sz w:val="32"/>
          <w:highlight w:val="none"/>
        </w:rPr>
        <w:t xml:space="preserve">第五章  公开招标项目需求</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一、项目名称</w:t>
      </w:r>
      <w:r/>
    </w:p>
    <w:p>
      <w:pPr>
        <w:pStyle w:val="1091"/>
        <w:rPr>
          <w:highlight w:val="none"/>
        </w:rPr>
      </w:pPr>
      <w:r>
        <w:rPr>
          <w:rFonts w:hint="eastAsia"/>
          <w:highlight w:val="none"/>
        </w:rPr>
        <w:t xml:space="preserve">鼓楼区生态环境综合调度智慧监管服务项目（一期）</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二、服务内容</w:t>
      </w:r>
      <w:r/>
    </w:p>
    <w:p>
      <w:pPr>
        <w:pStyle w:val="1091"/>
        <w:rPr>
          <w:highlight w:val="none"/>
        </w:rPr>
      </w:pPr>
      <w:r>
        <w:rPr>
          <w:highlight w:val="none"/>
        </w:rPr>
        <w:t xml:space="preserve">为解决鼓楼区生态环境治理在协同性和智能化方面存在的“各领域数据融合不充分、数据挖掘利用深度不够、智能化治理水平不高”等问题，鼓楼生态环境局利用大数据、人工智能等技术，融合遥感卫星、气象、地面监测设备数据，基于通用底座大模型，生成生态环境垂直领域大模型，具备生态环境领域专业知识与数据问答能力，提供专业、准确的生态环境问题解答。并</w:t>
      </w:r>
      <w:r>
        <w:rPr>
          <w:rFonts w:hint="eastAsia"/>
          <w:highlight w:val="none"/>
          <w:lang w:eastAsia="zh-CN"/>
        </w:rPr>
        <w:t xml:space="preserve">利用</w:t>
      </w:r>
      <w:r>
        <w:rPr>
          <w:highlight w:val="none"/>
        </w:rPr>
        <w:t xml:space="preserve">鼓楼</w:t>
      </w:r>
      <w:r>
        <w:rPr>
          <w:rFonts w:hint="eastAsia"/>
          <w:highlight w:val="none"/>
          <w:lang w:eastAsia="zh-CN"/>
        </w:rPr>
        <w:t xml:space="preserve">区现有</w:t>
      </w:r>
      <w:r>
        <w:rPr>
          <w:highlight w:val="none"/>
        </w:rPr>
        <w:t xml:space="preserve">监测</w:t>
      </w:r>
      <w:r>
        <w:rPr>
          <w:rFonts w:hint="eastAsia"/>
          <w:highlight w:val="none"/>
          <w:lang w:eastAsia="zh-CN"/>
        </w:rPr>
        <w:t xml:space="preserve">资源</w:t>
      </w:r>
      <w:r>
        <w:rPr>
          <w:highlight w:val="none"/>
        </w:rPr>
        <w:t xml:space="preserve">，建立鼓楼区生态环境智慧监管综合调度平台，整合全区生态环境监测资源，打通生态环境领域的信息孤岛，实现资源共享，实现在智能化指挥调度平台上的生态环境全要素统筹、全过程监管、多场景应用，全面提升鼓楼区污染防治工作的决策指挥能力、监管执法水平、行政服务效能。</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三、采购需求</w:t>
      </w:r>
      <w:r/>
    </w:p>
    <w:p>
      <w:pPr>
        <w:pStyle w:val="1091"/>
        <w:rPr>
          <w:highlight w:val="none"/>
        </w:rPr>
      </w:pPr>
      <w:r>
        <w:rPr>
          <w:highlight w:val="none"/>
        </w:rPr>
        <w:t xml:space="preserve">本项目服务有以下组成：</w:t>
      </w:r>
      <w:r/>
    </w:p>
    <w:p>
      <w:pPr>
        <w:pStyle w:val="1107"/>
        <w:numPr>
          <w:ilvl w:val="0"/>
          <w:numId w:val="6"/>
        </w:numPr>
        <w:rPr>
          <w:rFonts w:cs="Times New Roman"/>
          <w:sz w:val="24"/>
          <w:szCs w:val="24"/>
          <w:highlight w:val="none"/>
        </w:rPr>
      </w:pPr>
      <w:r>
        <w:rPr>
          <w:rFonts w:cs="Times New Roman"/>
          <w:sz w:val="24"/>
          <w:szCs w:val="24"/>
          <w:highlight w:val="none"/>
        </w:rPr>
        <w:t xml:space="preserve">监测设备硬件服务：包括30台高精度大气颗粒物粒径检测仪、10台视频监控、无人机服务；</w:t>
      </w:r>
      <w:r/>
    </w:p>
    <w:p>
      <w:pPr>
        <w:pStyle w:val="1107"/>
        <w:numPr>
          <w:ilvl w:val="0"/>
          <w:numId w:val="6"/>
        </w:numPr>
        <w:rPr>
          <w:rFonts w:cs="Times New Roman"/>
          <w:sz w:val="24"/>
          <w:szCs w:val="24"/>
          <w:highlight w:val="none"/>
        </w:rPr>
      </w:pPr>
      <w:r>
        <w:rPr>
          <w:rFonts w:cs="Times New Roman"/>
          <w:sz w:val="24"/>
          <w:szCs w:val="24"/>
          <w:highlight w:val="none"/>
        </w:rPr>
        <w:t xml:space="preserve">监管平台服务：包含一套鼓楼区生态环境智慧监管综合调度平台、手机APP服务；</w:t>
      </w:r>
      <w:r/>
    </w:p>
    <w:p>
      <w:pPr>
        <w:pStyle w:val="1107"/>
        <w:numPr>
          <w:ilvl w:val="0"/>
          <w:numId w:val="6"/>
        </w:numPr>
        <w:rPr>
          <w:rFonts w:cs="Times New Roman"/>
          <w:sz w:val="24"/>
          <w:szCs w:val="24"/>
          <w:highlight w:val="none"/>
        </w:rPr>
      </w:pPr>
      <w:r>
        <w:rPr>
          <w:rFonts w:cs="Times New Roman"/>
          <w:sz w:val="24"/>
          <w:szCs w:val="24"/>
          <w:highlight w:val="none"/>
        </w:rPr>
        <w:t xml:space="preserve">驻场团队服务：包括驻场专业咨询服务、驻场技术支持及巡查人员服务，共</w:t>
      </w:r>
      <w:r>
        <w:rPr>
          <w:rFonts w:hint="eastAsia" w:cs="Times New Roman"/>
          <w:sz w:val="24"/>
          <w:szCs w:val="24"/>
          <w:highlight w:val="none"/>
          <w:lang w:val="en-US" w:eastAsia="zh-CN"/>
        </w:rPr>
        <w:t xml:space="preserve">二</w:t>
      </w:r>
      <w:r>
        <w:rPr>
          <w:rFonts w:cs="Times New Roman"/>
          <w:sz w:val="24"/>
          <w:szCs w:val="24"/>
          <w:highlight w:val="none"/>
        </w:rPr>
        <w:t xml:space="preserve">人。</w:t>
      </w:r>
      <w:r/>
    </w:p>
    <w:p>
      <w:pPr>
        <w:pStyle w:val="1091"/>
        <w:rPr>
          <w:highlight w:val="none"/>
        </w:rPr>
      </w:pPr>
      <w:r>
        <w:rPr>
          <w:highlight w:val="none"/>
        </w:rPr>
        <w:t xml:space="preserve">具体服务内容如下：</w:t>
      </w:r>
      <w:r/>
    </w:p>
    <w:p>
      <w:pPr>
        <w:pStyle w:val="1091"/>
        <w:rPr>
          <w:highlight w:val="none"/>
        </w:rPr>
      </w:pPr>
      <w:r>
        <w:rPr>
          <w:highlight w:val="none"/>
        </w:rPr>
        <w:t xml:space="preserve">1、监测设备硬件服务 ，监测因子及数量如下表：</w:t>
      </w:r>
      <w:r/>
    </w:p>
    <w:tbl>
      <w:tblPr>
        <w:tblStyle w:val="1090"/>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10"/>
        <w:gridCol w:w="3969"/>
        <w:gridCol w:w="1860"/>
      </w:tblGrid>
      <w:tr>
        <w:trPr>
          <w:trHeight w:val="465"/>
        </w:trPr>
        <w:tc>
          <w:tcPr>
            <w:shd w:val="clear" w:color="auto" w:fill="auto"/>
            <w:tcW w:w="351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服务名称</w:t>
            </w:r>
            <w:r/>
          </w:p>
        </w:tc>
        <w:tc>
          <w:tcPr>
            <w:shd w:val="clear" w:color="auto" w:fill="auto"/>
            <w:tcW w:w="3969" w:type="dxa"/>
            <w:textDirection w:val="lrTb"/>
            <w:noWrap w:val="false"/>
          </w:tcPr>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监测因子</w:t>
            </w:r>
            <w:r/>
          </w:p>
        </w:tc>
        <w:tc>
          <w:tcPr>
            <w:shd w:val="clear" w:color="auto" w:fill="auto"/>
            <w:tcW w:w="186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数量（台）</w:t>
            </w:r>
            <w:r/>
          </w:p>
        </w:tc>
      </w:tr>
      <w:tr>
        <w:trPr>
          <w:trHeight w:val="465"/>
        </w:trPr>
        <w:tc>
          <w:tcPr>
            <w:shd w:val="clear" w:color="auto" w:fill="auto"/>
            <w:tcW w:w="3510" w:type="dxa"/>
            <w:textDirection w:val="lrTb"/>
            <w:noWrap w:val="false"/>
          </w:tcPr>
          <w:p>
            <w:pPr>
              <w:jc w:val="center"/>
              <w:spacing w:line="360" w:lineRule="auto"/>
              <w:rPr>
                <w:rFonts w:ascii="Times New Roman" w:hAnsi="Times New Roman" w:cs="Times New Roman"/>
                <w:szCs w:val="21"/>
                <w:highlight w:val="none"/>
              </w:rPr>
            </w:pPr>
            <w:r/>
            <w:bookmarkStart w:id="49" w:name="_Hlk174363155"/>
            <w:r>
              <w:rPr>
                <w:rFonts w:ascii="Times New Roman" w:hAnsi="Times New Roman" w:cs="Times New Roman"/>
                <w:szCs w:val="21"/>
                <w:highlight w:val="none"/>
              </w:rPr>
              <w:t xml:space="preserve">高精度大气颗粒物粒径</w:t>
            </w:r>
            <w:r>
              <w:rPr>
                <w:rFonts w:hint="eastAsia" w:ascii="Times New Roman" w:hAnsi="Times New Roman" w:cs="Times New Roman"/>
                <w:szCs w:val="21"/>
                <w:highlight w:val="none"/>
              </w:rPr>
              <w:t xml:space="preserve">监</w:t>
            </w:r>
            <w:r>
              <w:rPr>
                <w:rFonts w:ascii="Times New Roman" w:hAnsi="Times New Roman" w:cs="Times New Roman"/>
                <w:szCs w:val="21"/>
                <w:highlight w:val="none"/>
              </w:rPr>
              <w:t xml:space="preserve">测仪</w:t>
            </w:r>
            <w:bookmarkEnd w:id="49"/>
            <w:r/>
            <w:r/>
          </w:p>
        </w:tc>
        <w:tc>
          <w:tcPr>
            <w:shd w:val="clear" w:color="auto" w:fill="auto"/>
            <w:tcW w:w="3969" w:type="dxa"/>
            <w:textDirection w:val="lrTb"/>
            <w:noWrap w:val="false"/>
          </w:tcPr>
          <w:p>
            <w:pPr>
              <w:jc w:val="center"/>
              <w:spacing w:line="360" w:lineRule="auto"/>
              <w:rPr>
                <w:rFonts w:ascii="Times New Roman" w:hAnsi="Times New Roman" w:cs="Times New Roman"/>
                <w:szCs w:val="21"/>
                <w:highlight w:val="none"/>
                <w:lang w:val="en-US"/>
              </w:rPr>
            </w:pPr>
            <w:r>
              <w:rPr>
                <w:rFonts w:ascii="Times New Roman" w:hAnsi="Times New Roman" w:cs="Times New Roman"/>
                <w:szCs w:val="21"/>
                <w:highlight w:val="none"/>
                <w:lang w:val="en-US"/>
              </w:rPr>
              <w:t xml:space="preserve">PM1</w:t>
            </w:r>
            <w:r>
              <w:rPr>
                <w:rFonts w:ascii="Times New Roman" w:hAnsi="Times New Roman" w:cs="Times New Roman"/>
                <w:szCs w:val="21"/>
                <w:highlight w:val="none"/>
              </w:rPr>
              <w:t xml:space="preserve">、</w:t>
            </w:r>
            <w:r>
              <w:rPr>
                <w:rFonts w:ascii="Times New Roman" w:hAnsi="Times New Roman" w:cs="Times New Roman"/>
                <w:szCs w:val="21"/>
                <w:highlight w:val="none"/>
                <w:lang w:val="en-US"/>
              </w:rPr>
              <w:t xml:space="preserve">PM2.5</w:t>
            </w:r>
            <w:r>
              <w:rPr>
                <w:rFonts w:ascii="Times New Roman" w:hAnsi="Times New Roman" w:cs="Times New Roman"/>
                <w:szCs w:val="21"/>
                <w:highlight w:val="none"/>
              </w:rPr>
              <w:t xml:space="preserve">、</w:t>
            </w:r>
            <w:r>
              <w:rPr>
                <w:rFonts w:ascii="Times New Roman" w:hAnsi="Times New Roman" w:cs="Times New Roman"/>
                <w:szCs w:val="21"/>
                <w:highlight w:val="none"/>
                <w:lang w:val="en-US"/>
              </w:rPr>
              <w:t xml:space="preserve">PM10</w:t>
            </w:r>
            <w:r>
              <w:rPr>
                <w:rFonts w:ascii="Times New Roman" w:hAnsi="Times New Roman" w:cs="Times New Roman"/>
                <w:szCs w:val="21"/>
                <w:highlight w:val="none"/>
              </w:rPr>
              <w:t xml:space="preserve">、</w:t>
            </w:r>
            <w:r>
              <w:rPr>
                <w:rFonts w:ascii="Times New Roman" w:hAnsi="Times New Roman" w:cs="Times New Roman"/>
                <w:szCs w:val="21"/>
                <w:highlight w:val="none"/>
                <w:lang w:val="en-US"/>
              </w:rPr>
              <w:t xml:space="preserve">TSP</w:t>
            </w:r>
            <w:r/>
          </w:p>
        </w:tc>
        <w:tc>
          <w:tcPr>
            <w:shd w:val="clear" w:color="auto" w:fill="auto"/>
            <w:tcW w:w="186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30</w:t>
            </w:r>
            <w:r/>
          </w:p>
        </w:tc>
      </w:tr>
      <w:tr>
        <w:trPr>
          <w:trHeight w:val="465"/>
        </w:trPr>
        <w:tc>
          <w:tcPr>
            <w:shd w:val="clear" w:color="auto" w:fill="auto"/>
            <w:tcW w:w="351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视频监控服务</w:t>
            </w:r>
            <w:r/>
          </w:p>
        </w:tc>
        <w:tc>
          <w:tcPr>
            <w:shd w:val="clear" w:color="auto" w:fill="auto"/>
            <w:tcW w:w="3969"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w:t>
            </w:r>
            <w:r/>
          </w:p>
        </w:tc>
        <w:tc>
          <w:tcPr>
            <w:shd w:val="clear" w:color="auto" w:fill="auto"/>
            <w:tcW w:w="186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10</w:t>
            </w:r>
            <w:r/>
          </w:p>
        </w:tc>
      </w:tr>
      <w:tr>
        <w:trPr>
          <w:trHeight w:val="475"/>
        </w:trPr>
        <w:tc>
          <w:tcPr>
            <w:shd w:val="clear" w:color="auto" w:fill="auto"/>
            <w:tcW w:w="351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无人机服务</w:t>
            </w:r>
            <w:r/>
          </w:p>
        </w:tc>
        <w:tc>
          <w:tcPr>
            <w:shd w:val="clear" w:color="auto" w:fill="auto"/>
            <w:tcW w:w="3969"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w:t>
            </w:r>
            <w:r/>
          </w:p>
        </w:tc>
        <w:tc>
          <w:tcPr>
            <w:shd w:val="clear" w:color="auto" w:fill="auto"/>
            <w:tcW w:w="1860"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1</w:t>
            </w:r>
            <w:r/>
          </w:p>
        </w:tc>
      </w:tr>
    </w:tbl>
    <w:p>
      <w:pPr>
        <w:pStyle w:val="1091"/>
        <w:rPr>
          <w:highlight w:val="none"/>
        </w:rPr>
      </w:pPr>
      <w:r>
        <w:rPr>
          <w:highlight w:val="none"/>
        </w:rPr>
        <w:t xml:space="preserve">2、鼓楼区大气污染热点网格智慧监管平台监管服务</w:t>
      </w:r>
      <w:r/>
    </w:p>
    <w:tbl>
      <w:tblPr>
        <w:tblStyle w:val="1090"/>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3"/>
        <w:gridCol w:w="1572"/>
        <w:gridCol w:w="3113"/>
      </w:tblGrid>
      <w:tr>
        <w:trPr>
          <w:trHeight w:val="475"/>
        </w:trPr>
        <w:tc>
          <w:tcPr>
            <w:shd w:val="clear" w:color="auto" w:fill="auto"/>
            <w:tcW w:w="4653"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服务名称</w:t>
            </w:r>
            <w:r/>
          </w:p>
        </w:tc>
        <w:tc>
          <w:tcPr>
            <w:shd w:val="clear" w:color="auto" w:fill="auto"/>
            <w:tcW w:w="1572"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数量</w:t>
            </w:r>
            <w:r/>
          </w:p>
        </w:tc>
        <w:tc>
          <w:tcPr>
            <w:shd w:val="clear" w:color="auto" w:fill="auto"/>
            <w:tcW w:w="3113"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服务内容</w:t>
            </w:r>
            <w:r/>
          </w:p>
        </w:tc>
      </w:tr>
      <w:tr>
        <w:trPr>
          <w:trHeight w:val="493"/>
        </w:trPr>
        <w:tc>
          <w:tcPr>
            <w:shd w:val="clear" w:color="auto" w:fill="auto"/>
            <w:tcW w:w="4653"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鼓楼区生态环境智慧监管综合调度平台</w:t>
            </w:r>
            <w:r/>
          </w:p>
        </w:tc>
        <w:tc>
          <w:tcPr>
            <w:shd w:val="clear" w:color="auto" w:fill="auto"/>
            <w:tcW w:w="1572"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1</w:t>
            </w:r>
            <w:r/>
          </w:p>
        </w:tc>
        <w:tc>
          <w:tcPr>
            <w:shd w:val="clear" w:color="auto" w:fill="auto"/>
            <w:tcW w:w="3113"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详见服务内容明细</w:t>
            </w:r>
            <w:r/>
          </w:p>
        </w:tc>
      </w:tr>
    </w:tbl>
    <w:p>
      <w:pPr>
        <w:pStyle w:val="1091"/>
        <w:rPr>
          <w:highlight w:val="none"/>
        </w:rPr>
      </w:pPr>
      <w:r>
        <w:rPr>
          <w:highlight w:val="none"/>
        </w:rPr>
        <w:t xml:space="preserve">3、技术人员服务如下表：</w:t>
      </w:r>
      <w:r/>
    </w:p>
    <w:tbl>
      <w:tblPr>
        <w:tblStyle w:val="1090"/>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1"/>
        <w:gridCol w:w="2744"/>
        <w:gridCol w:w="3113"/>
      </w:tblGrid>
      <w:tr>
        <w:trPr>
          <w:trHeight w:val="427"/>
        </w:trPr>
        <w:tc>
          <w:tcPr>
            <w:shd w:val="clear" w:color="auto" w:fill="auto"/>
            <w:tcW w:w="3481"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服务名称</w:t>
            </w:r>
            <w:r/>
          </w:p>
        </w:tc>
        <w:tc>
          <w:tcPr>
            <w:shd w:val="clear" w:color="auto" w:fill="auto"/>
            <w:tcW w:w="2744"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人数</w:t>
            </w:r>
            <w:r/>
          </w:p>
        </w:tc>
        <w:tc>
          <w:tcPr>
            <w:shd w:val="clear" w:color="auto" w:fill="auto"/>
            <w:tcW w:w="3113"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服务内容</w:t>
            </w:r>
            <w:r/>
          </w:p>
        </w:tc>
      </w:tr>
      <w:tr>
        <w:trPr>
          <w:trHeight w:val="427"/>
        </w:trPr>
        <w:tc>
          <w:tcPr>
            <w:shd w:val="clear" w:color="auto" w:fill="auto"/>
            <w:tcW w:w="3481" w:type="dxa"/>
            <w:textDirection w:val="lrTb"/>
            <w:noWrap w:val="false"/>
          </w:tcPr>
          <w:p>
            <w:pPr>
              <w:jc w:val="center"/>
              <w:spacing w:line="360" w:lineRule="auto"/>
              <w:rPr>
                <w:rFonts w:hint="eastAsia" w:ascii="Times New Roman" w:hAnsi="Times New Roman" w:eastAsia="宋体" w:cs="Times New Roman"/>
                <w:szCs w:val="21"/>
                <w:highlight w:val="none"/>
                <w:lang w:eastAsia="zh-CN"/>
              </w:rPr>
            </w:pPr>
            <w:r>
              <w:rPr>
                <w:rFonts w:ascii="Times New Roman" w:hAnsi="Times New Roman" w:cs="Times New Roman"/>
                <w:szCs w:val="21"/>
                <w:highlight w:val="none"/>
              </w:rPr>
              <w:t xml:space="preserve">专业人员驻场技术支持服务</w:t>
            </w:r>
            <w:r>
              <w:rPr>
                <w:rFonts w:hint="eastAsia" w:ascii="Times New Roman" w:hAnsi="Times New Roman" w:cs="Times New Roman"/>
                <w:szCs w:val="21"/>
                <w:highlight w:val="none"/>
                <w:lang w:eastAsia="zh-CN"/>
              </w:rPr>
              <w:t xml:space="preserve">及巡查服务</w:t>
            </w:r>
            <w:r/>
          </w:p>
        </w:tc>
        <w:tc>
          <w:tcPr>
            <w:shd w:val="clear" w:color="auto" w:fill="auto"/>
            <w:tcW w:w="2744" w:type="dxa"/>
            <w:textDirection w:val="lrTb"/>
            <w:noWrap w:val="false"/>
          </w:tcPr>
          <w:p>
            <w:pPr>
              <w:jc w:val="center"/>
              <w:spacing w:line="360" w:lineRule="auto"/>
              <w:rPr>
                <w:rFonts w:hint="eastAsia" w:ascii="Times New Roman" w:hAnsi="Times New Roman" w:eastAsia="宋体" w:cs="Times New Roman"/>
                <w:szCs w:val="21"/>
                <w:highlight w:val="none"/>
                <w:lang w:eastAsia="zh-CN"/>
              </w:rPr>
            </w:pPr>
            <w:r>
              <w:rPr>
                <w:rFonts w:hint="eastAsia" w:ascii="Times New Roman" w:hAnsi="Times New Roman" w:cs="Times New Roman"/>
                <w:szCs w:val="21"/>
                <w:highlight w:val="none"/>
                <w:lang w:val="en-US" w:eastAsia="zh-CN"/>
              </w:rPr>
              <w:t xml:space="preserve">2</w:t>
            </w:r>
            <w:r/>
          </w:p>
        </w:tc>
        <w:tc>
          <w:tcPr>
            <w:shd w:val="clear" w:color="auto" w:fill="auto"/>
            <w:tcW w:w="3113" w:type="dxa"/>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详见服务内容明细</w:t>
            </w:r>
            <w:r/>
          </w:p>
        </w:tc>
      </w:tr>
    </w:tbl>
    <w:p>
      <w:pPr>
        <w:ind w:firstLine="442"/>
        <w:jc w:val="both"/>
        <w:rPr>
          <w:rFonts w:ascii="Times New Roman" w:hAnsi="Times New Roman" w:cs="Times New Roman"/>
          <w:b/>
          <w:bCs/>
          <w:szCs w:val="21"/>
          <w:highlight w:val="none"/>
        </w:rPr>
      </w:pPr>
      <w:r>
        <w:rPr>
          <w:rFonts w:ascii="Times New Roman" w:hAnsi="Times New Roman" w:cs="Times New Roman"/>
          <w:b/>
          <w:bCs/>
          <w:szCs w:val="21"/>
          <w:highlight w:val="none"/>
        </w:rPr>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四、各项服务内容与要求</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1、监测设备硬件服务</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本项目监测设备包括高精度大气颗粒物粒径检测仪、视频监控服务、无人机服务，具体如下。</w:t>
      </w:r>
      <w:r/>
    </w:p>
    <w:p>
      <w:pPr>
        <w:pStyle w:val="1087"/>
        <w:ind w:left="0" w:firstLine="482"/>
        <w:jc w:val="both"/>
        <w:spacing w:line="360" w:lineRule="auto"/>
        <w:rPr>
          <w:rFonts w:ascii="Times New Roman" w:hAnsi="Times New Roman" w:cs="Times New Roman"/>
          <w:bCs w:val="0"/>
          <w:highlight w:val="none"/>
        </w:rPr>
      </w:pPr>
      <w:r/>
      <w:bookmarkStart w:id="50" w:name="_Hlk174363704"/>
      <w:r>
        <w:rPr>
          <w:rFonts w:ascii="Times New Roman" w:hAnsi="Times New Roman" w:cs="Times New Roman"/>
          <w:bCs w:val="0"/>
          <w:highlight w:val="none"/>
        </w:rPr>
        <w:t xml:space="preserve">1.1 高精度大气颗粒物粒径检测仪技术</w:t>
      </w:r>
      <w:bookmarkEnd w:id="50"/>
      <w:r>
        <w:rPr>
          <w:rFonts w:ascii="Times New Roman" w:hAnsi="Times New Roman" w:cs="Times New Roman"/>
          <w:bCs w:val="0"/>
          <w:highlight w:val="none"/>
        </w:rPr>
        <w:t xml:space="preserve">要求</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所使用的监测点位设备的技术参数应符合生态环境部《大气PM2.5网格化监测点位布设技术指南（试行）》、《大气PM2.5网格化监测技术要求和检验方法技术指南（试行）》、《大气PM2.5网格化监测系统质保质控与运行技术指南（试行）》、《大气PM2.5网格化监测系统安装和验收技术指南（试行）》的有关规定。</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高精度大气颗粒物粒径监测仪监测大气环境中的PM0.4、PM0.5、PM0.6、PM0.8、PM1、PM1.5、PM2、PM2.5、PM5、PM7、PM10和TSP颗粒物质量浓度和粒径数浓度分布，可同时监测温度、湿度、气压，并可扩展监测风速、风向等气象参数，数据实时传输到云端服务器。</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高精度大气颗粒物粒径监测仪可监测粒径范围0.3至100μm的12通道粒子个数和质量浓度，通过分析颗粒物的粒径组成特征，有效的区分不同种类的尘源，进行颗粒物污染溯源。</w:t>
      </w:r>
      <w:r/>
    </w:p>
    <w:p>
      <w:pPr>
        <w:pStyle w:val="1088"/>
        <w:rPr>
          <w:highlight w:val="none"/>
        </w:rPr>
      </w:pPr>
      <w:r>
        <w:rPr>
          <w:highlight w:val="none"/>
        </w:rPr>
        <w:t xml:space="preserve">1.1.1技术规格 </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高精度大气颗粒物粒径检测仪技术规格如下表：</w:t>
      </w:r>
      <w:r/>
    </w:p>
    <w:p>
      <w:pPr>
        <w:ind w:firstLine="442"/>
        <w:jc w:val="both"/>
        <w:spacing w:line="360" w:lineRule="auto"/>
        <w:rPr>
          <w:rFonts w:ascii="Times New Roman" w:hAnsi="Times New Roman" w:cs="Times New Roman"/>
          <w:b/>
          <w:bCs/>
          <w:szCs w:val="21"/>
          <w:highlight w:val="none"/>
        </w:rPr>
      </w:pPr>
      <w:r>
        <w:rPr>
          <w:rFonts w:ascii="Times New Roman" w:hAnsi="Times New Roman" w:cs="Times New Roman"/>
          <w:b/>
          <w:bCs/>
          <w:highlight w:val="none"/>
        </w:rPr>
        <w:t xml:space="preserve">设备规格</w:t>
      </w:r>
      <w:r/>
    </w:p>
    <w:tbl>
      <w:tblPr>
        <w:tblStyle w:val="109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622"/>
        <w:gridCol w:w="6936"/>
      </w:tblGrid>
      <w:tr>
        <w:trPr>
          <w:cantSplit/>
          <w:trHeight w:val="340"/>
        </w:trPr>
        <w:tc>
          <w:tcPr>
            <w:shd w:val="clear" w:color="auto" w:fill="auto"/>
            <w:tcW w:w="622" w:type="dxa"/>
            <w:vAlign w:val="center"/>
            <w:vMerge w:val="restart"/>
            <w:textDirection w:val="lrTb"/>
            <w:noWrap w:val="false"/>
          </w:tcPr>
          <w:p>
            <w:pPr>
              <w:pStyle w:val="1121"/>
              <w:spacing w:line="400" w:lineRule="atLeast"/>
              <w:rPr>
                <w:rFonts w:ascii="Times New Roman" w:hAnsi="Times New Roman" w:cs="Times New Roman" w:eastAsiaTheme="minorEastAsia"/>
                <w:szCs w:val="21"/>
                <w:highlight w:val="none"/>
              </w:rPr>
            </w:pPr>
            <w:r/>
            <w:bookmarkStart w:id="51" w:name="_Hlk176166733"/>
            <w:r>
              <w:rPr>
                <w:rFonts w:ascii="Times New Roman" w:hAnsi="Times New Roman" w:cs="Times New Roman" w:eastAsiaTheme="minorEastAsia"/>
                <w:szCs w:val="21"/>
                <w:highlight w:val="none"/>
              </w:rPr>
              <w:t xml:space="preserve">设</w:t>
            </w:r>
            <w:r/>
          </w:p>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备</w:t>
            </w:r>
            <w:r/>
          </w:p>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规</w:t>
            </w:r>
            <w:r/>
          </w:p>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格</w:t>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名称</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参数</w:t>
            </w:r>
            <w:r/>
          </w:p>
        </w:tc>
      </w:tr>
      <w:tr>
        <w:trPr>
          <w:cantSplit/>
          <w:trHeight w:val="340"/>
        </w:trPr>
        <w:tc>
          <w:tcPr>
            <w:shd w:val="clear" w:color="auto" w:fill="auto"/>
            <w:tcW w:w="622" w:type="dxa"/>
            <w:vAlign w:val="center"/>
            <w:vMerge w:val="continue"/>
            <w:textDirection w:val="tbLrV"/>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传输周期</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≤5min</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vMerge w:val="restart"/>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供电方式</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市政供电或48V直流供电</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备用电池供电</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进气方式</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泵吸式</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安全性</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具备防水、防雷等功能，支持电子锁防盗等</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重量</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≤10kg（包括传感器、机箱、电池等）</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外形尺寸</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360mm×500mm×116mm（本体尺寸）</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整机功耗</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＜20W（正常情况下）；＜60W（温度控制启动）</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数据安全性</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具备数据加密、数据校验等功能</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报警功能</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断电报警、传感器故障报警</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工作温度范围</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-20℃~60℃</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工作大气压力</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80-106Kpa</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工作湿度</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0-95%RH，无凝结</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CPU</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ARM CortexM3</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无线通讯</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4G、BLE</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定位方式</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北斗/GPS</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数据传输协议</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HJ 212-2017 污染物在线监控</w:t>
            </w:r>
            <w:r/>
          </w:p>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（监测）系统数据传输标准</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数据传输</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远程无线传输</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数据采集</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每小时监测时间不低于55分钟</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电磁兼容</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IEC三级</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绝缘强度</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在正常环境条件和关闭仪器电源状态下，电源相和机壳（接地端）之间，施加50Hz、1500V的交流电时，历时1分钟不击穿或出现电弧</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绝缘电阻</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≥20MΩ</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校准功能</w:t>
            </w:r>
            <w:r/>
          </w:p>
        </w:tc>
        <w:tc>
          <w:tcPr>
            <w:shd w:val="clear" w:color="auto" w:fill="auto"/>
            <w:tcW w:w="6936" w:type="dxa"/>
            <w:vAlign w:val="center"/>
            <w:textDirection w:val="lrTb"/>
            <w:noWrap w:val="false"/>
          </w:tcPr>
          <w:p>
            <w:pPr>
              <w:jc w:val="center"/>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具有远程校准功能，通过远程终端实现自动校准、断网数据续传功能</w:t>
            </w:r>
            <w:r/>
          </w:p>
        </w:tc>
      </w:tr>
      <w:tr>
        <w:trPr>
          <w:cantSplit/>
          <w:trHeight w:val="340"/>
        </w:trPr>
        <w:tc>
          <w:tcPr>
            <w:shd w:val="clear" w:color="auto" w:fill="auto"/>
            <w:tcW w:w="622" w:type="dxa"/>
            <w:vAlign w:val="center"/>
            <w:vMerge w:val="continue"/>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r>
            <w:r/>
          </w:p>
        </w:tc>
        <w:tc>
          <w:tcPr>
            <w:shd w:val="clear" w:color="auto" w:fill="auto"/>
            <w:tcW w:w="1622"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SIM卡</w:t>
            </w:r>
            <w:r/>
          </w:p>
        </w:tc>
        <w:tc>
          <w:tcPr>
            <w:shd w:val="clear" w:color="auto" w:fill="auto"/>
            <w:tcW w:w="6936" w:type="dxa"/>
            <w:vAlign w:val="center"/>
            <w:textDirection w:val="lrTb"/>
            <w:noWrap w:val="false"/>
          </w:tcPr>
          <w:p>
            <w:pPr>
              <w:pStyle w:val="1121"/>
              <w:spacing w:line="400" w:lineRule="atLeast"/>
              <w:rPr>
                <w:rFonts w:ascii="Times New Roman" w:hAnsi="Times New Roman" w:cs="Times New Roman" w:eastAsiaTheme="minorEastAsia"/>
                <w:szCs w:val="21"/>
                <w:highlight w:val="none"/>
              </w:rPr>
            </w:pPr>
            <w:r>
              <w:rPr>
                <w:rFonts w:ascii="Times New Roman" w:hAnsi="Times New Roman" w:cs="Times New Roman" w:eastAsiaTheme="minorEastAsia"/>
                <w:szCs w:val="21"/>
                <w:highlight w:val="none"/>
              </w:rPr>
              <w:t xml:space="preserve">物联网卡</w:t>
            </w:r>
            <w:r/>
          </w:p>
        </w:tc>
      </w:tr>
    </w:tbl>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设备应具有产品铭牌，设备表面应完好无损，各操作键、按钮灵活有效。为便于运输、携带、安装和动态调整位置，设备需要采用小型化、一体化设计。</w:t>
      </w:r>
      <w:bookmarkEnd w:id="51"/>
      <w:r/>
      <w:r/>
    </w:p>
    <w:p>
      <w:pPr>
        <w:pStyle w:val="1088"/>
        <w:rPr>
          <w:highlight w:val="none"/>
        </w:rPr>
      </w:pPr>
      <w:r/>
      <w:bookmarkStart w:id="52" w:name="_Toc28284780"/>
      <w:r/>
      <w:bookmarkStart w:id="53" w:name="_Hlk176166815"/>
      <w:r>
        <w:rPr>
          <w:highlight w:val="none"/>
        </w:rPr>
        <w:t xml:space="preserve">1.1.2监测指标要求</w:t>
      </w:r>
      <w:bookmarkEnd w:id="52"/>
      <w:r/>
      <w:r/>
    </w:p>
    <w:p>
      <w:pPr>
        <w:ind w:firstLine="482"/>
        <w:jc w:val="both"/>
        <w:spacing w:line="360" w:lineRule="auto"/>
        <w:rPr>
          <w:rFonts w:ascii="Times New Roman" w:hAnsi="Times New Roman" w:cs="Times New Roman"/>
          <w:b/>
          <w:bCs/>
          <w:sz w:val="24"/>
          <w:szCs w:val="21"/>
          <w:highlight w:val="none"/>
        </w:rPr>
      </w:pPr>
      <w:r>
        <w:rPr>
          <w:rFonts w:ascii="Times New Roman" w:hAnsi="Times New Roman" w:cs="Times New Roman"/>
          <w:b/>
          <w:bCs/>
          <w:sz w:val="24"/>
          <w:szCs w:val="21"/>
          <w:highlight w:val="none"/>
        </w:rPr>
        <w:t xml:space="preserve">总体要求</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（1）投标人所提供的</w:t>
      </w:r>
      <w:bookmarkStart w:id="54" w:name="_Hlk51253920"/>
      <w:r>
        <w:rPr>
          <w:rFonts w:ascii="Times New Roman" w:hAnsi="Times New Roman" w:cs="Times New Roman"/>
          <w:sz w:val="24"/>
          <w:szCs w:val="21"/>
          <w:highlight w:val="none"/>
        </w:rPr>
        <w:t xml:space="preserve">高精度大气颗粒物粒径检测仪监测因子应至少包括</w:t>
      </w:r>
      <w:bookmarkEnd w:id="54"/>
      <w:r>
        <w:rPr>
          <w:rFonts w:ascii="Times New Roman" w:hAnsi="Times New Roman" w:cs="Times New Roman"/>
          <w:sz w:val="24"/>
          <w:szCs w:val="21"/>
          <w:highlight w:val="none"/>
        </w:rPr>
        <w:t xml:space="preserve">PM1、PM</w:t>
      </w:r>
      <w:r>
        <w:rPr>
          <w:rFonts w:ascii="Times New Roman" w:hAnsi="Times New Roman" w:cs="Times New Roman"/>
          <w:sz w:val="24"/>
          <w:szCs w:val="21"/>
          <w:highlight w:val="none"/>
          <w:vertAlign w:val="subscript"/>
        </w:rPr>
        <w:t xml:space="preserve">2.5</w:t>
      </w:r>
      <w:r>
        <w:rPr>
          <w:rFonts w:ascii="Times New Roman" w:hAnsi="Times New Roman" w:cs="Times New Roman"/>
          <w:sz w:val="24"/>
          <w:szCs w:val="21"/>
          <w:highlight w:val="none"/>
        </w:rPr>
        <w:t xml:space="preserve">、PM</w:t>
      </w:r>
      <w:r>
        <w:rPr>
          <w:rFonts w:ascii="Times New Roman" w:hAnsi="Times New Roman" w:cs="Times New Roman"/>
          <w:sz w:val="24"/>
          <w:szCs w:val="21"/>
          <w:highlight w:val="none"/>
          <w:vertAlign w:val="subscript"/>
        </w:rPr>
        <w:t xml:space="preserve">10</w:t>
      </w:r>
      <w:r>
        <w:rPr>
          <w:rFonts w:ascii="Times New Roman" w:hAnsi="Times New Roman" w:cs="Times New Roman"/>
          <w:sz w:val="24"/>
          <w:szCs w:val="21"/>
          <w:highlight w:val="none"/>
        </w:rPr>
        <w:t xml:space="preserve">、PM</w:t>
      </w:r>
      <w:r>
        <w:rPr>
          <w:rFonts w:ascii="Times New Roman" w:hAnsi="Times New Roman" w:cs="Times New Roman"/>
          <w:sz w:val="24"/>
          <w:szCs w:val="21"/>
          <w:highlight w:val="none"/>
          <w:vertAlign w:val="subscript"/>
        </w:rPr>
        <w:t xml:space="preserve">10</w:t>
      </w:r>
      <w:r>
        <w:rPr>
          <w:rFonts w:ascii="Times New Roman" w:hAnsi="Times New Roman" w:cs="Times New Roman"/>
          <w:sz w:val="24"/>
          <w:szCs w:val="21"/>
          <w:highlight w:val="none"/>
        </w:rPr>
        <w:t xml:space="preserve">、TSP。</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（2）投标人所提供产品气象监测指标应至少包括温度、湿度、气压。</w:t>
      </w:r>
      <w:r/>
    </w:p>
    <w:p>
      <w:pPr>
        <w:ind w:firstLine="482"/>
        <w:jc w:val="both"/>
        <w:spacing w:line="360" w:lineRule="auto"/>
        <w:rPr>
          <w:rFonts w:ascii="Times New Roman" w:hAnsi="Times New Roman" w:cs="Times New Roman"/>
          <w:b/>
          <w:bCs/>
          <w:sz w:val="24"/>
          <w:szCs w:val="21"/>
          <w:highlight w:val="none"/>
        </w:rPr>
      </w:pPr>
      <w:r>
        <w:rPr>
          <w:rFonts w:ascii="Times New Roman" w:hAnsi="Times New Roman" w:cs="Times New Roman"/>
          <w:b/>
          <w:bCs/>
          <w:sz w:val="24"/>
          <w:szCs w:val="21"/>
          <w:highlight w:val="none"/>
        </w:rPr>
        <w:t xml:space="preserve">技术参数</w:t>
      </w:r>
      <w:r/>
    </w:p>
    <w:tbl>
      <w:tblPr>
        <w:tblStyle w:val="1090"/>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1281"/>
        <w:gridCol w:w="1297"/>
        <w:gridCol w:w="5762"/>
      </w:tblGrid>
      <w:tr>
        <w:trPr>
          <w:cantSplit/>
          <w:jc w:val="center"/>
          <w:trHeight w:val="344"/>
        </w:trPr>
        <w:tc>
          <w:tcPr>
            <w:tcW w:w="1018" w:type="dxa"/>
            <w:vAlign w:val="center"/>
            <w:vMerge w:val="restart"/>
            <w:textDirection w:val="lrTb"/>
            <w:noWrap w:val="false"/>
          </w:tcPr>
          <w:p>
            <w:pPr>
              <w:pStyle w:val="1121"/>
              <w:spacing w:line="400" w:lineRule="atLeast"/>
              <w:rPr>
                <w:rFonts w:ascii="Times New Roman" w:hAnsi="Times New Roman" w:cs="Times New Roman"/>
                <w:szCs w:val="21"/>
                <w:highlight w:val="none"/>
              </w:rPr>
            </w:pPr>
            <w:r>
              <w:rPr>
                <w:rFonts w:ascii="Times New Roman" w:hAnsi="Times New Roman" w:cs="Times New Roman"/>
                <w:szCs w:val="21"/>
                <w:highlight w:val="none"/>
              </w:rPr>
              <w:t xml:space="preserve">技</w:t>
            </w:r>
            <w:r/>
          </w:p>
          <w:p>
            <w:pPr>
              <w:pStyle w:val="1121"/>
              <w:spacing w:line="400" w:lineRule="atLeast"/>
              <w:rPr>
                <w:rFonts w:ascii="Times New Roman" w:hAnsi="Times New Roman" w:cs="Times New Roman"/>
                <w:szCs w:val="21"/>
                <w:highlight w:val="none"/>
              </w:rPr>
            </w:pPr>
            <w:r>
              <w:rPr>
                <w:rFonts w:ascii="Times New Roman" w:hAnsi="Times New Roman" w:cs="Times New Roman"/>
                <w:szCs w:val="21"/>
                <w:highlight w:val="none"/>
              </w:rPr>
              <w:t xml:space="preserve">术</w:t>
            </w:r>
            <w:r/>
          </w:p>
          <w:p>
            <w:pPr>
              <w:pStyle w:val="1121"/>
              <w:spacing w:line="400" w:lineRule="atLeast"/>
              <w:rPr>
                <w:rFonts w:ascii="Times New Roman" w:hAnsi="Times New Roman" w:cs="Times New Roman"/>
                <w:szCs w:val="21"/>
                <w:highlight w:val="none"/>
              </w:rPr>
            </w:pPr>
            <w:r>
              <w:rPr>
                <w:rFonts w:ascii="Times New Roman" w:hAnsi="Times New Roman" w:cs="Times New Roman"/>
                <w:szCs w:val="21"/>
                <w:highlight w:val="none"/>
              </w:rPr>
              <w:t xml:space="preserve">参</w:t>
            </w:r>
            <w:r/>
          </w:p>
          <w:p>
            <w:pPr>
              <w:jc w:val="center"/>
              <w:widowControl/>
              <w:rPr>
                <w:rFonts w:hint="eastAsia" w:ascii="Times New Roman" w:hAnsi="Times New Roman" w:cs="Times New Roman"/>
                <w:szCs w:val="21"/>
                <w:highlight w:val="none"/>
              </w:rPr>
            </w:pPr>
            <w:r>
              <w:rPr>
                <w:rFonts w:ascii="Times New Roman" w:hAnsi="Times New Roman" w:cs="Times New Roman"/>
                <w:szCs w:val="21"/>
                <w:highlight w:val="none"/>
              </w:rPr>
              <w:t xml:space="preserve">数</w:t>
            </w:r>
            <w:r/>
          </w:p>
        </w:tc>
        <w:tc>
          <w:tcPr>
            <w:shd w:val="clear" w:color="auto" w:fill="auto"/>
            <w:tcW w:w="1281" w:type="dxa"/>
            <w:vAlign w:val="center"/>
            <w:textDirection w:val="lrTb"/>
            <w:noWrap w:val="false"/>
          </w:tcPr>
          <w:p>
            <w:pPr>
              <w:jc w:val="center"/>
              <w:widowControl/>
              <w:rPr>
                <w:rFonts w:ascii="Times New Roman" w:hAnsi="Times New Roman" w:cs="Times New Roman"/>
                <w:b/>
                <w:szCs w:val="21"/>
                <w:highlight w:val="none"/>
              </w:rPr>
            </w:pPr>
            <w:r>
              <w:rPr>
                <w:rFonts w:ascii="Times New Roman" w:hAnsi="Times New Roman" w:cs="Times New Roman"/>
                <w:b/>
                <w:szCs w:val="21"/>
                <w:highlight w:val="none"/>
              </w:rPr>
              <w:t xml:space="preserve">名称</w:t>
            </w:r>
            <w:r/>
          </w:p>
        </w:tc>
        <w:tc>
          <w:tcPr>
            <w:shd w:val="clear" w:color="auto" w:fill="auto"/>
            <w:tcW w:w="1297" w:type="dxa"/>
            <w:vAlign w:val="center"/>
            <w:textDirection w:val="lrTb"/>
            <w:noWrap w:val="false"/>
          </w:tcPr>
          <w:p>
            <w:pPr>
              <w:ind w:firstLine="442"/>
              <w:jc w:val="center"/>
              <w:rPr>
                <w:rFonts w:ascii="Times New Roman" w:hAnsi="Times New Roman" w:cs="Times New Roman"/>
                <w:b/>
                <w:szCs w:val="21"/>
                <w:highlight w:val="none"/>
              </w:rPr>
            </w:pPr>
            <w:r>
              <w:rPr>
                <w:rFonts w:ascii="Times New Roman" w:hAnsi="Times New Roman" w:cs="Times New Roman"/>
                <w:b/>
                <w:szCs w:val="21"/>
                <w:highlight w:val="none"/>
              </w:rPr>
              <w:t xml:space="preserve">项目</w:t>
            </w:r>
            <w:r/>
          </w:p>
        </w:tc>
        <w:tc>
          <w:tcPr>
            <w:shd w:val="clear" w:color="auto" w:fill="auto"/>
            <w:tcW w:w="5762" w:type="dxa"/>
            <w:vAlign w:val="center"/>
            <w:textDirection w:val="lrTb"/>
            <w:noWrap w:val="false"/>
          </w:tcPr>
          <w:p>
            <w:pPr>
              <w:ind w:firstLine="442"/>
              <w:jc w:val="center"/>
              <w:widowControl/>
              <w:rPr>
                <w:rFonts w:ascii="Times New Roman" w:hAnsi="Times New Roman" w:cs="Times New Roman"/>
                <w:b/>
                <w:szCs w:val="21"/>
                <w:highlight w:val="none"/>
              </w:rPr>
            </w:pPr>
            <w:r>
              <w:rPr>
                <w:rFonts w:ascii="Times New Roman" w:hAnsi="Times New Roman" w:cs="Times New Roman"/>
                <w:b/>
                <w:szCs w:val="21"/>
                <w:highlight w:val="none"/>
              </w:rPr>
              <w:t xml:space="preserve">参数</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restart"/>
            <w:textDirection w:val="lrTb"/>
            <w:noWrap w:val="false"/>
          </w:tcPr>
          <w:p>
            <w:pPr>
              <w:jc w:val="center"/>
              <w:widowControl/>
              <w:rPr>
                <w:rFonts w:ascii="Times New Roman" w:hAnsi="Times New Roman" w:cs="Times New Roman"/>
                <w:szCs w:val="21"/>
                <w:highlight w:val="none"/>
              </w:rPr>
            </w:pPr>
            <w:r>
              <w:rPr>
                <w:rFonts w:ascii="Times New Roman" w:hAnsi="Times New Roman" w:cs="Times New Roman"/>
                <w:szCs w:val="21"/>
                <w:highlight w:val="none"/>
              </w:rPr>
              <w:t xml:space="preserve">PM</w:t>
            </w:r>
            <w:r>
              <w:rPr>
                <w:rFonts w:ascii="Times New Roman" w:hAnsi="Times New Roman" w:cs="Times New Roman"/>
                <w:szCs w:val="21"/>
                <w:highlight w:val="none"/>
                <w:vertAlign w:val="subscript"/>
              </w:rPr>
              <w:t xml:space="preserve">1</w:t>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量程</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0.1~1000μg/m</w:t>
            </w:r>
            <w:r>
              <w:rPr>
                <w:rFonts w:ascii="Times New Roman" w:hAnsi="Times New Roman" w:cs="Times New Roman"/>
                <w:szCs w:val="21"/>
                <w:highlight w:val="none"/>
                <w:vertAlign w:val="superscript"/>
              </w:rPr>
              <w:t xml:space="preserve">3</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平行性</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eastAsia="仿宋" w:cs="Times New Roman"/>
                <w:szCs w:val="21"/>
                <w:highlight w:val="none"/>
                <w:shd w:val="clear" w:color="auto" w:fill="ffffff"/>
              </w:rPr>
              <w:t xml:space="preserve">≤5%</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restart"/>
            <w:textDirection w:val="lrTb"/>
            <w:noWrap w:val="false"/>
          </w:tcPr>
          <w:p>
            <w:pPr>
              <w:jc w:val="center"/>
              <w:widowControl/>
              <w:rPr>
                <w:rFonts w:ascii="Times New Roman" w:hAnsi="Times New Roman" w:cs="Times New Roman"/>
                <w:szCs w:val="21"/>
                <w:highlight w:val="none"/>
              </w:rPr>
            </w:pPr>
            <w:r>
              <w:rPr>
                <w:rFonts w:ascii="Times New Roman" w:hAnsi="Times New Roman" w:cs="Times New Roman"/>
                <w:szCs w:val="21"/>
                <w:highlight w:val="none"/>
              </w:rPr>
              <w:t xml:space="preserve">PM</w:t>
            </w:r>
            <w:r>
              <w:rPr>
                <w:rFonts w:ascii="Times New Roman" w:hAnsi="Times New Roman" w:cs="Times New Roman"/>
                <w:szCs w:val="21"/>
                <w:highlight w:val="none"/>
                <w:vertAlign w:val="subscript"/>
              </w:rPr>
              <w:t xml:space="preserve">2.5</w:t>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量程</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0.1~1000μg/m</w:t>
            </w:r>
            <w:r>
              <w:rPr>
                <w:rFonts w:ascii="Times New Roman" w:hAnsi="Times New Roman" w:cs="Times New Roman"/>
                <w:szCs w:val="21"/>
                <w:highlight w:val="none"/>
                <w:vertAlign w:val="superscript"/>
              </w:rPr>
              <w:t xml:space="preserve">3</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continue"/>
            <w:textDirection w:val="lrTb"/>
            <w:noWrap w:val="false"/>
          </w:tcPr>
          <w:p>
            <w:pPr>
              <w:jc w:val="center"/>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平行性</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eastAsia="仿宋" w:cs="Times New Roman"/>
                <w:szCs w:val="21"/>
                <w:highlight w:val="none"/>
                <w:shd w:val="clear" w:color="auto" w:fill="ffffff"/>
              </w:rPr>
              <w:t xml:space="preserve">≤15%</w:t>
            </w:r>
            <w:r/>
          </w:p>
        </w:tc>
      </w:tr>
      <w:tr>
        <w:trPr>
          <w:cantSplit/>
          <w:jc w:val="center"/>
          <w:trHeight w:val="1128"/>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continue"/>
            <w:textDirection w:val="lrTb"/>
            <w:noWrap w:val="false"/>
          </w:tcPr>
          <w:p>
            <w:pPr>
              <w:jc w:val="center"/>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标准方法比对测试误差</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斜率（k）：1± 0.10；</w:t>
            </w:r>
            <w:r/>
          </w:p>
          <w:p>
            <w:pPr>
              <w:ind w:firstLine="440"/>
              <w:jc w:val="both"/>
              <w:rPr>
                <w:rFonts w:ascii="Times New Roman" w:hAnsi="Times New Roman" w:cs="Times New Roman"/>
                <w:szCs w:val="21"/>
                <w:highlight w:val="none"/>
              </w:rPr>
            </w:pPr>
            <w:r>
              <w:rPr>
                <w:rFonts w:ascii="Times New Roman" w:hAnsi="Times New Roman" w:cs="Times New Roman"/>
                <w:szCs w:val="21"/>
                <w:highlight w:val="none"/>
              </w:rPr>
              <w:t xml:space="preserve">截距(b)： k≥1: -5≤b≤(55-50×k)μg/m3；</w:t>
            </w:r>
            <w:r/>
          </w:p>
          <w:p>
            <w:pPr>
              <w:pStyle w:val="1092"/>
              <w:rPr>
                <w:rFonts w:ascii="Times New Roman" w:hAnsi="Times New Roman" w:cs="Times New Roman"/>
                <w:sz w:val="21"/>
                <w:szCs w:val="21"/>
                <w:highlight w:val="none"/>
              </w:rPr>
            </w:pPr>
            <w:r>
              <w:rPr>
                <w:rFonts w:ascii="Times New Roman" w:hAnsi="Times New Roman" w:cs="Times New Roman"/>
                <w:sz w:val="21"/>
                <w:szCs w:val="21"/>
                <w:highlight w:val="none"/>
              </w:rPr>
              <w:t xml:space="preserve">      k≤1: (45-50×k) ≤b≤5μg/m3；</w:t>
            </w:r>
            <w:r/>
          </w:p>
          <w:p>
            <w:pPr>
              <w:pStyle w:val="1092"/>
              <w:rPr>
                <w:rFonts w:ascii="Times New Roman" w:hAnsi="Times New Roman" w:cs="Times New Roman"/>
                <w:highlight w:val="none"/>
              </w:rPr>
            </w:pPr>
            <w:r>
              <w:rPr>
                <w:rFonts w:ascii="Times New Roman" w:hAnsi="Times New Roman" w:cs="Times New Roman"/>
                <w:sz w:val="21"/>
                <w:szCs w:val="21"/>
                <w:highlight w:val="none"/>
              </w:rPr>
              <w:t xml:space="preserve">相关系数：≥0.95</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restart"/>
            <w:textDirection w:val="lrTb"/>
            <w:noWrap w:val="false"/>
          </w:tcPr>
          <w:p>
            <w:pPr>
              <w:jc w:val="center"/>
              <w:widowControl/>
              <w:rPr>
                <w:rFonts w:ascii="Times New Roman" w:hAnsi="Times New Roman" w:cs="Times New Roman"/>
                <w:szCs w:val="21"/>
                <w:highlight w:val="none"/>
              </w:rPr>
            </w:pPr>
            <w:r/>
            <w:bookmarkStart w:id="55" w:name="_Hlk174363902"/>
            <w:r>
              <w:rPr>
                <w:rFonts w:ascii="Times New Roman" w:hAnsi="Times New Roman" w:cs="Times New Roman"/>
                <w:szCs w:val="21"/>
                <w:highlight w:val="none"/>
              </w:rPr>
              <w:t xml:space="preserve">PM</w:t>
            </w:r>
            <w:r>
              <w:rPr>
                <w:rFonts w:ascii="Times New Roman" w:hAnsi="Times New Roman" w:cs="Times New Roman"/>
                <w:szCs w:val="21"/>
                <w:highlight w:val="none"/>
                <w:vertAlign w:val="subscript"/>
              </w:rPr>
              <w:t xml:space="preserve">10</w:t>
            </w:r>
            <w:bookmarkEnd w:id="55"/>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量程</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0.1~1000μg/m</w:t>
            </w:r>
            <w:r>
              <w:rPr>
                <w:rFonts w:ascii="Times New Roman" w:hAnsi="Times New Roman" w:cs="Times New Roman"/>
                <w:szCs w:val="21"/>
                <w:highlight w:val="none"/>
                <w:vertAlign w:val="superscript"/>
              </w:rPr>
              <w:t xml:space="preserve">3</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平行性</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eastAsia="仿宋" w:cs="Times New Roman"/>
                <w:szCs w:val="21"/>
                <w:highlight w:val="none"/>
                <w:shd w:val="clear" w:color="auto" w:fill="ffffff"/>
              </w:rPr>
              <w:t xml:space="preserve">≤10%</w:t>
            </w:r>
            <w:r/>
          </w:p>
        </w:tc>
      </w:tr>
      <w:tr>
        <w:trPr>
          <w:cantSplit/>
          <w:jc w:val="center"/>
          <w:trHeight w:val="1137"/>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标准方法比对测试误差</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斜率（k）：1± 0.10；</w:t>
            </w:r>
            <w:r/>
          </w:p>
          <w:p>
            <w:pPr>
              <w:ind w:firstLine="440"/>
              <w:jc w:val="both"/>
              <w:rPr>
                <w:rFonts w:ascii="Times New Roman" w:hAnsi="Times New Roman" w:cs="Times New Roman"/>
                <w:szCs w:val="21"/>
                <w:highlight w:val="none"/>
              </w:rPr>
            </w:pPr>
            <w:r>
              <w:rPr>
                <w:rFonts w:ascii="Times New Roman" w:hAnsi="Times New Roman" w:cs="Times New Roman"/>
                <w:szCs w:val="21"/>
                <w:highlight w:val="none"/>
              </w:rPr>
              <w:t xml:space="preserve">截距(b)： k≥1: </w:t>
            </w:r>
            <w:r>
              <w:rPr>
                <w:rFonts w:ascii="Times New Roman" w:hAnsi="Times New Roman" w:eastAsia="仿宋" w:cs="Times New Roman"/>
                <w:szCs w:val="21"/>
                <w:highlight w:val="none"/>
                <w:shd w:val="clear" w:color="auto" w:fill="ffffff"/>
              </w:rPr>
              <w:t xml:space="preserve">-10≤b≤(110-100×k)</w:t>
            </w:r>
            <w:r>
              <w:rPr>
                <w:rFonts w:ascii="Times New Roman" w:hAnsi="Times New Roman" w:cs="Times New Roman"/>
                <w:szCs w:val="21"/>
                <w:highlight w:val="none"/>
              </w:rPr>
              <w:t xml:space="preserve">μg/m3；</w:t>
            </w:r>
            <w:r/>
          </w:p>
          <w:p>
            <w:pPr>
              <w:pStyle w:val="1092"/>
              <w:rPr>
                <w:rFonts w:ascii="Times New Roman" w:hAnsi="Times New Roman" w:cs="Times New Roman"/>
                <w:sz w:val="21"/>
                <w:szCs w:val="21"/>
                <w:highlight w:val="none"/>
              </w:rPr>
            </w:pPr>
            <w:r>
              <w:rPr>
                <w:rFonts w:ascii="Times New Roman" w:hAnsi="Times New Roman" w:cs="Times New Roman"/>
                <w:sz w:val="21"/>
                <w:szCs w:val="21"/>
                <w:highlight w:val="none"/>
              </w:rPr>
              <w:t xml:space="preserve">    k≤1: </w:t>
            </w:r>
            <w:r>
              <w:rPr>
                <w:rFonts w:ascii="Times New Roman" w:hAnsi="Times New Roman" w:eastAsia="仿宋" w:cs="Times New Roman"/>
                <w:sz w:val="21"/>
                <w:szCs w:val="21"/>
                <w:highlight w:val="none"/>
                <w:shd w:val="clear" w:color="auto" w:fill="ffffff"/>
              </w:rPr>
              <w:t xml:space="preserve">(90-100×k)≤b≤10</w:t>
            </w:r>
            <w:r>
              <w:rPr>
                <w:rFonts w:ascii="Times New Roman" w:hAnsi="Times New Roman" w:cs="Times New Roman"/>
                <w:sz w:val="21"/>
                <w:szCs w:val="21"/>
                <w:highlight w:val="none"/>
              </w:rPr>
              <w:t xml:space="preserve">μg/m3；</w:t>
            </w:r>
            <w:r/>
          </w:p>
          <w:p>
            <w:pPr>
              <w:pStyle w:val="1092"/>
              <w:rPr>
                <w:rFonts w:ascii="Times New Roman" w:hAnsi="Times New Roman" w:cs="Times New Roman"/>
                <w:highlight w:val="none"/>
              </w:rPr>
            </w:pPr>
            <w:r>
              <w:rPr>
                <w:rFonts w:ascii="Times New Roman" w:hAnsi="Times New Roman" w:cs="Times New Roman"/>
                <w:sz w:val="21"/>
                <w:szCs w:val="21"/>
                <w:highlight w:val="none"/>
              </w:rPr>
              <w:t xml:space="preserve">相关系数：≥0.95</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restart"/>
            <w:textDirection w:val="lrTb"/>
            <w:noWrap w:val="false"/>
          </w:tcPr>
          <w:p>
            <w:pPr>
              <w:jc w:val="center"/>
              <w:widowControl/>
              <w:rPr>
                <w:rFonts w:ascii="Times New Roman" w:hAnsi="Times New Roman" w:cs="Times New Roman"/>
                <w:szCs w:val="21"/>
                <w:highlight w:val="none"/>
              </w:rPr>
            </w:pPr>
            <w:r>
              <w:rPr>
                <w:rFonts w:ascii="Times New Roman" w:hAnsi="Times New Roman" w:cs="Times New Roman"/>
                <w:szCs w:val="21"/>
                <w:highlight w:val="none"/>
              </w:rPr>
              <w:t xml:space="preserve">TSP</w:t>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量程</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0.1~10000μg/m</w:t>
            </w:r>
            <w:r>
              <w:rPr>
                <w:rFonts w:ascii="Times New Roman" w:hAnsi="Times New Roman" w:cs="Times New Roman"/>
                <w:szCs w:val="21"/>
                <w:highlight w:val="none"/>
                <w:vertAlign w:val="superscript"/>
              </w:rPr>
              <w:t xml:space="preserve">3</w:t>
            </w:r>
            <w:r/>
          </w:p>
        </w:tc>
      </w:tr>
      <w:tr>
        <w:trPr>
          <w:cantSplit/>
          <w:jc w:val="center"/>
          <w:trHeight w:val="344"/>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97" w:type="dxa"/>
            <w:vAlign w:val="center"/>
            <w:textDirection w:val="lrTb"/>
            <w:noWrap w:val="false"/>
          </w:tcPr>
          <w:p>
            <w:pPr>
              <w:jc w:val="both"/>
              <w:rPr>
                <w:rFonts w:ascii="Times New Roman" w:hAnsi="Times New Roman" w:cs="Times New Roman"/>
                <w:szCs w:val="21"/>
                <w:highlight w:val="none"/>
              </w:rPr>
            </w:pPr>
            <w:r>
              <w:rPr>
                <w:rFonts w:ascii="Times New Roman" w:hAnsi="Times New Roman" w:cs="Times New Roman"/>
                <w:szCs w:val="21"/>
                <w:highlight w:val="none"/>
              </w:rPr>
              <w:t xml:space="preserve">平行性</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eastAsia="仿宋" w:cs="Times New Roman"/>
                <w:szCs w:val="21"/>
                <w:highlight w:val="none"/>
                <w:shd w:val="clear" w:color="auto" w:fill="ffffff"/>
              </w:rPr>
              <w:t xml:space="preserve">≤5%</w:t>
            </w:r>
            <w:r/>
          </w:p>
        </w:tc>
      </w:tr>
      <w:tr>
        <w:trPr>
          <w:cantSplit/>
          <w:jc w:val="center"/>
          <w:trHeight w:val="570"/>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textDirection w:val="lrTb"/>
            <w:noWrap w:val="false"/>
          </w:tcPr>
          <w:p>
            <w:pPr>
              <w:jc w:val="both"/>
              <w:rPr>
                <w:rFonts w:ascii="Times New Roman" w:hAnsi="Times New Roman" w:cs="Times New Roman"/>
                <w:szCs w:val="21"/>
                <w:highlight w:val="none"/>
              </w:rPr>
            </w:pPr>
            <w:r>
              <w:rPr>
                <w:rFonts w:ascii="Times New Roman" w:hAnsi="Times New Roman" w:cs="Times New Roman"/>
                <w:szCs w:val="21"/>
                <w:highlight w:val="none"/>
              </w:rPr>
              <w:t xml:space="preserve">可测量粒径范围</w:t>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ascii="Times New Roman" w:hAnsi="Times New Roman" w:cs="Times New Roman"/>
                <w:szCs w:val="21"/>
                <w:highlight w:val="none"/>
              </w:rPr>
              <w:t xml:space="preserve">量程</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0.3~100 μm</w:t>
            </w:r>
            <w:r/>
          </w:p>
        </w:tc>
      </w:tr>
      <w:tr>
        <w:trPr>
          <w:cantSplit/>
          <w:jc w:val="center"/>
          <w:trHeight w:val="1187"/>
        </w:trPr>
        <w:tc>
          <w:tcPr>
            <w:tcW w:w="1018" w:type="dxa"/>
            <w:vMerge w:val="continue"/>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r>
            <w:r/>
          </w:p>
        </w:tc>
        <w:tc>
          <w:tcPr>
            <w:shd w:val="clear" w:color="auto" w:fill="auto"/>
            <w:tcW w:w="1281" w:type="dxa"/>
            <w:vAlign w:val="center"/>
            <w:textDirection w:val="lrTb"/>
            <w:noWrap w:val="false"/>
          </w:tcPr>
          <w:p>
            <w:pPr>
              <w:jc w:val="both"/>
              <w:rPr>
                <w:rFonts w:ascii="Times New Roman" w:hAnsi="Times New Roman" w:cs="Times New Roman"/>
                <w:szCs w:val="21"/>
                <w:highlight w:val="none"/>
              </w:rPr>
            </w:pPr>
            <w:r>
              <w:rPr>
                <w:rFonts w:ascii="Times New Roman" w:hAnsi="Times New Roman" w:cs="Times New Roman"/>
                <w:szCs w:val="21"/>
                <w:highlight w:val="none"/>
              </w:rPr>
              <w:t xml:space="preserve">通道数量</w:t>
            </w:r>
            <w:r/>
          </w:p>
        </w:tc>
        <w:tc>
          <w:tcPr>
            <w:shd w:val="clear" w:color="auto" w:fill="auto"/>
            <w:tcW w:w="1297" w:type="dxa"/>
            <w:vAlign w:val="center"/>
            <w:textDirection w:val="lrTb"/>
            <w:noWrap w:val="false"/>
          </w:tcPr>
          <w:p>
            <w:pPr>
              <w:jc w:val="center"/>
              <w:rPr>
                <w:rFonts w:ascii="Times New Roman" w:hAnsi="Times New Roman" w:cs="Times New Roman"/>
                <w:szCs w:val="21"/>
                <w:highlight w:val="none"/>
              </w:rPr>
            </w:pPr>
            <w:r>
              <w:rPr>
                <w:rFonts w:hint="eastAsia" w:ascii="Times New Roman" w:hAnsi="Times New Roman" w:cs="Times New Roman"/>
                <w:szCs w:val="21"/>
                <w:highlight w:val="none"/>
              </w:rPr>
              <w:t xml:space="preserve">数量</w:t>
            </w:r>
            <w:r/>
          </w:p>
        </w:tc>
        <w:tc>
          <w:tcPr>
            <w:shd w:val="clear" w:color="auto" w:fill="auto"/>
            <w:tcW w:w="5762" w:type="dxa"/>
            <w:vAlign w:val="center"/>
            <w:textDirection w:val="lrTb"/>
            <w:noWrap w:val="false"/>
          </w:tcPr>
          <w:p>
            <w:pPr>
              <w:ind w:firstLine="440"/>
              <w:jc w:val="both"/>
              <w:widowControl/>
              <w:rPr>
                <w:rFonts w:ascii="Times New Roman" w:hAnsi="Times New Roman" w:cs="Times New Roman"/>
                <w:szCs w:val="21"/>
                <w:highlight w:val="none"/>
              </w:rPr>
            </w:pPr>
            <w:r>
              <w:rPr>
                <w:rFonts w:ascii="Times New Roman" w:hAnsi="Times New Roman" w:cs="Times New Roman"/>
                <w:szCs w:val="21"/>
                <w:highlight w:val="none"/>
              </w:rPr>
              <w:t xml:space="preserve">12</w:t>
            </w:r>
            <w:r/>
          </w:p>
        </w:tc>
      </w:tr>
    </w:tbl>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投标人就监测设备需提供专业检测机构提供的检测报告。</w:t>
      </w:r>
      <w:bookmarkEnd w:id="53"/>
      <w:r/>
      <w:r/>
    </w:p>
    <w:p>
      <w:pPr>
        <w:ind w:firstLine="442"/>
        <w:jc w:val="both"/>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r>
      <w:r/>
    </w:p>
    <w:p>
      <w:pPr>
        <w:pStyle w:val="1088"/>
        <w:ind w:firstLine="482"/>
        <w:rPr>
          <w:sz w:val="24"/>
          <w:szCs w:val="24"/>
          <w:highlight w:val="none"/>
        </w:rPr>
      </w:pPr>
      <w:r>
        <w:rPr>
          <w:sz w:val="24"/>
          <w:szCs w:val="24"/>
          <w:highlight w:val="none"/>
        </w:rPr>
        <w:t xml:space="preserve">1.1.3 其他指标</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（1）实时监测</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实时监测粒径范围 0.3至100μm的12通道粒子个数和质量浓度，实时输出PM0.4、PM0.5、PM0.6、PM0.8、PM1、PM1.5、PM2、PM2.5、PM5、PM7、PM10和TSP颗粒物质量浓度和粒径数浓度分布。</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（2）粒径统计</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对监测点位颗粒物各粒径段质量浓度、数浓度进行统计分析，包括PM0.4、PM0.5、PM0.6、PM0.8、PM1、PM1.5、PM2、PM2.5、PM5、PM7、PM10和TSP颗粒物质量浓度和粒径数浓度分布，通过不同粒径段数据分析，掌握颗粒物各粒径段分布情况与时间变化情况，精准锁定污染来源。</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（3）智能溯源</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具备实时溯源功能，基于分粒径的精细化来源解析算法，实现基于粒径谱数据的大气颗粒物来源实时解析，包括施工尘、道路尘、固定燃烧源、工业企业源、机动车、二次无机源、其他源。尤其是在颗粒物浓度发生突然变化时，如沙尘、降雨等或其他未知情况下，实时掌握颗粒物来源贡献的变化，为颗粒物高值快速溯源、开展靶向治理提供数据支撑，具有颗粒物污染溯源、污染源特征识别、属地特征识别的功能特性。</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（4）泵吸进气</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采用泵吸式进气方式，气流稳定，流速可控，可靠性高，内置高精度监测传感器，可同时输出PM0.4、PM0.5、PM0.6、PM0.8、PM1、PM1.5、PM2、PM2.5、PM5、PM7、PM10和TSP颗粒物质量浓度实时监测数据，环境适应性强。</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（5）控温除湿</w:t>
      </w:r>
      <w:r/>
    </w:p>
    <w:p>
      <w:pPr>
        <w:ind w:firstLine="480"/>
        <w:jc w:val="both"/>
        <w:spacing w:line="360" w:lineRule="auto"/>
        <w:rPr>
          <w:rFonts w:ascii="Times New Roman" w:hAnsi="Times New Roman" w:cs="Times New Roman"/>
          <w:sz w:val="24"/>
          <w:szCs w:val="24"/>
          <w:highlight w:val="none"/>
        </w:rPr>
      </w:pPr>
      <w:r/>
      <w:bookmarkStart w:id="56" w:name="_Toc28284781"/>
      <w:r>
        <w:rPr>
          <w:rFonts w:ascii="Times New Roman" w:hAnsi="Times New Roman" w:cs="Times New Roman"/>
          <w:sz w:val="24"/>
          <w:szCs w:val="24"/>
          <w:highlight w:val="none"/>
        </w:rPr>
        <w:t xml:space="preserve">内置控制程序，可根据湿度自动开启加热除湿功能，减少湿度对测量结果的影响。</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（6）异常报警</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支持断电报警、开门报警、传感器故障报警。当外部供电被切断时，设备上传报警信息并启动防盗模式。</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（7）数据安全</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数据传输具有加密、校验功能，支持本地数据存储，支持断线重连并自动补发未上传数据。</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（8）方便耐用</w:t>
      </w:r>
      <w:r/>
    </w:p>
    <w:p>
      <w:pPr>
        <w:ind w:firstLine="480"/>
        <w:jc w:val="both"/>
        <w:spacing w:line="360" w:lineRule="auto"/>
        <w:rPr>
          <w:rFonts w:ascii="Times New Roman" w:hAnsi="Times New Roman" w:cs="Times New Roman"/>
          <w:szCs w:val="21"/>
          <w:highlight w:val="none"/>
        </w:rPr>
      </w:pPr>
      <w:r>
        <w:rPr>
          <w:rFonts w:ascii="Times New Roman" w:hAnsi="Times New Roman" w:cs="Times New Roman"/>
          <w:sz w:val="24"/>
          <w:szCs w:val="24"/>
          <w:highlight w:val="none"/>
        </w:rPr>
        <w:t xml:space="preserve">设备外置复位开关，在特殊条件下，可实现一键重启功能。设备钢制外壳喷涂户外防锈漆，防雨水、防锈蚀；挂钩式安装，支持远程在线升级。</w:t>
      </w:r>
      <w:r/>
    </w:p>
    <w:p>
      <w:pPr>
        <w:pStyle w:val="1088"/>
        <w:rPr>
          <w:highlight w:val="none"/>
        </w:rPr>
      </w:pPr>
      <w:r>
        <w:rPr>
          <w:highlight w:val="none"/>
        </w:rPr>
        <w:t xml:space="preserve">1.</w:t>
      </w:r>
      <w:bookmarkEnd w:id="56"/>
      <w:r>
        <w:rPr>
          <w:highlight w:val="none"/>
        </w:rPr>
        <w:t xml:space="preserve">1.4 例行运行维护</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例行运行维护操作包括基于运行维护管理平台的周监控、月巡检，每季度抽取不少于5%站点的现场检查等。</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（1）周监控：每周在运行维护管理平台检查设备在线率、报警情况、运行维护计划等不少于一次。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（2）月巡检：</w:t>
      </w:r>
      <w:bookmarkStart w:id="57" w:name="_Hlk15741123"/>
      <w:r>
        <w:rPr>
          <w:rFonts w:ascii="Times New Roman" w:hAnsi="Times New Roman" w:cs="Times New Roman"/>
          <w:sz w:val="24"/>
          <w:szCs w:val="21"/>
          <w:highlight w:val="none"/>
        </w:rPr>
        <w:t xml:space="preserve">每月在运行维护管理平台远程巡检网络设备运行状况不少于一次，具体内容包括设备运行状态、异常率、运行负荷、质控合格情况等。</w:t>
      </w:r>
      <w:bookmarkEnd w:id="57"/>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（3）季检查：</w:t>
      </w:r>
      <w:bookmarkStart w:id="58" w:name="_Hlk15734780"/>
      <w:r/>
      <w:bookmarkStart w:id="59" w:name="_Hlk15734797"/>
      <w:r>
        <w:rPr>
          <w:rFonts w:ascii="Times New Roman" w:hAnsi="Times New Roman" w:cs="Times New Roman"/>
          <w:sz w:val="24"/>
          <w:szCs w:val="21"/>
          <w:highlight w:val="none"/>
        </w:rPr>
        <w:t xml:space="preserve">每季度抽取不少于5%站点的进行现场检查</w:t>
      </w:r>
      <w:bookmarkEnd w:id="58"/>
      <w:r>
        <w:rPr>
          <w:rFonts w:ascii="Times New Roman" w:hAnsi="Times New Roman" w:cs="Times New Roman"/>
          <w:sz w:val="24"/>
          <w:szCs w:val="21"/>
          <w:highlight w:val="none"/>
        </w:rPr>
        <w:t xml:space="preserve">，检查内容包括质量浓度准确性、平行性、设备安装状况、周边环境、设备运行状况等。</w:t>
      </w:r>
      <w:bookmarkEnd w:id="59"/>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1.2、监控设备服务情况</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本项目供应商需要提供10台视频监控服务，视频内容需要接入鼓楼区生态环境综合调度智慧监管平台。具体要求如下。</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监控设备技术参数</w:t>
      </w:r>
      <w:r/>
    </w:p>
    <w:tbl>
      <w:tblPr>
        <w:tblStyle w:val="11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80"/>
        <w:gridCol w:w="1021"/>
        <w:gridCol w:w="6116"/>
      </w:tblGrid>
      <w:tr>
        <w:trPr>
          <w:trHeight w:val="646"/>
        </w:trPr>
        <w:tc>
          <w:tcPr>
            <w:tcW w:w="761" w:type="dxa"/>
            <w:vAlign w:val="center"/>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序号</w:t>
            </w:r>
            <w:r/>
          </w:p>
        </w:tc>
        <w:tc>
          <w:tcPr>
            <w:tcW w:w="1280" w:type="dxa"/>
            <w:vAlign w:val="center"/>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设备名称</w:t>
            </w:r>
            <w:r/>
          </w:p>
        </w:tc>
        <w:tc>
          <w:tcPr>
            <w:tcW w:w="1021" w:type="dxa"/>
            <w:vAlign w:val="center"/>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型号</w:t>
            </w:r>
            <w:r/>
          </w:p>
        </w:tc>
        <w:tc>
          <w:tcPr>
            <w:tcW w:w="6116" w:type="dxa"/>
            <w:vAlign w:val="center"/>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性能、技术参数要求</w:t>
            </w:r>
            <w:r/>
          </w:p>
        </w:tc>
      </w:tr>
      <w:tr>
        <w:trPr/>
        <w:tc>
          <w:tcPr>
            <w:tcW w:w="761" w:type="dxa"/>
            <w:vAlign w:val="center"/>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1</w:t>
            </w:r>
            <w:r/>
          </w:p>
        </w:tc>
        <w:tc>
          <w:tcPr>
            <w:tcW w:w="1280" w:type="dxa"/>
            <w:vAlign w:val="center"/>
            <w:textDirection w:val="lrTb"/>
            <w:noWrap w:val="false"/>
          </w:tcPr>
          <w:p>
            <w:pPr>
              <w:jc w:val="cente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800万40倍全结构化球</w:t>
            </w:r>
            <w:r/>
          </w:p>
        </w:tc>
        <w:tc>
          <w:tcPr>
            <w:tcW w:w="1021" w:type="dxa"/>
            <w:vAlign w:val="center"/>
            <w:textDirection w:val="lrTb"/>
            <w:noWrap w:val="false"/>
          </w:tcPr>
          <w:p>
            <w:pPr>
              <w:jc w:val="center"/>
              <w:spacing w:line="360" w:lineRule="auto"/>
              <w:rPr>
                <w:rFonts w:ascii="Times New Roman" w:hAnsi="Times New Roman" w:cs="Times New Roman"/>
                <w:szCs w:val="21"/>
                <w:highlight w:val="none"/>
                <w:lang w:val="en-US"/>
              </w:rPr>
            </w:pPr>
            <w:r>
              <w:rPr>
                <w:rFonts w:ascii="Times New Roman" w:hAnsi="Times New Roman" w:cs="Times New Roman"/>
                <w:szCs w:val="21"/>
                <w:highlight w:val="none"/>
                <w:lang w:val="en-US"/>
              </w:rPr>
              <w:t xml:space="preserve">iDS-2DF8C840MZ-AYL</w:t>
            </w:r>
            <w:r/>
          </w:p>
        </w:tc>
        <w:tc>
          <w:tcPr>
            <w:tcW w:w="6116" w:type="dxa"/>
            <w:vAlign w:val="center"/>
            <w:textDirection w:val="lrTb"/>
            <w:noWrap w:val="false"/>
          </w:tcPr>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海康威视全结构化系列800万智能球机，内置40倍变焦镜头</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镜头采用1/1.8＂CMOS传感器，高清成像</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支持人脸抓拍、非机动车识别、车牌识别等全结构化功能，更好助力平安城市人车管理</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适用于城市主干道、十字路口、景区、学校、企业园区、广场等</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支持H.265高效压缩算法，可较大节省存储空间</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支持35114A级加密</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采用双光补光方案，暖白光补光50 m，红外补光250 m</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支持40倍光学变倍，16倍数字变倍</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IP67; 6000V 防雷、防浪涌、防突波，适用于严酷的电磁环境，符合GB/T17626.2/3/4/5/6四级标准</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采用光学透雾技术，极大提升透雾效果</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传感器类型：1/1.8＂ progressive scan CMOS</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最低照度：彩色：0.0005Lux @ (F1.2，AGC ON)；黑白：0.0001Lux @(F1.2，AGC ON)；0 Lux with IR</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宽动态：120dB超宽动态</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焦距：6-240mm，40倍光学变倍</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视场角：水平视场角59.0-2.0度(广角-望远)</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补光灯类型：双光补光</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补光灯距离：红外补光距离250m，暖白光补光距离50m</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防补光过曝：支持</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水平范围：360°</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垂直范围：-20°-90°(自动翻转)</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水平速度：水平键控速度：0.1°-160°/s,速度可设;水平预置点速度：240°/s</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垂直速度：垂直键控速度：0.1°-120°/s,速度可设;垂直预置点速度：200°/s</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主码流帧率分辨率：50Hz:25fps(3840×2160,2560×1440,1920×1080,1280×960,1280×720),      60Hz:24fps(3840×2160,1920×1080,1280×960,1280×720),</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视频压缩标准：H.265;H.264;MJPEG</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网络接口：RJ45网口;自适应10M/100M网络数据</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SD卡扩展：内置Micro SD卡插槽;支持Micro SD/Micro SDHC/Micro SDXC卡;最大支持256G</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报警输入：7路报警输入</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报警输出：2路报警输出</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音频输入：1路音频输入，音频峰值：2-2.4V[p-p]，输入阻抗：1 kΩ±10%</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音频输出：1路音频输出，线性电平，阻抗:600Ω</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RS485接口：采用半双工模式，支持自适应HIKVISION，PELCO-P和PELCO-D(可添加)协议</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电源：DC：36 V，1.67 A/AC：24 V，3 A</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工作温湿度：-40℃-70℃；湿度小于95%</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尺寸：Ø232 × 386 mm</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重量：6Kg</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功耗：最大功耗42 W（其中加热最大功耗8W，红外灯最大功耗12 W）</w:t>
            </w:r>
            <w:r/>
          </w:p>
          <w:p>
            <w:pPr>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防护：IP67; 6000V 防雷、防浪涌、防突波，符合GB/T17626.2/3/4/5/6四级标准</w:t>
            </w:r>
            <w:r/>
          </w:p>
        </w:tc>
      </w:tr>
    </w:tbl>
    <w:p>
      <w:pPr>
        <w:ind w:firstLine="440"/>
        <w:jc w:val="both"/>
        <w:spacing w:line="360" w:lineRule="auto"/>
        <w:rPr>
          <w:rFonts w:ascii="Times New Roman" w:hAnsi="Times New Roman" w:cs="Times New Roman"/>
          <w:szCs w:val="21"/>
          <w:highlight w:val="none"/>
        </w:rPr>
      </w:pPr>
      <w:r>
        <w:rPr>
          <w:rFonts w:ascii="Times New Roman" w:hAnsi="Times New Roman" w:cs="Times New Roman"/>
          <w:szCs w:val="21"/>
          <w:highlight w:val="none"/>
        </w:rPr>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1.3、无人机服务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供应商须提供一台航拍无人机服务，红外双光镜头，具备开展智能巡检相关工作。提供无人及航拍图片服务。无人机满足以下要求：</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1、集成广角、变焦、热成像及激光测距传感器；</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2、无人机具备IP55防护等级，工作环境温度范围-20-50度；</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3、机身6向都具备双目视觉及近红外传感器，内置ADS-B信号接收器，可及时预警周边载人飞机信息；</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4、4天线O3图传行业版，2路发射信号，4路接收信号，最多支持3路1080P图传；</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5、7英寸高亮大屏遥控器，支持双控模式；</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提供无人机航拍相关图片，结合鼓楼生态环境智慧监管平台的各类型数据，为鼓楼生态环境局智能精细化监管提供技术支持。</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2、鼓楼区生态环境智慧监管综合调度平台服务（含手机APP）</w:t>
      </w:r>
      <w:r/>
    </w:p>
    <w:p>
      <w:pPr>
        <w:ind w:firstLine="480"/>
        <w:jc w:val="both"/>
        <w:spacing w:line="360" w:lineRule="auto"/>
        <w:rPr>
          <w:rFonts w:ascii="Times New Roman" w:hAnsi="Times New Roman" w:cs="Times New Roman"/>
          <w:sz w:val="24"/>
          <w:szCs w:val="21"/>
          <w:highlight w:val="none"/>
        </w:rPr>
      </w:pPr>
      <w:r/>
      <w:bookmarkStart w:id="60" w:name="_Toc420418589"/>
      <w:r>
        <w:rPr>
          <w:rFonts w:hint="eastAsia" w:ascii="Times New Roman" w:hAnsi="Times New Roman" w:cs="Times New Roman"/>
          <w:sz w:val="24"/>
          <w:szCs w:val="21"/>
          <w:highlight w:val="none"/>
          <w:lang w:eastAsia="zh-CN"/>
        </w:rPr>
        <w:t xml:space="preserve">整合鼓楼区现有监测资源</w:t>
      </w:r>
      <w:r>
        <w:rPr>
          <w:rFonts w:ascii="Times New Roman" w:hAnsi="Times New Roman" w:cs="Times New Roman"/>
          <w:sz w:val="24"/>
          <w:szCs w:val="21"/>
          <w:highlight w:val="none"/>
        </w:rPr>
        <w:t xml:space="preserve">，</w:t>
      </w:r>
      <w:r>
        <w:rPr>
          <w:rFonts w:hint="eastAsia" w:ascii="Times New Roman" w:hAnsi="Times New Roman" w:cs="Times New Roman"/>
          <w:sz w:val="24"/>
          <w:szCs w:val="21"/>
          <w:highlight w:val="none"/>
          <w:lang w:eastAsia="zh-CN"/>
        </w:rPr>
        <w:t xml:space="preserve">提供</w:t>
      </w:r>
      <w:r>
        <w:rPr>
          <w:rFonts w:ascii="Times New Roman" w:hAnsi="Times New Roman" w:cs="Times New Roman"/>
          <w:sz w:val="24"/>
          <w:szCs w:val="21"/>
          <w:highlight w:val="none"/>
        </w:rPr>
        <w:t xml:space="preserve">多数据源接入服务、调度指挥体系优化升级服务、增加颗粒物智能溯源仪监测溯源模块、增加达标评估智能分析服务等。建立鼓楼区生态环境智慧监管综合调度平台，具体包含以下服务与功能：</w:t>
      </w:r>
      <w:bookmarkEnd w:id="60"/>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2.1 多源数据源接入、综合运用及大模型服务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接入鼓楼区各类型生态环境类数据，包括遥感卫星反演数据、气象数据、各类型监测标准站、微站数据、餐饮油烟、工地扬尘等在线数据、住建、城管针对工地管理等跨部门的视频信息，以及市生态环境局给鼓楼区开放的电监控等市区两级共享数据等。</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基于通用底座大模型，生成生态环境垂直领域大模型，具备生态环境领域专业知识与数据问答能力，提供专业、准确的生态环境问题解答。</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2.2 调度指挥体系优化升级服务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结合系统平台中建立的污染排放行为知识库，利用认知计算方法，针对</w:t>
      </w:r>
      <w:r>
        <w:rPr>
          <w:rFonts w:ascii="Times New Roman" w:hAnsi="Times New Roman" w:cs="Times New Roman"/>
          <w:sz w:val="24"/>
          <w:szCs w:val="21"/>
          <w:highlight w:val="none"/>
        </w:rPr>
        <w:t xml:space="preserve">污染异常情况实时对疑似污染源头进行识别和跟踪，明确污染源头类型和位置，如企业超标排放、无组织排放、工地违规施工、道路拥堵等需要进行管控的污染源进行推送。通过平台和手机APP向各街道发布工作指令，将报警信息推送至街道、镇平台和具体监管员，及时将街道反馈需要相关部门介入的问题移交相关部门，相关部门接到指令后，在规定时间内，按照要求高标准整改到位，最终对污染问题及时分类、移交、跟踪、督办，形成污染管控治理有效闭环开展精确执法，提高监察效率，提升环境质量改善速率。同时，系统平台也支持执法人员日常巡查工作情况的反馈。</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增加预警提醒功能、丰富多数据源高值提醒功能、强化线上调度功能、优化监管闭环统计功能、完善日常工作反馈功能、增加场景互动功能。</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2.3 颗粒物智能溯源仪监测溯源模块</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依托精细化溯源模型，实现多场景下自动溯源。构建更为精准、更适合属地的精细化溯源模型，细化属地颗粒物污染来源，丰富属地污染源粒径图谱库。对比监测时段粒径分布特征与精细化溯源图谱的相似度，实现一键溯源，量化污染源贡献率，智能识别周边潜在污染源。</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针对国控站周边大气污染重点区域进行精细化监管，对鼓楼区典型污染过程进行智能分析，量化外部传输对鼓楼区大气污染的贡献程度，明确本地污染排放的影响比例。为鼓楼区大气污染超标过程的应急指挥及措施制定提供技术依据。</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本模块包括综合分析、溯源分析、预警分析、专题分析、特征分析等，实现考核站异常高值溯源、异常排放高值报警等目标。</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2.4 达标评估智能分析</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明确和细化大气污染物年度考核目标，分解考核指标到月、到日。科学评估各站点数据差异性，将城市考核指标分解、细化到各站点中。通过以时保日、以日保月、以月保年的方式保证站点考核数据达标，以站保区，以区保市、以点保全局的方式保证城市考核数据达标。通过时、日、月等周期对站点考核数据进行发布和考核，追踪治理，评估治理效果，对考核排名靠后者通报批评，把压力和责任层层传导下去，确保分解落实、任务作实、效果真实。</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（1）空气质量考核指标量化分解，确定站点年、月、日考核指标；</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（2）站点考核指标评估分析，小时、日、月、年累计浓度、剩余控制量进行分析。</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2.5 手机App</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手机APP系统有管理版和监察版两个版本。管理版主要服务与管理层，包括手机APP的全景展示、全区报警信息、网格员轨迹等功能，帮助管理层实时掌握全区信息，增加全景展示、指挥调度等功能模块；监察版主要服务于网格员及一线监察人员，主要有网格员及监察人员负责区域的报警信息、包括实时报警和累计高值报警；导航功能，引导网格员到报警区域核查；上传功能，帮助网格员实时上传查找到的报警信息；具有网格员打卡功能，支持网格员到报警点或固定点打卡，形成网格员巡查轨迹图等。</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3、专业人员驻场技术支持服务及巡查服务</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3.1 数据监控和分析服务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利用监测设备对区域进行空气质量监测监控，综合各类数据进行实时分析掌控区域空气质量情况。</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3.2 热点提醒及调度服务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依据污染热点进行高值提醒，发布区域污染信息，辖区调度管理人员查看，并及时跟踪调度处理结果。</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3.3 会商及技术报告服务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支撑开展会商工作，提供日常分析报告，包括周报、月报、季度报、半年报和年报，提供会商和专项分析报告。</w:t>
      </w:r>
      <w:r/>
    </w:p>
    <w:p>
      <w:pPr>
        <w:pStyle w:val="1087"/>
        <w:ind w:left="0" w:firstLine="482"/>
        <w:jc w:val="both"/>
        <w:spacing w:line="360" w:lineRule="auto"/>
        <w:rPr>
          <w:rFonts w:ascii="Times New Roman" w:hAnsi="Times New Roman" w:cs="Times New Roman"/>
          <w:bCs w:val="0"/>
          <w:highlight w:val="none"/>
        </w:rPr>
      </w:pPr>
      <w:r>
        <w:rPr>
          <w:rFonts w:ascii="Times New Roman" w:hAnsi="Times New Roman" w:cs="Times New Roman"/>
          <w:bCs w:val="0"/>
          <w:highlight w:val="none"/>
        </w:rPr>
        <w:t xml:space="preserve">3.4 专职巡查人员服务</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1）一点一策。通过现场巡查总结主要、长期、典型污染源，各污染源针对应急管控级别制度应急措施。</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2）污染天预警报警。预报未来两天天空气质量，若达到轻度污染级别，对本地源提前分级管控，巡查小组现场核查管控落实情况。</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3）重点区域周边重点监管。通过现场核查确定对重点区域影响较大的污染源（工地、移动源、餐饮油烟）重点巡查，及时发现问题、整改问题。</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4）定期形成巡查报告，每周、每月、年度巡查工作以报告形式进行总结，遇有重大突发污染周期应及时预警并加大巡查力度，并形成应急工作快报。</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五、服务期限</w:t>
      </w:r>
      <w:r/>
    </w:p>
    <w:p>
      <w:pPr>
        <w:pStyle w:val="1112"/>
        <w:rPr>
          <w:highlight w:val="none"/>
        </w:rPr>
      </w:pPr>
      <w:r>
        <w:rPr>
          <w:highlight w:val="none"/>
        </w:rPr>
        <w:t xml:space="preserve">自合同签订之日起叁年</w:t>
      </w:r>
      <w:r>
        <w:rPr>
          <w:rFonts w:hint="eastAsia"/>
          <w:highlight w:val="none"/>
          <w:lang w:eastAsia="zh-CN"/>
        </w:rPr>
        <w:t xml:space="preserve">，合同一年一签，年度服务期满通过采购人考核后续签下一年度合同</w:t>
      </w:r>
      <w:r>
        <w:rPr>
          <w:highlight w:val="none"/>
        </w:rPr>
        <w:t xml:space="preserve">。</w:t>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六、付款方式</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本项目服务费根据合同金额按年度支付，即：</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lang w:val="en-US"/>
        </w:rPr>
        <w:t xml:space="preserve">1、</w:t>
      </w:r>
      <w:r>
        <w:rPr>
          <w:rFonts w:ascii="Times New Roman" w:hAnsi="Times New Roman" w:cs="Times New Roman"/>
          <w:sz w:val="24"/>
          <w:szCs w:val="21"/>
          <w:highlight w:val="none"/>
        </w:rPr>
        <w:t xml:space="preserve">合同签订后十五个工作日内，采购人支付第一年项目金额的</w:t>
      </w:r>
      <w:r>
        <w:rPr>
          <w:rFonts w:ascii="Times New Roman" w:hAnsi="Times New Roman" w:cs="Times New Roman"/>
          <w:sz w:val="24"/>
          <w:szCs w:val="21"/>
          <w:highlight w:val="none"/>
          <w:lang w:val="en-US"/>
        </w:rPr>
        <w:t xml:space="preserve">3</w:t>
      </w:r>
      <w:r>
        <w:rPr>
          <w:rFonts w:hint="eastAsia" w:ascii="Times New Roman" w:hAnsi="Times New Roman" w:cs="Times New Roman"/>
          <w:sz w:val="24"/>
          <w:szCs w:val="21"/>
          <w:highlight w:val="none"/>
          <w:lang w:val="en-US" w:eastAsia="zh-CN"/>
        </w:rPr>
        <w:t xml:space="preserve">5</w:t>
      </w:r>
      <w:r>
        <w:rPr>
          <w:rFonts w:ascii="Times New Roman" w:hAnsi="Times New Roman" w:cs="Times New Roman"/>
          <w:sz w:val="24"/>
          <w:szCs w:val="21"/>
          <w:highlight w:val="none"/>
        </w:rPr>
        <w:t xml:space="preserve">%；</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lang w:val="en-US"/>
        </w:rPr>
        <w:t xml:space="preserve">2、</w:t>
      </w:r>
      <w:r>
        <w:rPr>
          <w:rFonts w:ascii="Times New Roman" w:hAnsi="Times New Roman" w:cs="Times New Roman"/>
          <w:sz w:val="24"/>
          <w:szCs w:val="21"/>
          <w:highlight w:val="none"/>
        </w:rPr>
        <w:t xml:space="preserve">第一年服务期结束后，经采购人对供应商项目完成情况验收确认无误，支付第一年项目金额的剩余款项。</w:t>
      </w:r>
      <w:r/>
    </w:p>
    <w:p>
      <w:pPr>
        <w:ind w:firstLine="480"/>
        <w:jc w:val="both"/>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lang w:val="en-US"/>
        </w:rPr>
        <w:t xml:space="preserve">3、</w:t>
      </w:r>
      <w:r>
        <w:rPr>
          <w:rFonts w:ascii="Times New Roman" w:hAnsi="Times New Roman" w:cs="Times New Roman"/>
          <w:sz w:val="24"/>
          <w:szCs w:val="21"/>
          <w:highlight w:val="none"/>
        </w:rPr>
        <w:t xml:space="preserve">以后各年款项支付以此类推。采购人支付合同款项需以财政资金落实到位为前提，对此供应商不得提出异议。供应商收到款项前，向采购人开具合法发票。</w:t>
      </w:r>
      <w:r/>
    </w:p>
    <w:p>
      <w:pPr>
        <w:ind w:firstLine="442"/>
        <w:spacing w:line="360" w:lineRule="auto"/>
        <w:rPr>
          <w:rFonts w:hint="eastAsia"/>
          <w:highlight w:val="none"/>
        </w:rPr>
      </w:pPr>
      <w:r>
        <w:rPr>
          <w:rFonts w:hint="eastAsia"/>
          <w:b/>
          <w:bCs/>
          <w:szCs w:val="21"/>
          <w:highlight w:val="none"/>
          <w:lang w:val="en-US" w:eastAsia="zh-CN"/>
        </w:rPr>
        <w:t xml:space="preserve">七、</w:t>
      </w:r>
      <w:r>
        <w:rPr>
          <w:rFonts w:hint="eastAsia" w:ascii="宋体" w:hAnsi="宋体"/>
          <w:b/>
          <w:bCs/>
          <w:szCs w:val="21"/>
          <w:highlight w:val="none"/>
        </w:rPr>
        <w:t xml:space="preserve">监督考核</w:t>
      </w:r>
      <w:r/>
    </w:p>
    <w:p>
      <w:pPr>
        <w:ind w:firstLine="480"/>
        <w:jc w:val="both"/>
        <w:spacing w:line="360" w:lineRule="auto"/>
        <w:rPr>
          <w:rFonts w:hint="eastAsia" w:ascii="Times New Roman" w:hAnsi="Times New Roman" w:cs="Times New Roman"/>
          <w:sz w:val="24"/>
          <w:szCs w:val="21"/>
          <w:highlight w:val="none"/>
          <w:lang w:val="zh-CN" w:eastAsia="zh-CN"/>
        </w:rPr>
      </w:pPr>
      <w:r>
        <w:rPr>
          <w:rFonts w:hint="eastAsia" w:ascii="Times New Roman" w:hAnsi="Times New Roman" w:cs="Times New Roman"/>
          <w:sz w:val="24"/>
          <w:szCs w:val="21"/>
          <w:highlight w:val="none"/>
          <w:lang w:val="zh-CN" w:eastAsia="zh-CN"/>
        </w:rPr>
        <w:t xml:space="preserve">采购人每年对供应商服务情况开展监督管理和绩效考核，供应商未完成合同约定的年度工作任务或未达到合同约定的绩效要求，采购人有权按照合同约定扣除合同费用的</w:t>
      </w:r>
      <w:r>
        <w:rPr>
          <w:rFonts w:hint="eastAsia" w:ascii="Times New Roman" w:hAnsi="Times New Roman" w:cs="Times New Roman"/>
          <w:sz w:val="24"/>
          <w:szCs w:val="21"/>
          <w:highlight w:val="none"/>
          <w:lang w:val="en-US" w:eastAsia="zh-CN"/>
        </w:rPr>
        <w:t xml:space="preserve">5</w:t>
      </w:r>
      <w:r>
        <w:rPr>
          <w:rFonts w:hint="eastAsia" w:ascii="Times New Roman" w:hAnsi="Times New Roman" w:cs="Times New Roman"/>
          <w:sz w:val="24"/>
          <w:szCs w:val="21"/>
          <w:highlight w:val="none"/>
          <w:lang w:val="zh-CN" w:eastAsia="zh-CN"/>
        </w:rPr>
        <w:t xml:space="preserve">%的考核基金或中止合同。</w:t>
      </w:r>
      <w:r/>
    </w:p>
    <w:p>
      <w:pPr>
        <w:ind w:firstLine="640"/>
        <w:jc w:val="both"/>
        <w:spacing w:line="360" w:lineRule="auto"/>
        <w:rPr>
          <w:rFonts w:ascii="Times New Roman" w:hAnsi="Times New Roman" w:eastAsia="黑体" w:cs="Times New Roman"/>
          <w:sz w:val="32"/>
          <w:highlight w:val="none"/>
        </w:rPr>
        <w:sectPr>
          <w:footerReference w:type="default" r:id="rId13"/>
          <w:footnotePr/>
          <w:endnotePr/>
          <w:type w:val="nextPage"/>
          <w:pgSz w:w="11910" w:h="16840" w:orient="portrait"/>
          <w:pgMar w:top="1460" w:right="1361" w:bottom="920" w:left="1361" w:header="492" w:footer="726" w:gutter="0"/>
          <w:cols w:num="1" w:sep="0" w:space="720" w:equalWidth="1"/>
          <w:docGrid w:linePitch="360"/>
        </w:sectPr>
        <w:outlineLvl w:val="0"/>
      </w:pPr>
      <w:r>
        <w:rPr>
          <w:rFonts w:ascii="Times New Roman" w:hAnsi="Times New Roman" w:eastAsia="黑体" w:cs="Times New Roman"/>
          <w:sz w:val="32"/>
          <w:highlight w:val="none"/>
        </w:rPr>
      </w:r>
      <w:r/>
    </w:p>
    <w:p>
      <w:pPr>
        <w:ind w:firstLine="640"/>
        <w:jc w:val="both"/>
        <w:spacing w:line="360" w:lineRule="auto"/>
        <w:rPr>
          <w:rFonts w:ascii="Times New Roman" w:hAnsi="Times New Roman" w:eastAsia="黑体" w:cs="Times New Roman"/>
          <w:sz w:val="32"/>
          <w:highlight w:val="none"/>
        </w:rPr>
        <w:outlineLvl w:val="0"/>
      </w:pPr>
      <w:r>
        <w:rPr>
          <w:rFonts w:ascii="Times New Roman" w:hAnsi="Times New Roman" w:eastAsia="黑体" w:cs="Times New Roman"/>
          <w:sz w:val="32"/>
          <w:highlight w:val="none"/>
        </w:rPr>
        <w:t xml:space="preserve">第六章  </w:t>
      </w:r>
      <w:r>
        <w:rPr>
          <w:rFonts w:ascii="Times New Roman" w:hAnsi="Times New Roman" w:eastAsia="黑体" w:cs="Times New Roman"/>
          <w:sz w:val="32"/>
          <w:highlight w:val="none"/>
        </w:rPr>
        <w:tab/>
      </w:r>
      <w:r>
        <w:rPr>
          <w:rFonts w:ascii="Times New Roman" w:hAnsi="Times New Roman" w:eastAsia="黑体" w:cs="Times New Roman"/>
          <w:sz w:val="32"/>
          <w:highlight w:val="none"/>
        </w:rPr>
        <w:t xml:space="preserve">合同主要条款及格式</w:t>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ind w:firstLine="1044"/>
        <w:jc w:val="center"/>
        <w:spacing w:before="242" w:line="360" w:lineRule="auto"/>
        <w:rPr>
          <w:rFonts w:ascii="Times New Roman" w:hAnsi="Times New Roman" w:cs="Times New Roman"/>
          <w:b/>
          <w:sz w:val="52"/>
          <w:szCs w:val="52"/>
          <w:highlight w:val="none"/>
        </w:rPr>
      </w:pPr>
      <w:r>
        <w:rPr>
          <w:rFonts w:ascii="Times New Roman" w:hAnsi="Times New Roman" w:cs="Times New Roman"/>
          <w:b/>
          <w:sz w:val="52"/>
          <w:szCs w:val="52"/>
          <w:highlight w:val="none"/>
        </w:rPr>
        <w:t xml:space="preserve">政府采购合同</w:t>
      </w:r>
      <w:r/>
    </w:p>
    <w:p>
      <w:pPr>
        <w:ind w:firstLine="643"/>
        <w:jc w:val="both"/>
        <w:spacing w:line="360" w:lineRule="auto"/>
        <w:rPr>
          <w:rFonts w:ascii="Times New Roman" w:hAnsi="Times New Roman" w:cs="Times New Roman"/>
          <w:b/>
          <w:sz w:val="32"/>
          <w:szCs w:val="24"/>
          <w:highlight w:val="none"/>
        </w:rPr>
      </w:pPr>
      <w:r>
        <w:rPr>
          <w:rFonts w:ascii="Times New Roman" w:hAnsi="Times New Roman" w:cs="Times New Roman"/>
          <w:b/>
          <w:sz w:val="32"/>
          <w:szCs w:val="24"/>
          <w:highlight w:val="none"/>
        </w:rPr>
      </w:r>
      <w:r/>
    </w:p>
    <w:p>
      <w:pPr>
        <w:ind w:firstLine="643"/>
        <w:jc w:val="both"/>
        <w:spacing w:line="360" w:lineRule="auto"/>
        <w:rPr>
          <w:rFonts w:ascii="Times New Roman" w:hAnsi="Times New Roman" w:cs="Times New Roman"/>
          <w:b/>
          <w:sz w:val="32"/>
          <w:szCs w:val="24"/>
          <w:highlight w:val="none"/>
        </w:rPr>
      </w:pPr>
      <w:r>
        <w:rPr>
          <w:rFonts w:ascii="Times New Roman" w:hAnsi="Times New Roman" w:cs="Times New Roman"/>
          <w:b/>
          <w:sz w:val="32"/>
          <w:szCs w:val="24"/>
          <w:highlight w:val="none"/>
        </w:rPr>
      </w:r>
      <w:r/>
    </w:p>
    <w:p>
      <w:pPr>
        <w:ind w:firstLine="643"/>
        <w:jc w:val="both"/>
        <w:spacing w:line="360" w:lineRule="auto"/>
        <w:rPr>
          <w:rFonts w:ascii="Times New Roman" w:hAnsi="Times New Roman" w:cs="Times New Roman"/>
          <w:b/>
          <w:sz w:val="32"/>
          <w:szCs w:val="24"/>
          <w:highlight w:val="none"/>
        </w:rPr>
      </w:pPr>
      <w:r>
        <w:rPr>
          <w:rFonts w:ascii="Times New Roman" w:hAnsi="Times New Roman" w:cs="Times New Roman"/>
          <w:b/>
          <w:sz w:val="32"/>
          <w:szCs w:val="24"/>
          <w:highlight w:val="none"/>
        </w:rPr>
      </w:r>
      <w:r/>
    </w:p>
    <w:p>
      <w:pPr>
        <w:ind w:firstLine="643"/>
        <w:jc w:val="both"/>
        <w:spacing w:line="360" w:lineRule="auto"/>
        <w:rPr>
          <w:rFonts w:ascii="Times New Roman" w:hAnsi="Times New Roman" w:cs="Times New Roman"/>
          <w:b/>
          <w:sz w:val="32"/>
          <w:szCs w:val="24"/>
          <w:highlight w:val="none"/>
        </w:rPr>
      </w:pPr>
      <w:r>
        <w:rPr>
          <w:rFonts w:ascii="Times New Roman" w:hAnsi="Times New Roman" w:cs="Times New Roman"/>
          <w:b/>
          <w:sz w:val="32"/>
          <w:szCs w:val="24"/>
          <w:highlight w:val="none"/>
        </w:rPr>
      </w:r>
      <w:r/>
    </w:p>
    <w:p>
      <w:pPr>
        <w:ind w:firstLine="643"/>
        <w:jc w:val="both"/>
        <w:spacing w:line="360" w:lineRule="auto"/>
        <w:rPr>
          <w:rFonts w:ascii="Times New Roman" w:hAnsi="Times New Roman" w:cs="Times New Roman"/>
          <w:b/>
          <w:sz w:val="32"/>
          <w:szCs w:val="24"/>
          <w:highlight w:val="none"/>
        </w:rPr>
      </w:pPr>
      <w:r>
        <w:rPr>
          <w:rFonts w:ascii="Times New Roman" w:hAnsi="Times New Roman" w:cs="Times New Roman"/>
          <w:b/>
          <w:sz w:val="32"/>
          <w:szCs w:val="24"/>
          <w:highlight w:val="none"/>
        </w:rPr>
      </w:r>
      <w:r/>
    </w:p>
    <w:p>
      <w:pPr>
        <w:ind w:firstLine="643"/>
        <w:jc w:val="both"/>
        <w:spacing w:line="360" w:lineRule="auto"/>
        <w:rPr>
          <w:rFonts w:ascii="Times New Roman" w:hAnsi="Times New Roman" w:cs="Times New Roman"/>
          <w:b/>
          <w:sz w:val="32"/>
          <w:szCs w:val="24"/>
          <w:highlight w:val="none"/>
        </w:rPr>
      </w:pPr>
      <w:r>
        <w:rPr>
          <w:rFonts w:ascii="Times New Roman" w:hAnsi="Times New Roman" w:cs="Times New Roman"/>
          <w:b/>
          <w:sz w:val="32"/>
          <w:szCs w:val="24"/>
          <w:highlight w:val="none"/>
        </w:rPr>
      </w:r>
      <w:r/>
    </w:p>
    <w:p>
      <w:pPr>
        <w:ind w:left="1320" w:firstLine="723"/>
        <w:jc w:val="both"/>
        <w:spacing w:line="360" w:lineRule="auto"/>
        <w:rPr>
          <w:rFonts w:ascii="Times New Roman" w:hAnsi="Times New Roman" w:cs="Times New Roman"/>
          <w:b/>
          <w:sz w:val="36"/>
          <w:szCs w:val="36"/>
          <w:highlight w:val="none"/>
          <w:u w:val="single"/>
          <w:lang w:val="en-US"/>
        </w:rPr>
      </w:pPr>
      <w:r>
        <w:rPr>
          <w:rFonts w:ascii="Times New Roman" w:hAnsi="Times New Roman" w:cs="Times New Roman"/>
          <w:b/>
          <w:sz w:val="36"/>
          <w:szCs w:val="36"/>
          <w:highlight w:val="none"/>
        </w:rPr>
        <w:t xml:space="preserve">合同编号 ：</w:t>
      </w:r>
      <w:r>
        <w:rPr>
          <w:rFonts w:ascii="Times New Roman" w:hAnsi="Times New Roman" w:cs="Times New Roman"/>
          <w:b/>
          <w:sz w:val="36"/>
          <w:szCs w:val="36"/>
          <w:highlight w:val="none"/>
          <w:u w:val="single"/>
        </w:rPr>
        <w:t xml:space="preserve">                       </w:t>
      </w:r>
      <w:r/>
    </w:p>
    <w:p>
      <w:pPr>
        <w:ind w:left="1320" w:firstLine="723"/>
        <w:jc w:val="both"/>
        <w:spacing w:line="360" w:lineRule="auto"/>
        <w:rPr>
          <w:rFonts w:ascii="Times New Roman" w:hAnsi="Times New Roman" w:cs="Times New Roman"/>
          <w:b/>
          <w:sz w:val="36"/>
          <w:szCs w:val="36"/>
          <w:highlight w:val="none"/>
          <w:u w:val="single"/>
        </w:rPr>
      </w:pPr>
      <w:r>
        <w:rPr>
          <w:rFonts w:ascii="Times New Roman" w:hAnsi="Times New Roman" w:cs="Times New Roman"/>
          <w:b/>
          <w:sz w:val="36"/>
          <w:szCs w:val="36"/>
          <w:highlight w:val="none"/>
        </w:rPr>
        <w:t xml:space="preserve">项目名称 ：</w:t>
      </w:r>
      <w:r>
        <w:rPr>
          <w:rFonts w:ascii="Times New Roman" w:hAnsi="Times New Roman" w:cs="Times New Roman"/>
          <w:b/>
          <w:sz w:val="36"/>
          <w:szCs w:val="36"/>
          <w:highlight w:val="none"/>
          <w:u w:val="single"/>
        </w:rPr>
        <w:t xml:space="preserve">                       </w:t>
      </w:r>
      <w:r/>
    </w:p>
    <w:p>
      <w:pPr>
        <w:ind w:left="1320" w:firstLine="723"/>
        <w:jc w:val="both"/>
        <w:spacing w:line="360" w:lineRule="auto"/>
        <w:rPr>
          <w:rFonts w:ascii="Times New Roman" w:hAnsi="Times New Roman" w:cs="Times New Roman"/>
          <w:b/>
          <w:sz w:val="36"/>
          <w:szCs w:val="36"/>
          <w:highlight w:val="none"/>
          <w:u w:val="single"/>
        </w:rPr>
      </w:pPr>
      <w:r>
        <w:rPr>
          <w:rFonts w:ascii="Times New Roman" w:hAnsi="Times New Roman" w:cs="Times New Roman"/>
          <w:b/>
          <w:sz w:val="36"/>
          <w:szCs w:val="36"/>
          <w:highlight w:val="none"/>
        </w:rPr>
        <w:t xml:space="preserve">采 购 人 ：</w:t>
      </w:r>
      <w:r>
        <w:rPr>
          <w:rFonts w:ascii="Times New Roman" w:hAnsi="Times New Roman" w:cs="Times New Roman"/>
          <w:b/>
          <w:sz w:val="36"/>
          <w:szCs w:val="36"/>
          <w:highlight w:val="none"/>
          <w:u w:val="single"/>
        </w:rPr>
        <w:t xml:space="preserve">                       </w:t>
      </w:r>
      <w:r/>
    </w:p>
    <w:p>
      <w:pPr>
        <w:ind w:left="1320" w:firstLine="723"/>
        <w:jc w:val="both"/>
        <w:spacing w:line="360" w:lineRule="auto"/>
        <w:rPr>
          <w:rFonts w:ascii="Times New Roman" w:hAnsi="Times New Roman" w:cs="Times New Roman"/>
          <w:b/>
          <w:sz w:val="36"/>
          <w:szCs w:val="36"/>
          <w:highlight w:val="none"/>
        </w:rPr>
      </w:pPr>
      <w:r>
        <w:rPr>
          <w:rFonts w:ascii="Times New Roman" w:hAnsi="Times New Roman" w:cs="Times New Roman"/>
          <w:b/>
          <w:sz w:val="36"/>
          <w:szCs w:val="36"/>
          <w:highlight w:val="none"/>
        </w:rPr>
        <w:t xml:space="preserve">供 应 商 ：</w:t>
      </w:r>
      <w:r>
        <w:rPr>
          <w:rFonts w:ascii="Times New Roman" w:hAnsi="Times New Roman" w:cs="Times New Roman"/>
          <w:b/>
          <w:sz w:val="36"/>
          <w:szCs w:val="36"/>
          <w:highlight w:val="none"/>
          <w:u w:val="single"/>
        </w:rPr>
        <w:t xml:space="preserve">                       </w:t>
      </w:r>
      <w:r/>
    </w:p>
    <w:p>
      <w:pPr>
        <w:ind w:left="1320" w:firstLine="723"/>
        <w:jc w:val="both"/>
        <w:spacing w:line="360" w:lineRule="auto"/>
        <w:rPr>
          <w:rFonts w:ascii="Times New Roman" w:hAnsi="Times New Roman" w:eastAsia="Times New Roman" w:cs="Times New Roman"/>
          <w:b/>
          <w:sz w:val="36"/>
          <w:szCs w:val="36"/>
          <w:highlight w:val="none"/>
          <w:u w:val="single"/>
        </w:rPr>
      </w:pPr>
      <w:r>
        <w:rPr>
          <w:rFonts w:ascii="Times New Roman" w:hAnsi="Times New Roman" w:cs="Times New Roman"/>
          <w:b/>
          <w:sz w:val="36"/>
          <w:szCs w:val="36"/>
          <w:highlight w:val="none"/>
        </w:rPr>
        <w:t xml:space="preserve">签订日期 ：</w:t>
      </w:r>
      <w:r>
        <w:rPr>
          <w:rFonts w:ascii="Times New Roman" w:hAnsi="Times New Roman" w:cs="Times New Roman"/>
          <w:b/>
          <w:sz w:val="36"/>
          <w:szCs w:val="36"/>
          <w:highlight w:val="none"/>
          <w:u w:val="single"/>
        </w:rPr>
        <w:t xml:space="preserve">                       </w:t>
      </w:r>
      <w:r/>
    </w:p>
    <w:p>
      <w:pPr>
        <w:ind w:firstLine="420"/>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br w:type="page" w:clear="all"/>
      </w:r>
      <w:r/>
    </w:p>
    <w:p>
      <w:pPr>
        <w:ind w:firstLine="480"/>
        <w:jc w:val="both"/>
        <w:spacing w:line="360" w:lineRule="auto"/>
        <w:rPr>
          <w:rFonts w:ascii="Times New Roman" w:hAnsi="Times New Roman" w:cs="Times New Roman"/>
          <w:sz w:val="24"/>
          <w:szCs w:val="24"/>
          <w:highlight w:val="none"/>
        </w:rPr>
      </w:pPr>
      <w:r/>
      <w:bookmarkStart w:id="61" w:name="_bookmark0"/>
      <w:r/>
      <w:bookmarkEnd w:id="61"/>
      <w:r>
        <w:rPr>
          <w:rFonts w:ascii="Times New Roman" w:hAnsi="Times New Roman" w:cs="Times New Roman"/>
          <w:sz w:val="24"/>
          <w:szCs w:val="24"/>
          <w:highlight w:val="none"/>
        </w:rPr>
        <w:t xml:space="preserve">合同编号：</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政府采购计划号：</w:t>
      </w:r>
      <w:r/>
    </w:p>
    <w:tbl>
      <w:tblPr>
        <w:tblStyle w:val="109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 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住所地：</w:t>
            </w:r>
            <w:r/>
          </w:p>
        </w:tc>
      </w:tr>
    </w:tbl>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根据《中华人民共和国政府采购法》、《中华人民共和国民法典》等法律法规的规定，甲乙双方按照采购代理机构的中标结果签订本合同。</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第一条 合同标的</w:t>
      </w:r>
      <w:r/>
    </w:p>
    <w:p>
      <w:pPr>
        <w:ind w:firstLine="480"/>
        <w:jc w:val="both"/>
        <w:spacing w:line="360" w:lineRule="auto"/>
        <w:rPr>
          <w:rFonts w:ascii="Times New Roman" w:hAnsi="Times New Roman" w:cs="Times New Roman"/>
          <w:sz w:val="24"/>
          <w:szCs w:val="24"/>
          <w:highlight w:val="none"/>
          <w:u w:val="single"/>
        </w:rPr>
      </w:pPr>
      <w:r>
        <w:rPr>
          <w:rFonts w:ascii="Times New Roman" w:hAnsi="Times New Roman" w:cs="Times New Roman"/>
          <w:sz w:val="24"/>
          <w:szCs w:val="24"/>
          <w:highlight w:val="none"/>
        </w:rPr>
        <w:t xml:space="preserve">1、乙方根据甲方需求提供下列服务：</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2、具体服务</w:t>
      </w:r>
      <w:r>
        <w:rPr>
          <w:rFonts w:ascii="Times New Roman" w:hAnsi="Times New Roman" w:cs="Times New Roman"/>
          <w:sz w:val="24"/>
          <w:szCs w:val="24"/>
          <w:highlight w:val="none"/>
          <w:lang w:val="en-US"/>
        </w:rPr>
        <w:t xml:space="preserve">内容及</w:t>
      </w:r>
      <w:r>
        <w:rPr>
          <w:rFonts w:ascii="Times New Roman" w:hAnsi="Times New Roman" w:cs="Times New Roman"/>
          <w:sz w:val="24"/>
          <w:szCs w:val="24"/>
          <w:highlight w:val="none"/>
        </w:rPr>
        <w:t xml:space="preserve">执行要求详见</w:t>
      </w:r>
      <w:r>
        <w:rPr>
          <w:rFonts w:ascii="Times New Roman" w:hAnsi="Times New Roman" w:cs="Times New Roman"/>
          <w:sz w:val="24"/>
          <w:szCs w:val="24"/>
          <w:highlight w:val="none"/>
          <w:lang w:val="en-US"/>
        </w:rPr>
        <w:t xml:space="preserve">采购文件及</w:t>
      </w:r>
      <w:r>
        <w:rPr>
          <w:rFonts w:ascii="Times New Roman" w:hAnsi="Times New Roman" w:cs="Times New Roman"/>
          <w:sz w:val="24"/>
          <w:szCs w:val="24"/>
          <w:highlight w:val="none"/>
        </w:rPr>
        <w:t xml:space="preserve">乙方</w:t>
      </w:r>
      <w:r>
        <w:rPr>
          <w:rFonts w:ascii="Times New Roman" w:hAnsi="Times New Roman" w:cs="Times New Roman"/>
          <w:sz w:val="24"/>
          <w:szCs w:val="24"/>
          <w:highlight w:val="none"/>
          <w:lang w:val="en-US"/>
        </w:rPr>
        <w:t xml:space="preserve">投标文件等</w:t>
      </w:r>
      <w:r>
        <w:rPr>
          <w:rFonts w:ascii="Times New Roman" w:hAnsi="Times New Roman" w:cs="Times New Roman"/>
          <w:sz w:val="24"/>
          <w:szCs w:val="24"/>
          <w:highlight w:val="none"/>
        </w:rPr>
        <w:t xml:space="preserve">。</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第二条 合同总价款</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1、本合同项下服务总价款为</w:t>
      </w:r>
      <w:r>
        <w:rPr>
          <w:rFonts w:ascii="Times New Roman" w:hAnsi="Times New Roman" w:cs="Times New Roman"/>
          <w:sz w:val="24"/>
          <w:szCs w:val="24"/>
          <w:highlight w:val="none"/>
          <w:u w:val="single"/>
          <w:lang w:val="en-US"/>
        </w:rPr>
        <w:t xml:space="preserve">           </w:t>
      </w:r>
      <w:r>
        <w:rPr>
          <w:rFonts w:ascii="Times New Roman" w:hAnsi="Times New Roman" w:cs="Times New Roman"/>
          <w:sz w:val="24"/>
          <w:szCs w:val="24"/>
          <w:highlight w:val="none"/>
        </w:rPr>
        <w:t xml:space="preserve">万元</w:t>
      </w:r>
      <w:r>
        <w:rPr>
          <w:rFonts w:ascii="Times New Roman" w:hAnsi="Times New Roman" w:cs="Times New Roman"/>
          <w:sz w:val="24"/>
          <w:szCs w:val="24"/>
          <w:highlight w:val="none"/>
          <w:lang w:val="en-US"/>
        </w:rPr>
        <w:t xml:space="preserve">/年</w:t>
      </w:r>
      <w:r>
        <w:rPr>
          <w:rFonts w:ascii="Times New Roman" w:hAnsi="Times New Roman" w:cs="Times New Roman"/>
          <w:sz w:val="24"/>
          <w:szCs w:val="24"/>
          <w:highlight w:val="none"/>
        </w:rPr>
        <w:t xml:space="preserve">。分项价款在“分项报价表”中有明确规定。</w:t>
      </w:r>
      <w:r/>
    </w:p>
    <w:p>
      <w:pPr>
        <w:ind w:firstLine="480"/>
        <w:jc w:val="both"/>
        <w:spacing w:line="360" w:lineRule="auto"/>
        <w:rPr>
          <w:rFonts w:ascii="Times New Roman" w:hAnsi="Times New Roman" w:cs="Times New Roman"/>
          <w:b/>
          <w:sz w:val="24"/>
          <w:szCs w:val="24"/>
          <w:highlight w:val="none"/>
        </w:rPr>
      </w:pPr>
      <w:r>
        <w:rPr>
          <w:rFonts w:ascii="Times New Roman" w:hAnsi="Times New Roman" w:cs="Times New Roman"/>
          <w:sz w:val="24"/>
          <w:szCs w:val="24"/>
          <w:highlight w:val="none"/>
        </w:rPr>
        <w:t xml:space="preserve">2、本合同总价款是完成本项目所发生的所有含税费用、支付给员工的工资和国家强制缴纳的各种社会保障资金</w:t>
      </w:r>
      <w:r>
        <w:rPr>
          <w:rFonts w:ascii="Times New Roman" w:hAnsi="Times New Roman" w:cs="Times New Roman"/>
          <w:bCs/>
          <w:sz w:val="24"/>
          <w:szCs w:val="24"/>
          <w:highlight w:val="none"/>
        </w:rPr>
        <w:t xml:space="preserve">，以</w:t>
      </w:r>
      <w:r>
        <w:rPr>
          <w:rFonts w:ascii="Times New Roman" w:hAnsi="Times New Roman" w:cs="Times New Roman"/>
          <w:sz w:val="24"/>
          <w:szCs w:val="24"/>
          <w:highlight w:val="none"/>
        </w:rPr>
        <w:t xml:space="preserve">及乙方认为需要的其他费用等。</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3、本合同执行期间合同总价款不变。</w:t>
      </w:r>
      <w:r/>
    </w:p>
    <w:p>
      <w:pPr>
        <w:ind w:firstLine="482"/>
        <w:jc w:val="both"/>
        <w:spacing w:line="36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 xml:space="preserve">第三条 组成本合同的有关文件</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采购文件和有关附件是本合同不可分割的组成部分，与本合同具有同等法律效力。</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第四条 权利保证</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第五条 质量保证</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乙方所提供的服务的技术规格应与采购文件规定的技术规格及响应文件所附的相关参数相一致；若技术性能无特殊说明，则按国家有关部门最新颁布的标准及规范为准。</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第六条 交付使用和验收</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1、乙方应当在甲方规定的时间内完成招标文件规定的项目并交付甲方使用，不得影响项目进度计划。招标文件有约定的，从其约定。</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2、甲方自行组织或视情邀请相关专家或国家认可的质量检测机构参加验收，乙方提供的服务不符合招标文件和合同规定的，甲方有权拒收，乙方承担验收费用等。</w:t>
      </w:r>
      <w:r/>
    </w:p>
    <w:p>
      <w:pPr>
        <w:ind w:firstLine="480"/>
        <w:jc w:val="both"/>
        <w:spacing w:line="360" w:lineRule="auto"/>
        <w:rPr>
          <w:rFonts w:ascii="Times New Roman" w:hAnsi="Times New Roman" w:cs="Times New Roman"/>
          <w:sz w:val="24"/>
          <w:szCs w:val="24"/>
          <w:highlight w:val="none"/>
          <w:lang w:val="en-US"/>
        </w:rPr>
      </w:pPr>
      <w:r>
        <w:rPr>
          <w:rFonts w:ascii="Times New Roman" w:hAnsi="Times New Roman" w:cs="Times New Roman"/>
          <w:sz w:val="24"/>
          <w:szCs w:val="24"/>
          <w:highlight w:val="none"/>
          <w:lang w:val="en-US"/>
        </w:rPr>
        <w:t xml:space="preserve">3、本项目服务期为三年。</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第七条 履约保证金</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1、本项目履约保证金为</w:t>
      </w:r>
      <w:r>
        <w:rPr>
          <w:rFonts w:ascii="Times New Roman" w:hAnsi="Times New Roman" w:cs="Times New Roman"/>
          <w:sz w:val="24"/>
          <w:szCs w:val="24"/>
          <w:highlight w:val="none"/>
          <w:lang w:val="en-US"/>
        </w:rPr>
        <w:t xml:space="preserve">每年度合同价</w:t>
      </w:r>
      <w:r>
        <w:rPr>
          <w:rFonts w:ascii="Times New Roman" w:hAnsi="Times New Roman" w:cs="Times New Roman"/>
          <w:sz w:val="24"/>
          <w:szCs w:val="24"/>
          <w:highlight w:val="none"/>
        </w:rPr>
        <w:t xml:space="preserve">的5%，</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供应商的履约保证金须在合同签订前</w:t>
      </w:r>
      <w:r>
        <w:rPr>
          <w:rFonts w:ascii="Times New Roman" w:hAnsi="Times New Roman" w:cs="Times New Roman"/>
          <w:sz w:val="24"/>
          <w:szCs w:val="24"/>
          <w:highlight w:val="none"/>
          <w:lang w:val="en-US"/>
        </w:rPr>
        <w:t xml:space="preserve">缴纳给采购人</w:t>
      </w:r>
      <w:r>
        <w:rPr>
          <w:rFonts w:ascii="Times New Roman" w:hAnsi="Times New Roman" w:cs="Times New Roman"/>
          <w:sz w:val="24"/>
          <w:szCs w:val="24"/>
          <w:highlight w:val="none"/>
        </w:rPr>
        <w:t xml:space="preserve">（应当以数字人民币、支票、汇票或者金融机构、担保机构出具的保函等非现金形式提交），</w:t>
      </w:r>
      <w:r>
        <w:rPr>
          <w:rFonts w:ascii="Times New Roman" w:hAnsi="Times New Roman" w:cs="Times New Roman"/>
          <w:sz w:val="24"/>
          <w:szCs w:val="24"/>
          <w:highlight w:val="none"/>
          <w:lang w:val="en-US"/>
        </w:rPr>
        <w:t xml:space="preserve">按年度缴纳，中标</w:t>
      </w:r>
      <w:r>
        <w:rPr>
          <w:rFonts w:ascii="Times New Roman" w:hAnsi="Times New Roman" w:cs="Times New Roman"/>
          <w:sz w:val="24"/>
          <w:szCs w:val="24"/>
          <w:highlight w:val="none"/>
        </w:rPr>
        <w:t xml:space="preserve">供应商凭成交通知书与采购单位签订合同。超期或未有协商，则视为自动放弃成交资格。</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供应商全部履约合同义务，经采购单位验收合格无质量、进度等问题的，采购人在验收合格后一次性退还履约保证金（</w:t>
      </w:r>
      <w:r>
        <w:rPr>
          <w:rFonts w:ascii="Times New Roman" w:hAnsi="Times New Roman" w:cs="Times New Roman"/>
          <w:sz w:val="24"/>
          <w:szCs w:val="24"/>
          <w:highlight w:val="none"/>
          <w:lang w:val="en-US"/>
        </w:rPr>
        <w:t xml:space="preserve">无息</w:t>
      </w:r>
      <w:r>
        <w:rPr>
          <w:rFonts w:ascii="Times New Roman" w:hAnsi="Times New Roman" w:cs="Times New Roman"/>
          <w:sz w:val="24"/>
          <w:szCs w:val="24"/>
          <w:highlight w:val="none"/>
        </w:rPr>
        <w:t xml:space="preserve">）。</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3、发生以下情况的，履约保证金不予退还或部分退还：</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a.签订合同后，</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供应商不履行合同义务的，采购单位有权全额扣除履约保证金，全额不予退还，同时采购单位亦有权终止合同，</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供应商还须承担相应的法律赔偿责任。</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b.</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供应商在履约过程中发生违约行为，给采购单位造成损失的，采购单位有权在</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供应商缴纳的履约保证金中予以扣款，以弥补采购单位经济损失，不足的部分</w:t>
      </w:r>
      <w:r>
        <w:rPr>
          <w:rFonts w:ascii="Times New Roman" w:hAnsi="Times New Roman" w:cs="Times New Roman"/>
          <w:sz w:val="24"/>
          <w:szCs w:val="24"/>
          <w:highlight w:val="none"/>
          <w:lang w:val="en-US"/>
        </w:rPr>
        <w:t xml:space="preserve">中标</w:t>
      </w:r>
      <w:r>
        <w:rPr>
          <w:rFonts w:ascii="Times New Roman" w:hAnsi="Times New Roman" w:cs="Times New Roman"/>
          <w:sz w:val="24"/>
          <w:szCs w:val="24"/>
          <w:highlight w:val="none"/>
        </w:rPr>
        <w:t xml:space="preserve">供应商另外补齐。</w:t>
      </w:r>
      <w:r/>
    </w:p>
    <w:p>
      <w:pPr>
        <w:ind w:firstLine="482"/>
        <w:jc w:val="both"/>
        <w:spacing w:line="360" w:lineRule="auto"/>
        <w:rPr>
          <w:rFonts w:ascii="Times New Roman" w:hAnsi="Times New Roman" w:cs="Times New Roman"/>
          <w:b/>
          <w:bCs/>
          <w:i/>
          <w:iCs/>
          <w:sz w:val="24"/>
          <w:szCs w:val="24"/>
          <w:highlight w:val="none"/>
        </w:rPr>
      </w:pPr>
      <w:r>
        <w:rPr>
          <w:rFonts w:ascii="Times New Roman" w:hAnsi="Times New Roman" w:cs="Times New Roman"/>
          <w:b/>
          <w:bCs/>
          <w:sz w:val="24"/>
          <w:szCs w:val="24"/>
          <w:highlight w:val="none"/>
        </w:rPr>
        <w:t xml:space="preserve">第八条 合同款支付</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1、本合同项下所有款项均以人民币支付。</w:t>
      </w:r>
      <w:r/>
    </w:p>
    <w:p>
      <w:pPr>
        <w:ind w:firstLine="480"/>
        <w:jc w:val="both"/>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2、本合同项下的采购资金由甲方自行支付，乙方向甲方开具发票。</w:t>
      </w:r>
      <w:r/>
    </w:p>
    <w:p>
      <w:pPr>
        <w:ind w:firstLine="480"/>
        <w:jc w:val="both"/>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3、付款条件：</w:t>
      </w:r>
      <w:r/>
    </w:p>
    <w:p>
      <w:pPr>
        <w:ind w:firstLine="480"/>
        <w:jc w:val="both"/>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本项目服务费根据合同金额按年度支付，即：</w:t>
      </w:r>
      <w:r/>
    </w:p>
    <w:p>
      <w:pPr>
        <w:ind w:firstLine="480"/>
        <w:jc w:val="both"/>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（1）合同签订后十五个工作日内，甲方支付第一年项目金额的</w:t>
      </w:r>
      <w:r>
        <w:rPr>
          <w:rFonts w:hint="eastAsia" w:ascii="Times New Roman" w:hAnsi="Times New Roman" w:cs="Times New Roman"/>
          <w:bCs/>
          <w:sz w:val="24"/>
          <w:szCs w:val="24"/>
          <w:highlight w:val="none"/>
          <w:lang w:val="en-US" w:eastAsia="zh-CN"/>
        </w:rPr>
        <w:t xml:space="preserve">35</w:t>
      </w:r>
      <w:r>
        <w:rPr>
          <w:rFonts w:ascii="Times New Roman" w:hAnsi="Times New Roman" w:cs="Times New Roman"/>
          <w:bCs/>
          <w:sz w:val="24"/>
          <w:szCs w:val="24"/>
          <w:highlight w:val="none"/>
        </w:rPr>
        <w:t xml:space="preserve">%；</w:t>
      </w:r>
      <w:r/>
    </w:p>
    <w:p>
      <w:pPr>
        <w:ind w:firstLine="480"/>
        <w:jc w:val="both"/>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（2）第一年服务期结束后，经甲方对乙方项目完成情况验收确认无误，支付第一年项目金额的剩余款项。</w:t>
      </w:r>
      <w:r/>
    </w:p>
    <w:p>
      <w:pPr>
        <w:ind w:firstLine="480"/>
        <w:jc w:val="both"/>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（3）以后各年款项支付以此类推。甲方支付合同款项需以财政资金落实到位为前提，对此乙方不得提出异议。乙方收到款项前，向甲方开具合法发票。</w:t>
      </w:r>
      <w:r/>
    </w:p>
    <w:p>
      <w:pPr>
        <w:ind w:firstLine="482"/>
        <w:jc w:val="both"/>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第九条 违约责任</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lang w:val="en-US"/>
        </w:rPr>
        <w:t xml:space="preserve">1</w:t>
      </w:r>
      <w:r>
        <w:rPr>
          <w:rFonts w:ascii="Times New Roman" w:hAnsi="Times New Roman" w:cs="Times New Roman"/>
          <w:sz w:val="24"/>
          <w:szCs w:val="24"/>
          <w:highlight w:val="none"/>
        </w:rPr>
        <w:t xml:space="preserve">、甲方未按合同规定的期限向乙方支付货款的，每逾期1天甲方向乙方偿付欠款总额的5‰滞纳金，但累计滞纳金总额不超过欠款总额的5%。</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lang w:val="en-US"/>
        </w:rPr>
        <w:t xml:space="preserve">2</w:t>
      </w:r>
      <w:r>
        <w:rPr>
          <w:rFonts w:ascii="Times New Roman" w:hAnsi="Times New Roman" w:cs="Times New Roman"/>
          <w:sz w:val="24"/>
          <w:szCs w:val="24"/>
          <w:highlight w:val="none"/>
        </w:rPr>
        <w:t xml:space="preserve">、如乙方不能交付服务的，乙方应向甲方支付合同总价5%的违约金。</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lang w:val="en-US"/>
        </w:rPr>
        <w:t xml:space="preserve">3</w:t>
      </w:r>
      <w:r>
        <w:rPr>
          <w:rFonts w:ascii="Times New Roman" w:hAnsi="Times New Roman" w:cs="Times New Roman"/>
          <w:sz w:val="24"/>
          <w:szCs w:val="24"/>
          <w:highlight w:val="none"/>
        </w:rPr>
        <w:t xml:space="preserve">、乙方逾期交付的，每逾期1天，乙方向甲方偿付合同总</w:t>
      </w:r>
      <w:r>
        <w:rPr>
          <w:rFonts w:ascii="Times New Roman" w:hAnsi="Times New Roman" w:cs="Times New Roman"/>
          <w:sz w:val="24"/>
          <w:szCs w:val="24"/>
          <w:highlight w:val="none"/>
          <w:lang w:val="en-US"/>
        </w:rPr>
        <w:t xml:space="preserve">价</w:t>
      </w:r>
      <w:r>
        <w:rPr>
          <w:rFonts w:ascii="Times New Roman" w:hAnsi="Times New Roman" w:cs="Times New Roman"/>
          <w:sz w:val="24"/>
          <w:szCs w:val="24"/>
          <w:highlight w:val="none"/>
        </w:rPr>
        <w:t xml:space="preserve">的5‰的滞纳金。如乙方逾期交付达10天，甲方有权解除合同，解除合同的通知自到达乙方时生效。</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lang w:val="en-US"/>
        </w:rPr>
        <w:t xml:space="preserve">4</w:t>
      </w:r>
      <w:r>
        <w:rPr>
          <w:rFonts w:ascii="Times New Roman" w:hAnsi="Times New Roman" w:cs="Times New Roman"/>
          <w:sz w:val="24"/>
          <w:szCs w:val="24"/>
          <w:highlight w:val="none"/>
        </w:rPr>
        <w:t xml:space="preserve">、乙方所交付的服务不符合合同规定的，每次乙方应向甲方支付合同总价5%的违约金，并且按照漏(错)一补二的方式进行补救。</w:t>
      </w:r>
      <w:r/>
    </w:p>
    <w:p>
      <w:pPr>
        <w:ind w:firstLine="480"/>
        <w:jc w:val="both"/>
        <w:spacing w:line="360" w:lineRule="auto"/>
        <w:widowControl/>
        <w:rPr>
          <w:rFonts w:ascii="Times New Roman" w:hAnsi="Times New Roman" w:cs="Times New Roman"/>
          <w:sz w:val="24"/>
          <w:szCs w:val="24"/>
          <w:highlight w:val="none"/>
          <w:lang w:val="en-US"/>
        </w:rPr>
      </w:pPr>
      <w:r>
        <w:rPr>
          <w:rFonts w:ascii="Times New Roman" w:hAnsi="Times New Roman" w:cs="Times New Roman"/>
          <w:sz w:val="24"/>
          <w:szCs w:val="24"/>
          <w:highlight w:val="none"/>
          <w:lang w:val="en-US"/>
        </w:rPr>
        <w:t xml:space="preserve">5、乙方出现下列情况时，甲方有权解除合同并要求乙方退化全部已收取费用，还有权要求乙方按照合同总价20%的标准支付违约金：</w:t>
      </w:r>
      <w:r/>
    </w:p>
    <w:p>
      <w:pPr>
        <w:ind w:firstLine="480"/>
        <w:jc w:val="both"/>
        <w:spacing w:line="360" w:lineRule="auto"/>
        <w:widowControl/>
        <w:rPr>
          <w:rFonts w:ascii="Times New Roman" w:hAnsi="Times New Roman" w:cs="Times New Roman"/>
          <w:sz w:val="24"/>
          <w:szCs w:val="24"/>
          <w:highlight w:val="none"/>
          <w:lang w:val="en-US"/>
        </w:rPr>
      </w:pPr>
      <w:r>
        <w:rPr>
          <w:rFonts w:hint="eastAsia"/>
          <w:sz w:val="24"/>
          <w:szCs w:val="24"/>
          <w:highlight w:val="none"/>
          <w:lang w:val="en-US"/>
        </w:rPr>
        <w:t xml:space="preserve">①</w:t>
      </w:r>
      <w:r>
        <w:rPr>
          <w:rFonts w:ascii="Times New Roman" w:hAnsi="Times New Roman" w:cs="Times New Roman"/>
          <w:sz w:val="24"/>
          <w:szCs w:val="24"/>
          <w:highlight w:val="none"/>
          <w:lang w:val="en-US"/>
        </w:rPr>
        <w:t xml:space="preserve">乙方提供服务出现意识形态问题的；</w:t>
      </w:r>
      <w:r/>
    </w:p>
    <w:p>
      <w:pPr>
        <w:ind w:firstLine="480"/>
        <w:jc w:val="both"/>
        <w:spacing w:line="360" w:lineRule="auto"/>
        <w:widowControl/>
        <w:rPr>
          <w:rFonts w:ascii="Times New Roman" w:hAnsi="Times New Roman" w:cs="Times New Roman"/>
          <w:sz w:val="24"/>
          <w:szCs w:val="24"/>
          <w:highlight w:val="none"/>
          <w:lang w:val="en-US"/>
        </w:rPr>
      </w:pPr>
      <w:r>
        <w:rPr>
          <w:rFonts w:hint="eastAsia"/>
          <w:sz w:val="24"/>
          <w:szCs w:val="24"/>
          <w:highlight w:val="none"/>
          <w:lang w:val="en-US"/>
        </w:rPr>
        <w:t xml:space="preserve">②</w:t>
      </w:r>
      <w:r>
        <w:rPr>
          <w:rFonts w:ascii="Times New Roman" w:hAnsi="Times New Roman" w:cs="Times New Roman"/>
          <w:sz w:val="24"/>
          <w:szCs w:val="24"/>
          <w:highlight w:val="none"/>
          <w:lang w:val="en-US"/>
        </w:rPr>
        <w:t xml:space="preserve">乙方擅自将本合同规定的义务全部或部分转交第三方履行的；</w:t>
      </w:r>
      <w:r/>
    </w:p>
    <w:p>
      <w:pPr>
        <w:ind w:firstLine="480"/>
        <w:jc w:val="both"/>
        <w:spacing w:line="360" w:lineRule="auto"/>
        <w:widowControl/>
        <w:rPr>
          <w:rFonts w:ascii="Times New Roman" w:hAnsi="Times New Roman" w:cs="Times New Roman"/>
          <w:sz w:val="24"/>
          <w:szCs w:val="24"/>
          <w:highlight w:val="none"/>
          <w:lang w:val="en-US"/>
        </w:rPr>
      </w:pPr>
      <w:r>
        <w:rPr>
          <w:rFonts w:hint="eastAsia"/>
          <w:sz w:val="24"/>
          <w:szCs w:val="24"/>
          <w:highlight w:val="none"/>
          <w:lang w:val="en-US"/>
        </w:rPr>
        <w:t xml:space="preserve">③</w:t>
      </w:r>
      <w:r>
        <w:rPr>
          <w:rFonts w:ascii="Times New Roman" w:hAnsi="Times New Roman" w:cs="Times New Roman"/>
          <w:sz w:val="24"/>
          <w:szCs w:val="24"/>
          <w:highlight w:val="none"/>
          <w:lang w:val="en-US"/>
        </w:rPr>
        <w:t xml:space="preserve">乙方擅自变更团队人员的；</w:t>
      </w:r>
      <w:r/>
    </w:p>
    <w:p>
      <w:pPr>
        <w:ind w:firstLine="480"/>
        <w:jc w:val="both"/>
        <w:spacing w:line="360" w:lineRule="auto"/>
        <w:widowControl/>
        <w:rPr>
          <w:rFonts w:ascii="Times New Roman" w:hAnsi="Times New Roman" w:cs="Times New Roman"/>
          <w:sz w:val="24"/>
          <w:szCs w:val="24"/>
          <w:highlight w:val="none"/>
          <w:lang w:val="en-US"/>
        </w:rPr>
      </w:pPr>
      <w:r>
        <w:rPr>
          <w:rFonts w:hint="eastAsia"/>
          <w:sz w:val="24"/>
          <w:szCs w:val="24"/>
          <w:highlight w:val="none"/>
          <w:lang w:val="en-US"/>
        </w:rPr>
        <w:t xml:space="preserve">④</w:t>
      </w:r>
      <w:r>
        <w:rPr>
          <w:rFonts w:ascii="Times New Roman" w:hAnsi="Times New Roman" w:cs="Times New Roman"/>
          <w:sz w:val="24"/>
          <w:szCs w:val="24"/>
          <w:highlight w:val="none"/>
          <w:lang w:val="en-US"/>
        </w:rPr>
        <w:t xml:space="preserve">乙方有其它严重违约行为导致合同无法履行的。</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lang w:val="en-US"/>
        </w:rPr>
        <w:t xml:space="preserve">6</w:t>
      </w:r>
      <w:r>
        <w:rPr>
          <w:rFonts w:ascii="Times New Roman" w:hAnsi="Times New Roman" w:cs="Times New Roman"/>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7、乙方响应属虚假承诺，或经权威部门监测提供的服务不能满足</w:t>
      </w:r>
      <w:r>
        <w:rPr>
          <w:rFonts w:ascii="Times New Roman" w:hAnsi="Times New Roman" w:cs="Times New Roman"/>
          <w:sz w:val="24"/>
          <w:szCs w:val="24"/>
          <w:highlight w:val="none"/>
          <w:lang w:val="en-US"/>
        </w:rPr>
        <w:t xml:space="preserve">招标</w:t>
      </w:r>
      <w:r>
        <w:rPr>
          <w:rFonts w:ascii="Times New Roman" w:hAnsi="Times New Roman" w:cs="Times New Roman"/>
          <w:sz w:val="24"/>
          <w:szCs w:val="24"/>
          <w:highlight w:val="none"/>
        </w:rPr>
        <w:t xml:space="preserve">文件要求，或是由于乙方的过错造成合同无法继续履行的，乙方应向甲方支付不少于合同总价30%赔偿金。</w:t>
      </w:r>
      <w:r/>
    </w:p>
    <w:p>
      <w:pPr>
        <w:ind w:firstLine="482"/>
        <w:jc w:val="both"/>
        <w:spacing w:line="360" w:lineRule="auto"/>
        <w:widowControl/>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第十条 合同的变更和终止</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1、除《政府采购法》第50条第二款规定的情形外，本合同一经签订，甲乙双方不得擅自变更、中止或终止合同。</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2、除发生法律规定的不能预见、不能避免并不能克服的客观情况外，甲乙双方不得放弃或拒绝履行合同。</w:t>
      </w:r>
      <w:r/>
    </w:p>
    <w:p>
      <w:pPr>
        <w:ind w:firstLine="482"/>
        <w:jc w:val="both"/>
        <w:spacing w:line="360" w:lineRule="auto"/>
        <w:widowControl/>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第十一条 合同的转让</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未经甲方允许，乙方不得擅自部分或全部转让其应履行的合同义务。</w:t>
      </w:r>
      <w:r/>
    </w:p>
    <w:p>
      <w:pPr>
        <w:ind w:firstLine="482"/>
        <w:jc w:val="both"/>
        <w:spacing w:line="360" w:lineRule="auto"/>
        <w:widowControl/>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第十二条 争议的解决</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1、因服务的质量问题发生争议的，或因履行本合同引起的或与本合同有关的争议，甲、乙双方应首先通过友好协商解决，如果协商不能解决争议，则采取以下第（1）种方式解决争议：</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（1）向甲方所在地有管辖权的人民法院提起诉讼；</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（2）向南京仲裁委员会按其仲裁规则申请仲裁。</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如没有约定，默认采取第2种方式解决争议。</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2、在仲裁期间，本合同应继续履行。</w:t>
      </w:r>
      <w:r/>
    </w:p>
    <w:p>
      <w:pPr>
        <w:ind w:firstLine="482"/>
        <w:jc w:val="both"/>
        <w:spacing w:line="360" w:lineRule="auto"/>
        <w:widowControl/>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第十三条 诚实信用 </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乙方应诚实信用，严格按照招标文件要求和服务承诺履行合同，不向甲方进行商业贿赂或者提供不正当利益。</w:t>
      </w:r>
      <w:r/>
    </w:p>
    <w:p>
      <w:pPr>
        <w:ind w:firstLine="482"/>
        <w:jc w:val="both"/>
        <w:spacing w:line="360" w:lineRule="auto"/>
        <w:widowControl/>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第十四条 合同生效及其他</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1、本合同自签订之日起生效，服务期1年，自202</w:t>
      </w:r>
      <w:r>
        <w:rPr>
          <w:rFonts w:ascii="Times New Roman" w:hAnsi="Times New Roman" w:cs="Times New Roman"/>
          <w:sz w:val="24"/>
          <w:szCs w:val="24"/>
          <w:highlight w:val="none"/>
          <w:lang w:val="en-US"/>
        </w:rPr>
        <w:t xml:space="preserve">4</w:t>
      </w:r>
      <w:r>
        <w:rPr>
          <w:rFonts w:ascii="Times New Roman" w:hAnsi="Times New Roman" w:cs="Times New Roman"/>
          <w:sz w:val="24"/>
          <w:szCs w:val="24"/>
          <w:highlight w:val="none"/>
        </w:rPr>
        <w:t xml:space="preserve">年</w:t>
      </w:r>
      <w:r>
        <w:rPr>
          <w:rFonts w:ascii="Times New Roman" w:hAnsi="Times New Roman" w:cs="Times New Roman"/>
          <w:sz w:val="24"/>
          <w:szCs w:val="24"/>
          <w:highlight w:val="none"/>
          <w:lang w:val="en-US"/>
        </w:rPr>
        <w:t xml:space="preserve">__</w:t>
      </w:r>
      <w:r>
        <w:rPr>
          <w:rFonts w:ascii="Times New Roman" w:hAnsi="Times New Roman" w:cs="Times New Roman"/>
          <w:sz w:val="24"/>
          <w:szCs w:val="24"/>
          <w:highlight w:val="none"/>
        </w:rPr>
        <w:t xml:space="preserve">月起至202</w:t>
      </w:r>
      <w:r>
        <w:rPr>
          <w:rFonts w:ascii="Times New Roman" w:hAnsi="Times New Roman" w:cs="Times New Roman"/>
          <w:sz w:val="24"/>
          <w:szCs w:val="24"/>
          <w:highlight w:val="none"/>
          <w:lang w:val="en-US"/>
        </w:rPr>
        <w:t xml:space="preserve">5</w:t>
      </w:r>
      <w:r>
        <w:rPr>
          <w:rFonts w:ascii="Times New Roman" w:hAnsi="Times New Roman" w:cs="Times New Roman"/>
          <w:sz w:val="24"/>
          <w:szCs w:val="24"/>
          <w:highlight w:val="none"/>
        </w:rPr>
        <w:t xml:space="preserve">年</w:t>
      </w:r>
      <w:r>
        <w:rPr>
          <w:rFonts w:ascii="Times New Roman" w:hAnsi="Times New Roman" w:cs="Times New Roman"/>
          <w:sz w:val="24"/>
          <w:szCs w:val="24"/>
          <w:highlight w:val="none"/>
          <w:lang w:val="en-US"/>
        </w:rPr>
        <w:t xml:space="preserve">__</w:t>
      </w:r>
      <w:r>
        <w:rPr>
          <w:rFonts w:ascii="Times New Roman" w:hAnsi="Times New Roman" w:cs="Times New Roman"/>
          <w:sz w:val="24"/>
          <w:szCs w:val="24"/>
          <w:highlight w:val="none"/>
        </w:rPr>
        <w:t xml:space="preserve">月止。。</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2、本合同一式</w:t>
      </w:r>
      <w:r>
        <w:rPr>
          <w:rFonts w:ascii="Times New Roman" w:hAnsi="Times New Roman" w:cs="Times New Roman"/>
          <w:sz w:val="24"/>
          <w:szCs w:val="24"/>
          <w:highlight w:val="none"/>
          <w:lang w:val="en-US"/>
        </w:rPr>
        <w:t xml:space="preserve">四</w:t>
      </w:r>
      <w:r>
        <w:rPr>
          <w:rFonts w:ascii="Times New Roman" w:hAnsi="Times New Roman" w:cs="Times New Roman"/>
          <w:sz w:val="24"/>
          <w:szCs w:val="24"/>
          <w:highlight w:val="none"/>
        </w:rPr>
        <w:t xml:space="preserve">份，甲乙双方各执</w:t>
      </w:r>
      <w:r>
        <w:rPr>
          <w:rFonts w:ascii="Times New Roman" w:hAnsi="Times New Roman" w:cs="Times New Roman"/>
          <w:sz w:val="24"/>
          <w:szCs w:val="24"/>
          <w:highlight w:val="none"/>
          <w:lang w:val="en-US"/>
        </w:rPr>
        <w:t xml:space="preserve">两</w:t>
      </w:r>
      <w:r>
        <w:rPr>
          <w:rFonts w:ascii="Times New Roman" w:hAnsi="Times New Roman" w:cs="Times New Roman"/>
          <w:sz w:val="24"/>
          <w:szCs w:val="24"/>
          <w:highlight w:val="none"/>
        </w:rPr>
        <w:t xml:space="preserve">份。</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3、本合同应按照中华人民共和国的现行法律进行解释。</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（以下无正文）</w:t>
      </w:r>
      <w:r/>
    </w:p>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tbl>
      <w:tblPr>
        <w:tblStyle w:val="1090"/>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法定代表人（盖章或签字）：</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法定代表人（盖章或签字）：</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both"/>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帐号：</w:t>
            </w:r>
            <w:r/>
          </w:p>
        </w:tc>
      </w:tr>
    </w:tbl>
    <w:p>
      <w:pPr>
        <w:ind w:firstLine="480"/>
        <w:jc w:val="both"/>
        <w:spacing w:line="360" w:lineRule="auto"/>
        <w:widowControl/>
        <w:rPr>
          <w:rFonts w:ascii="Times New Roman" w:hAnsi="Times New Roman" w:cs="Times New Roman"/>
          <w:sz w:val="24"/>
          <w:szCs w:val="24"/>
          <w:highlight w:val="none"/>
        </w:rPr>
      </w:pPr>
      <w:r/>
      <w:bookmarkStart w:id="62" w:name="_Toc59696305"/>
      <w:r/>
      <w:bookmarkStart w:id="63" w:name="_Toc59696216"/>
      <w:r/>
      <w:bookmarkStart w:id="64" w:name="_Toc72741594"/>
      <w:r/>
      <w:r/>
    </w:p>
    <w:p>
      <w:pPr>
        <w:ind w:firstLine="480"/>
        <w:jc w:val="both"/>
        <w:widowControl/>
        <w:rPr>
          <w:rFonts w:ascii="Times New Roman" w:hAnsi="Times New Roman" w:eastAsia="黑体" w:cs="Times New Roman"/>
          <w:sz w:val="24"/>
          <w:szCs w:val="24"/>
          <w:highlight w:val="none"/>
        </w:rPr>
      </w:pPr>
      <w:r>
        <w:rPr>
          <w:rFonts w:ascii="Times New Roman" w:hAnsi="Times New Roman" w:cs="Times New Roman"/>
          <w:sz w:val="24"/>
          <w:szCs w:val="24"/>
          <w:highlight w:val="none"/>
        </w:rPr>
        <w:t xml:space="preserve">本协议签订日期：2024年  月  日</w:t>
      </w:r>
      <w:bookmarkEnd w:id="62"/>
      <w:r/>
      <w:bookmarkEnd w:id="63"/>
      <w:r/>
      <w:bookmarkEnd w:id="64"/>
      <w:r>
        <w:rPr>
          <w:rFonts w:ascii="Times New Roman" w:hAnsi="Times New Roman" w:eastAsia="黑体" w:cs="Times New Roman"/>
          <w:sz w:val="24"/>
          <w:szCs w:val="24"/>
          <w:highlight w:val="none"/>
        </w:rPr>
        <w:br w:type="page" w:clear="all"/>
      </w:r>
      <w:r/>
    </w:p>
    <w:p>
      <w:pPr>
        <w:ind w:firstLine="640"/>
        <w:jc w:val="both"/>
        <w:spacing w:line="360" w:lineRule="auto"/>
        <w:rPr>
          <w:rFonts w:ascii="Times New Roman" w:hAnsi="Times New Roman" w:eastAsia="黑体" w:cs="Times New Roman"/>
          <w:sz w:val="32"/>
          <w:highlight w:val="none"/>
        </w:rPr>
        <w:outlineLvl w:val="0"/>
      </w:pPr>
      <w:r>
        <w:rPr>
          <w:rFonts w:ascii="Times New Roman" w:hAnsi="Times New Roman" w:eastAsia="黑体" w:cs="Times New Roman"/>
          <w:sz w:val="32"/>
          <w:highlight w:val="none"/>
        </w:rPr>
        <w:t xml:space="preserve">第七章  投标文件</w:t>
      </w:r>
      <w:r>
        <w:rPr>
          <w:rFonts w:hint="eastAsia" w:ascii="Times New Roman" w:hAnsi="Times New Roman" w:eastAsia="黑体" w:cs="Times New Roman"/>
          <w:sz w:val="32"/>
          <w:highlight w:val="none"/>
          <w:lang w:val="en-US" w:eastAsia="zh-CN"/>
        </w:rPr>
        <w:t xml:space="preserve">参考</w:t>
      </w:r>
      <w:r>
        <w:rPr>
          <w:rFonts w:ascii="Times New Roman" w:hAnsi="Times New Roman" w:eastAsia="黑体" w:cs="Times New Roman"/>
          <w:sz w:val="32"/>
          <w:highlight w:val="none"/>
        </w:rPr>
        <w:t xml:space="preserve">格式</w:t>
      </w:r>
      <w:r/>
    </w:p>
    <w:p>
      <w:pPr>
        <w:ind w:firstLine="440"/>
        <w:jc w:val="both"/>
        <w:rPr>
          <w:rFonts w:ascii="Times New Roman" w:hAnsi="Times New Roman" w:cs="Times New Roman"/>
          <w:highlight w:val="none"/>
          <w:lang w:val="en-US"/>
        </w:rPr>
      </w:pPr>
      <w:r>
        <w:rPr>
          <w:rFonts w:ascii="Times New Roman" w:hAnsi="Times New Roman" w:cs="Times New Roman"/>
          <w:highlight w:val="none"/>
          <w:lang w:val="en-US"/>
        </w:rPr>
      </w:r>
      <w:r/>
    </w:p>
    <w:p>
      <w:pPr>
        <w:pStyle w:val="1085"/>
        <w:ind w:left="0" w:right="0" w:firstLine="482"/>
        <w:jc w:val="both"/>
        <w:spacing w:line="360" w:lineRule="auto"/>
        <w:rPr>
          <w:rFonts w:hint="eastAsia"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一、封面样式</w:t>
      </w:r>
      <w:r/>
    </w:p>
    <w:p>
      <w:pPr>
        <w:ind w:right="616" w:firstLine="608"/>
        <w:jc w:val="both"/>
        <w:spacing w:before="55"/>
        <w:rPr>
          <w:rFonts w:ascii="Times New Roman" w:hAnsi="Times New Roman" w:eastAsia="黑体" w:cs="Times New Roman"/>
          <w:sz w:val="32"/>
          <w:highlight w:val="none"/>
        </w:rPr>
      </w:pPr>
      <w:r>
        <w:rPr>
          <w:rFonts w:ascii="Times New Roman" w:hAnsi="Times New Roman" w:eastAsia="黑体" w:cs="Times New Roman"/>
          <w:sz w:val="32"/>
          <w:highlight w:val="none"/>
        </w:rPr>
      </w:r>
      <w:r/>
    </w:p>
    <w:p>
      <w:pPr>
        <w:ind w:right="616" w:firstLine="608"/>
        <w:jc w:val="right"/>
        <w:spacing w:before="55"/>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正本（副本）</w:t>
      </w:r>
      <w:r/>
    </w:p>
    <w:p>
      <w:pPr>
        <w:pStyle w:val="1091"/>
        <w:rPr>
          <w:highlight w:val="none"/>
        </w:rPr>
      </w:pPr>
      <w:r>
        <w:rPr>
          <w:highlight w:val="none"/>
        </w:rPr>
      </w:r>
      <w:r/>
    </w:p>
    <w:p>
      <w:pPr>
        <w:pStyle w:val="1091"/>
        <w:rPr>
          <w:highlight w:val="none"/>
        </w:rPr>
      </w:pPr>
      <w:r>
        <w:rPr>
          <w:highlight w:val="none"/>
        </w:rPr>
      </w:r>
      <w:r/>
    </w:p>
    <w:p>
      <w:pPr>
        <w:ind w:firstLine="640"/>
        <w:jc w:val="center"/>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XXXXXXXXXX项目</w:t>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1"/>
        <w:rPr>
          <w:highlight w:val="none"/>
        </w:rPr>
      </w:pPr>
      <w:r>
        <w:rPr>
          <w:highlight w:val="none"/>
        </w:rPr>
      </w:r>
      <w:r/>
    </w:p>
    <w:p>
      <w:pPr>
        <w:pStyle w:val="1095"/>
        <w:rPr>
          <w:highlight w:val="none"/>
        </w:rPr>
      </w:pPr>
      <w:r>
        <w:rPr>
          <w:highlight w:val="none"/>
        </w:rPr>
        <w:t xml:space="preserve">投标文件</w:t>
      </w:r>
      <w:r/>
    </w:p>
    <w:p>
      <w:pPr>
        <w:pStyle w:val="1091"/>
        <w:rPr>
          <w:highlight w:val="none"/>
        </w:rPr>
      </w:pPr>
      <w:r>
        <w:rPr>
          <w:highlight w:val="none"/>
        </w:rPr>
      </w:r>
      <w:r/>
    </w:p>
    <w:p>
      <w:pPr>
        <w:ind w:left="1701" w:firstLine="608"/>
        <w:jc w:val="both"/>
        <w:spacing w:line="365" w:lineRule="auto"/>
        <w:tabs>
          <w:tab w:val="left" w:pos="6937" w:leader="none"/>
        </w:tabs>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项目编号：</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p>
    <w:p>
      <w:pPr>
        <w:ind w:left="1701" w:firstLine="608"/>
        <w:jc w:val="both"/>
        <w:spacing w:line="365" w:lineRule="auto"/>
        <w:tabs>
          <w:tab w:val="left" w:pos="6937" w:leader="none"/>
        </w:tabs>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供 应 商：</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rPr>
          <w:rFonts w:ascii="Times New Roman" w:hAnsi="Times New Roman" w:eastAsia="黑体" w:cs="Times New Roman"/>
          <w:sz w:val="32"/>
          <w:highlight w:val="none"/>
        </w:rPr>
        <w:t xml:space="preserve">（单位公章）</w:t>
      </w:r>
      <w:r/>
    </w:p>
    <w:p>
      <w:pPr>
        <w:ind w:left="1701" w:firstLine="608"/>
        <w:jc w:val="both"/>
        <w:spacing w:line="365" w:lineRule="auto"/>
        <w:tabs>
          <w:tab w:val="left" w:pos="6937" w:leader="none"/>
        </w:tabs>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联 系 人：</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p>
    <w:p>
      <w:pPr>
        <w:ind w:left="1701" w:firstLine="608"/>
        <w:jc w:val="both"/>
        <w:spacing w:line="365" w:lineRule="auto"/>
        <w:tabs>
          <w:tab w:val="left" w:pos="6937" w:leader="none"/>
        </w:tabs>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联系方式：</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p>
    <w:p>
      <w:pPr>
        <w:ind w:left="1701" w:firstLine="608"/>
        <w:jc w:val="both"/>
        <w:spacing w:line="365" w:lineRule="auto"/>
        <w:tabs>
          <w:tab w:val="left" w:pos="6937" w:leader="none"/>
        </w:tabs>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单位地址：</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p>
    <w:p>
      <w:pPr>
        <w:ind w:left="47" w:firstLine="640"/>
        <w:jc w:val="right"/>
        <w:spacing w:line="407" w:lineRule="exact"/>
        <w:tabs>
          <w:tab w:val="left" w:pos="847" w:leader="none"/>
          <w:tab w:val="left" w:pos="1648" w:leader="none"/>
          <w:tab w:val="left" w:pos="2448" w:leader="none"/>
        </w:tabs>
        <w:rPr>
          <w:rFonts w:ascii="Times New Roman" w:hAnsi="Times New Roman" w:eastAsia="黑体" w:cs="Times New Roman"/>
          <w:sz w:val="32"/>
          <w:highlight w:val="none"/>
        </w:rPr>
      </w:pPr>
      <w:r>
        <w:rPr>
          <w:rFonts w:ascii="Times New Roman" w:hAnsi="Times New Roman" w:eastAsia="黑体" w:cs="Times New Roman"/>
          <w:sz w:val="32"/>
          <w:highlight w:val="none"/>
        </w:rPr>
        <w:t xml:space="preserve">年</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rPr>
          <w:rFonts w:ascii="Times New Roman" w:hAnsi="Times New Roman" w:eastAsia="黑体" w:cs="Times New Roman"/>
          <w:sz w:val="32"/>
          <w:highlight w:val="none"/>
        </w:rPr>
        <w:t xml:space="preserve">月</w:t>
      </w:r>
      <w:r>
        <w:rPr>
          <w:rFonts w:ascii="Times New Roman" w:hAnsi="Times New Roman" w:eastAsia="黑体" w:cs="Times New Roman"/>
          <w:sz w:val="32"/>
          <w:highlight w:val="none"/>
          <w:u w:val="single"/>
        </w:rPr>
        <w:t xml:space="preserve"> </w:t>
      </w:r>
      <w:r>
        <w:rPr>
          <w:rFonts w:ascii="Times New Roman" w:hAnsi="Times New Roman" w:eastAsia="黑体" w:cs="Times New Roman"/>
          <w:sz w:val="32"/>
          <w:highlight w:val="none"/>
          <w:u w:val="single"/>
        </w:rPr>
        <w:tab/>
      </w:r>
      <w:r>
        <w:rPr>
          <w:rFonts w:ascii="Times New Roman" w:hAnsi="Times New Roman" w:eastAsia="黑体" w:cs="Times New Roman"/>
          <w:sz w:val="32"/>
          <w:highlight w:val="none"/>
        </w:rPr>
        <w:t xml:space="preserve">日</w:t>
      </w:r>
      <w:r/>
    </w:p>
    <w:p>
      <w:pPr>
        <w:ind w:firstLine="640"/>
        <w:jc w:val="both"/>
        <w:spacing w:line="407" w:lineRule="exact"/>
        <w:rPr>
          <w:rFonts w:ascii="Times New Roman" w:hAnsi="Times New Roman" w:eastAsia="黑体" w:cs="Times New Roman"/>
          <w:sz w:val="32"/>
          <w:highlight w:val="none"/>
        </w:rPr>
        <w:sectPr>
          <w:footnotePr/>
          <w:endnotePr/>
          <w:type w:val="nextPage"/>
          <w:pgSz w:w="11910" w:h="16840" w:orient="portrait"/>
          <w:pgMar w:top="1460" w:right="1361" w:bottom="920" w:left="1361" w:header="492" w:footer="726" w:gutter="0"/>
          <w:cols w:num="1" w:sep="0" w:space="720" w:equalWidth="1"/>
          <w:docGrid w:linePitch="360"/>
        </w:sectPr>
      </w:pPr>
      <w:r>
        <w:rPr>
          <w:rFonts w:ascii="Times New Roman" w:hAnsi="Times New Roman" w:eastAsia="黑体" w:cs="Times New Roman"/>
          <w:sz w:val="32"/>
          <w:highlight w:val="none"/>
        </w:rPr>
      </w:r>
      <w:r/>
    </w:p>
    <w:p>
      <w:pPr>
        <w:pStyle w:val="1085"/>
        <w:ind w:left="0" w:right="0" w:firstLine="482"/>
        <w:jc w:val="both"/>
        <w:spacing w:line="360" w:lineRule="auto"/>
        <w:rPr>
          <w:rFonts w:ascii="Times New Roman" w:hAnsi="Times New Roman" w:cs="Times New Roman"/>
          <w:sz w:val="24"/>
          <w:szCs w:val="24"/>
          <w:highlight w:val="none"/>
          <w:u w:val="none"/>
        </w:rPr>
      </w:pPr>
      <w:r>
        <w:rPr>
          <w:rFonts w:ascii="Times New Roman" w:hAnsi="Times New Roman" w:cs="Times New Roman"/>
          <w:sz w:val="24"/>
          <w:szCs w:val="24"/>
          <w:highlight w:val="none"/>
          <w:u w:val="none"/>
        </w:rPr>
        <w:t xml:space="preserve">二、目录样式（请根据实际情况定制目录）：</w:t>
      </w:r>
      <w:r/>
    </w:p>
    <w:p>
      <w:pPr>
        <w:pStyle w:val="1094"/>
        <w:ind w:left="1320" w:firstLine="440"/>
        <w:jc w:val="both"/>
        <w:rPr>
          <w:rFonts w:ascii="Times New Roman" w:hAnsi="Times New Roman" w:cs="Times New Roman"/>
          <w:highlight w:val="none"/>
        </w:rPr>
      </w:pPr>
      <w:r>
        <w:rPr>
          <w:rFonts w:ascii="Times New Roman" w:hAnsi="Times New Roman" w:cs="Times New Roman"/>
          <w:highlight w:val="none"/>
        </w:rPr>
      </w:r>
      <w:r/>
    </w:p>
    <w:p>
      <w:pPr>
        <w:ind w:firstLine="602"/>
        <w:jc w:val="center"/>
        <w:rPr>
          <w:rFonts w:ascii="Times New Roman" w:hAnsi="Times New Roman" w:cs="Times New Roman"/>
          <w:b/>
          <w:sz w:val="30"/>
          <w:szCs w:val="30"/>
          <w:highlight w:val="none"/>
        </w:rPr>
      </w:pPr>
      <w:r>
        <w:rPr>
          <w:rFonts w:ascii="Times New Roman" w:hAnsi="Times New Roman" w:cs="Times New Roman"/>
          <w:b/>
          <w:sz w:val="30"/>
          <w:szCs w:val="30"/>
          <w:highlight w:val="none"/>
        </w:rPr>
        <w:t xml:space="preserve">目</w:t>
      </w:r>
      <w:r>
        <w:rPr>
          <w:rFonts w:ascii="Times New Roman" w:hAnsi="Times New Roman" w:cs="Times New Roman"/>
          <w:b/>
          <w:sz w:val="30"/>
          <w:szCs w:val="30"/>
          <w:highlight w:val="none"/>
        </w:rPr>
        <w:tab/>
      </w:r>
      <w:r>
        <w:rPr>
          <w:rFonts w:ascii="Times New Roman" w:hAnsi="Times New Roman" w:cs="Times New Roman"/>
          <w:b/>
          <w:sz w:val="30"/>
          <w:szCs w:val="30"/>
          <w:highlight w:val="none"/>
        </w:rPr>
        <w:t xml:space="preserve">录</w:t>
      </w:r>
      <w:r/>
    </w:p>
    <w:p>
      <w:pPr>
        <w:numPr>
          <w:ilvl w:val="0"/>
          <w:numId w:val="7"/>
        </w:numPr>
        <w:ind w:left="618" w:right="612" w:firstLine="422"/>
        <w:jc w:val="both"/>
        <w:spacing w:line="360" w:lineRule="auto"/>
        <w:tabs>
          <w:tab w:val="left" w:pos="9584" w:leader="dot"/>
        </w:tabs>
        <w:rPr>
          <w:rFonts w:ascii="Times New Roman" w:hAnsi="Times New Roman" w:cs="Times New Roman"/>
          <w:b/>
          <w:bCs/>
          <w:sz w:val="21"/>
          <w:highlight w:val="none"/>
          <w:lang w:val="en-US"/>
        </w:rPr>
      </w:pPr>
      <w:r>
        <w:rPr>
          <w:rFonts w:ascii="Times New Roman" w:hAnsi="Times New Roman" w:cs="Times New Roman"/>
          <w:b/>
          <w:bCs/>
          <w:sz w:val="21"/>
          <w:highlight w:val="none"/>
          <w:lang w:val="en-US"/>
        </w:rPr>
        <w:t xml:space="preserve">资格索引表……………………………………………………………………………………….X</w:t>
      </w:r>
      <w:r/>
    </w:p>
    <w:p>
      <w:pPr>
        <w:ind w:left="618" w:right="612" w:firstLine="422"/>
        <w:jc w:val="both"/>
        <w:spacing w:line="360" w:lineRule="auto"/>
        <w:tabs>
          <w:tab w:val="left" w:pos="9584" w:leader="dot"/>
        </w:tabs>
        <w:rPr>
          <w:rFonts w:ascii="Times New Roman" w:hAnsi="Times New Roman" w:cs="Times New Roman"/>
          <w:b/>
          <w:bCs/>
          <w:sz w:val="21"/>
          <w:highlight w:val="none"/>
          <w:lang w:val="en-US"/>
        </w:rPr>
      </w:pPr>
      <w:r>
        <w:rPr>
          <w:rFonts w:ascii="Times New Roman" w:hAnsi="Times New Roman" w:cs="Times New Roman"/>
          <w:b/>
          <w:bCs/>
          <w:sz w:val="21"/>
          <w:highlight w:val="none"/>
          <w:lang w:val="en-US"/>
        </w:rPr>
        <w:t xml:space="preserve">二、评分索引表……………………………………………………………………………………….X</w:t>
      </w:r>
      <w:r/>
    </w:p>
    <w:p>
      <w:pPr>
        <w:ind w:left="618" w:right="612" w:firstLine="422"/>
        <w:jc w:val="both"/>
        <w:spacing w:line="360" w:lineRule="auto"/>
        <w:tabs>
          <w:tab w:val="left" w:pos="9584" w:leader="dot"/>
        </w:tabs>
        <w:rPr>
          <w:rFonts w:ascii="Times New Roman" w:hAnsi="Times New Roman" w:cs="Times New Roman"/>
          <w:b/>
          <w:bCs/>
          <w:sz w:val="21"/>
          <w:highlight w:val="none"/>
          <w:lang w:val="en-US"/>
        </w:rPr>
      </w:pPr>
      <w:r>
        <w:rPr>
          <w:rFonts w:ascii="Times New Roman" w:hAnsi="Times New Roman" w:cs="Times New Roman"/>
          <w:b/>
          <w:bCs/>
          <w:sz w:val="21"/>
          <w:highlight w:val="none"/>
          <w:lang w:val="en-US"/>
        </w:rPr>
        <w:t xml:space="preserve">三、商务部分………………………………………………………………………………………….X</w:t>
      </w:r>
      <w:r/>
    </w:p>
    <w:p>
      <w:pPr>
        <w:ind w:left="618" w:firstLine="420"/>
        <w:jc w:val="both"/>
        <w:spacing w:line="360" w:lineRule="auto"/>
        <w:tabs>
          <w:tab w:val="left" w:pos="9582" w:leader="dot"/>
        </w:tabs>
        <w:rPr>
          <w:rFonts w:ascii="Times New Roman" w:hAnsi="Times New Roman" w:cs="Times New Roman"/>
          <w:sz w:val="21"/>
          <w:highlight w:val="none"/>
        </w:rPr>
      </w:pPr>
      <w:r>
        <w:rPr>
          <w:rFonts w:ascii="Times New Roman" w:hAnsi="Times New Roman" w:cs="Times New Roman"/>
          <w:sz w:val="21"/>
          <w:highlight w:val="none"/>
          <w:lang w:val="en-US"/>
        </w:rPr>
        <w:t xml:space="preserve">3.1</w:t>
      </w:r>
      <w:r>
        <w:rPr>
          <w:rFonts w:ascii="Times New Roman" w:hAnsi="Times New Roman" w:cs="Times New Roman"/>
          <w:spacing w:val="16"/>
          <w:sz w:val="21"/>
          <w:highlight w:val="none"/>
        </w:rPr>
        <w:t xml:space="preserve">、</w:t>
      </w:r>
      <w:r>
        <w:rPr>
          <w:rFonts w:ascii="Times New Roman" w:hAnsi="Times New Roman" w:cs="Times New Roman"/>
          <w:spacing w:val="14"/>
          <w:sz w:val="21"/>
          <w:highlight w:val="none"/>
        </w:rPr>
        <w:t xml:space="preserve">投标函</w:t>
      </w:r>
      <w:r>
        <w:rPr>
          <w:rFonts w:ascii="Times New Roman" w:hAnsi="Times New Roman" w:cs="Times New Roman"/>
          <w:sz w:val="21"/>
          <w:highlight w:val="none"/>
        </w:rPr>
        <w:tab/>
      </w:r>
      <w:r>
        <w:rPr>
          <w:rFonts w:ascii="Times New Roman" w:hAnsi="Times New Roman" w:cs="Times New Roman"/>
          <w:sz w:val="21"/>
          <w:highlight w:val="none"/>
        </w:rPr>
        <w:t xml:space="preserve">X</w:t>
      </w:r>
      <w:r/>
    </w:p>
    <w:p>
      <w:pPr>
        <w:ind w:left="618" w:firstLine="420"/>
        <w:jc w:val="both"/>
        <w:spacing w:line="360" w:lineRule="auto"/>
        <w:tabs>
          <w:tab w:val="left" w:pos="9582" w:leader="dot"/>
        </w:tabs>
        <w:rPr>
          <w:rFonts w:ascii="Times New Roman" w:hAnsi="Times New Roman" w:cs="Times New Roman"/>
          <w:sz w:val="21"/>
          <w:highlight w:val="none"/>
        </w:rPr>
      </w:pPr>
      <w:r>
        <w:rPr>
          <w:rFonts w:ascii="Times New Roman" w:hAnsi="Times New Roman" w:cs="Times New Roman"/>
          <w:sz w:val="21"/>
          <w:highlight w:val="none"/>
          <w:lang w:val="en-US"/>
        </w:rPr>
        <w:t xml:space="preserve">3.2</w:t>
      </w:r>
      <w:r>
        <w:rPr>
          <w:rFonts w:ascii="Times New Roman" w:hAnsi="Times New Roman" w:cs="Times New Roman"/>
          <w:spacing w:val="16"/>
          <w:sz w:val="21"/>
          <w:highlight w:val="none"/>
        </w:rPr>
        <w:t xml:space="preserve">、</w:t>
      </w:r>
      <w:r>
        <w:rPr>
          <w:rFonts w:ascii="Times New Roman" w:hAnsi="Times New Roman" w:cs="Times New Roman"/>
          <w:sz w:val="21"/>
          <w:highlight w:val="none"/>
        </w:rPr>
        <w:t xml:space="preserve">法定代表人授权委托书及委托代理人的身份证明文件</w:t>
      </w:r>
      <w:r>
        <w:rPr>
          <w:rFonts w:ascii="Times New Roman" w:hAnsi="Times New Roman" w:cs="Times New Roman"/>
          <w:sz w:val="21"/>
          <w:highlight w:val="none"/>
        </w:rPr>
        <w:tab/>
      </w:r>
      <w:r>
        <w:rPr>
          <w:rFonts w:ascii="Times New Roman" w:hAnsi="Times New Roman" w:cs="Times New Roman"/>
          <w:sz w:val="21"/>
          <w:highlight w:val="none"/>
        </w:rPr>
        <w:t xml:space="preserve">X</w:t>
      </w:r>
      <w:r/>
    </w:p>
    <w:p>
      <w:pPr>
        <w:ind w:left="618" w:right="612" w:firstLine="420"/>
        <w:jc w:val="both"/>
        <w:spacing w:line="360" w:lineRule="auto"/>
        <w:tabs>
          <w:tab w:val="left" w:pos="9584" w:leader="dot"/>
        </w:tabs>
        <w:rPr>
          <w:rFonts w:ascii="Times New Roman" w:hAnsi="Times New Roman" w:cs="Times New Roman"/>
          <w:sz w:val="21"/>
          <w:highlight w:val="none"/>
        </w:rPr>
      </w:pPr>
      <w:r>
        <w:rPr>
          <w:rFonts w:ascii="Times New Roman" w:hAnsi="Times New Roman" w:cs="Times New Roman"/>
          <w:sz w:val="21"/>
          <w:highlight w:val="none"/>
          <w:lang w:val="en-US"/>
        </w:rPr>
        <w:t xml:space="preserve">3.3</w:t>
      </w:r>
      <w:r>
        <w:rPr>
          <w:rFonts w:ascii="Times New Roman" w:hAnsi="Times New Roman" w:cs="Times New Roman"/>
          <w:spacing w:val="16"/>
          <w:sz w:val="21"/>
          <w:highlight w:val="none"/>
        </w:rPr>
        <w:t xml:space="preserve">、</w:t>
      </w:r>
      <w:r>
        <w:rPr>
          <w:rFonts w:ascii="Times New Roman" w:hAnsi="Times New Roman" w:cs="Times New Roman"/>
          <w:sz w:val="21"/>
          <w:highlight w:val="none"/>
          <w:lang w:val="en-US"/>
        </w:rPr>
        <w:t xml:space="preserve">第一章招标公告中“1.满足《中华人民共和国政府采购法》第二十二条规定”的证明文….</w:t>
      </w:r>
      <w:r>
        <w:rPr>
          <w:rFonts w:ascii="Times New Roman" w:hAnsi="Times New Roman" w:cs="Times New Roman"/>
          <w:sz w:val="21"/>
          <w:highlight w:val="none"/>
        </w:rPr>
        <w:t xml:space="preserve">X </w:t>
      </w:r>
      <w:r/>
    </w:p>
    <w:p>
      <w:pPr>
        <w:ind w:left="618" w:right="612" w:firstLine="420"/>
        <w:jc w:val="left"/>
        <w:spacing w:line="360" w:lineRule="auto"/>
        <w:tabs>
          <w:tab w:val="left" w:pos="9584" w:leader="dot"/>
        </w:tabs>
        <w:rPr>
          <w:rFonts w:ascii="Times New Roman" w:hAnsi="Times New Roman" w:cs="Times New Roman"/>
          <w:sz w:val="21"/>
          <w:highlight w:val="none"/>
        </w:rPr>
      </w:pPr>
      <w:r>
        <w:rPr>
          <w:rFonts w:ascii="Times New Roman" w:hAnsi="Times New Roman" w:cs="Times New Roman"/>
          <w:sz w:val="21"/>
          <w:highlight w:val="none"/>
          <w:lang w:val="en-US"/>
        </w:rPr>
        <w:t xml:space="preserve">3.4</w:t>
      </w:r>
      <w:r>
        <w:rPr>
          <w:rFonts w:ascii="Times New Roman" w:hAnsi="Times New Roman" w:cs="Times New Roman"/>
          <w:spacing w:val="16"/>
          <w:sz w:val="21"/>
          <w:highlight w:val="none"/>
        </w:rPr>
        <w:t xml:space="preserve">、</w:t>
      </w:r>
      <w:r>
        <w:rPr>
          <w:rFonts w:ascii="Times New Roman" w:hAnsi="Times New Roman" w:cs="Times New Roman"/>
          <w:sz w:val="21"/>
          <w:highlight w:val="none"/>
          <w:lang w:val="en-US"/>
        </w:rPr>
        <w:t xml:space="preserve">第一章招标公告中“2.落实政府采购政策需满足的资格要求”的证明文件</w:t>
      </w:r>
      <w:r>
        <w:rPr>
          <w:rFonts w:ascii="Times New Roman" w:hAnsi="Times New Roman" w:cs="Times New Roman"/>
          <w:sz w:val="21"/>
          <w:highlight w:val="none"/>
        </w:rPr>
        <w:tab/>
      </w:r>
      <w:r>
        <w:rPr>
          <w:rFonts w:ascii="Times New Roman" w:hAnsi="Times New Roman" w:cs="Times New Roman"/>
          <w:spacing w:val="-17"/>
          <w:sz w:val="21"/>
          <w:highlight w:val="none"/>
        </w:rPr>
        <w:t xml:space="preserve">X</w:t>
      </w:r>
      <w:r/>
    </w:p>
    <w:p>
      <w:pPr>
        <w:ind w:left="618" w:right="612" w:firstLine="420"/>
        <w:jc w:val="left"/>
        <w:spacing w:line="360" w:lineRule="auto"/>
        <w:tabs>
          <w:tab w:val="left" w:pos="9584" w:leader="dot"/>
        </w:tabs>
        <w:rPr>
          <w:rFonts w:ascii="Times New Roman" w:hAnsi="Times New Roman" w:cs="Times New Roman"/>
          <w:sz w:val="21"/>
          <w:highlight w:val="none"/>
        </w:rPr>
      </w:pPr>
      <w:r>
        <w:rPr>
          <w:rFonts w:ascii="Times New Roman" w:hAnsi="Times New Roman" w:cs="Times New Roman"/>
          <w:sz w:val="21"/>
          <w:highlight w:val="none"/>
          <w:lang w:val="en-US"/>
        </w:rPr>
        <w:t xml:space="preserve">3.5</w:t>
      </w:r>
      <w:r>
        <w:rPr>
          <w:rFonts w:ascii="Times New Roman" w:hAnsi="Times New Roman" w:cs="Times New Roman"/>
          <w:spacing w:val="16"/>
          <w:sz w:val="21"/>
          <w:highlight w:val="none"/>
        </w:rPr>
        <w:t xml:space="preserve">、</w:t>
      </w:r>
      <w:r>
        <w:rPr>
          <w:rFonts w:ascii="Times New Roman" w:hAnsi="Times New Roman" w:cs="Times New Roman"/>
          <w:sz w:val="21"/>
          <w:highlight w:val="none"/>
          <w:lang w:val="en-US"/>
        </w:rPr>
        <w:t xml:space="preserve">第一章招标公告中“3.本项目的特定资格要求”的证明文件</w:t>
      </w:r>
      <w:r>
        <w:rPr>
          <w:rFonts w:ascii="Times New Roman" w:hAnsi="Times New Roman" w:cs="Times New Roman"/>
          <w:sz w:val="21"/>
          <w:highlight w:val="none"/>
        </w:rPr>
        <w:tab/>
      </w:r>
      <w:r>
        <w:rPr>
          <w:rFonts w:ascii="Times New Roman" w:hAnsi="Times New Roman" w:cs="Times New Roman"/>
          <w:spacing w:val="-17"/>
          <w:sz w:val="21"/>
          <w:highlight w:val="none"/>
        </w:rPr>
        <w:t xml:space="preserve">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3.6</w:t>
      </w:r>
      <w:r>
        <w:rPr>
          <w:rFonts w:ascii="Times New Roman" w:hAnsi="Times New Roman" w:cs="Times New Roman"/>
          <w:spacing w:val="16"/>
          <w:sz w:val="21"/>
          <w:highlight w:val="none"/>
        </w:rPr>
        <w:t xml:space="preserve">、</w:t>
      </w:r>
      <w:r>
        <w:rPr>
          <w:rFonts w:ascii="Times New Roman" w:hAnsi="Times New Roman" w:cs="Times New Roman"/>
          <w:sz w:val="21"/>
          <w:highlight w:val="none"/>
        </w:rPr>
        <w:t xml:space="preserve">《南京市政府采购供应商信用记录表暨信用承诺书》</w:t>
      </w:r>
      <w:r>
        <w:rPr>
          <w:rFonts w:ascii="Times New Roman" w:hAnsi="Times New Roman" w:cs="Times New Roman"/>
          <w:sz w:val="21"/>
          <w:highlight w:val="none"/>
        </w:rPr>
        <w:tab/>
      </w:r>
      <w:r>
        <w:rPr>
          <w:rFonts w:ascii="Times New Roman" w:hAnsi="Times New Roman" w:cs="Times New Roman"/>
          <w:sz w:val="21"/>
          <w:highlight w:val="none"/>
          <w:lang w:val="en-US"/>
        </w:rPr>
        <w:t xml:space="preserve">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3.7</w:t>
      </w:r>
      <w:r>
        <w:rPr>
          <w:rFonts w:ascii="Times New Roman" w:hAnsi="Times New Roman" w:cs="Times New Roman"/>
          <w:spacing w:val="16"/>
          <w:sz w:val="21"/>
          <w:highlight w:val="none"/>
        </w:rPr>
        <w:t xml:space="preserve">、</w:t>
      </w:r>
      <w:r>
        <w:rPr>
          <w:rFonts w:ascii="Times New Roman" w:hAnsi="Times New Roman" w:cs="Times New Roman"/>
          <w:sz w:val="21"/>
          <w:highlight w:val="none"/>
        </w:rPr>
        <w:t xml:space="preserve">《商务条款偏离表》</w:t>
      </w:r>
      <w:r>
        <w:rPr>
          <w:rFonts w:ascii="Times New Roman" w:hAnsi="Times New Roman" w:cs="Times New Roman"/>
          <w:sz w:val="21"/>
          <w:highlight w:val="none"/>
        </w:rPr>
        <w:tab/>
      </w:r>
      <w:r>
        <w:rPr>
          <w:rFonts w:ascii="Times New Roman" w:hAnsi="Times New Roman" w:cs="Times New Roman"/>
          <w:sz w:val="21"/>
          <w:highlight w:val="none"/>
        </w:rPr>
        <w:tab/>
      </w:r>
      <w:r>
        <w:rPr>
          <w:rFonts w:ascii="Times New Roman" w:hAnsi="Times New Roman" w:cs="Times New Roman"/>
          <w:sz w:val="21"/>
          <w:highlight w:val="none"/>
          <w:lang w:val="en-US"/>
        </w:rPr>
        <w:t xml:space="preserve">X</w:t>
      </w:r>
      <w:r/>
    </w:p>
    <w:p>
      <w:pPr>
        <w:ind w:firstLine="420"/>
        <w:jc w:val="both"/>
        <w:spacing w:line="360" w:lineRule="auto"/>
        <w:tabs>
          <w:tab w:val="left" w:pos="9582" w:leader="dot"/>
        </w:tabs>
        <w:rPr>
          <w:rFonts w:ascii="Times New Roman" w:hAnsi="Times New Roman" w:cs="Times New Roman"/>
          <w:highlight w:val="none"/>
          <w:lang w:val="en-US"/>
        </w:rPr>
      </w:pPr>
      <w:r>
        <w:rPr>
          <w:rFonts w:ascii="Times New Roman" w:hAnsi="Times New Roman" w:cs="Times New Roman"/>
          <w:sz w:val="21"/>
          <w:szCs w:val="21"/>
          <w:highlight w:val="none"/>
          <w:lang w:val="en-US"/>
        </w:rPr>
        <w:t xml:space="preserve">3.8</w:t>
      </w:r>
      <w:r>
        <w:rPr>
          <w:rFonts w:ascii="Times New Roman" w:hAnsi="Times New Roman" w:cs="Times New Roman"/>
          <w:sz w:val="21"/>
          <w:szCs w:val="21"/>
          <w:highlight w:val="none"/>
        </w:rPr>
        <w:t xml:space="preserve">、投标人认为需要提供的其他</w:t>
      </w:r>
      <w:r>
        <w:rPr>
          <w:rFonts w:ascii="Times New Roman" w:hAnsi="Times New Roman" w:cs="Times New Roman"/>
          <w:sz w:val="21"/>
          <w:szCs w:val="21"/>
          <w:highlight w:val="none"/>
          <w:lang w:val="en-US"/>
        </w:rPr>
        <w:t xml:space="preserve">商务</w:t>
      </w:r>
      <w:r>
        <w:rPr>
          <w:rFonts w:ascii="Times New Roman" w:hAnsi="Times New Roman" w:cs="Times New Roman"/>
          <w:sz w:val="21"/>
          <w:szCs w:val="21"/>
          <w:highlight w:val="none"/>
        </w:rPr>
        <w:t xml:space="preserve">资料</w:t>
      </w:r>
      <w:r>
        <w:rPr>
          <w:rFonts w:ascii="Times New Roman" w:hAnsi="Times New Roman" w:cs="Times New Roman"/>
          <w:sz w:val="21"/>
          <w:szCs w:val="21"/>
          <w:highlight w:val="none"/>
        </w:rPr>
        <w:tab/>
      </w:r>
      <w:r>
        <w:rPr>
          <w:rFonts w:ascii="Times New Roman" w:hAnsi="Times New Roman" w:cs="Times New Roman"/>
          <w:sz w:val="21"/>
          <w:szCs w:val="21"/>
          <w:highlight w:val="none"/>
        </w:rPr>
        <w:t xml:space="preserve">X</w:t>
      </w:r>
      <w:r/>
    </w:p>
    <w:p>
      <w:pPr>
        <w:ind w:left="618" w:right="612" w:firstLine="422"/>
        <w:jc w:val="both"/>
        <w:spacing w:line="360" w:lineRule="auto"/>
        <w:tabs>
          <w:tab w:val="left" w:pos="9584" w:leader="dot"/>
        </w:tabs>
        <w:rPr>
          <w:rFonts w:ascii="Times New Roman" w:hAnsi="Times New Roman" w:cs="Times New Roman"/>
          <w:b/>
          <w:bCs/>
          <w:sz w:val="21"/>
          <w:highlight w:val="none"/>
          <w:lang w:val="en-US"/>
        </w:rPr>
      </w:pPr>
      <w:r>
        <w:rPr>
          <w:rFonts w:ascii="Times New Roman" w:hAnsi="Times New Roman" w:cs="Times New Roman"/>
          <w:b/>
          <w:bCs/>
          <w:sz w:val="21"/>
          <w:highlight w:val="none"/>
          <w:lang w:val="en-US"/>
        </w:rPr>
        <w:t xml:space="preserve">四、技术部分………………………………………………………………………………………….X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4.1、货物、服务或工程等内容的详细说明</w:t>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 </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4.2、技术条款偏离表</w:t>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4.3、评分标准响应材料</w:t>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4.4、技术服务方案</w:t>
      </w:r>
      <w:r>
        <w:rPr>
          <w:rFonts w:ascii="Times New Roman" w:hAnsi="Times New Roman" w:cs="Times New Roman"/>
          <w:sz w:val="21"/>
          <w:highlight w:val="none"/>
          <w:lang w:val="en-US"/>
        </w:rPr>
        <w:tab/>
      </w:r>
      <w:r>
        <w:rPr>
          <w:rFonts w:ascii="Times New Roman" w:hAnsi="Times New Roman" w:cs="Times New Roman"/>
          <w:sz w:val="21"/>
          <w:highlight w:val="none"/>
          <w:lang w:val="en-US"/>
        </w:rPr>
        <w:tab/>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4.5、相关表格</w:t>
      </w:r>
      <w:r>
        <w:rPr>
          <w:rFonts w:ascii="Times New Roman" w:hAnsi="Times New Roman" w:cs="Times New Roman"/>
          <w:sz w:val="21"/>
          <w:highlight w:val="none"/>
          <w:lang w:val="en-US"/>
        </w:rPr>
        <w:tab/>
      </w:r>
      <w:r>
        <w:rPr>
          <w:rFonts w:ascii="Times New Roman" w:hAnsi="Times New Roman" w:cs="Times New Roman"/>
          <w:sz w:val="21"/>
          <w:highlight w:val="none"/>
          <w:lang w:val="en-US"/>
        </w:rPr>
        <w:tab/>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w:t>
      </w:r>
      <w:r/>
    </w:p>
    <w:p>
      <w:pPr>
        <w:ind w:firstLine="420"/>
        <w:jc w:val="both"/>
        <w:spacing w:line="360" w:lineRule="auto"/>
        <w:tabs>
          <w:tab w:val="left" w:pos="9582" w:leader="dot"/>
        </w:tabs>
        <w:rPr>
          <w:rFonts w:ascii="Times New Roman" w:hAnsi="Times New Roman" w:cs="Times New Roman"/>
          <w:highlight w:val="none"/>
          <w:lang w:val="en-US"/>
        </w:rPr>
      </w:pPr>
      <w:r>
        <w:rPr>
          <w:rFonts w:ascii="Times New Roman" w:hAnsi="Times New Roman" w:cs="Times New Roman"/>
          <w:sz w:val="21"/>
          <w:szCs w:val="21"/>
          <w:highlight w:val="none"/>
          <w:lang w:val="en-US"/>
        </w:rPr>
        <w:t xml:space="preserve">4.6</w:t>
      </w:r>
      <w:r>
        <w:rPr>
          <w:rFonts w:ascii="Times New Roman" w:hAnsi="Times New Roman" w:cs="Times New Roman"/>
          <w:sz w:val="21"/>
          <w:szCs w:val="21"/>
          <w:highlight w:val="none"/>
        </w:rPr>
        <w:t xml:space="preserve">、投标人认为需要提供的其他</w:t>
      </w:r>
      <w:r>
        <w:rPr>
          <w:rFonts w:ascii="Times New Roman" w:hAnsi="Times New Roman" w:cs="Times New Roman"/>
          <w:sz w:val="21"/>
          <w:szCs w:val="21"/>
          <w:highlight w:val="none"/>
          <w:lang w:val="en-US"/>
        </w:rPr>
        <w:t xml:space="preserve">技术</w:t>
      </w:r>
      <w:r>
        <w:rPr>
          <w:rFonts w:ascii="Times New Roman" w:hAnsi="Times New Roman" w:cs="Times New Roman"/>
          <w:sz w:val="21"/>
          <w:szCs w:val="21"/>
          <w:highlight w:val="none"/>
        </w:rPr>
        <w:t xml:space="preserve">资料</w:t>
      </w:r>
      <w:r>
        <w:rPr>
          <w:rFonts w:ascii="Times New Roman" w:hAnsi="Times New Roman" w:cs="Times New Roman"/>
          <w:sz w:val="21"/>
          <w:szCs w:val="21"/>
          <w:highlight w:val="none"/>
        </w:rPr>
        <w:tab/>
      </w:r>
      <w:r>
        <w:rPr>
          <w:rFonts w:ascii="Times New Roman" w:hAnsi="Times New Roman" w:cs="Times New Roman"/>
          <w:sz w:val="21"/>
          <w:szCs w:val="21"/>
          <w:highlight w:val="none"/>
        </w:rPr>
        <w:t xml:space="preserve">X</w:t>
      </w:r>
      <w:r/>
    </w:p>
    <w:p>
      <w:pPr>
        <w:ind w:left="618" w:right="612" w:firstLine="422"/>
        <w:jc w:val="both"/>
        <w:spacing w:line="360" w:lineRule="auto"/>
        <w:tabs>
          <w:tab w:val="left" w:pos="9584" w:leader="dot"/>
        </w:tabs>
        <w:rPr>
          <w:rFonts w:ascii="Times New Roman" w:hAnsi="Times New Roman" w:cs="Times New Roman"/>
          <w:b/>
          <w:bCs/>
          <w:sz w:val="21"/>
          <w:highlight w:val="none"/>
          <w:lang w:val="en-US"/>
        </w:rPr>
      </w:pPr>
      <w:r>
        <w:rPr>
          <w:rFonts w:ascii="Times New Roman" w:hAnsi="Times New Roman" w:cs="Times New Roman"/>
          <w:b/>
          <w:bCs/>
          <w:sz w:val="21"/>
          <w:highlight w:val="none"/>
          <w:lang w:val="en-US"/>
        </w:rPr>
        <w:t xml:space="preserve">五、价格部分………………………………………………………………………………………….X</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5.1、开标一览表</w:t>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 </w:t>
      </w:r>
      <w:r/>
    </w:p>
    <w:p>
      <w:pPr>
        <w:ind w:left="618" w:firstLine="420"/>
        <w:jc w:val="both"/>
        <w:spacing w:line="360" w:lineRule="auto"/>
        <w:tabs>
          <w:tab w:val="left" w:pos="9582" w:leader="dot"/>
        </w:tabs>
        <w:rPr>
          <w:rFonts w:ascii="Times New Roman" w:hAnsi="Times New Roman" w:cs="Times New Roman"/>
          <w:sz w:val="21"/>
          <w:highlight w:val="none"/>
          <w:lang w:val="en-US"/>
        </w:rPr>
      </w:pPr>
      <w:r>
        <w:rPr>
          <w:rFonts w:ascii="Times New Roman" w:hAnsi="Times New Roman" w:cs="Times New Roman"/>
          <w:sz w:val="21"/>
          <w:highlight w:val="none"/>
          <w:lang w:val="en-US"/>
        </w:rPr>
        <w:t xml:space="preserve">5.2、分项报价表</w:t>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w:t>
      </w:r>
      <w:r/>
    </w:p>
    <w:p>
      <w:pPr>
        <w:ind w:left="618" w:firstLine="420"/>
        <w:jc w:val="both"/>
        <w:spacing w:line="360" w:lineRule="auto"/>
        <w:tabs>
          <w:tab w:val="left" w:pos="9582" w:leader="dot"/>
        </w:tabs>
        <w:rPr>
          <w:rFonts w:ascii="Times New Roman" w:hAnsi="Times New Roman" w:cs="Times New Roman"/>
          <w:highlight w:val="none"/>
          <w:lang w:val="en-US"/>
        </w:rPr>
      </w:pPr>
      <w:r>
        <w:rPr>
          <w:rFonts w:ascii="Times New Roman" w:hAnsi="Times New Roman" w:cs="Times New Roman"/>
          <w:sz w:val="21"/>
          <w:highlight w:val="none"/>
          <w:lang w:val="en-US"/>
        </w:rPr>
        <w:t xml:space="preserve">5.3、享受政府采购政策优惠的证明资料和清单表</w:t>
      </w:r>
      <w:r>
        <w:rPr>
          <w:rFonts w:ascii="Times New Roman" w:hAnsi="Times New Roman" w:cs="Times New Roman"/>
          <w:sz w:val="21"/>
          <w:highlight w:val="none"/>
          <w:lang w:val="en-US"/>
        </w:rPr>
        <w:tab/>
      </w:r>
      <w:r>
        <w:rPr>
          <w:rFonts w:ascii="Times New Roman" w:hAnsi="Times New Roman" w:cs="Times New Roman"/>
          <w:sz w:val="21"/>
          <w:highlight w:val="none"/>
          <w:lang w:val="en-US"/>
        </w:rPr>
        <w:t xml:space="preserve">X</w:t>
      </w:r>
      <w:r/>
    </w:p>
    <w:p>
      <w:pPr>
        <w:ind w:left="618" w:right="612" w:firstLine="422"/>
        <w:jc w:val="both"/>
        <w:spacing w:line="360" w:lineRule="auto"/>
        <w:tabs>
          <w:tab w:val="left" w:pos="9584" w:leader="dot"/>
        </w:tabs>
        <w:rPr>
          <w:rFonts w:ascii="Times New Roman" w:hAnsi="Times New Roman" w:cs="Times New Roman"/>
          <w:b/>
          <w:bCs/>
          <w:sz w:val="21"/>
          <w:highlight w:val="none"/>
          <w:lang w:val="en-US"/>
        </w:rPr>
      </w:pPr>
      <w:r>
        <w:rPr>
          <w:rFonts w:ascii="Times New Roman" w:hAnsi="Times New Roman" w:cs="Times New Roman"/>
          <w:b/>
          <w:bCs/>
          <w:sz w:val="21"/>
          <w:highlight w:val="none"/>
          <w:lang w:val="en-US"/>
        </w:rPr>
        <w:t xml:space="preserve">六、其他部分………………………………………………………………………………………….X</w:t>
      </w:r>
      <w:r/>
    </w:p>
    <w:p>
      <w:pPr>
        <w:pStyle w:val="1094"/>
        <w:ind w:left="0" w:firstLine="440"/>
        <w:jc w:val="both"/>
        <w:rPr>
          <w:rFonts w:ascii="Times New Roman" w:hAnsi="Times New Roman" w:cs="Times New Roman"/>
          <w:highlight w:val="none"/>
          <w:lang w:val="en-US"/>
        </w:rPr>
      </w:pPr>
      <w:r>
        <w:rPr>
          <w:rFonts w:ascii="Times New Roman" w:hAnsi="Times New Roman" w:cs="Times New Roman"/>
          <w:highlight w:val="none"/>
          <w:lang w:val="en-US"/>
        </w:rPr>
      </w:r>
      <w:r/>
    </w:p>
    <w:p>
      <w:pPr>
        <w:ind w:firstLine="440"/>
        <w:jc w:val="both"/>
        <w:rPr>
          <w:rFonts w:ascii="Times New Roman" w:hAnsi="Times New Roman" w:cs="Times New Roman"/>
          <w:highlight w:val="none"/>
          <w:lang w:val="en-US"/>
        </w:rPr>
      </w:pPr>
      <w:r>
        <w:rPr>
          <w:rFonts w:ascii="Times New Roman" w:hAnsi="Times New Roman" w:cs="Times New Roman"/>
          <w:highlight w:val="none"/>
          <w:lang w:val="en-US"/>
        </w:rPr>
      </w:r>
      <w:r/>
    </w:p>
    <w:p>
      <w:pPr>
        <w:pStyle w:val="1085"/>
        <w:ind w:left="0" w:firstLine="482"/>
        <w:jc w:val="both"/>
        <w:spacing w:line="360" w:lineRule="auto"/>
        <w:rPr>
          <w:rFonts w:ascii="Times New Roman" w:hAnsi="Times New Roman" w:cs="Times New Roman"/>
          <w:sz w:val="24"/>
          <w:szCs w:val="28"/>
          <w:highlight w:val="none"/>
          <w:u w:val="none"/>
          <w:lang w:val="en-US"/>
        </w:rPr>
        <w:sectPr>
          <w:footerReference w:type="default" r:id="rId14"/>
          <w:footnotePr/>
          <w:endnotePr/>
          <w:type w:val="nextPage"/>
          <w:pgSz w:w="11910" w:h="16840" w:orient="portrait"/>
          <w:pgMar w:top="1460" w:right="800" w:bottom="920" w:left="800" w:header="492" w:footer="726" w:gutter="0"/>
          <w:cols w:num="1" w:sep="0" w:space="720" w:equalWidth="1"/>
          <w:docGrid w:linePitch="360"/>
        </w:sectPr>
      </w:pPr>
      <w:r>
        <w:rPr>
          <w:rFonts w:ascii="Times New Roman" w:hAnsi="Times New Roman" w:cs="Times New Roman"/>
          <w:sz w:val="24"/>
          <w:szCs w:val="28"/>
          <w:highlight w:val="none"/>
          <w:u w:val="none"/>
          <w:lang w:val="en-US"/>
        </w:rPr>
      </w:r>
      <w:r/>
    </w:p>
    <w:p>
      <w:pPr>
        <w:pStyle w:val="1085"/>
        <w:ind w:left="0" w:firstLine="482"/>
        <w:jc w:val="both"/>
        <w:spacing w:line="360" w:lineRule="auto"/>
        <w:rPr>
          <w:rFonts w:ascii="Times New Roman" w:hAnsi="Times New Roman" w:cs="Times New Roman"/>
          <w:sz w:val="24"/>
          <w:szCs w:val="21"/>
          <w:highlight w:val="none"/>
          <w:u w:val="none"/>
          <w:lang w:val="en-US"/>
        </w:rPr>
      </w:pPr>
      <w:r>
        <w:rPr>
          <w:rFonts w:hint="eastAsia" w:ascii="Times New Roman" w:hAnsi="Times New Roman" w:cs="Times New Roman"/>
          <w:sz w:val="24"/>
          <w:szCs w:val="21"/>
          <w:highlight w:val="none"/>
          <w:u w:val="none"/>
          <w:lang w:val="en-US"/>
        </w:rPr>
        <w:t xml:space="preserve">三</w:t>
      </w:r>
      <w:r>
        <w:rPr>
          <w:rFonts w:ascii="Times New Roman" w:hAnsi="Times New Roman" w:cs="Times New Roman"/>
          <w:sz w:val="24"/>
          <w:szCs w:val="21"/>
          <w:highlight w:val="none"/>
          <w:u w:val="none"/>
          <w:lang w:val="en-US"/>
        </w:rPr>
        <w:t xml:space="preserve">、资格索引表：</w:t>
      </w:r>
      <w:r/>
    </w:p>
    <w:p>
      <w:pPr>
        <w:ind w:firstLine="422"/>
        <w:jc w:val="both"/>
        <w:spacing w:line="560" w:lineRule="exact"/>
        <w:widowControl/>
        <w:rPr>
          <w:rFonts w:ascii="Times New Roman" w:hAnsi="Times New Roman" w:cs="Times New Roman"/>
          <w:b/>
          <w:sz w:val="21"/>
          <w:szCs w:val="21"/>
          <w:highlight w:val="none"/>
          <w:lang w:val="en-US"/>
        </w:rPr>
      </w:pPr>
      <w:r>
        <w:rPr>
          <w:rFonts w:ascii="Times New Roman" w:hAnsi="Times New Roman" w:cs="Times New Roman"/>
          <w:b/>
          <w:sz w:val="21"/>
          <w:szCs w:val="21"/>
          <w:highlight w:val="none"/>
          <w:lang w:val="en-US"/>
        </w:rPr>
      </w:r>
      <w:r/>
    </w:p>
    <w:tbl>
      <w:tblPr>
        <w:tblStyle w:val="1090"/>
        <w:tblW w:w="102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10"/>
        <w:gridCol w:w="3196"/>
      </w:tblGrid>
      <w:tr>
        <w:trPr>
          <w:jc w:val="center"/>
          <w:trHeight w:val="721"/>
        </w:trPr>
        <w:tc>
          <w:tcPr>
            <w:tcW w:w="6250" w:type="dxa"/>
            <w:vAlign w:val="center"/>
            <w:textDirection w:val="lrTb"/>
            <w:noWrap w:val="false"/>
          </w:tcPr>
          <w:p>
            <w:pPr>
              <w:pStyle w:val="1108"/>
              <w:jc w:val="center"/>
              <w:rPr>
                <w:highlight w:val="none"/>
              </w:rPr>
            </w:pPr>
            <w:r>
              <w:rPr>
                <w:highlight w:val="none"/>
              </w:rPr>
              <w:t xml:space="preserve">审查项目名称</w:t>
            </w:r>
            <w:r/>
          </w:p>
        </w:tc>
        <w:tc>
          <w:tcPr>
            <w:tcW w:w="2850" w:type="dxa"/>
            <w:vAlign w:val="center"/>
            <w:textDirection w:val="lrTb"/>
            <w:noWrap w:val="false"/>
          </w:tcPr>
          <w:p>
            <w:pPr>
              <w:pStyle w:val="1108"/>
              <w:jc w:val="center"/>
              <w:rPr>
                <w:highlight w:val="none"/>
              </w:rPr>
            </w:pPr>
            <w:r>
              <w:rPr>
                <w:highlight w:val="none"/>
              </w:rPr>
              <w:t xml:space="preserve">在投标文件中的页码位置</w:t>
            </w:r>
            <w:r/>
          </w:p>
        </w:tc>
      </w:tr>
      <w:tr>
        <w:trPr>
          <w:jc w:val="center"/>
          <w:trHeight w:val="550"/>
        </w:trPr>
        <w:tc>
          <w:tcPr>
            <w:tcW w:w="6250" w:type="dxa"/>
            <w:vAlign w:val="center"/>
            <w:textDirection w:val="lrTb"/>
            <w:noWrap w:val="false"/>
          </w:tcPr>
          <w:p>
            <w:pPr>
              <w:pStyle w:val="1108"/>
              <w:rPr>
                <w:highlight w:val="none"/>
              </w:rPr>
            </w:pPr>
            <w:r>
              <w:rPr>
                <w:highlight w:val="none"/>
              </w:rPr>
              <w:t xml:space="preserve">投标函</w:t>
            </w:r>
            <w:r/>
          </w:p>
        </w:tc>
        <w:tc>
          <w:tcPr>
            <w:tcW w:w="2850" w:type="dxa"/>
            <w:vAlign w:val="center"/>
            <w:textDirection w:val="lrTb"/>
            <w:noWrap w:val="false"/>
          </w:tcPr>
          <w:p>
            <w:pPr>
              <w:pStyle w:val="1108"/>
              <w:rPr>
                <w:highlight w:val="none"/>
              </w:rPr>
            </w:pPr>
            <w:r>
              <w:rPr>
                <w:highlight w:val="none"/>
              </w:rPr>
            </w:r>
            <w:r/>
          </w:p>
        </w:tc>
      </w:tr>
      <w:tr>
        <w:trPr>
          <w:jc w:val="center"/>
          <w:trHeight w:val="550"/>
        </w:trPr>
        <w:tc>
          <w:tcPr>
            <w:tcW w:w="6250" w:type="dxa"/>
            <w:vAlign w:val="center"/>
            <w:textDirection w:val="lrTb"/>
            <w:noWrap w:val="false"/>
          </w:tcPr>
          <w:p>
            <w:pPr>
              <w:pStyle w:val="1108"/>
              <w:rPr>
                <w:highlight w:val="none"/>
              </w:rPr>
            </w:pPr>
            <w:r>
              <w:rPr>
                <w:highlight w:val="none"/>
              </w:rPr>
              <w:t xml:space="preserve">法定代表人授权委托书及委托代理人的身份证明文件</w:t>
            </w:r>
            <w:r/>
          </w:p>
        </w:tc>
        <w:tc>
          <w:tcPr>
            <w:tcW w:w="2850" w:type="dxa"/>
            <w:vAlign w:val="center"/>
            <w:textDirection w:val="lrTb"/>
            <w:noWrap w:val="false"/>
          </w:tcPr>
          <w:p>
            <w:pPr>
              <w:pStyle w:val="1108"/>
              <w:rPr>
                <w:highlight w:val="none"/>
              </w:rPr>
            </w:pPr>
            <w:r>
              <w:rPr>
                <w:highlight w:val="none"/>
              </w:rPr>
            </w:r>
            <w:r/>
          </w:p>
        </w:tc>
      </w:tr>
      <w:tr>
        <w:trPr>
          <w:jc w:val="center"/>
          <w:trHeight w:val="550"/>
        </w:trPr>
        <w:tc>
          <w:tcPr>
            <w:tcW w:w="6250" w:type="dxa"/>
            <w:vAlign w:val="center"/>
            <w:textDirection w:val="lrTb"/>
            <w:noWrap w:val="false"/>
          </w:tcPr>
          <w:p>
            <w:pPr>
              <w:pStyle w:val="1108"/>
              <w:rPr>
                <w:highlight w:val="none"/>
              </w:rPr>
            </w:pPr>
            <w:r>
              <w:rPr>
                <w:highlight w:val="none"/>
              </w:rPr>
              <w:t xml:space="preserve">具有独立承担民事责任的能力</w:t>
            </w:r>
            <w:r/>
          </w:p>
        </w:tc>
        <w:tc>
          <w:tcPr>
            <w:tcW w:w="2850" w:type="dxa"/>
            <w:vAlign w:val="center"/>
            <w:textDirection w:val="lrTb"/>
            <w:noWrap w:val="false"/>
          </w:tcPr>
          <w:p>
            <w:pPr>
              <w:pStyle w:val="1108"/>
              <w:rPr>
                <w:highlight w:val="none"/>
              </w:rPr>
            </w:pPr>
            <w:r>
              <w:rPr>
                <w:highlight w:val="none"/>
              </w:rPr>
            </w:r>
            <w:r/>
          </w:p>
        </w:tc>
      </w:tr>
      <w:tr>
        <w:trPr>
          <w:jc w:val="center"/>
          <w:trHeight w:val="550"/>
        </w:trPr>
        <w:tc>
          <w:tcPr>
            <w:tcW w:w="6250" w:type="dxa"/>
            <w:vAlign w:val="center"/>
            <w:textDirection w:val="lrTb"/>
            <w:noWrap w:val="false"/>
          </w:tcPr>
          <w:p>
            <w:pPr>
              <w:pStyle w:val="1108"/>
              <w:rPr>
                <w:highlight w:val="none"/>
              </w:rPr>
            </w:pPr>
            <w:r>
              <w:rPr>
                <w:highlight w:val="none"/>
              </w:rPr>
              <w:t xml:space="preserve">南京市政府采购供应商信用记录表暨信用承诺书</w:t>
            </w:r>
            <w:r/>
          </w:p>
        </w:tc>
        <w:tc>
          <w:tcPr>
            <w:tcW w:w="2850" w:type="dxa"/>
            <w:vAlign w:val="center"/>
            <w:textDirection w:val="lrTb"/>
            <w:noWrap w:val="false"/>
          </w:tcPr>
          <w:p>
            <w:pPr>
              <w:pStyle w:val="1108"/>
              <w:rPr>
                <w:highlight w:val="none"/>
              </w:rPr>
            </w:pPr>
            <w:r>
              <w:rPr>
                <w:highlight w:val="none"/>
              </w:rPr>
            </w:r>
            <w:r/>
          </w:p>
        </w:tc>
      </w:tr>
      <w:tr>
        <w:trPr>
          <w:jc w:val="center"/>
          <w:trHeight w:val="550"/>
        </w:trPr>
        <w:tc>
          <w:tcPr>
            <w:tcW w:w="6250" w:type="dxa"/>
            <w:vAlign w:val="center"/>
            <w:textDirection w:val="lrTb"/>
            <w:noWrap w:val="false"/>
          </w:tcPr>
          <w:p>
            <w:pPr>
              <w:pStyle w:val="1108"/>
              <w:rPr>
                <w:spacing w:val="-3"/>
                <w:highlight w:val="none"/>
              </w:rPr>
            </w:pPr>
            <w:r>
              <w:rPr>
                <w:highlight w:val="none"/>
              </w:rPr>
              <w:t xml:space="preserve">第一章招标公告中“2.落实政府采购政策需满足的资格要求”</w:t>
            </w:r>
            <w:r>
              <w:rPr>
                <w:spacing w:val="-3"/>
                <w:highlight w:val="none"/>
              </w:rPr>
              <w:t xml:space="preserve">的证明文件（若有）</w:t>
            </w:r>
            <w:r/>
          </w:p>
        </w:tc>
        <w:tc>
          <w:tcPr>
            <w:tcW w:w="2850" w:type="dxa"/>
            <w:vAlign w:val="center"/>
            <w:textDirection w:val="lrTb"/>
            <w:noWrap w:val="false"/>
          </w:tcPr>
          <w:p>
            <w:pPr>
              <w:pStyle w:val="1108"/>
              <w:rPr>
                <w:highlight w:val="none"/>
              </w:rPr>
            </w:pPr>
            <w:r>
              <w:rPr>
                <w:highlight w:val="none"/>
              </w:rPr>
            </w:r>
            <w:r/>
          </w:p>
        </w:tc>
      </w:tr>
      <w:tr>
        <w:trPr>
          <w:jc w:val="center"/>
          <w:trHeight w:val="550"/>
        </w:trPr>
        <w:tc>
          <w:tcPr>
            <w:tcW w:w="6250" w:type="dxa"/>
            <w:vAlign w:val="center"/>
            <w:textDirection w:val="lrTb"/>
            <w:noWrap w:val="false"/>
          </w:tcPr>
          <w:p>
            <w:pPr>
              <w:pStyle w:val="1108"/>
              <w:rPr>
                <w:bCs/>
                <w:highlight w:val="none"/>
              </w:rPr>
            </w:pPr>
            <w:r>
              <w:rPr>
                <w:highlight w:val="none"/>
              </w:rPr>
              <w:t xml:space="preserve">第一章招标公告中“3.本项目的特定资格要求”的证明文件；</w:t>
            </w:r>
            <w:r>
              <w:rPr>
                <w:bCs/>
                <w:highlight w:val="none"/>
              </w:rPr>
              <w:t xml:space="preserve">（若有）</w:t>
            </w:r>
            <w:r/>
          </w:p>
        </w:tc>
        <w:tc>
          <w:tcPr>
            <w:tcW w:w="2850" w:type="dxa"/>
            <w:vAlign w:val="center"/>
            <w:textDirection w:val="lrTb"/>
            <w:noWrap w:val="false"/>
          </w:tcPr>
          <w:p>
            <w:pPr>
              <w:pStyle w:val="1108"/>
              <w:rPr>
                <w:highlight w:val="none"/>
              </w:rPr>
            </w:pPr>
            <w:r>
              <w:rPr>
                <w:highlight w:val="none"/>
              </w:rPr>
            </w:r>
            <w:r/>
          </w:p>
        </w:tc>
      </w:tr>
    </w:tbl>
    <w:p>
      <w:pPr>
        <w:pStyle w:val="1085"/>
        <w:ind w:left="0" w:firstLine="482"/>
        <w:jc w:val="both"/>
        <w:spacing w:line="560" w:lineRule="exact"/>
        <w:rPr>
          <w:rFonts w:ascii="Times New Roman" w:hAnsi="Times New Roman" w:cs="Times New Roman"/>
          <w:sz w:val="24"/>
          <w:szCs w:val="21"/>
          <w:highlight w:val="none"/>
          <w:u w:val="none"/>
          <w:lang w:val="en-US"/>
        </w:rPr>
      </w:pPr>
      <w:r>
        <w:rPr>
          <w:rFonts w:hint="eastAsia" w:ascii="Times New Roman" w:hAnsi="Times New Roman" w:cs="Times New Roman"/>
          <w:sz w:val="24"/>
          <w:szCs w:val="21"/>
          <w:highlight w:val="none"/>
          <w:u w:val="none"/>
          <w:lang w:val="en-US"/>
        </w:rPr>
        <w:t xml:space="preserve">四</w:t>
      </w:r>
      <w:r>
        <w:rPr>
          <w:rFonts w:ascii="Times New Roman" w:hAnsi="Times New Roman" w:cs="Times New Roman"/>
          <w:sz w:val="24"/>
          <w:szCs w:val="21"/>
          <w:highlight w:val="none"/>
          <w:u w:val="none"/>
          <w:lang w:val="en-US"/>
        </w:rPr>
        <w:t xml:space="preserve">、评分索引表</w:t>
      </w:r>
      <w:r/>
    </w:p>
    <w:p>
      <w:pPr>
        <w:ind w:firstLine="482"/>
        <w:jc w:val="both"/>
        <w:spacing w:line="560" w:lineRule="exact"/>
        <w:widowControl/>
        <w:rPr>
          <w:rFonts w:ascii="Times New Roman" w:hAnsi="Times New Roman" w:cs="Times New Roman"/>
          <w:bCs/>
          <w:sz w:val="24"/>
          <w:szCs w:val="24"/>
          <w:highlight w:val="none"/>
          <w:lang w:val="en-US"/>
        </w:rPr>
      </w:pPr>
      <w:r>
        <w:rPr>
          <w:rFonts w:ascii="Times New Roman" w:hAnsi="Times New Roman" w:cs="Times New Roman"/>
          <w:b/>
          <w:sz w:val="24"/>
          <w:szCs w:val="24"/>
          <w:highlight w:val="none"/>
          <w:lang w:val="en-US"/>
        </w:rPr>
        <w:t xml:space="preserve">提供的投标文件应编制评分索引表</w:t>
      </w:r>
      <w:r>
        <w:rPr>
          <w:rFonts w:ascii="Times New Roman" w:hAnsi="Times New Roman" w:cs="Times New Roman"/>
          <w:bCs/>
          <w:sz w:val="24"/>
          <w:szCs w:val="24"/>
          <w:highlight w:val="none"/>
          <w:lang w:val="en-US"/>
        </w:rPr>
        <w:t xml:space="preserve">，由于编排混乱导致文件被误读或查找不到，责任由投标人承担。</w:t>
      </w:r>
      <w:r/>
    </w:p>
    <w:tbl>
      <w:tblPr>
        <w:tblStyle w:val="1090"/>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42"/>
        <w:gridCol w:w="4064"/>
      </w:tblGrid>
      <w:tr>
        <w:trPr>
          <w:jc w:val="center"/>
          <w:trHeight w:val="460"/>
        </w:trPr>
        <w:tc>
          <w:tcPr>
            <w:tcW w:w="6142" w:type="dxa"/>
            <w:vAlign w:val="center"/>
            <w:textDirection w:val="lrTb"/>
            <w:noWrap w:val="false"/>
          </w:tcPr>
          <w:p>
            <w:pPr>
              <w:pStyle w:val="1112"/>
              <w:rPr>
                <w:bCs/>
                <w:highlight w:val="none"/>
              </w:rPr>
            </w:pPr>
            <w:r>
              <w:rPr>
                <w:highlight w:val="none"/>
              </w:rPr>
              <w:t xml:space="preserve">评分项目</w:t>
            </w:r>
            <w:r/>
          </w:p>
        </w:tc>
        <w:tc>
          <w:tcPr>
            <w:tcW w:w="4064" w:type="dxa"/>
            <w:vAlign w:val="center"/>
            <w:textDirection w:val="lrTb"/>
            <w:noWrap w:val="false"/>
          </w:tcPr>
          <w:p>
            <w:pPr>
              <w:ind w:firstLine="422"/>
              <w:jc w:val="both"/>
              <w:rPr>
                <w:rFonts w:ascii="Times New Roman" w:hAnsi="Times New Roman" w:cs="Times New Roman"/>
                <w:b/>
                <w:sz w:val="21"/>
                <w:szCs w:val="21"/>
                <w:highlight w:val="none"/>
              </w:rPr>
            </w:pPr>
            <w:r>
              <w:rPr>
                <w:rFonts w:ascii="Times New Roman" w:hAnsi="Times New Roman" w:cs="Times New Roman"/>
                <w:b/>
                <w:sz w:val="21"/>
                <w:szCs w:val="21"/>
                <w:highlight w:val="none"/>
                <w:lang w:bidi="en-US"/>
              </w:rPr>
              <w:t xml:space="preserve">在</w:t>
            </w:r>
            <w:r>
              <w:rPr>
                <w:rFonts w:ascii="Times New Roman" w:hAnsi="Times New Roman" w:cs="Times New Roman"/>
                <w:b/>
                <w:sz w:val="21"/>
                <w:szCs w:val="21"/>
                <w:highlight w:val="none"/>
                <w:lang w:val="en-US" w:bidi="en-US"/>
              </w:rPr>
              <w:t xml:space="preserve">评标</w:t>
            </w:r>
            <w:r>
              <w:rPr>
                <w:rFonts w:ascii="Times New Roman" w:hAnsi="Times New Roman" w:cs="Times New Roman"/>
                <w:b/>
                <w:sz w:val="21"/>
                <w:szCs w:val="21"/>
                <w:highlight w:val="none"/>
                <w:lang w:val="ja-JP" w:eastAsia="ja-JP" w:bidi="en-US"/>
              </w:rPr>
              <w:t xml:space="preserve">标准响应材料</w:t>
            </w:r>
            <w:r>
              <w:rPr>
                <w:rFonts w:ascii="Times New Roman" w:hAnsi="Times New Roman" w:cs="Times New Roman"/>
                <w:b/>
                <w:sz w:val="21"/>
                <w:szCs w:val="21"/>
                <w:highlight w:val="none"/>
                <w:lang w:bidi="en-US"/>
              </w:rPr>
              <w:t xml:space="preserve">中的页码位置</w:t>
            </w:r>
            <w:r/>
          </w:p>
        </w:tc>
      </w:tr>
      <w:tr>
        <w:trPr>
          <w:jc w:val="center"/>
          <w:trHeight w:val="446"/>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2"/>
              <w:jc w:val="both"/>
              <w:spacing w:line="360" w:lineRule="auto"/>
              <w:rPr>
                <w:rFonts w:ascii="Times New Roman" w:hAnsi="Times New Roman" w:cs="Times New Roman"/>
                <w:b/>
                <w:sz w:val="21"/>
                <w:szCs w:val="21"/>
                <w:highlight w:val="none"/>
                <w:lang w:bidi="en-US"/>
              </w:rPr>
            </w:pPr>
            <w:r>
              <w:rPr>
                <w:rFonts w:ascii="Times New Roman" w:hAnsi="Times New Roman" w:cs="Times New Roman"/>
                <w:b/>
                <w:sz w:val="21"/>
                <w:szCs w:val="21"/>
                <w:highlight w:val="none"/>
                <w:lang w:bidi="en-US"/>
              </w:rPr>
            </w:r>
            <w:r/>
          </w:p>
        </w:tc>
      </w:tr>
      <w:tr>
        <w:trPr>
          <w:jc w:val="center"/>
          <w:trHeight w:val="446"/>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2"/>
              <w:jc w:val="both"/>
              <w:spacing w:line="360" w:lineRule="auto"/>
              <w:rPr>
                <w:rFonts w:ascii="Times New Roman" w:hAnsi="Times New Roman" w:cs="Times New Roman"/>
                <w:b/>
                <w:sz w:val="21"/>
                <w:szCs w:val="21"/>
                <w:highlight w:val="none"/>
                <w:lang w:bidi="en-US"/>
              </w:rPr>
            </w:pPr>
            <w:r>
              <w:rPr>
                <w:rFonts w:ascii="Times New Roman" w:hAnsi="Times New Roman" w:cs="Times New Roman"/>
                <w:b/>
                <w:sz w:val="21"/>
                <w:szCs w:val="21"/>
                <w:highlight w:val="none"/>
                <w:lang w:bidi="en-US"/>
              </w:rPr>
            </w:r>
            <w:r/>
          </w:p>
        </w:tc>
      </w:tr>
      <w:tr>
        <w:trPr>
          <w:jc w:val="center"/>
          <w:trHeight w:val="446"/>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2"/>
              <w:jc w:val="both"/>
              <w:spacing w:line="360" w:lineRule="auto"/>
              <w:rPr>
                <w:rFonts w:ascii="Times New Roman" w:hAnsi="Times New Roman" w:cs="Times New Roman"/>
                <w:b/>
                <w:sz w:val="21"/>
                <w:szCs w:val="21"/>
                <w:highlight w:val="none"/>
                <w:lang w:bidi="en-US"/>
              </w:rPr>
            </w:pPr>
            <w:r>
              <w:rPr>
                <w:rFonts w:ascii="Times New Roman" w:hAnsi="Times New Roman" w:cs="Times New Roman"/>
                <w:b/>
                <w:sz w:val="21"/>
                <w:szCs w:val="21"/>
                <w:highlight w:val="none"/>
                <w:lang w:bidi="en-US"/>
              </w:rPr>
            </w:r>
            <w:r/>
          </w:p>
        </w:tc>
      </w:tr>
      <w:tr>
        <w:trPr>
          <w:jc w:val="center"/>
          <w:trHeight w:val="446"/>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2"/>
              <w:jc w:val="both"/>
              <w:spacing w:line="360" w:lineRule="auto"/>
              <w:rPr>
                <w:rFonts w:ascii="Times New Roman" w:hAnsi="Times New Roman" w:cs="Times New Roman"/>
                <w:b/>
                <w:sz w:val="21"/>
                <w:szCs w:val="21"/>
                <w:highlight w:val="none"/>
                <w:lang w:bidi="en-US"/>
              </w:rPr>
            </w:pPr>
            <w:r>
              <w:rPr>
                <w:rFonts w:ascii="Times New Roman" w:hAnsi="Times New Roman" w:cs="Times New Roman"/>
                <w:b/>
                <w:sz w:val="21"/>
                <w:szCs w:val="21"/>
                <w:highlight w:val="none"/>
                <w:lang w:bidi="en-US"/>
              </w:rPr>
            </w:r>
            <w:r/>
          </w:p>
        </w:tc>
      </w:tr>
      <w:tr>
        <w:trPr>
          <w:jc w:val="center"/>
          <w:trHeight w:val="32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46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28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28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28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28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280"/>
        </w:trPr>
        <w:tc>
          <w:tcPr>
            <w:tcW w:w="6142" w:type="dxa"/>
            <w:vAlign w:val="center"/>
            <w:textDirection w:val="lrTb"/>
            <w:noWrap w:val="false"/>
          </w:tcPr>
          <w:p>
            <w:pPr>
              <w:pStyle w:val="1112"/>
              <w:rPr>
                <w:highlight w:val="none"/>
              </w:rPr>
            </w:pPr>
            <w:r>
              <w:rPr>
                <w:highlight w:val="none"/>
              </w:rPr>
            </w:r>
            <w:r/>
          </w:p>
        </w:tc>
        <w:tc>
          <w:tcPr>
            <w:tcW w:w="4064" w:type="dxa"/>
            <w:vAlign w:val="center"/>
            <w:textDirection w:val="lrTb"/>
            <w:noWrap w:val="false"/>
          </w:tcPr>
          <w:p>
            <w:pPr>
              <w:ind w:firstLine="420"/>
              <w:jc w:val="both"/>
              <w:spacing w:line="360" w:lineRule="auto"/>
              <w:rPr>
                <w:rFonts w:ascii="Times New Roman" w:hAnsi="Times New Roman" w:cs="Times New Roman"/>
                <w:sz w:val="21"/>
                <w:szCs w:val="21"/>
                <w:highlight w:val="none"/>
              </w:rPr>
            </w:pPr>
            <w:r>
              <w:rPr>
                <w:rFonts w:ascii="Times New Roman" w:hAnsi="Times New Roman" w:cs="Times New Roman"/>
                <w:sz w:val="21"/>
                <w:szCs w:val="21"/>
                <w:highlight w:val="none"/>
              </w:rPr>
            </w:r>
            <w:r/>
          </w:p>
        </w:tc>
      </w:tr>
    </w:tbl>
    <w:p>
      <w:pPr>
        <w:pStyle w:val="1094"/>
        <w:ind w:left="1320" w:firstLine="440"/>
        <w:jc w:val="both"/>
        <w:rPr>
          <w:rFonts w:ascii="Times New Roman" w:hAnsi="Times New Roman" w:cs="Times New Roman"/>
          <w:highlight w:val="none"/>
        </w:rPr>
        <w:sectPr>
          <w:footnotePr/>
          <w:endnotePr/>
          <w:type w:val="nextPage"/>
          <w:pgSz w:w="11910" w:h="16840" w:orient="portrait"/>
          <w:pgMar w:top="1460" w:right="800" w:bottom="920" w:left="800" w:header="492" w:footer="726" w:gutter="0"/>
          <w:cols w:num="1" w:sep="0" w:space="720" w:equalWidth="1"/>
          <w:docGrid w:linePitch="360"/>
        </w:sectPr>
      </w:pPr>
      <w:r>
        <w:rPr>
          <w:rFonts w:ascii="Times New Roman" w:hAnsi="Times New Roman" w:cs="Times New Roman"/>
          <w:highlight w:val="none"/>
        </w:rPr>
      </w:r>
      <w:r/>
    </w:p>
    <w:p>
      <w:pPr>
        <w:pStyle w:val="1085"/>
        <w:ind w:left="0" w:firstLine="482"/>
        <w:jc w:val="both"/>
        <w:spacing w:line="560" w:lineRule="exact"/>
        <w:rPr>
          <w:rFonts w:ascii="Times New Roman" w:hAnsi="Times New Roman" w:cs="Times New Roman"/>
          <w:sz w:val="24"/>
          <w:szCs w:val="21"/>
          <w:highlight w:val="none"/>
          <w:u w:val="none"/>
          <w:lang w:val="en-US"/>
        </w:rPr>
      </w:pPr>
      <w:r>
        <w:rPr>
          <w:rFonts w:hint="eastAsia" w:ascii="Times New Roman" w:hAnsi="Times New Roman" w:cs="Times New Roman"/>
          <w:sz w:val="24"/>
          <w:szCs w:val="21"/>
          <w:highlight w:val="none"/>
          <w:u w:val="none"/>
          <w:lang w:val="en-US"/>
        </w:rPr>
        <w:t xml:space="preserve">五</w:t>
      </w:r>
      <w:r>
        <w:rPr>
          <w:rFonts w:ascii="Times New Roman" w:hAnsi="Times New Roman" w:cs="Times New Roman"/>
          <w:sz w:val="24"/>
          <w:szCs w:val="21"/>
          <w:highlight w:val="none"/>
          <w:u w:val="none"/>
          <w:lang w:val="en-US"/>
        </w:rPr>
        <w:t xml:space="preserve">、商务部分</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5.1、投标函格式</w:t>
      </w:r>
      <w:r/>
    </w:p>
    <w:p>
      <w:pPr>
        <w:pStyle w:val="1115"/>
        <w:rPr>
          <w:highlight w:val="none"/>
        </w:rPr>
      </w:pPr>
      <w:r>
        <w:rPr>
          <w:highlight w:val="none"/>
        </w:rPr>
        <w:t xml:space="preserve">投标函</w:t>
      </w:r>
      <w:r/>
    </w:p>
    <w:p>
      <w:pPr>
        <w:ind w:firstLine="480"/>
        <w:jc w:val="both"/>
        <w:spacing w:line="560" w:lineRule="exact"/>
        <w:shd w:val="clear" w:color="auto" w:fill="ffffff"/>
        <w:widowControl/>
        <w:rPr>
          <w:rFonts w:cs="Times New Roman"/>
          <w:bCs/>
          <w:sz w:val="24"/>
          <w:szCs w:val="24"/>
          <w:highlight w:val="none"/>
          <w:lang w:val="en-US" w:bidi="ar-SA"/>
        </w:rPr>
      </w:pPr>
      <w:r>
        <w:rPr>
          <w:rFonts w:cs="Times New Roman"/>
          <w:sz w:val="24"/>
          <w:szCs w:val="24"/>
          <w:highlight w:val="none"/>
          <w:lang w:bidi="ar-SA"/>
        </w:rPr>
        <w:t xml:space="preserve">致：南京市鼓楼生态环境局</w:t>
      </w:r>
      <w:r>
        <w:rPr>
          <w:rFonts w:cs="Times New Roman"/>
          <w:sz w:val="24"/>
          <w:szCs w:val="24"/>
          <w:highlight w:val="none"/>
          <w:lang w:val="en-US" w:bidi="ar-SA"/>
        </w:rPr>
        <w:t xml:space="preserve">(采购人)</w:t>
      </w:r>
      <w:r/>
    </w:p>
    <w:p>
      <w:pPr>
        <w:pStyle w:val="1094"/>
        <w:ind w:left="0" w:firstLine="480"/>
        <w:jc w:val="both"/>
        <w:spacing w:line="560" w:lineRule="exact"/>
        <w:rPr>
          <w:rFonts w:cs="Times New Roman"/>
          <w:sz w:val="24"/>
          <w:szCs w:val="24"/>
          <w:highlight w:val="none"/>
        </w:rPr>
      </w:pPr>
      <w:r>
        <w:rPr>
          <w:rFonts w:cs="Times New Roman"/>
          <w:sz w:val="24"/>
          <w:szCs w:val="24"/>
          <w:highlight w:val="none"/>
          <w:lang w:val="en-US"/>
        </w:rPr>
        <w:t xml:space="preserve">江苏金永诚建设投资管理咨询有限公司</w:t>
      </w:r>
      <w:r/>
    </w:p>
    <w:p>
      <w:pPr>
        <w:pStyle w:val="1091"/>
        <w:rPr>
          <w:highlight w:val="none"/>
        </w:rPr>
      </w:pPr>
      <w:r>
        <w:rPr>
          <w:highlight w:val="none"/>
        </w:rPr>
        <w:t xml:space="preserve">根据贵方</w:t>
      </w:r>
      <w:r>
        <w:rPr>
          <w:highlight w:val="none"/>
          <w:u w:val="single"/>
        </w:rPr>
        <w:t xml:space="preserve"> </w:t>
      </w:r>
      <w:r>
        <w:rPr>
          <w:highlight w:val="none"/>
          <w:u w:val="single"/>
        </w:rPr>
        <w:tab/>
      </w:r>
      <w:r>
        <w:rPr>
          <w:highlight w:val="none"/>
        </w:rPr>
        <w:t xml:space="preserve">（项目名称）</w:t>
      </w:r>
      <w:r>
        <w:rPr>
          <w:highlight w:val="none"/>
          <w:u w:val="single"/>
        </w:rPr>
        <w:t xml:space="preserve"> </w:t>
      </w:r>
      <w:r>
        <w:rPr>
          <w:highlight w:val="none"/>
          <w:u w:val="single"/>
          <w:lang w:val="en-US"/>
        </w:rPr>
        <w:t xml:space="preserve"> </w:t>
      </w:r>
      <w:r>
        <w:rPr>
          <w:highlight w:val="none"/>
          <w:u w:val="single"/>
        </w:rPr>
        <w:tab/>
      </w:r>
      <w:r>
        <w:rPr>
          <w:highlight w:val="none"/>
        </w:rPr>
        <w:t xml:space="preserve">（项目编号）</w:t>
      </w:r>
      <w:r>
        <w:rPr>
          <w:spacing w:val="-99"/>
          <w:highlight w:val="none"/>
        </w:rPr>
        <w:t xml:space="preserve"> </w:t>
      </w:r>
      <w:r>
        <w:rPr>
          <w:spacing w:val="21"/>
          <w:highlight w:val="none"/>
        </w:rPr>
        <w:t xml:space="preserve">招标公告</w:t>
      </w:r>
      <w:r>
        <w:rPr>
          <w:highlight w:val="none"/>
        </w:rPr>
        <w:t xml:space="preserve">，我方</w:t>
      </w:r>
      <w:r>
        <w:rPr>
          <w:highlight w:val="none"/>
          <w:u w:val="single"/>
          <w:lang w:val="en-US"/>
        </w:rPr>
        <w:t xml:space="preserve">                        </w:t>
      </w:r>
      <w:r>
        <w:rPr>
          <w:highlight w:val="none"/>
          <w:lang w:val="en-US"/>
        </w:rPr>
        <w:t xml:space="preserve">(投标人名称)</w:t>
      </w:r>
      <w:r>
        <w:rPr>
          <w:highlight w:val="none"/>
        </w:rPr>
        <w:t xml:space="preserve">决定参与本次采购活动，提交投标文件。</w:t>
      </w:r>
      <w:r/>
    </w:p>
    <w:p>
      <w:pPr>
        <w:pStyle w:val="1091"/>
        <w:rPr>
          <w:highlight w:val="none"/>
        </w:rPr>
      </w:pPr>
      <w:r>
        <w:rPr>
          <w:highlight w:val="none"/>
        </w:rPr>
        <w:t xml:space="preserve">据此函，</w:t>
      </w:r>
      <w:r>
        <w:rPr>
          <w:highlight w:val="none"/>
          <w:lang w:val="en-US"/>
        </w:rPr>
        <w:t xml:space="preserve">声明</w:t>
      </w:r>
      <w:r>
        <w:rPr>
          <w:highlight w:val="none"/>
        </w:rPr>
        <w:t xml:space="preserve">如下：</w:t>
      </w:r>
      <w:r/>
    </w:p>
    <w:p>
      <w:pPr>
        <w:pStyle w:val="1091"/>
        <w:rPr>
          <w:highlight w:val="none"/>
        </w:rPr>
      </w:pPr>
      <w:r>
        <w:rPr>
          <w:highlight w:val="none"/>
          <w:lang w:val="en-US"/>
        </w:rPr>
        <w:t xml:space="preserve">1.我方的资格条件符合政府采购法和本次采购要求。</w:t>
      </w:r>
      <w:r/>
    </w:p>
    <w:p>
      <w:pPr>
        <w:pStyle w:val="1091"/>
        <w:rPr>
          <w:highlight w:val="none"/>
        </w:rPr>
      </w:pPr>
      <w:r>
        <w:rPr>
          <w:highlight w:val="none"/>
          <w:lang w:val="en-US"/>
        </w:rPr>
        <w:t xml:space="preserve">2.我方参加政府采购活动前三年内，在经营活动中</w:t>
      </w:r>
      <w:r>
        <w:rPr>
          <w:b/>
          <w:bCs/>
          <w:highlight w:val="none"/>
          <w:lang w:val="en-US"/>
        </w:rPr>
        <w:t xml:space="preserve">没有</w:t>
      </w:r>
      <w:r>
        <w:rPr>
          <w:highlight w:val="none"/>
          <w:lang w:val="en-US"/>
        </w:rPr>
        <w:t xml:space="preserve">重大违法记录。</w:t>
      </w:r>
      <w:r/>
    </w:p>
    <w:p>
      <w:pPr>
        <w:pStyle w:val="1091"/>
        <w:rPr>
          <w:highlight w:val="none"/>
        </w:rPr>
      </w:pPr>
      <w:r>
        <w:rPr>
          <w:highlight w:val="none"/>
          <w:lang w:val="en-US"/>
        </w:rPr>
        <w:t xml:space="preserve">3.参加本次采购活动前，我方</w:t>
      </w:r>
      <w:r>
        <w:rPr>
          <w:b/>
          <w:bCs/>
          <w:highlight w:val="none"/>
          <w:lang w:val="en-US"/>
        </w:rPr>
        <w:t xml:space="preserve">没有</w:t>
      </w:r>
      <w:r>
        <w:rPr>
          <w:highlight w:val="none"/>
          <w:lang w:val="en-US"/>
        </w:rPr>
        <w:t xml:space="preserve">被信用中国网站、中国政府采购网站列入失信被执行人名单、重大税收违法失信主体、政府采购严重违法失信行为记录名单。</w:t>
      </w:r>
      <w:r/>
    </w:p>
    <w:p>
      <w:pPr>
        <w:pStyle w:val="1091"/>
        <w:rPr>
          <w:highlight w:val="none"/>
        </w:rPr>
      </w:pPr>
      <w:r>
        <w:rPr>
          <w:highlight w:val="none"/>
          <w:lang w:val="en-US"/>
        </w:rPr>
        <w:t xml:space="preserve">4.我方在全国范围内</w:t>
      </w:r>
      <w:r>
        <w:rPr>
          <w:b/>
          <w:bCs/>
          <w:highlight w:val="none"/>
          <w:lang w:val="en-US"/>
        </w:rPr>
        <w:t xml:space="preserve">未受过</w:t>
      </w:r>
      <w:r>
        <w:rPr>
          <w:highlight w:val="none"/>
          <w:lang w:val="en-US"/>
        </w:rPr>
        <w:t xml:space="preserve">财政部门禁止参加政府采购活动的处罚期限，或在全国范围内受过财政部门禁止参加政府采购活动的处罚期限已满。 </w:t>
      </w:r>
      <w:r/>
    </w:p>
    <w:p>
      <w:pPr>
        <w:pStyle w:val="1091"/>
        <w:rPr>
          <w:highlight w:val="none"/>
        </w:rPr>
      </w:pPr>
      <w:r>
        <w:rPr>
          <w:highlight w:val="none"/>
          <w:lang w:val="en-US"/>
        </w:rPr>
        <w:t xml:space="preserve">5.我方</w:t>
      </w:r>
      <w:r>
        <w:rPr>
          <w:b/>
          <w:bCs/>
          <w:highlight w:val="none"/>
          <w:lang w:val="en-US"/>
        </w:rPr>
        <w:t xml:space="preserve">没有</w:t>
      </w:r>
      <w:r>
        <w:rPr>
          <w:highlight w:val="none"/>
          <w:lang w:val="en-US"/>
        </w:rPr>
        <w:t xml:space="preserve">为本采购项目提供整体设计、规范编制，以及项目管理、监理、检测等服务。</w:t>
      </w:r>
      <w:r/>
    </w:p>
    <w:p>
      <w:pPr>
        <w:pStyle w:val="1091"/>
        <w:rPr>
          <w:highlight w:val="none"/>
        </w:rPr>
      </w:pPr>
      <w:r>
        <w:rPr>
          <w:highlight w:val="none"/>
          <w:lang w:val="en-US"/>
        </w:rPr>
        <w:t xml:space="preserve">6.我方与参与本次采购活动的其他投标人的法定代表人或委托代理人</w:t>
      </w:r>
      <w:r>
        <w:rPr>
          <w:b/>
          <w:bCs/>
          <w:highlight w:val="none"/>
          <w:lang w:val="en-US"/>
        </w:rPr>
        <w:t xml:space="preserve">无夫妻、直系血亲关系</w:t>
      </w:r>
      <w:r>
        <w:rPr>
          <w:highlight w:val="none"/>
          <w:lang w:val="en-US"/>
        </w:rPr>
        <w:t xml:space="preserve">；</w:t>
      </w:r>
      <w:r/>
    </w:p>
    <w:p>
      <w:pPr>
        <w:pStyle w:val="1091"/>
        <w:rPr>
          <w:highlight w:val="none"/>
        </w:rPr>
      </w:pPr>
      <w:r>
        <w:rPr>
          <w:highlight w:val="none"/>
          <w:lang w:val="en-US"/>
        </w:rPr>
        <w:t xml:space="preserve">7.我方与参与本次采购活动的其他投标人的负责人</w:t>
      </w:r>
      <w:r>
        <w:rPr>
          <w:b/>
          <w:bCs/>
          <w:highlight w:val="none"/>
          <w:lang w:val="en-US"/>
        </w:rPr>
        <w:t xml:space="preserve">不是同一人</w:t>
      </w:r>
      <w:r>
        <w:rPr>
          <w:highlight w:val="none"/>
          <w:lang w:val="en-US"/>
        </w:rPr>
        <w:t xml:space="preserve">，</w:t>
      </w:r>
      <w:r>
        <w:rPr>
          <w:b/>
          <w:bCs/>
          <w:highlight w:val="none"/>
          <w:lang w:val="en-US"/>
        </w:rPr>
        <w:t xml:space="preserve">也不存在直接控股、管理关系</w:t>
      </w:r>
      <w:r>
        <w:rPr>
          <w:highlight w:val="none"/>
          <w:lang w:val="en-US"/>
        </w:rPr>
        <w:t xml:space="preserve">。</w:t>
      </w:r>
      <w:r/>
    </w:p>
    <w:p>
      <w:pPr>
        <w:pStyle w:val="1091"/>
        <w:rPr>
          <w:highlight w:val="none"/>
        </w:rPr>
      </w:pPr>
      <w:r>
        <w:rPr>
          <w:highlight w:val="none"/>
          <w:lang w:val="en-US"/>
        </w:rPr>
        <w:t xml:space="preserve">8.我方同意并向贵方提供了与投标有关的所有证据和资料。</w:t>
      </w:r>
      <w:r/>
    </w:p>
    <w:p>
      <w:pPr>
        <w:pStyle w:val="1091"/>
        <w:rPr>
          <w:highlight w:val="none"/>
        </w:rPr>
      </w:pPr>
      <w:r>
        <w:rPr>
          <w:highlight w:val="none"/>
          <w:lang w:val="en-US"/>
        </w:rPr>
        <w:t xml:space="preserve">9</w:t>
      </w:r>
      <w:r>
        <w:rPr>
          <w:highlight w:val="none"/>
        </w:rPr>
        <w:t xml:space="preserve">.按招标要求，我们的投标总报价为（大写）</w:t>
      </w:r>
      <w:r>
        <w:rPr>
          <w:highlight w:val="none"/>
          <w:u w:val="single"/>
        </w:rPr>
        <w:tab/>
      </w:r>
      <w:r>
        <w:rPr>
          <w:highlight w:val="none"/>
          <w:u w:val="single"/>
        </w:rPr>
        <w:t xml:space="preserve">万元/年</w:t>
      </w:r>
      <w:r>
        <w:rPr>
          <w:highlight w:val="none"/>
        </w:rPr>
        <w:t xml:space="preserve">。</w:t>
      </w:r>
      <w:r/>
    </w:p>
    <w:p>
      <w:pPr>
        <w:pStyle w:val="1091"/>
        <w:rPr>
          <w:highlight w:val="none"/>
        </w:rPr>
      </w:pPr>
      <w:r>
        <w:rPr>
          <w:highlight w:val="none"/>
          <w:lang w:val="en-US"/>
        </w:rPr>
        <w:t xml:space="preserve">10</w:t>
      </w:r>
      <w:r>
        <w:rPr>
          <w:highlight w:val="none"/>
        </w:rPr>
        <w:t xml:space="preserve">.本项目通过验收并交付时间为：满足招标文件要求。</w:t>
      </w:r>
      <w:r/>
    </w:p>
    <w:p>
      <w:pPr>
        <w:pStyle w:val="1091"/>
        <w:rPr>
          <w:highlight w:val="none"/>
        </w:rPr>
      </w:pPr>
      <w:r>
        <w:rPr>
          <w:highlight w:val="none"/>
          <w:lang w:val="en-US"/>
        </w:rPr>
        <w:t xml:space="preserve">11.</w:t>
      </w:r>
      <w:r>
        <w:rPr>
          <w:highlight w:val="none"/>
        </w:rPr>
        <w:t xml:space="preserve">我们已详细审核全部招标文件及其有效补充文件，我们放弃对招标文件任何误</w:t>
      </w:r>
      <w:r>
        <w:rPr>
          <w:spacing w:val="-7"/>
          <w:highlight w:val="none"/>
        </w:rPr>
        <w:t xml:space="preserve">解的权利，提交投标文件后，不对招标文件本身提出质疑。否则，属于不诚信和故意扰</w:t>
      </w:r>
      <w:r>
        <w:rPr>
          <w:highlight w:val="none"/>
        </w:rPr>
        <w:t xml:space="preserve">乱政府采购活动行为，我们将无条件接受处罚。</w:t>
      </w:r>
      <w:r/>
    </w:p>
    <w:p>
      <w:pPr>
        <w:pStyle w:val="1091"/>
        <w:rPr>
          <w:highlight w:val="none"/>
        </w:rPr>
      </w:pPr>
      <w:r>
        <w:rPr>
          <w:highlight w:val="none"/>
          <w:lang w:val="en-US"/>
        </w:rPr>
        <w:t xml:space="preserve">12.</w:t>
      </w:r>
      <w:r>
        <w:rPr>
          <w:highlight w:val="none"/>
        </w:rPr>
        <w:t xml:space="preserve">我们同意从规定的开标日期起遵循本投标文件，并在规定的投标有效期期满之前均具有约束力。</w:t>
      </w:r>
      <w:r/>
    </w:p>
    <w:p>
      <w:pPr>
        <w:pStyle w:val="1091"/>
        <w:rPr>
          <w:highlight w:val="none"/>
        </w:rPr>
      </w:pPr>
      <w:r>
        <w:rPr>
          <w:highlight w:val="none"/>
          <w:lang w:val="en-US"/>
        </w:rPr>
        <w:t xml:space="preserve">13</w:t>
      </w:r>
      <w:r>
        <w:rPr>
          <w:highlight w:val="none"/>
        </w:rPr>
        <w:t xml:space="preserve">.投标截止时间结束后参加投标的投标人不足三家的，或在评标期间出现符合专</w:t>
      </w:r>
      <w:r>
        <w:rPr>
          <w:spacing w:val="-3"/>
          <w:highlight w:val="none"/>
        </w:rPr>
        <w:t xml:space="preserve">业条件的投标人或者对招标文件作出实质响应的投标人不足三家情形的，我们酌情决定</w:t>
      </w:r>
      <w:r>
        <w:rPr>
          <w:highlight w:val="none"/>
        </w:rPr>
        <w:t xml:space="preserve">是否参加当场变更的竞争性谈判或单一来源方式采购。</w:t>
      </w:r>
      <w:r/>
    </w:p>
    <w:p>
      <w:pPr>
        <w:pStyle w:val="1091"/>
        <w:rPr>
          <w:highlight w:val="none"/>
        </w:rPr>
      </w:pPr>
      <w:r>
        <w:rPr>
          <w:highlight w:val="none"/>
          <w:lang w:val="en-US"/>
        </w:rPr>
        <w:t xml:space="preserve">14.</w:t>
      </w:r>
      <w:r>
        <w:rPr>
          <w:highlight w:val="none"/>
        </w:rPr>
        <w:t xml:space="preserve">一旦我方中标，我方将根据招标文件的规定严格履行合同，并保证于承诺的时间完成服务的启动/集成、调试等工作，交付采购人验收、使用。</w:t>
      </w:r>
      <w:r/>
    </w:p>
    <w:p>
      <w:pPr>
        <w:pStyle w:val="1091"/>
        <w:rPr>
          <w:highlight w:val="none"/>
        </w:rPr>
      </w:pPr>
      <w:r>
        <w:rPr>
          <w:highlight w:val="none"/>
          <w:lang w:val="en-US"/>
        </w:rPr>
        <w:t xml:space="preserve">15</w:t>
      </w:r>
      <w:r>
        <w:rPr>
          <w:spacing w:val="-7"/>
          <w:highlight w:val="none"/>
          <w:lang w:val="en-US"/>
        </w:rPr>
        <w:t xml:space="preserve">.</w:t>
      </w:r>
      <w:r>
        <w:rPr>
          <w:spacing w:val="-7"/>
          <w:highlight w:val="none"/>
        </w:rPr>
        <w:t xml:space="preserve">我方决不提供虚假材料谋取中标、决不采取不正当手段诋毁、排挤其他投标人、</w:t>
      </w:r>
      <w:r>
        <w:rPr>
          <w:spacing w:val="-5"/>
          <w:highlight w:val="none"/>
        </w:rPr>
        <w:t xml:space="preserve">决不与采购人、其它投标人或者</w:t>
      </w:r>
      <w:r>
        <w:rPr>
          <w:highlight w:val="none"/>
          <w:lang w:val="en-US"/>
        </w:rPr>
        <w:t xml:space="preserve">采购代理机构</w:t>
      </w:r>
      <w:r>
        <w:rPr>
          <w:spacing w:val="-5"/>
          <w:highlight w:val="none"/>
        </w:rPr>
        <w:t xml:space="preserve">恶意串通、决不向采购人、</w:t>
      </w:r>
      <w:r>
        <w:rPr>
          <w:highlight w:val="none"/>
          <w:lang w:val="en-US"/>
        </w:rPr>
        <w:t xml:space="preserve">采购代理机构</w:t>
      </w:r>
      <w:r>
        <w:rPr>
          <w:highlight w:val="none"/>
        </w:rPr>
        <w:t xml:space="preserve">工作人员和评委进行商业贿赂、决不在采购过程中与采购人进行协商谈判、决不拒绝有关部门监督检查或提供虚假情况，如有违反，无条件接受贵方及相关管理部门的处罚。</w:t>
      </w:r>
      <w:r/>
    </w:p>
    <w:p>
      <w:pPr>
        <w:pStyle w:val="1091"/>
        <w:rPr>
          <w:highlight w:val="none"/>
        </w:rPr>
      </w:pPr>
      <w:r>
        <w:rPr>
          <w:highlight w:val="none"/>
          <w:lang w:val="en-US"/>
        </w:rPr>
        <w:t xml:space="preserve">16.</w:t>
      </w:r>
      <w:r>
        <w:rPr>
          <w:highlight w:val="none"/>
        </w:rPr>
        <w:t xml:space="preserve">与本投标有关的正式联系方式为：</w:t>
      </w:r>
      <w:r/>
    </w:p>
    <w:p>
      <w:pPr>
        <w:pStyle w:val="1091"/>
        <w:rPr>
          <w:highlight w:val="none"/>
          <w:lang w:val="en-US"/>
        </w:rPr>
      </w:pPr>
      <w:r>
        <w:rPr>
          <w:highlight w:val="none"/>
        </w:rPr>
        <w:t xml:space="preserve">地</w:t>
      </w:r>
      <w:r>
        <w:rPr>
          <w:spacing w:val="-1"/>
          <w:highlight w:val="none"/>
        </w:rPr>
        <w:t xml:space="preserve">址</w:t>
      </w:r>
      <w:r>
        <w:rPr>
          <w:highlight w:val="none"/>
        </w:rPr>
        <w:t xml:space="preserve">：</w:t>
      </w:r>
      <w:r>
        <w:rPr>
          <w:highlight w:val="none"/>
          <w:u w:val="single"/>
        </w:rPr>
        <w:tab/>
      </w:r>
      <w:r>
        <w:rPr>
          <w:highlight w:val="none"/>
          <w:lang w:val="en-US"/>
        </w:rPr>
        <w:t xml:space="preserve">                          </w:t>
      </w:r>
      <w:r/>
    </w:p>
    <w:p>
      <w:pPr>
        <w:pStyle w:val="1091"/>
        <w:rPr>
          <w:highlight w:val="none"/>
          <w:lang w:val="en-US"/>
        </w:rPr>
      </w:pPr>
      <w:r>
        <w:rPr>
          <w:highlight w:val="none"/>
        </w:rPr>
        <w:t xml:space="preserve">电话：</w:t>
      </w:r>
      <w:r>
        <w:rPr>
          <w:highlight w:val="none"/>
          <w:u w:val="single"/>
        </w:rPr>
        <w:tab/>
      </w:r>
      <w:r>
        <w:rPr>
          <w:highlight w:val="none"/>
        </w:rPr>
        <w:t xml:space="preserve"> </w:t>
      </w:r>
      <w:r>
        <w:rPr>
          <w:highlight w:val="none"/>
          <w:lang w:val="en-US"/>
        </w:rPr>
        <w:t xml:space="preserve">                         </w:t>
      </w:r>
      <w:r/>
    </w:p>
    <w:p>
      <w:pPr>
        <w:pStyle w:val="1091"/>
        <w:rPr>
          <w:highlight w:val="none"/>
          <w:lang w:val="en-US"/>
        </w:rPr>
      </w:pPr>
      <w:r>
        <w:rPr>
          <w:highlight w:val="none"/>
          <w:lang w:val="en-US"/>
        </w:rPr>
        <w:t xml:space="preserve">17、我方正式开户银行和帐号为：</w:t>
      </w:r>
      <w:r/>
    </w:p>
    <w:p>
      <w:pPr>
        <w:pStyle w:val="1091"/>
        <w:ind w:firstLine="562"/>
        <w:rPr>
          <w:highlight w:val="none"/>
          <w:lang w:val="en-US"/>
        </w:rPr>
      </w:pPr>
      <w:r>
        <w:rPr>
          <w:spacing w:val="-1"/>
          <w:highlight w:val="none"/>
        </w:rPr>
        <w:t xml:space="preserve">开</w:t>
      </w:r>
      <w:r>
        <w:rPr>
          <w:highlight w:val="none"/>
        </w:rPr>
        <w:t xml:space="preserve">户银行：</w:t>
      </w:r>
      <w:r>
        <w:rPr>
          <w:highlight w:val="none"/>
          <w:u w:val="single"/>
        </w:rPr>
        <w:tab/>
      </w:r>
      <w:r>
        <w:rPr>
          <w:highlight w:val="none"/>
        </w:rPr>
        <w:t xml:space="preserve"> </w:t>
      </w:r>
      <w:r>
        <w:rPr>
          <w:highlight w:val="none"/>
          <w:lang w:val="en-US"/>
        </w:rPr>
        <w:t xml:space="preserve">                          </w:t>
      </w:r>
      <w:r/>
    </w:p>
    <w:p>
      <w:pPr>
        <w:pStyle w:val="1091"/>
        <w:rPr>
          <w:spacing w:val="38"/>
          <w:highlight w:val="none"/>
        </w:rPr>
      </w:pPr>
      <w:r>
        <w:rPr>
          <w:highlight w:val="none"/>
        </w:rPr>
        <w:t xml:space="preserve">银行账号：</w:t>
      </w:r>
      <w:r>
        <w:rPr>
          <w:highlight w:val="none"/>
          <w:u w:val="single"/>
        </w:rPr>
        <w:tab/>
      </w:r>
      <w:r>
        <w:rPr>
          <w:highlight w:val="none"/>
          <w:lang w:val="en-US"/>
        </w:rPr>
        <w:t xml:space="preserve">    </w:t>
      </w:r>
      <w:r>
        <w:rPr>
          <w:highlight w:val="none"/>
        </w:rPr>
        <w:t xml:space="preserve">                       </w:t>
      </w:r>
      <w:r/>
    </w:p>
    <w:p>
      <w:pPr>
        <w:pStyle w:val="1091"/>
        <w:rPr>
          <w:spacing w:val="-17"/>
          <w:highlight w:val="none"/>
        </w:rPr>
      </w:pPr>
      <w:r>
        <w:rPr>
          <w:highlight w:val="none"/>
        </w:rPr>
        <w:t xml:space="preserve">投标人名称：</w:t>
      </w:r>
      <w:r>
        <w:rPr>
          <w:highlight w:val="none"/>
          <w:u w:val="single"/>
        </w:rPr>
        <w:t xml:space="preserve"> </w:t>
      </w:r>
      <w:r>
        <w:rPr>
          <w:highlight w:val="none"/>
          <w:u w:val="single"/>
        </w:rPr>
        <w:tab/>
      </w:r>
      <w:r>
        <w:rPr>
          <w:highlight w:val="none"/>
          <w:u w:val="single"/>
        </w:rPr>
        <w:tab/>
      </w:r>
      <w:r>
        <w:rPr>
          <w:highlight w:val="none"/>
        </w:rPr>
        <w:t xml:space="preserve">（盖章</w:t>
      </w:r>
      <w:r>
        <w:rPr>
          <w:spacing w:val="-17"/>
          <w:highlight w:val="none"/>
        </w:rPr>
        <w:t xml:space="preserve">） </w:t>
      </w:r>
      <w:r/>
    </w:p>
    <w:p>
      <w:pPr>
        <w:pStyle w:val="1091"/>
        <w:rPr>
          <w:highlight w:val="none"/>
        </w:rPr>
      </w:pPr>
      <w:r>
        <w:rPr>
          <w:highlight w:val="none"/>
        </w:rPr>
        <w:t xml:space="preserve">日期： </w:t>
      </w:r>
      <w:r>
        <w:rPr>
          <w:highlight w:val="none"/>
          <w:lang w:val="en-US"/>
        </w:rPr>
        <w:t xml:space="preserve">           </w:t>
      </w:r>
      <w:r>
        <w:rPr>
          <w:highlight w:val="none"/>
        </w:rPr>
        <w:t xml:space="preserve">年 </w:t>
      </w:r>
      <w:r>
        <w:rPr>
          <w:highlight w:val="none"/>
          <w:lang w:val="en-US"/>
        </w:rPr>
        <w:t xml:space="preserve">          </w:t>
      </w:r>
      <w:r>
        <w:rPr>
          <w:highlight w:val="none"/>
        </w:rPr>
        <w:t xml:space="preserve">月 </w:t>
      </w:r>
      <w:r>
        <w:rPr>
          <w:highlight w:val="none"/>
        </w:rPr>
        <w:tab/>
      </w:r>
      <w:r>
        <w:rPr>
          <w:highlight w:val="none"/>
        </w:rPr>
        <w:t xml:space="preserve">日</w:t>
      </w:r>
      <w:r/>
    </w:p>
    <w:p>
      <w:pPr>
        <w:ind w:firstLine="480"/>
        <w:jc w:val="both"/>
        <w:spacing w:line="560" w:lineRule="exact"/>
        <w:rPr>
          <w:rFonts w:cs="Times New Roman"/>
          <w:sz w:val="24"/>
          <w:szCs w:val="24"/>
          <w:highlight w:val="none"/>
        </w:rPr>
        <w:sectPr>
          <w:footnotePr/>
          <w:endnotePr/>
          <w:type w:val="nextPage"/>
          <w:pgSz w:w="11910" w:h="16840" w:orient="portrait"/>
          <w:pgMar w:top="1440" w:right="800" w:bottom="920" w:left="800" w:header="492" w:footer="726" w:gutter="0"/>
          <w:cols w:num="1" w:sep="0" w:space="720" w:equalWidth="1"/>
          <w:docGrid w:linePitch="360"/>
        </w:sectPr>
      </w:pPr>
      <w:r>
        <w:rPr>
          <w:rFonts w:cs="Times New Roman"/>
          <w:sz w:val="24"/>
          <w:szCs w:val="24"/>
          <w:highlight w:val="none"/>
        </w:rPr>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5.2、法定代表人授权委托书及委托代理人的身份证明文件</w:t>
      </w:r>
      <w:r/>
    </w:p>
    <w:p>
      <w:pPr>
        <w:ind w:firstLine="643"/>
        <w:jc w:val="center"/>
        <w:spacing w:line="560" w:lineRule="exact"/>
        <w:rPr>
          <w:rFonts w:ascii="Times New Roman" w:hAnsi="Times New Roman" w:cs="Times New Roman"/>
          <w:b/>
          <w:sz w:val="32"/>
          <w:szCs w:val="32"/>
          <w:highlight w:val="none"/>
        </w:rPr>
      </w:pPr>
      <w:r>
        <w:rPr>
          <w:rFonts w:ascii="Times New Roman" w:hAnsi="Times New Roman" w:cs="Times New Roman"/>
          <w:b/>
          <w:bCs/>
          <w:sz w:val="32"/>
          <w:szCs w:val="32"/>
          <w:highlight w:val="none"/>
        </w:rPr>
        <w:t xml:space="preserve">法定代表人授权委托书</w:t>
      </w:r>
      <w:r/>
    </w:p>
    <w:p>
      <w:pPr>
        <w:ind w:firstLine="480"/>
        <w:jc w:val="both"/>
        <w:spacing w:line="560" w:lineRule="exact"/>
        <w:shd w:val="clear" w:color="auto" w:fill="ffffff"/>
        <w:widowControl/>
        <w:rPr>
          <w:rFonts w:cs="Times New Roman"/>
          <w:bCs/>
          <w:sz w:val="24"/>
          <w:szCs w:val="24"/>
          <w:highlight w:val="none"/>
          <w:lang w:val="en-US" w:bidi="ar-SA"/>
        </w:rPr>
      </w:pPr>
      <w:r>
        <w:rPr>
          <w:rFonts w:cs="Times New Roman"/>
          <w:sz w:val="24"/>
          <w:szCs w:val="24"/>
          <w:highlight w:val="none"/>
          <w:lang w:bidi="ar-SA"/>
        </w:rPr>
        <w:t xml:space="preserve">致：南京市鼓楼生态环境局</w:t>
      </w:r>
      <w:r>
        <w:rPr>
          <w:rFonts w:cs="Times New Roman"/>
          <w:sz w:val="24"/>
          <w:szCs w:val="24"/>
          <w:highlight w:val="none"/>
          <w:lang w:val="en-US" w:bidi="ar-SA"/>
        </w:rPr>
        <w:t xml:space="preserve">(采购人)</w:t>
      </w:r>
      <w:r/>
    </w:p>
    <w:p>
      <w:pPr>
        <w:pStyle w:val="1094"/>
        <w:ind w:left="0" w:firstLine="480"/>
        <w:jc w:val="both"/>
        <w:spacing w:line="560" w:lineRule="exact"/>
        <w:rPr>
          <w:rFonts w:cs="Times New Roman"/>
          <w:sz w:val="24"/>
          <w:szCs w:val="24"/>
          <w:highlight w:val="none"/>
        </w:rPr>
      </w:pPr>
      <w:r>
        <w:rPr>
          <w:rFonts w:cs="Times New Roman"/>
          <w:sz w:val="24"/>
          <w:szCs w:val="24"/>
          <w:highlight w:val="none"/>
          <w:lang w:val="en-US"/>
        </w:rPr>
        <w:t xml:space="preserve">江苏金永诚建设投资管理咨询有限公司</w:t>
      </w:r>
      <w:r/>
    </w:p>
    <w:p>
      <w:pPr>
        <w:pStyle w:val="1091"/>
        <w:rPr>
          <w:highlight w:val="none"/>
        </w:rPr>
      </w:pPr>
      <w:r>
        <w:rPr>
          <w:highlight w:val="none"/>
        </w:rPr>
        <w:t xml:space="preserve">本授权书声明：注册于</w:t>
      </w:r>
      <w:r>
        <w:rPr>
          <w:highlight w:val="none"/>
          <w:u w:val="single"/>
        </w:rPr>
        <w:t xml:space="preserve"> </w:t>
      </w:r>
      <w:r>
        <w:rPr>
          <w:highlight w:val="none"/>
          <w:u w:val="single"/>
        </w:rPr>
        <w:tab/>
      </w:r>
      <w:r>
        <w:rPr>
          <w:highlight w:val="none"/>
          <w:lang w:val="en-US"/>
        </w:rPr>
        <w:t xml:space="preserve">(</w:t>
      </w:r>
      <w:r>
        <w:rPr>
          <w:highlight w:val="none"/>
        </w:rPr>
        <w:t xml:space="preserve">投标人住址</w:t>
      </w:r>
      <w:r>
        <w:rPr>
          <w:spacing w:val="-17"/>
          <w:highlight w:val="none"/>
          <w:lang w:val="en-US"/>
        </w:rPr>
        <w:t xml:space="preserve">)</w:t>
      </w:r>
      <w:r>
        <w:rPr>
          <w:highlight w:val="none"/>
        </w:rPr>
        <w:t xml:space="preserve">的</w:t>
      </w:r>
      <w:r>
        <w:rPr>
          <w:highlight w:val="none"/>
          <w:u w:val="single"/>
        </w:rPr>
        <w:t xml:space="preserve"> </w:t>
      </w:r>
      <w:r>
        <w:rPr>
          <w:highlight w:val="none"/>
          <w:u w:val="single"/>
        </w:rPr>
        <w:tab/>
      </w:r>
      <w:r>
        <w:rPr>
          <w:highlight w:val="none"/>
          <w:u w:val="single"/>
          <w:lang w:val="en-US"/>
        </w:rPr>
        <w:t xml:space="preserve">                </w:t>
      </w:r>
      <w:r>
        <w:rPr>
          <w:highlight w:val="none"/>
          <w:lang w:val="en-US"/>
        </w:rPr>
        <w:t xml:space="preserve">(</w:t>
      </w:r>
      <w:r>
        <w:rPr>
          <w:highlight w:val="none"/>
        </w:rPr>
        <w:t xml:space="preserve">投标人名称</w:t>
      </w:r>
      <w:r>
        <w:rPr>
          <w:highlight w:val="none"/>
          <w:lang w:val="en-US"/>
        </w:rPr>
        <w:t xml:space="preserve">)</w:t>
      </w:r>
      <w:r>
        <w:rPr>
          <w:highlight w:val="none"/>
        </w:rPr>
        <w:t xml:space="preserve">法定代表人</w:t>
      </w:r>
      <w:r>
        <w:rPr>
          <w:highlight w:val="none"/>
          <w:u w:val="single"/>
        </w:rPr>
        <w:t xml:space="preserve"> </w:t>
      </w:r>
      <w:r>
        <w:rPr>
          <w:highlight w:val="none"/>
          <w:u w:val="single"/>
        </w:rPr>
        <w:tab/>
      </w:r>
      <w:r>
        <w:rPr>
          <w:highlight w:val="none"/>
        </w:rPr>
        <w:t xml:space="preserve">（法定代表人姓名、职务）代表本公司授权</w:t>
      </w:r>
      <w:r>
        <w:rPr>
          <w:highlight w:val="none"/>
          <w:u w:val="single"/>
          <w:lang w:val="en-US"/>
        </w:rPr>
        <w:t xml:space="preserve">                  </w:t>
      </w:r>
      <w:r>
        <w:rPr>
          <w:spacing w:val="-3"/>
          <w:highlight w:val="none"/>
        </w:rPr>
        <w:t xml:space="preserve">（</w:t>
      </w:r>
      <w:r>
        <w:rPr>
          <w:highlight w:val="none"/>
        </w:rPr>
        <w:t xml:space="preserve">投标人代表姓名</w:t>
      </w:r>
      <w:r>
        <w:rPr>
          <w:spacing w:val="-12"/>
          <w:highlight w:val="none"/>
        </w:rPr>
        <w:t xml:space="preserve">、</w:t>
      </w:r>
      <w:r>
        <w:rPr>
          <w:highlight w:val="none"/>
        </w:rPr>
        <w:t xml:space="preserve">职务</w:t>
      </w:r>
      <w:r>
        <w:rPr>
          <w:spacing w:val="-12"/>
          <w:highlight w:val="none"/>
        </w:rPr>
        <w:t xml:space="preserve">）</w:t>
      </w:r>
      <w:r>
        <w:rPr>
          <w:highlight w:val="none"/>
        </w:rPr>
        <w:t xml:space="preserve">为本公司的合法代理人</w:t>
      </w:r>
      <w:r>
        <w:rPr>
          <w:spacing w:val="-12"/>
          <w:highlight w:val="none"/>
        </w:rPr>
        <w:t xml:space="preserve">，</w:t>
      </w:r>
      <w:r>
        <w:rPr>
          <w:highlight w:val="none"/>
        </w:rPr>
        <w:t xml:space="preserve">就贵方组织的</w:t>
      </w:r>
      <w:r>
        <w:rPr>
          <w:b/>
          <w:bCs/>
          <w:highlight w:val="none"/>
          <w:u w:val="single"/>
        </w:rPr>
        <w:t xml:space="preserve">  </w:t>
      </w:r>
      <w:r>
        <w:rPr>
          <w:b/>
          <w:bCs/>
          <w:highlight w:val="none"/>
          <w:u w:val="single"/>
          <w:lang w:val="en-US"/>
        </w:rPr>
        <w:t xml:space="preserve">            </w:t>
      </w:r>
      <w:r>
        <w:rPr>
          <w:highlight w:val="none"/>
          <w:lang w:val="en-US"/>
        </w:rPr>
        <w:t xml:space="preserve">(</w:t>
      </w:r>
      <w:r>
        <w:rPr>
          <w:highlight w:val="none"/>
        </w:rPr>
        <w:t xml:space="preserve">项目名称</w:t>
      </w:r>
      <w:r>
        <w:rPr>
          <w:highlight w:val="none"/>
          <w:lang w:val="en-US"/>
        </w:rPr>
        <w:t xml:space="preserve">)</w:t>
      </w:r>
      <w:r>
        <w:rPr>
          <w:highlight w:val="none"/>
          <w:u w:val="single"/>
          <w:lang w:val="en-US"/>
        </w:rPr>
        <w:t xml:space="preserve">         </w:t>
      </w:r>
      <w:r>
        <w:rPr>
          <w:highlight w:val="none"/>
        </w:rPr>
        <w:t xml:space="preserve">（项目编号）进行投标，以本公司名义处理一切与之有关的事务。</w:t>
      </w:r>
      <w:r/>
    </w:p>
    <w:p>
      <w:pPr>
        <w:ind w:firstLine="480"/>
        <w:jc w:val="both"/>
        <w:spacing w:line="560" w:lineRule="exact"/>
        <w:widowControl/>
        <w:rPr>
          <w:rFonts w:cs="Times New Roman"/>
          <w:sz w:val="24"/>
          <w:szCs w:val="24"/>
          <w:highlight w:val="none"/>
        </w:rPr>
      </w:pPr>
      <w:r>
        <w:rPr>
          <w:rFonts w:cs="Times New Roman"/>
          <w:sz w:val="24"/>
          <w:szCs w:val="24"/>
          <w:highlight w:val="none"/>
        </w:rPr>
        <w:t xml:space="preserve">特此声明！</w:t>
      </w:r>
      <w:r/>
    </w:p>
    <w:p>
      <w:pPr>
        <w:ind w:firstLine="480"/>
        <w:jc w:val="both"/>
        <w:spacing w:line="560" w:lineRule="exact"/>
        <w:widowControl/>
        <w:rPr>
          <w:rFonts w:cs="Times New Roman"/>
          <w:sz w:val="24"/>
          <w:szCs w:val="24"/>
          <w:highlight w:val="none"/>
          <w:u w:val="single"/>
        </w:rPr>
      </w:pPr>
      <w:r>
        <w:rPr>
          <w:rFonts w:cs="Times New Roman"/>
          <w:sz w:val="24"/>
          <w:szCs w:val="24"/>
          <w:highlight w:val="none"/>
        </w:rPr>
        <w:t xml:space="preserve">法定代表人签字</w:t>
      </w:r>
      <w:r>
        <w:rPr>
          <w:rFonts w:cs="Times New Roman"/>
          <w:sz w:val="24"/>
          <w:szCs w:val="24"/>
          <w:highlight w:val="none"/>
          <w:lang w:val="en-US"/>
        </w:rPr>
        <w:t xml:space="preserve">或签章</w:t>
      </w:r>
      <w:r>
        <w:rPr>
          <w:rFonts w:cs="Times New Roman"/>
          <w:sz w:val="24"/>
          <w:szCs w:val="24"/>
          <w:highlight w:val="none"/>
        </w:rPr>
        <w:t xml:space="preserve">：</w:t>
      </w:r>
      <w:r>
        <w:rPr>
          <w:rFonts w:cs="Times New Roman"/>
          <w:sz w:val="24"/>
          <w:szCs w:val="24"/>
          <w:highlight w:val="none"/>
          <w:u w:val="single"/>
          <w:lang w:val="en-US"/>
        </w:rPr>
        <w:t xml:space="preserve">                </w:t>
      </w:r>
      <w:bookmarkStart w:id="69" w:name="_GoBack"/>
      <w:r/>
      <w:bookmarkEnd w:id="69"/>
      <w:r/>
      <w:r/>
    </w:p>
    <w:p>
      <w:pPr>
        <w:ind w:firstLine="480"/>
        <w:jc w:val="both"/>
        <w:spacing w:line="560" w:lineRule="exact"/>
        <w:widowControl/>
        <w:rPr>
          <w:rFonts w:cs="Times New Roman"/>
          <w:sz w:val="24"/>
          <w:szCs w:val="24"/>
          <w:highlight w:val="none"/>
          <w:u w:val="single"/>
        </w:rPr>
      </w:pPr>
      <w:r>
        <w:rPr>
          <w:rFonts w:cs="Times New Roman"/>
          <w:sz w:val="24"/>
          <w:szCs w:val="24"/>
          <w:highlight w:val="none"/>
          <w:lang w:val="en-US"/>
        </w:rPr>
        <w:t xml:space="preserve">投标人</w:t>
      </w:r>
      <w:r>
        <w:rPr>
          <w:rFonts w:cs="Times New Roman"/>
          <w:sz w:val="24"/>
          <w:szCs w:val="24"/>
          <w:highlight w:val="none"/>
        </w:rPr>
        <w:t xml:space="preserve">名称（公章）：</w:t>
      </w:r>
      <w:r>
        <w:rPr>
          <w:rFonts w:cs="Times New Roman"/>
          <w:sz w:val="24"/>
          <w:szCs w:val="24"/>
          <w:highlight w:val="none"/>
          <w:u w:val="single"/>
        </w:rPr>
        <w:t xml:space="preserve">                 </w:t>
      </w:r>
      <w:r/>
    </w:p>
    <w:p>
      <w:pPr>
        <w:pStyle w:val="1091"/>
        <w:rPr>
          <w:highlight w:val="none"/>
        </w:rPr>
      </w:pPr>
      <w:r>
        <w:rPr>
          <w:highlight w:val="none"/>
        </w:rPr>
        <w:t xml:space="preserve">日     </w:t>
      </w:r>
      <w:r>
        <w:rPr>
          <w:highlight w:val="none"/>
          <w:lang w:val="en-US"/>
        </w:rPr>
        <w:t xml:space="preserve">  </w:t>
      </w:r>
      <w:r>
        <w:rPr>
          <w:highlight w:val="none"/>
        </w:rPr>
        <w:t xml:space="preserve">   期：        年    月    日</w:t>
      </w:r>
      <w:r/>
    </w:p>
    <w:p>
      <w:pPr>
        <w:pStyle w:val="1091"/>
        <w:rPr>
          <w:highlight w:val="none"/>
        </w:rPr>
      </w:pPr>
      <w:r>
        <w:rPr>
          <w:highlight w:val="none"/>
        </w:rPr>
      </w:r>
      <w:r/>
    </w:p>
    <w:tbl>
      <w:tblPr>
        <w:tblStyle w:val="1090"/>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0"/>
      </w:tblGrid>
      <w:tr>
        <w:trPr>
          <w:jc w:val="center"/>
          <w:trHeight w:val="6582"/>
        </w:trPr>
        <w:tc>
          <w:tcPr>
            <w:tcW w:w="9620" w:type="dxa"/>
            <w:textDirection w:val="lrTb"/>
            <w:noWrap w:val="false"/>
          </w:tcPr>
          <w:p>
            <w:pPr>
              <w:ind w:firstLine="480"/>
              <w:jc w:val="both"/>
              <w:spacing w:line="560" w:lineRule="exact"/>
              <w:rPr>
                <w:rFonts w:ascii="Times New Roman" w:hAnsi="Times New Roman" w:cs="Times New Roman"/>
                <w:sz w:val="21"/>
                <w:szCs w:val="21"/>
                <w:highlight w:val="none"/>
              </w:rPr>
            </w:pPr>
            <w:r>
              <w:rPr>
                <w:rFonts w:ascii="Times New Roman" w:hAnsi="Times New Roman" w:cs="Times New Roman"/>
                <w:sz w:val="24"/>
                <w:szCs w:val="21"/>
                <w:highlight w:val="none"/>
                <w:lang w:val="en-US"/>
              </w:rPr>
              <w:t xml:space="preserve">委托代理人</w:t>
            </w:r>
            <w:r>
              <w:rPr>
                <w:rFonts w:ascii="Times New Roman" w:hAnsi="Times New Roman" w:cs="Times New Roman"/>
                <w:sz w:val="24"/>
                <w:szCs w:val="21"/>
                <w:highlight w:val="none"/>
              </w:rPr>
              <w:t xml:space="preserve">身份证</w:t>
            </w:r>
            <w:r/>
          </w:p>
        </w:tc>
      </w:tr>
    </w:tbl>
    <w:p>
      <w:pPr>
        <w:ind w:firstLine="420"/>
        <w:jc w:val="both"/>
        <w:spacing w:line="560" w:lineRule="exact"/>
        <w:rPr>
          <w:rFonts w:ascii="Times New Roman" w:hAnsi="Times New Roman" w:cs="Times New Roman"/>
          <w:sz w:val="21"/>
          <w:szCs w:val="21"/>
          <w:highlight w:val="none"/>
        </w:rPr>
        <w:sectPr>
          <w:footnotePr/>
          <w:endnotePr/>
          <w:type w:val="nextPage"/>
          <w:pgSz w:w="11910" w:h="16840" w:orient="portrait"/>
          <w:pgMar w:top="1440" w:right="800" w:bottom="920" w:left="800" w:header="492" w:footer="726" w:gutter="0"/>
          <w:cols w:num="1" w:sep="0" w:space="720" w:equalWidth="1"/>
          <w:docGrid w:linePitch="360"/>
        </w:sectPr>
      </w:pPr>
      <w:r>
        <w:rPr>
          <w:rFonts w:ascii="Times New Roman" w:hAnsi="Times New Roman" w:cs="Times New Roman"/>
          <w:sz w:val="21"/>
          <w:szCs w:val="21"/>
          <w:highlight w:val="none"/>
        </w:rPr>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5.3、第一章招标公告中“1.满足《中华人民共和国政府采购法》第二十二条规定”的证明文件</w:t>
      </w:r>
      <w:r/>
    </w:p>
    <w:p>
      <w:pPr>
        <w:pStyle w:val="1117"/>
        <w:rPr>
          <w:highlight w:val="none"/>
        </w:rPr>
      </w:pPr>
      <w:r>
        <w:rPr>
          <w:highlight w:val="none"/>
        </w:rPr>
        <w:t xml:space="preserve">一、具有独立承担民事责任的能力：</w:t>
      </w:r>
      <w:r/>
    </w:p>
    <w:p>
      <w:pPr>
        <w:pStyle w:val="1091"/>
        <w:rPr>
          <w:highlight w:val="none"/>
        </w:rPr>
      </w:pPr>
      <w:r>
        <w:rPr>
          <w:highlight w:val="none"/>
        </w:rPr>
        <w:t xml:space="preserve">1、如投标人是企业（包括合作企业）的，应提供在工商部门注册的有效“企业法</w:t>
      </w:r>
      <w:r>
        <w:rPr>
          <w:spacing w:val="-5"/>
          <w:highlight w:val="none"/>
        </w:rPr>
        <w:t xml:space="preserve">人营业执照”或“营业执照”</w:t>
      </w:r>
      <w:r>
        <w:rPr>
          <w:highlight w:val="none"/>
        </w:rPr>
        <w:t xml:space="preserve">；</w:t>
      </w:r>
      <w:r/>
    </w:p>
    <w:p>
      <w:pPr>
        <w:pStyle w:val="1091"/>
        <w:rPr>
          <w:highlight w:val="none"/>
        </w:rPr>
      </w:pPr>
      <w:r>
        <w:rPr>
          <w:highlight w:val="none"/>
        </w:rPr>
        <w:t xml:space="preserve">2、如投标人是事业单位的，应提供有效的“事业单位法人证书”；</w:t>
      </w:r>
      <w:r/>
    </w:p>
    <w:p>
      <w:pPr>
        <w:pStyle w:val="1091"/>
        <w:rPr>
          <w:highlight w:val="none"/>
        </w:rPr>
      </w:pPr>
      <w:r>
        <w:rPr>
          <w:highlight w:val="none"/>
        </w:rPr>
        <w:t xml:space="preserve">3、如投标人是非企业专业服务机构的，应提供有效的执业许可证等证明文件；</w:t>
      </w:r>
      <w:r/>
    </w:p>
    <w:p>
      <w:pPr>
        <w:pStyle w:val="1091"/>
        <w:rPr>
          <w:highlight w:val="none"/>
        </w:rPr>
      </w:pPr>
      <w:r>
        <w:rPr>
          <w:highlight w:val="none"/>
        </w:rPr>
        <w:t xml:space="preserve">4、如投标人是个体工商户的，应提供有效的“个体工商户营业执照”；</w:t>
      </w:r>
      <w:r/>
    </w:p>
    <w:p>
      <w:pPr>
        <w:pStyle w:val="1091"/>
        <w:rPr>
          <w:highlight w:val="none"/>
        </w:rPr>
      </w:pPr>
      <w:r>
        <w:rPr>
          <w:highlight w:val="none"/>
        </w:rPr>
        <w:t xml:space="preserve">5、如投标人是自然人的，应提供有效的自然人身份证明。</w:t>
      </w:r>
      <w:r/>
    </w:p>
    <w:p>
      <w:pPr>
        <w:pStyle w:val="1117"/>
        <w:rPr>
          <w:rFonts w:ascii="Times New Roman" w:hAnsi="Times New Roman"/>
          <w:b w:val="0"/>
          <w:bCs/>
          <w:sz w:val="21"/>
          <w:szCs w:val="21"/>
          <w:highlight w:val="none"/>
        </w:rPr>
      </w:pPr>
      <w:r>
        <w:rPr>
          <w:highlight w:val="none"/>
        </w:rPr>
        <w:t xml:space="preserve">二、南京市政府采购供应商信用记录表暨信用承诺书</w:t>
      </w:r>
      <w:r/>
    </w:p>
    <w:p>
      <w:pPr>
        <w:pStyle w:val="1091"/>
        <w:rPr>
          <w:highlight w:val="none"/>
        </w:rPr>
      </w:pPr>
      <w:r>
        <w:rPr>
          <w:highlight w:val="none"/>
        </w:rPr>
        <w:t xml:space="preserve">属于以下情形，须按照下述要求提供证明材料，不得以信用承诺书替代：</w:t>
      </w:r>
      <w:r/>
    </w:p>
    <w:p>
      <w:pPr>
        <w:pStyle w:val="1091"/>
        <w:rPr>
          <w:highlight w:val="none"/>
        </w:rPr>
      </w:pPr>
      <w:r>
        <w:rPr>
          <w:highlight w:val="none"/>
        </w:rPr>
        <w:t xml:space="preserve">1、供应商被列入严重失信主体名单；</w:t>
      </w:r>
      <w:r/>
    </w:p>
    <w:p>
      <w:pPr>
        <w:pStyle w:val="1091"/>
        <w:rPr>
          <w:highlight w:val="none"/>
        </w:rPr>
      </w:pPr>
      <w:r>
        <w:rPr>
          <w:highlight w:val="none"/>
        </w:rPr>
        <w:t xml:space="preserve">2、被相关监管部门作出行政处罚且尚在处罚有效期内；</w:t>
      </w:r>
      <w:r/>
    </w:p>
    <w:p>
      <w:pPr>
        <w:pStyle w:val="1091"/>
        <w:rPr>
          <w:highlight w:val="none"/>
        </w:rPr>
      </w:pPr>
      <w:r>
        <w:rPr>
          <w:highlight w:val="none"/>
        </w:rPr>
        <w:t xml:space="preserve">3、其他法律、行政法规规定的不适用信用承诺的情形。</w:t>
      </w:r>
      <w:r/>
    </w:p>
    <w:p>
      <w:pPr>
        <w:pStyle w:val="1117"/>
        <w:rPr>
          <w:highlight w:val="none"/>
        </w:rPr>
      </w:pPr>
      <w:r>
        <w:rPr>
          <w:highlight w:val="none"/>
        </w:rPr>
        <w:t xml:space="preserve">（一）具有良好的商业信誉和健全的财务会计制度：</w:t>
      </w:r>
      <w:r/>
    </w:p>
    <w:p>
      <w:pPr>
        <w:pStyle w:val="1091"/>
        <w:rPr>
          <w:highlight w:val="none"/>
        </w:rPr>
      </w:pPr>
      <w:r>
        <w:rPr>
          <w:highlight w:val="none"/>
        </w:rPr>
        <w:t xml:space="preserve">1、健全的财务会计制度指投标人能够严格执行现行的财务会计管理制度，财务管理制度清晰，能够按规定真实、全面地反映企业的生产经营活动；</w:t>
      </w:r>
      <w:r/>
    </w:p>
    <w:p>
      <w:pPr>
        <w:pStyle w:val="1091"/>
        <w:rPr>
          <w:highlight w:val="none"/>
        </w:rPr>
      </w:pPr>
      <w:r>
        <w:rPr>
          <w:highlight w:val="none"/>
        </w:rPr>
        <w:t xml:space="preserve">2、依法作出的财务状况报告包括经审计的财务报告或银行出具的资信证明或会计报表（会计报表至少包括资产负债表、利润表、现金流量表，但属于《中小企业划型标准规定》的小企业（含小型、微型）编制的会计报表可以不包括现金流量表（须提供小微企业声明函或小微企业名录查询截图等材料））等，能够清晰反映投标人的商业信誉情况；</w:t>
      </w:r>
      <w:r/>
    </w:p>
    <w:p>
      <w:pPr>
        <w:pStyle w:val="1091"/>
        <w:rPr>
          <w:highlight w:val="none"/>
        </w:rPr>
      </w:pPr>
      <w:r>
        <w:rPr>
          <w:highlight w:val="none"/>
        </w:rPr>
        <w:t xml:space="preserve">3、投标人成立不满一个月或投标人提供金融机构或担保机构出具的保函则可以不需要提供其他财务状况报告。</w:t>
      </w:r>
      <w:r/>
    </w:p>
    <w:p>
      <w:pPr>
        <w:pStyle w:val="1117"/>
        <w:rPr>
          <w:rFonts w:ascii="Times New Roman" w:hAnsi="Times New Roman"/>
          <w:b w:val="0"/>
          <w:bCs/>
          <w:sz w:val="21"/>
          <w:szCs w:val="21"/>
          <w:highlight w:val="none"/>
        </w:rPr>
      </w:pPr>
      <w:r>
        <w:rPr>
          <w:highlight w:val="none"/>
        </w:rPr>
        <w:t xml:space="preserve">（二）具有履行合同所必需的设备和专业技术能力：</w:t>
      </w:r>
      <w:r/>
    </w:p>
    <w:p>
      <w:pPr>
        <w:pStyle w:val="1091"/>
        <w:rPr>
          <w:highlight w:val="none"/>
        </w:rPr>
      </w:pPr>
      <w:r>
        <w:rPr>
          <w:highlight w:val="none"/>
        </w:rPr>
        <w:t xml:space="preserve">1、根据项目需求提供履行合同所必需的设备和专业技术能力的证明材料；</w:t>
      </w:r>
      <w:r/>
    </w:p>
    <w:p>
      <w:pPr>
        <w:pStyle w:val="1091"/>
        <w:rPr>
          <w:highlight w:val="none"/>
        </w:rPr>
      </w:pPr>
      <w:r>
        <w:rPr>
          <w:highlight w:val="none"/>
        </w:rPr>
        <w:t xml:space="preserve">2、可提供与项目实施有关的相关设备购置或租赁票据，或者相关服务人员用工合同，也可以提供具有履行合同所必需的设备和专业技术能力承诺函（格式自拟并加盖公章）。</w:t>
      </w:r>
      <w:r/>
    </w:p>
    <w:p>
      <w:pPr>
        <w:pStyle w:val="1117"/>
        <w:rPr>
          <w:highlight w:val="none"/>
        </w:rPr>
      </w:pPr>
      <w:r>
        <w:rPr>
          <w:highlight w:val="none"/>
        </w:rPr>
        <w:t xml:space="preserve">（三）有依法缴纳税收和社会保障资金的良好记录：</w:t>
      </w:r>
      <w:r/>
    </w:p>
    <w:p>
      <w:pPr>
        <w:pStyle w:val="1091"/>
        <w:rPr>
          <w:highlight w:val="none"/>
        </w:rPr>
      </w:pPr>
      <w:r>
        <w:rPr>
          <w:highlight w:val="none"/>
        </w:rPr>
        <w:t xml:space="preserve">1、缴纳税收证明材料：投标人参加政府采购活动前一年（至少一个月）内缴纳增值税或营业税或企业所得税凭据；</w:t>
      </w:r>
      <w:r/>
    </w:p>
    <w:p>
      <w:pPr>
        <w:pStyle w:val="1091"/>
        <w:rPr>
          <w:highlight w:val="none"/>
        </w:rPr>
      </w:pPr>
      <w:r>
        <w:rPr>
          <w:highlight w:val="none"/>
        </w:rPr>
        <w:t xml:space="preserve">2、缴纳社会保障资金证明材料：投标人参加政府采购活动前一年（至少一个月）内缴纳社会保险的凭据（专用收据或社会保障缴纳清单）；</w:t>
      </w:r>
      <w:r/>
    </w:p>
    <w:p>
      <w:pPr>
        <w:pStyle w:val="1091"/>
        <w:rPr>
          <w:highlight w:val="none"/>
        </w:rPr>
      </w:pPr>
      <w:r>
        <w:rPr>
          <w:highlight w:val="none"/>
        </w:rPr>
        <w:t xml:space="preserve">3、依法免税或不需要缴纳社会保障资金的投标人应提供相关证明材料。</w:t>
      </w:r>
      <w:r/>
    </w:p>
    <w:p>
      <w:pPr>
        <w:pStyle w:val="1117"/>
        <w:rPr>
          <w:highlight w:val="none"/>
        </w:rPr>
      </w:pPr>
      <w:r>
        <w:rPr>
          <w:highlight w:val="none"/>
        </w:rPr>
        <w:t xml:space="preserve">（四）参加政府采购活动前三年内，在经营活动中没有重大违法记录</w:t>
      </w:r>
      <w:r/>
    </w:p>
    <w:p>
      <w:pPr>
        <w:pStyle w:val="1091"/>
        <w:rPr>
          <w:highlight w:val="none"/>
        </w:rPr>
      </w:pPr>
      <w:r>
        <w:rPr>
          <w:highlight w:val="none"/>
        </w:rPr>
        <w:t xml:space="preserve">（提供参加本次政府采购活动前3年内在经营活动中没有重大违法记录的书面声明）</w:t>
      </w:r>
      <w:r/>
    </w:p>
    <w:p>
      <w:pPr>
        <w:pStyle w:val="1091"/>
        <w:rPr>
          <w:highlight w:val="none"/>
        </w:rPr>
      </w:pPr>
      <w:r>
        <w:rPr>
          <w:highlight w:val="none"/>
        </w:rPr>
        <w:t xml:space="preserve">无重大违法记录声明格式</w:t>
      </w:r>
      <w:r/>
    </w:p>
    <w:p>
      <w:pPr>
        <w:pStyle w:val="1091"/>
        <w:rPr>
          <w:highlight w:val="none"/>
        </w:rPr>
      </w:pPr>
      <w:r>
        <w:rPr>
          <w:highlight w:val="none"/>
        </w:rPr>
        <w:t xml:space="preserve">致：南京市鼓楼生态环境局(采购人)</w:t>
      </w:r>
      <w:r/>
    </w:p>
    <w:p>
      <w:pPr>
        <w:pStyle w:val="1091"/>
        <w:rPr>
          <w:highlight w:val="none"/>
        </w:rPr>
      </w:pPr>
      <w:r>
        <w:rPr>
          <w:highlight w:val="none"/>
        </w:rPr>
        <w:t xml:space="preserve">江苏金永诚建设投资管理咨询有限公司</w:t>
      </w:r>
      <w:r/>
    </w:p>
    <w:p>
      <w:pPr>
        <w:pStyle w:val="1091"/>
        <w:rPr>
          <w:highlight w:val="none"/>
        </w:rPr>
      </w:pPr>
      <w:r>
        <w:rPr>
          <w:highlight w:val="none"/>
        </w:rPr>
        <w:t xml:space="preserve">我单位 </w:t>
      </w:r>
      <w:r>
        <w:rPr>
          <w:highlight w:val="none"/>
        </w:rPr>
        <w:tab/>
      </w:r>
      <w:r>
        <w:rPr>
          <w:highlight w:val="none"/>
        </w:rPr>
        <w:t xml:space="preserve">（投标人名称）郑重声明：</w:t>
      </w:r>
      <w:r/>
    </w:p>
    <w:p>
      <w:pPr>
        <w:pStyle w:val="1091"/>
        <w:rPr>
          <w:highlight w:val="none"/>
        </w:rPr>
      </w:pPr>
      <w:r>
        <w:rPr>
          <w:highlight w:val="none"/>
        </w:rPr>
        <w:t xml:space="preserve">参加政府采购活动前 3 年内在经营活动中 </w:t>
      </w:r>
      <w:r>
        <w:rPr>
          <w:highlight w:val="none"/>
        </w:rPr>
        <w:tab/>
      </w:r>
      <w:r>
        <w:rPr>
          <w:highlight w:val="none"/>
        </w:rPr>
        <w:t xml:space="preserve">（在下划线上如实填写：有或没有）重大违法记录。</w:t>
      </w:r>
      <w:r/>
    </w:p>
    <w:p>
      <w:pPr>
        <w:pStyle w:val="1091"/>
        <w:rPr>
          <w:highlight w:val="none"/>
        </w:rPr>
      </w:pPr>
      <w:r>
        <w:rPr>
          <w:highlight w:val="none"/>
        </w:rPr>
        <w:t xml:space="preserve">（说明：政府采购法第二十二条第一款第五项所称重大违法记录，是指投标人因违法经营受到刑事处罚或者责令停产停业、吊销许可证或者执照、较大数额罚款等行政处罚。）</w:t>
      </w:r>
      <w:r/>
    </w:p>
    <w:p>
      <w:pPr>
        <w:pStyle w:val="1091"/>
        <w:rPr>
          <w:highlight w:val="none"/>
        </w:rPr>
      </w:pPr>
      <w:r>
        <w:rPr>
          <w:highlight w:val="none"/>
        </w:rPr>
        <w:t xml:space="preserve">声明人：（盖章） 年</w:t>
      </w:r>
      <w:r>
        <w:rPr>
          <w:highlight w:val="none"/>
        </w:rPr>
        <w:tab/>
      </w:r>
      <w:r>
        <w:rPr>
          <w:highlight w:val="none"/>
        </w:rPr>
        <w:t xml:space="preserve">月</w:t>
      </w:r>
      <w:r>
        <w:rPr>
          <w:highlight w:val="none"/>
        </w:rPr>
        <w:tab/>
      </w:r>
      <w:r>
        <w:rPr>
          <w:highlight w:val="none"/>
        </w:rPr>
        <w:t xml:space="preserve">日</w:t>
      </w:r>
      <w:r/>
    </w:p>
    <w:p>
      <w:pPr>
        <w:pStyle w:val="1086"/>
        <w:ind w:firstLine="482"/>
        <w:jc w:val="both"/>
        <w:spacing w:line="360" w:lineRule="auto"/>
        <w:rPr>
          <w:rFonts w:ascii="Times New Roman" w:hAnsi="Times New Roman" w:cs="Times New Roman"/>
          <w:b/>
          <w:bCs/>
          <w:sz w:val="21"/>
          <w:szCs w:val="21"/>
          <w:highlight w:val="none"/>
        </w:rPr>
      </w:pPr>
      <w:r>
        <w:rPr>
          <w:rFonts w:ascii="Times New Roman" w:hAnsi="Times New Roman" w:eastAsia="宋体" w:cs="Times New Roman"/>
          <w:b/>
          <w:bCs/>
          <w:sz w:val="24"/>
          <w:szCs w:val="24"/>
          <w:highlight w:val="none"/>
        </w:rPr>
        <w:t xml:space="preserve">5.4、第一章招标公告中“2.落实政府采购政策需满足的资格要求”的证明文件</w:t>
      </w:r>
      <w:r/>
    </w:p>
    <w:p>
      <w:pPr>
        <w:pStyle w:val="1091"/>
        <w:rPr>
          <w:highlight w:val="none"/>
        </w:rPr>
      </w:pPr>
      <w:r>
        <w:rPr>
          <w:highlight w:val="none"/>
        </w:rPr>
        <w:t xml:space="preserve">注：投标人应当按照采购文件规定的要求提供相关证明材料，如未做要求，则可以不予提供。</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5.5、第一章招标公告中“3.本项目的特定资格要求”的证明文件</w:t>
      </w:r>
      <w:r/>
    </w:p>
    <w:p>
      <w:pPr>
        <w:pStyle w:val="1091"/>
        <w:rPr>
          <w:highlight w:val="none"/>
        </w:rPr>
      </w:pPr>
      <w:r>
        <w:rPr>
          <w:highlight w:val="none"/>
        </w:rPr>
        <w:t xml:space="preserve">注：投标人应当按照采购文件规定的要求提供相关证明材料，如未做要求，则可以不予提供。</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5.6、《南京市政府采购供应商信用记录表暨信用承诺书》</w:t>
      </w:r>
      <w:r/>
    </w:p>
    <w:p>
      <w:pPr>
        <w:pStyle w:val="1091"/>
        <w:rPr>
          <w:highlight w:val="none"/>
        </w:rPr>
      </w:pPr>
      <w:r>
        <w:rPr>
          <w:highlight w:val="none"/>
        </w:rPr>
        <w:t xml:space="preserve">（1）供应商需每次参加政府采购活动时，在采购文件发布之日起至递交投标（响应）文件截止日前，应先登录诚信管理系统在线打印其“南京市政府采购供应商信用记录表暨信用承诺书”，经法定代表人签名盖章后作为投标文件的组成部分提交。“南京市政府采购供应商信用记录表暨信用承诺书”是其参加政府采购活动的必备材料。</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5.7、商务条款偏离表格式</w:t>
      </w:r>
      <w:r/>
    </w:p>
    <w:p>
      <w:pPr>
        <w:pStyle w:val="1091"/>
        <w:rPr>
          <w:highlight w:val="none"/>
        </w:rPr>
      </w:pPr>
      <w:r>
        <w:rPr>
          <w:highlight w:val="none"/>
        </w:rPr>
        <w:t xml:space="preserve">《商务条款偏离表》</w:t>
      </w:r>
      <w:r/>
    </w:p>
    <w:p>
      <w:pPr>
        <w:pStyle w:val="1091"/>
        <w:rPr>
          <w:highlight w:val="none"/>
        </w:rPr>
      </w:pPr>
      <w:r>
        <w:rPr>
          <w:highlight w:val="none"/>
        </w:rPr>
        <w:t xml:space="preserve">项目名称：</w:t>
      </w:r>
      <w:r>
        <w:rPr>
          <w:highlight w:val="none"/>
        </w:rPr>
        <w:tab/>
      </w:r>
      <w:r>
        <w:rPr>
          <w:highlight w:val="none"/>
        </w:rPr>
        <w:t xml:space="preserve">项目编号：</w:t>
      </w:r>
      <w:r/>
    </w:p>
    <w:tbl>
      <w:tblPr>
        <w:tblStyle w:val="1090"/>
        <w:tblW w:w="102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7"/>
        <w:gridCol w:w="1230"/>
        <w:gridCol w:w="2877"/>
        <w:gridCol w:w="2158"/>
        <w:gridCol w:w="1582"/>
        <w:gridCol w:w="1582"/>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t xml:space="preserve">偏离情况</w:t>
            </w:r>
            <w:r/>
          </w:p>
          <w:p>
            <w:pPr>
              <w:pStyle w:val="1108"/>
              <w:rPr>
                <w:highlight w:val="none"/>
              </w:rPr>
            </w:pPr>
            <w:r>
              <w:rPr>
                <w:highlight w:val="none"/>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bl>
    <w:p>
      <w:pPr>
        <w:pStyle w:val="1091"/>
        <w:rPr>
          <w:highlight w:val="none"/>
        </w:rPr>
      </w:pPr>
      <w:r>
        <w:rPr>
          <w:highlight w:val="none"/>
        </w:rPr>
        <w:t xml:space="preserve">说明：</w:t>
      </w:r>
      <w:r/>
    </w:p>
    <w:p>
      <w:pPr>
        <w:pStyle w:val="1091"/>
        <w:rPr>
          <w:highlight w:val="none"/>
        </w:rPr>
      </w:pPr>
      <w:r>
        <w:rPr>
          <w:highlight w:val="none"/>
        </w:rPr>
        <w:t xml:space="preserve">1、如果行数不够，请自行增加。</w:t>
      </w:r>
      <w:r/>
    </w:p>
    <w:p>
      <w:pPr>
        <w:pStyle w:val="1091"/>
        <w:rPr>
          <w:highlight w:val="none"/>
        </w:rPr>
      </w:pPr>
      <w:r>
        <w:rPr>
          <w:highlight w:val="none"/>
        </w:rPr>
        <w:t xml:space="preserve">2、“偏离”栏应注明“</w:t>
      </w:r>
      <w:r>
        <w:rPr>
          <w:highlight w:val="none"/>
          <w:lang w:val="en-US"/>
        </w:rPr>
        <w:t xml:space="preserve">无偏离</w:t>
      </w:r>
      <w:r>
        <w:rPr>
          <w:highlight w:val="none"/>
        </w:rPr>
        <w:t xml:space="preserve">”或“</w:t>
      </w:r>
      <w:r>
        <w:rPr>
          <w:highlight w:val="none"/>
          <w:lang w:val="en-US"/>
        </w:rPr>
        <w:t xml:space="preserve">正偏离</w:t>
      </w:r>
      <w:r>
        <w:rPr>
          <w:highlight w:val="none"/>
        </w:rPr>
        <w:t xml:space="preserve">”</w:t>
      </w:r>
      <w:r>
        <w:rPr>
          <w:highlight w:val="none"/>
          <w:lang w:val="en-US"/>
        </w:rPr>
        <w:t xml:space="preserve">或</w:t>
      </w:r>
      <w:r>
        <w:rPr>
          <w:highlight w:val="none"/>
        </w:rPr>
        <w:t xml:space="preserve">“</w:t>
      </w:r>
      <w:r>
        <w:rPr>
          <w:highlight w:val="none"/>
          <w:lang w:val="en-US"/>
        </w:rPr>
        <w:t xml:space="preserve">负</w:t>
      </w:r>
      <w:r>
        <w:rPr>
          <w:highlight w:val="none"/>
        </w:rPr>
        <w:t xml:space="preserve">偏离”。</w:t>
      </w:r>
      <w:r/>
    </w:p>
    <w:p>
      <w:pPr>
        <w:pStyle w:val="1091"/>
        <w:rPr>
          <w:highlight w:val="none"/>
        </w:rPr>
      </w:pPr>
      <w:r>
        <w:rPr>
          <w:highlight w:val="none"/>
          <w:lang w:val="en-US"/>
        </w:rPr>
        <w:t xml:space="preserve">3、</w:t>
      </w:r>
      <w:r>
        <w:rPr>
          <w:highlight w:val="none"/>
        </w:rPr>
        <w:t xml:space="preserve">投标人应在上表中明确投标文件商务部分与招标文件要求的商务条款偏离情况，如有偏离</w:t>
      </w:r>
      <w:r>
        <w:rPr>
          <w:b/>
          <w:bCs/>
          <w:highlight w:val="none"/>
        </w:rPr>
        <w:t xml:space="preserve">（包括正偏离和负偏离）</w:t>
      </w:r>
      <w:r>
        <w:rPr>
          <w:highlight w:val="none"/>
        </w:rPr>
        <w:t xml:space="preserve">,投标人应详细说明，偏离情况详细说明可另页描述，但</w:t>
      </w:r>
      <w:r>
        <w:rPr>
          <w:b/>
          <w:bCs/>
          <w:highlight w:val="none"/>
        </w:rPr>
        <w:t xml:space="preserve">须在“偏离情况详细说明”栏标注其在投标文件对应的页码</w:t>
      </w:r>
      <w:r>
        <w:rPr>
          <w:highlight w:val="none"/>
        </w:rPr>
        <w:t xml:space="preserve">，</w:t>
      </w:r>
      <w:r>
        <w:rPr>
          <w:highlight w:val="none"/>
          <w:lang w:val="en-US"/>
        </w:rPr>
        <w:t xml:space="preserve">本</w:t>
      </w:r>
      <w:r>
        <w:rPr>
          <w:highlight w:val="none"/>
        </w:rPr>
        <w:t xml:space="preserve">表不作为投标人对所投项目关于商务条款等详细描述和说明的替代。</w:t>
      </w:r>
      <w:r/>
    </w:p>
    <w:p>
      <w:pPr>
        <w:pStyle w:val="1091"/>
        <w:rPr>
          <w:highlight w:val="none"/>
          <w:lang w:val="en-US"/>
        </w:rPr>
      </w:pPr>
      <w:r>
        <w:rPr>
          <w:highlight w:val="none"/>
          <w:lang w:val="en-US"/>
        </w:rPr>
        <w:t xml:space="preserve">4、本表所称商务条款包括但不限于招标文件第五章公开招标项目需求中的商务条款、第六章合同条款等。</w:t>
      </w:r>
      <w:r/>
    </w:p>
    <w:p>
      <w:pPr>
        <w:pStyle w:val="1091"/>
        <w:rPr>
          <w:highlight w:val="none"/>
        </w:rPr>
      </w:pPr>
      <w:r>
        <w:rPr>
          <w:highlight w:val="none"/>
        </w:rPr>
        <w:t xml:space="preserve">投标人名称：</w:t>
      </w:r>
      <w:r>
        <w:rPr>
          <w:highlight w:val="none"/>
          <w:lang w:val="en-US"/>
        </w:rPr>
        <w:t xml:space="preserve">                  </w:t>
      </w:r>
      <w:r>
        <w:rPr>
          <w:highlight w:val="none"/>
        </w:rPr>
        <w:t xml:space="preserve">（盖章）</w:t>
      </w:r>
      <w:r/>
    </w:p>
    <w:p>
      <w:pPr>
        <w:ind w:firstLine="420"/>
        <w:jc w:val="both"/>
        <w:spacing w:line="560" w:lineRule="exact"/>
        <w:rPr>
          <w:rFonts w:ascii="Times New Roman" w:hAnsi="Times New Roman" w:cs="Times New Roman"/>
          <w:sz w:val="21"/>
          <w:szCs w:val="21"/>
          <w:highlight w:val="none"/>
        </w:rPr>
      </w:pPr>
      <w:r>
        <w:rPr>
          <w:rFonts w:ascii="Times New Roman" w:hAnsi="Times New Roman" w:cs="Times New Roman"/>
          <w:sz w:val="21"/>
          <w:szCs w:val="21"/>
          <w:highlight w:val="none"/>
        </w:rPr>
      </w:r>
      <w:r/>
    </w:p>
    <w:p>
      <w:pPr>
        <w:pStyle w:val="1086"/>
        <w:ind w:firstLine="482"/>
        <w:jc w:val="both"/>
        <w:spacing w:line="360" w:lineRule="auto"/>
        <w:rPr>
          <w:rFonts w:ascii="Times New Roman" w:hAnsi="Times New Roman" w:eastAsia="宋体" w:cs="Times New Roman"/>
          <w:b/>
          <w:bCs/>
          <w:sz w:val="24"/>
          <w:szCs w:val="24"/>
          <w:highlight w:val="none"/>
        </w:rPr>
        <w:sectPr>
          <w:footnotePr/>
          <w:endnotePr/>
          <w:type w:val="nextPage"/>
          <w:pgSz w:w="11910" w:h="16840" w:orient="portrait"/>
          <w:pgMar w:top="1440" w:right="800" w:bottom="920" w:left="800" w:header="492" w:footer="726" w:gutter="0"/>
          <w:cols w:num="1" w:sep="0" w:space="720" w:equalWidth="1"/>
          <w:docGrid w:linePitch="360"/>
        </w:sectPr>
      </w:pPr>
      <w:r>
        <w:rPr>
          <w:rFonts w:ascii="Times New Roman" w:hAnsi="Times New Roman" w:eastAsia="宋体" w:cs="Times New Roman"/>
          <w:b/>
          <w:bCs/>
          <w:sz w:val="24"/>
          <w:szCs w:val="24"/>
          <w:highlight w:val="none"/>
        </w:rPr>
        <w:t xml:space="preserve">5.8、投标人认为需要提供的其他商务资料</w:t>
      </w:r>
      <w:r>
        <w:rPr>
          <w:rFonts w:ascii="Times New Roman" w:hAnsi="Times New Roman" w:eastAsia="宋体" w:cs="Times New Roman"/>
          <w:b/>
          <w:bCs/>
          <w:sz w:val="24"/>
          <w:szCs w:val="24"/>
          <w:highlight w:val="none"/>
        </w:rPr>
        <w:tab/>
      </w:r>
      <w:r/>
    </w:p>
    <w:p>
      <w:pPr>
        <w:pStyle w:val="1085"/>
        <w:ind w:left="0" w:firstLine="482"/>
        <w:jc w:val="both"/>
        <w:spacing w:line="560" w:lineRule="exact"/>
        <w:rPr>
          <w:rFonts w:ascii="Times New Roman" w:hAnsi="Times New Roman" w:cs="Times New Roman"/>
          <w:sz w:val="24"/>
          <w:szCs w:val="21"/>
          <w:highlight w:val="none"/>
          <w:u w:val="none"/>
          <w:lang w:val="en-US"/>
        </w:rPr>
      </w:pPr>
      <w:r>
        <w:rPr>
          <w:rFonts w:hint="eastAsia" w:ascii="Times New Roman" w:hAnsi="Times New Roman" w:cs="Times New Roman"/>
          <w:sz w:val="24"/>
          <w:szCs w:val="21"/>
          <w:highlight w:val="none"/>
          <w:u w:val="none"/>
          <w:lang w:val="en-US"/>
        </w:rPr>
        <w:t xml:space="preserve">六</w:t>
      </w:r>
      <w:r>
        <w:rPr>
          <w:rFonts w:ascii="Times New Roman" w:hAnsi="Times New Roman" w:cs="Times New Roman"/>
          <w:sz w:val="24"/>
          <w:szCs w:val="21"/>
          <w:highlight w:val="none"/>
          <w:u w:val="none"/>
          <w:lang w:val="en-US"/>
        </w:rPr>
        <w:t xml:space="preserve">、技术部分</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6.1、货物、服务或工程等内容的详细说明</w:t>
      </w:r>
      <w:r/>
    </w:p>
    <w:p>
      <w:pPr>
        <w:pStyle w:val="1091"/>
        <w:rPr>
          <w:highlight w:val="none"/>
        </w:rPr>
      </w:pPr>
      <w:r>
        <w:rPr>
          <w:highlight w:val="none"/>
        </w:rPr>
        <w:t xml:space="preserve">各</w:t>
      </w:r>
      <w:r>
        <w:rPr>
          <w:highlight w:val="none"/>
          <w:lang w:val="en-US"/>
        </w:rPr>
        <w:t xml:space="preserve">投标人</w:t>
      </w:r>
      <w:r>
        <w:rPr>
          <w:highlight w:val="none"/>
        </w:rPr>
        <w:t xml:space="preserve">根据所投货物、服务或工程实际情况以及对</w:t>
      </w:r>
      <w:r>
        <w:rPr>
          <w:highlight w:val="none"/>
          <w:lang w:val="en-US"/>
        </w:rPr>
        <w:t xml:space="preserve">招标</w:t>
      </w:r>
      <w:r>
        <w:rPr>
          <w:highlight w:val="none"/>
        </w:rPr>
        <w:t xml:space="preserve">文件响应程度等进行编制相关详细说明，格式自拟。</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6.2、技术条款偏离表格式</w:t>
      </w:r>
      <w:r/>
    </w:p>
    <w:p>
      <w:pPr>
        <w:pStyle w:val="1091"/>
        <w:rPr>
          <w:highlight w:val="none"/>
        </w:rPr>
      </w:pPr>
      <w:r>
        <w:rPr>
          <w:highlight w:val="none"/>
        </w:rPr>
        <w:t xml:space="preserve">技术条款偏离表</w:t>
      </w:r>
      <w:r/>
    </w:p>
    <w:p>
      <w:pPr>
        <w:pStyle w:val="1091"/>
        <w:rPr>
          <w:highlight w:val="none"/>
        </w:rPr>
      </w:pPr>
      <w:r>
        <w:rPr>
          <w:highlight w:val="none"/>
        </w:rPr>
        <w:t xml:space="preserve">项目名称：</w:t>
      </w:r>
      <w:r>
        <w:rPr>
          <w:highlight w:val="none"/>
        </w:rPr>
        <w:tab/>
      </w:r>
      <w:r>
        <w:rPr>
          <w:highlight w:val="none"/>
        </w:rPr>
        <w:t xml:space="preserve">项目编号：</w:t>
      </w:r>
      <w:r/>
    </w:p>
    <w:tbl>
      <w:tblPr>
        <w:tblStyle w:val="1090"/>
        <w:tblW w:w="102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7"/>
        <w:gridCol w:w="1230"/>
        <w:gridCol w:w="2877"/>
        <w:gridCol w:w="2158"/>
        <w:gridCol w:w="1582"/>
        <w:gridCol w:w="1582"/>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t xml:space="preserve">招标文件要求的技术条款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t xml:space="preserve">偏离情况</w:t>
            </w:r>
            <w:r/>
          </w:p>
          <w:p>
            <w:pPr>
              <w:pStyle w:val="1108"/>
              <w:rPr>
                <w:highlight w:val="none"/>
              </w:rPr>
            </w:pPr>
            <w:r>
              <w:rPr>
                <w:highlight w:val="none"/>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1108"/>
              <w:rPr>
                <w:highlight w:val="none"/>
              </w:rPr>
            </w:pPr>
            <w:r>
              <w:rPr>
                <w:highlight w:val="none"/>
              </w:rPr>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1108"/>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1108"/>
              <w:rPr>
                <w:highlight w:val="none"/>
              </w:rPr>
            </w:pPr>
            <w:r>
              <w:rPr>
                <w:highlight w:val="none"/>
              </w:rPr>
            </w:r>
            <w:r/>
          </w:p>
        </w:tc>
      </w:tr>
    </w:tbl>
    <w:p>
      <w:pPr>
        <w:pStyle w:val="1091"/>
        <w:rPr>
          <w:highlight w:val="none"/>
        </w:rPr>
      </w:pPr>
      <w:r>
        <w:rPr>
          <w:highlight w:val="none"/>
        </w:rPr>
        <w:t xml:space="preserve">说明：</w:t>
      </w:r>
      <w:r/>
    </w:p>
    <w:p>
      <w:pPr>
        <w:pStyle w:val="1091"/>
        <w:rPr>
          <w:highlight w:val="none"/>
        </w:rPr>
      </w:pPr>
      <w:r>
        <w:rPr>
          <w:highlight w:val="none"/>
        </w:rPr>
        <w:t xml:space="preserve">1</w:t>
      </w:r>
      <w:r>
        <w:rPr>
          <w:highlight w:val="none"/>
          <w:lang w:val="en-US"/>
        </w:rPr>
        <w:t xml:space="preserve">、</w:t>
      </w:r>
      <w:r>
        <w:rPr>
          <w:highlight w:val="none"/>
        </w:rPr>
        <w:t xml:space="preserve">如果行数不够，请自行增加。</w:t>
      </w:r>
      <w:r/>
    </w:p>
    <w:p>
      <w:pPr>
        <w:pStyle w:val="1091"/>
        <w:rPr>
          <w:highlight w:val="none"/>
        </w:rPr>
      </w:pPr>
      <w:r>
        <w:rPr>
          <w:highlight w:val="none"/>
        </w:rPr>
        <w:t xml:space="preserve">2、“偏离”栏应注明“</w:t>
      </w:r>
      <w:r>
        <w:rPr>
          <w:highlight w:val="none"/>
          <w:lang w:val="en-US"/>
        </w:rPr>
        <w:t xml:space="preserve">无偏离</w:t>
      </w:r>
      <w:r>
        <w:rPr>
          <w:highlight w:val="none"/>
        </w:rPr>
        <w:t xml:space="preserve">”或“</w:t>
      </w:r>
      <w:r>
        <w:rPr>
          <w:highlight w:val="none"/>
          <w:lang w:val="en-US"/>
        </w:rPr>
        <w:t xml:space="preserve">正偏离</w:t>
      </w:r>
      <w:r>
        <w:rPr>
          <w:highlight w:val="none"/>
        </w:rPr>
        <w:t xml:space="preserve">”</w:t>
      </w:r>
      <w:r>
        <w:rPr>
          <w:highlight w:val="none"/>
          <w:lang w:val="en-US"/>
        </w:rPr>
        <w:t xml:space="preserve">或</w:t>
      </w:r>
      <w:r>
        <w:rPr>
          <w:highlight w:val="none"/>
        </w:rPr>
        <w:t xml:space="preserve">“</w:t>
      </w:r>
      <w:r>
        <w:rPr>
          <w:highlight w:val="none"/>
          <w:lang w:val="en-US"/>
        </w:rPr>
        <w:t xml:space="preserve">负</w:t>
      </w:r>
      <w:r>
        <w:rPr>
          <w:highlight w:val="none"/>
        </w:rPr>
        <w:t xml:space="preserve">偏离”。</w:t>
      </w:r>
      <w:r/>
    </w:p>
    <w:p>
      <w:pPr>
        <w:pStyle w:val="1091"/>
        <w:rPr>
          <w:spacing w:val="-3"/>
          <w:highlight w:val="none"/>
        </w:rPr>
      </w:pPr>
      <w:r>
        <w:rPr>
          <w:highlight w:val="none"/>
          <w:lang w:val="en-US"/>
        </w:rPr>
        <w:t xml:space="preserve">3、</w:t>
      </w:r>
      <w:r>
        <w:rPr>
          <w:highlight w:val="none"/>
        </w:rPr>
        <w:t xml:space="preserve">投标人应在上表中明确投标文件</w:t>
      </w:r>
      <w:r>
        <w:rPr>
          <w:highlight w:val="none"/>
          <w:lang w:val="en-US"/>
        </w:rPr>
        <w:t xml:space="preserve">技术</w:t>
      </w:r>
      <w:r>
        <w:rPr>
          <w:highlight w:val="none"/>
        </w:rPr>
        <w:t xml:space="preserve">部分与招标文件要求的</w:t>
      </w:r>
      <w:r>
        <w:rPr>
          <w:highlight w:val="none"/>
          <w:lang w:val="en-US"/>
        </w:rPr>
        <w:t xml:space="preserve">技术</w:t>
      </w:r>
      <w:r>
        <w:rPr>
          <w:highlight w:val="none"/>
        </w:rPr>
        <w:t xml:space="preserve">条款偏离情况，如有偏离</w:t>
      </w:r>
      <w:r>
        <w:rPr>
          <w:b/>
          <w:bCs/>
          <w:highlight w:val="none"/>
        </w:rPr>
        <w:t xml:space="preserve">（包括正偏离和负偏离）</w:t>
      </w:r>
      <w:r>
        <w:rPr>
          <w:highlight w:val="none"/>
        </w:rPr>
        <w:t xml:space="preserve">,投标人应详细说明，偏离情况详细说明可另页描述，但</w:t>
      </w:r>
      <w:r>
        <w:rPr>
          <w:b/>
          <w:bCs/>
          <w:highlight w:val="none"/>
        </w:rPr>
        <w:t xml:space="preserve">须在“偏离情况详细说明”栏标注其在投标文件对应的页码</w:t>
      </w:r>
      <w:r>
        <w:rPr>
          <w:highlight w:val="none"/>
        </w:rPr>
        <w:t xml:space="preserve">，</w:t>
      </w:r>
      <w:r>
        <w:rPr>
          <w:highlight w:val="none"/>
          <w:lang w:val="en-US"/>
        </w:rPr>
        <w:t xml:space="preserve">本</w:t>
      </w:r>
      <w:r>
        <w:rPr>
          <w:highlight w:val="none"/>
        </w:rPr>
        <w:t xml:space="preserve">表不作为投标人对所投项目关于</w:t>
      </w:r>
      <w:r>
        <w:rPr>
          <w:highlight w:val="none"/>
          <w:lang w:val="en-US"/>
        </w:rPr>
        <w:t xml:space="preserve">技术</w:t>
      </w:r>
      <w:r>
        <w:rPr>
          <w:highlight w:val="none"/>
        </w:rPr>
        <w:t xml:space="preserve">条款等详细描述和说明的替代</w:t>
      </w:r>
      <w:r>
        <w:rPr>
          <w:spacing w:val="-3"/>
          <w:highlight w:val="none"/>
        </w:rPr>
        <w:t xml:space="preserve">。</w:t>
      </w:r>
      <w:r/>
    </w:p>
    <w:p>
      <w:pPr>
        <w:pStyle w:val="1091"/>
        <w:rPr>
          <w:highlight w:val="none"/>
          <w:lang w:val="en-US"/>
        </w:rPr>
      </w:pPr>
      <w:r>
        <w:rPr>
          <w:highlight w:val="none"/>
          <w:lang w:val="en-US"/>
        </w:rPr>
        <w:t xml:space="preserve">4、本表所称技术条款主要针对招标文件第五章公开招标项目需求中的相关技术要求等。</w:t>
      </w:r>
      <w:r/>
    </w:p>
    <w:p>
      <w:pPr>
        <w:pStyle w:val="1091"/>
        <w:rPr>
          <w:highlight w:val="none"/>
        </w:rPr>
      </w:pPr>
      <w:r>
        <w:rPr>
          <w:highlight w:val="none"/>
        </w:rPr>
        <w:t xml:space="preserve">投标人名称：    </w:t>
      </w:r>
      <w:r>
        <w:rPr>
          <w:highlight w:val="none"/>
          <w:lang w:val="en-US"/>
        </w:rPr>
        <w:t xml:space="preserve">      </w:t>
      </w:r>
      <w:r>
        <w:rPr>
          <w:highlight w:val="none"/>
        </w:rPr>
        <w:t xml:space="preserve">    （盖章）</w:t>
      </w:r>
      <w:r/>
    </w:p>
    <w:p>
      <w:pPr>
        <w:ind w:firstLine="422"/>
        <w:jc w:val="both"/>
        <w:widowControl/>
        <w:rPr>
          <w:rFonts w:ascii="Times New Roman" w:hAnsi="Times New Roman" w:cs="Times New Roman"/>
          <w:b/>
          <w:bCs/>
          <w:sz w:val="21"/>
          <w:szCs w:val="21"/>
          <w:highlight w:val="none"/>
          <w:lang w:val="en-US"/>
        </w:rPr>
      </w:pPr>
      <w:r>
        <w:rPr>
          <w:rFonts w:ascii="Times New Roman" w:hAnsi="Times New Roman" w:cs="Times New Roman"/>
          <w:b/>
          <w:bCs/>
          <w:sz w:val="21"/>
          <w:szCs w:val="21"/>
          <w:highlight w:val="none"/>
          <w:lang w:val="en-US"/>
        </w:rPr>
        <w:br w:type="page" w:clear="all"/>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6.3、评分标准响应材料</w:t>
      </w:r>
      <w:r/>
    </w:p>
    <w:p>
      <w:pPr>
        <w:pStyle w:val="1091"/>
        <w:rPr>
          <w:highlight w:val="none"/>
        </w:rPr>
      </w:pPr>
      <w:r>
        <w:rPr>
          <w:highlight w:val="none"/>
        </w:rPr>
        <w:t xml:space="preserve">各投标人根据企业自身实际情况以及对本项目的理解，并结合招标文件评分标准中各评审因素提供相关证明文件。</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6.4、技术服务方案</w:t>
      </w:r>
      <w:r/>
    </w:p>
    <w:p>
      <w:pPr>
        <w:pStyle w:val="1091"/>
        <w:rPr>
          <w:highlight w:val="none"/>
        </w:rPr>
      </w:pPr>
      <w:r>
        <w:rPr>
          <w:highlight w:val="none"/>
        </w:rPr>
        <w:t xml:space="preserve">各投标人根据所投产品或服务实际情况，以及对采购文件响应程度编制相应方案，格式自拟。包括但不限于项目实施方案、服务承诺等，这些文件可以是文字资料方案、图纸（表）和数据等。</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6.5、相关表格（仅供参考，可按需调整或删除）</w:t>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（一）项目负责人简介表</w:t>
      </w:r>
      <w:r/>
    </w:p>
    <w:p>
      <w:pPr>
        <w:pStyle w:val="1091"/>
        <w:rPr>
          <w:highlight w:val="none"/>
        </w:rPr>
      </w:pPr>
      <w:r>
        <w:rPr>
          <w:highlight w:val="none"/>
        </w:rPr>
        <w:t xml:space="preserve">项目名称：</w:t>
      </w:r>
      <w:r>
        <w:rPr>
          <w:highlight w:val="none"/>
        </w:rPr>
        <w:tab/>
      </w:r>
      <w:r>
        <w:rPr>
          <w:highlight w:val="none"/>
        </w:rPr>
        <w:t xml:space="preserve">项目编号：</w:t>
      </w:r>
      <w:r/>
    </w:p>
    <w:p>
      <w:pPr>
        <w:pStyle w:val="1091"/>
        <w:rPr>
          <w:highlight w:val="none"/>
        </w:rPr>
      </w:pPr>
      <w:r>
        <w:rPr>
          <w:highlight w:val="none"/>
        </w:rPr>
      </w:r>
      <w:r/>
    </w:p>
    <w:tbl>
      <w:tblPr>
        <w:tblStyle w:val="1090"/>
        <w:tblW w:w="9605"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993"/>
        <w:gridCol w:w="1275"/>
        <w:gridCol w:w="1276"/>
        <w:gridCol w:w="1456"/>
        <w:gridCol w:w="1804"/>
        <w:gridCol w:w="1808"/>
      </w:tblGrid>
      <w:tr>
        <w:trPr>
          <w:trHeight w:val="570"/>
        </w:trPr>
        <w:tc>
          <w:tcPr>
            <w:tcW w:w="993" w:type="dxa"/>
            <w:textDirection w:val="lrTb"/>
            <w:noWrap w:val="false"/>
          </w:tcPr>
          <w:p>
            <w:pPr>
              <w:pStyle w:val="1108"/>
              <w:rPr>
                <w:highlight w:val="none"/>
              </w:rPr>
            </w:pPr>
            <w:r>
              <w:rPr>
                <w:highlight w:val="none"/>
              </w:rPr>
              <w:t xml:space="preserve">姓名</w:t>
            </w:r>
            <w:r/>
          </w:p>
        </w:tc>
        <w:tc>
          <w:tcPr>
            <w:tcW w:w="993" w:type="dxa"/>
            <w:textDirection w:val="lrTb"/>
            <w:noWrap w:val="false"/>
          </w:tcPr>
          <w:p>
            <w:pPr>
              <w:pStyle w:val="1108"/>
              <w:rPr>
                <w:highlight w:val="none"/>
              </w:rPr>
            </w:pPr>
            <w:r>
              <w:rPr>
                <w:highlight w:val="none"/>
              </w:rPr>
              <w:t xml:space="preserve">性别</w:t>
            </w:r>
            <w:r/>
          </w:p>
        </w:tc>
        <w:tc>
          <w:tcPr>
            <w:tcW w:w="1275" w:type="dxa"/>
            <w:textDirection w:val="lrTb"/>
            <w:noWrap w:val="false"/>
          </w:tcPr>
          <w:p>
            <w:pPr>
              <w:pStyle w:val="1108"/>
              <w:rPr>
                <w:highlight w:val="none"/>
              </w:rPr>
            </w:pPr>
            <w:r>
              <w:rPr>
                <w:highlight w:val="none"/>
              </w:rPr>
              <w:t xml:space="preserve">年龄</w:t>
            </w:r>
            <w:r/>
          </w:p>
        </w:tc>
        <w:tc>
          <w:tcPr>
            <w:tcW w:w="1276" w:type="dxa"/>
            <w:textDirection w:val="lrTb"/>
            <w:noWrap w:val="false"/>
          </w:tcPr>
          <w:p>
            <w:pPr>
              <w:pStyle w:val="1108"/>
              <w:rPr>
                <w:highlight w:val="none"/>
              </w:rPr>
            </w:pPr>
            <w:r>
              <w:rPr>
                <w:highlight w:val="none"/>
              </w:rPr>
              <w:t xml:space="preserve">专业</w:t>
            </w:r>
            <w:r/>
          </w:p>
        </w:tc>
        <w:tc>
          <w:tcPr>
            <w:tcW w:w="1456" w:type="dxa"/>
            <w:textDirection w:val="lrTb"/>
            <w:noWrap w:val="false"/>
          </w:tcPr>
          <w:p>
            <w:pPr>
              <w:pStyle w:val="1108"/>
              <w:rPr>
                <w:highlight w:val="none"/>
              </w:rPr>
            </w:pPr>
            <w:r>
              <w:rPr>
                <w:highlight w:val="none"/>
              </w:rPr>
              <w:t xml:space="preserve">职称</w:t>
            </w:r>
            <w:r/>
          </w:p>
        </w:tc>
        <w:tc>
          <w:tcPr>
            <w:tcW w:w="1804" w:type="dxa"/>
            <w:textDirection w:val="lrTb"/>
            <w:noWrap w:val="false"/>
          </w:tcPr>
          <w:p>
            <w:pPr>
              <w:pStyle w:val="1108"/>
              <w:rPr>
                <w:highlight w:val="none"/>
              </w:rPr>
            </w:pPr>
            <w:r>
              <w:rPr>
                <w:highlight w:val="none"/>
              </w:rPr>
              <w:t xml:space="preserve">工作经验年限</w:t>
            </w:r>
            <w:r/>
          </w:p>
        </w:tc>
        <w:tc>
          <w:tcPr>
            <w:tcW w:w="1808" w:type="dxa"/>
            <w:textDirection w:val="lrTb"/>
            <w:noWrap w:val="false"/>
          </w:tcPr>
          <w:p>
            <w:pPr>
              <w:pStyle w:val="1108"/>
              <w:rPr>
                <w:highlight w:val="none"/>
              </w:rPr>
            </w:pPr>
            <w:r>
              <w:rPr>
                <w:highlight w:val="none"/>
              </w:rPr>
              <w:t xml:space="preserve">备注</w:t>
            </w:r>
            <w:r/>
          </w:p>
        </w:tc>
      </w:tr>
      <w:tr>
        <w:trPr>
          <w:trHeight w:val="1260"/>
        </w:trPr>
        <w:tc>
          <w:tcPr>
            <w:tcW w:w="993" w:type="dxa"/>
            <w:textDirection w:val="lrTb"/>
            <w:noWrap w:val="false"/>
          </w:tcPr>
          <w:p>
            <w:pPr>
              <w:pStyle w:val="1108"/>
              <w:rPr>
                <w:highlight w:val="none"/>
              </w:rPr>
            </w:pPr>
            <w:r>
              <w:rPr>
                <w:highlight w:val="none"/>
              </w:rPr>
            </w:r>
            <w:r/>
          </w:p>
        </w:tc>
        <w:tc>
          <w:tcPr>
            <w:tcW w:w="993" w:type="dxa"/>
            <w:textDirection w:val="lrTb"/>
            <w:noWrap w:val="false"/>
          </w:tcPr>
          <w:p>
            <w:pPr>
              <w:pStyle w:val="1108"/>
              <w:rPr>
                <w:highlight w:val="none"/>
              </w:rPr>
            </w:pPr>
            <w:r>
              <w:rPr>
                <w:highlight w:val="none"/>
              </w:rPr>
            </w:r>
            <w:r/>
          </w:p>
        </w:tc>
        <w:tc>
          <w:tcPr>
            <w:tcW w:w="1275" w:type="dxa"/>
            <w:textDirection w:val="lrTb"/>
            <w:noWrap w:val="false"/>
          </w:tcPr>
          <w:p>
            <w:pPr>
              <w:pStyle w:val="1108"/>
              <w:rPr>
                <w:highlight w:val="none"/>
              </w:rPr>
            </w:pPr>
            <w:r>
              <w:rPr>
                <w:highlight w:val="none"/>
              </w:rPr>
            </w:r>
            <w:r/>
          </w:p>
        </w:tc>
        <w:tc>
          <w:tcPr>
            <w:tcW w:w="1276" w:type="dxa"/>
            <w:textDirection w:val="lrTb"/>
            <w:noWrap w:val="false"/>
          </w:tcPr>
          <w:p>
            <w:pPr>
              <w:pStyle w:val="1108"/>
              <w:rPr>
                <w:highlight w:val="none"/>
              </w:rPr>
            </w:pPr>
            <w:r>
              <w:rPr>
                <w:highlight w:val="none"/>
              </w:rPr>
            </w:r>
            <w:r/>
          </w:p>
        </w:tc>
        <w:tc>
          <w:tcPr>
            <w:tcW w:w="1456" w:type="dxa"/>
            <w:textDirection w:val="lrTb"/>
            <w:noWrap w:val="false"/>
          </w:tcPr>
          <w:p>
            <w:pPr>
              <w:pStyle w:val="1108"/>
              <w:rPr>
                <w:highlight w:val="none"/>
              </w:rPr>
            </w:pPr>
            <w:r>
              <w:rPr>
                <w:highlight w:val="none"/>
              </w:rPr>
            </w:r>
            <w:r/>
          </w:p>
        </w:tc>
        <w:tc>
          <w:tcPr>
            <w:tcW w:w="1804" w:type="dxa"/>
            <w:textDirection w:val="lrTb"/>
            <w:noWrap w:val="false"/>
          </w:tcPr>
          <w:p>
            <w:pPr>
              <w:pStyle w:val="1108"/>
              <w:rPr>
                <w:highlight w:val="none"/>
              </w:rPr>
            </w:pPr>
            <w:r>
              <w:rPr>
                <w:highlight w:val="none"/>
              </w:rPr>
            </w:r>
            <w:r/>
          </w:p>
        </w:tc>
        <w:tc>
          <w:tcPr>
            <w:tcW w:w="1808" w:type="dxa"/>
            <w:textDirection w:val="lrTb"/>
            <w:noWrap w:val="false"/>
          </w:tcPr>
          <w:p>
            <w:pPr>
              <w:pStyle w:val="1108"/>
              <w:rPr>
                <w:highlight w:val="none"/>
              </w:rPr>
            </w:pPr>
            <w:r>
              <w:rPr>
                <w:highlight w:val="none"/>
              </w:rPr>
            </w:r>
            <w:r/>
          </w:p>
        </w:tc>
      </w:tr>
    </w:tbl>
    <w:p>
      <w:pPr>
        <w:pStyle w:val="1091"/>
        <w:rPr>
          <w:highlight w:val="none"/>
        </w:rPr>
      </w:pPr>
      <w:r>
        <w:rPr>
          <w:highlight w:val="none"/>
        </w:rPr>
        <w:t xml:space="preserve">投标人名称：</w:t>
      </w:r>
      <w:r>
        <w:rPr>
          <w:highlight w:val="none"/>
          <w:u w:val="single"/>
        </w:rPr>
        <w:t xml:space="preserve"> </w:t>
      </w:r>
      <w:r>
        <w:rPr>
          <w:highlight w:val="none"/>
          <w:u w:val="single"/>
        </w:rPr>
        <w:tab/>
      </w:r>
      <w:r>
        <w:rPr>
          <w:highlight w:val="none"/>
        </w:rPr>
        <w:t xml:space="preserve">（盖章）</w:t>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（二）技术团队配置表</w:t>
      </w:r>
      <w:r/>
    </w:p>
    <w:tbl>
      <w:tblPr>
        <w:tblStyle w:val="1090"/>
        <w:tblW w:w="9508" w:type="dxa"/>
        <w:tblInd w:w="5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1228"/>
        <w:gridCol w:w="777"/>
        <w:gridCol w:w="791"/>
        <w:gridCol w:w="1597"/>
        <w:gridCol w:w="1429"/>
        <w:gridCol w:w="1937"/>
        <w:gridCol w:w="972"/>
      </w:tblGrid>
      <w:tr>
        <w:trPr>
          <w:trHeight w:val="598"/>
        </w:trPr>
        <w:tc>
          <w:tcPr>
            <w:tcW w:w="777" w:type="dxa"/>
            <w:textDirection w:val="lrTb"/>
            <w:noWrap w:val="false"/>
          </w:tcPr>
          <w:p>
            <w:pPr>
              <w:pStyle w:val="1108"/>
              <w:rPr>
                <w:highlight w:val="none"/>
              </w:rPr>
            </w:pPr>
            <w:r>
              <w:rPr>
                <w:highlight w:val="none"/>
              </w:rPr>
              <w:t xml:space="preserve">序号</w:t>
            </w:r>
            <w:r/>
          </w:p>
        </w:tc>
        <w:tc>
          <w:tcPr>
            <w:tcW w:w="1228" w:type="dxa"/>
            <w:textDirection w:val="lrTb"/>
            <w:noWrap w:val="false"/>
          </w:tcPr>
          <w:p>
            <w:pPr>
              <w:pStyle w:val="1108"/>
              <w:rPr>
                <w:highlight w:val="none"/>
              </w:rPr>
            </w:pPr>
            <w:r>
              <w:rPr>
                <w:highlight w:val="none"/>
              </w:rPr>
              <w:t xml:space="preserve">姓名</w:t>
            </w:r>
            <w:r/>
          </w:p>
        </w:tc>
        <w:tc>
          <w:tcPr>
            <w:tcW w:w="777" w:type="dxa"/>
            <w:textDirection w:val="lrTb"/>
            <w:noWrap w:val="false"/>
          </w:tcPr>
          <w:p>
            <w:pPr>
              <w:pStyle w:val="1108"/>
              <w:rPr>
                <w:highlight w:val="none"/>
              </w:rPr>
            </w:pPr>
            <w:r>
              <w:rPr>
                <w:highlight w:val="none"/>
              </w:rPr>
              <w:t xml:space="preserve">性别</w:t>
            </w:r>
            <w:r/>
          </w:p>
        </w:tc>
        <w:tc>
          <w:tcPr>
            <w:tcW w:w="791" w:type="dxa"/>
            <w:textDirection w:val="lrTb"/>
            <w:noWrap w:val="false"/>
          </w:tcPr>
          <w:p>
            <w:pPr>
              <w:pStyle w:val="1108"/>
              <w:rPr>
                <w:highlight w:val="none"/>
              </w:rPr>
            </w:pPr>
            <w:r>
              <w:rPr>
                <w:highlight w:val="none"/>
              </w:rPr>
              <w:t xml:space="preserve">年龄</w:t>
            </w:r>
            <w:r/>
          </w:p>
        </w:tc>
        <w:tc>
          <w:tcPr>
            <w:tcW w:w="1597" w:type="dxa"/>
            <w:textDirection w:val="lrTb"/>
            <w:noWrap w:val="false"/>
          </w:tcPr>
          <w:p>
            <w:pPr>
              <w:pStyle w:val="1108"/>
              <w:rPr>
                <w:highlight w:val="none"/>
              </w:rPr>
            </w:pPr>
            <w:r>
              <w:rPr>
                <w:highlight w:val="none"/>
              </w:rPr>
              <w:t xml:space="preserve">专业</w:t>
            </w:r>
            <w:r/>
          </w:p>
        </w:tc>
        <w:tc>
          <w:tcPr>
            <w:tcW w:w="1429" w:type="dxa"/>
            <w:textDirection w:val="lrTb"/>
            <w:noWrap w:val="false"/>
          </w:tcPr>
          <w:p>
            <w:pPr>
              <w:pStyle w:val="1108"/>
              <w:rPr>
                <w:highlight w:val="none"/>
              </w:rPr>
            </w:pPr>
            <w:r>
              <w:rPr>
                <w:highlight w:val="none"/>
              </w:rPr>
              <w:t xml:space="preserve">职称</w:t>
            </w:r>
            <w:r/>
          </w:p>
        </w:tc>
        <w:tc>
          <w:tcPr>
            <w:tcW w:w="1937" w:type="dxa"/>
            <w:textDirection w:val="lrTb"/>
            <w:noWrap w:val="false"/>
          </w:tcPr>
          <w:p>
            <w:pPr>
              <w:pStyle w:val="1108"/>
              <w:rPr>
                <w:highlight w:val="none"/>
              </w:rPr>
            </w:pPr>
            <w:r>
              <w:rPr>
                <w:highlight w:val="none"/>
              </w:rPr>
              <w:t xml:space="preserve">工作经验年限</w:t>
            </w:r>
            <w:r/>
          </w:p>
        </w:tc>
        <w:tc>
          <w:tcPr>
            <w:tcW w:w="972" w:type="dxa"/>
            <w:textDirection w:val="lrTb"/>
            <w:noWrap w:val="false"/>
          </w:tcPr>
          <w:p>
            <w:pPr>
              <w:pStyle w:val="1108"/>
              <w:rPr>
                <w:highlight w:val="none"/>
              </w:rPr>
            </w:pPr>
            <w:r>
              <w:rPr>
                <w:highlight w:val="none"/>
              </w:rPr>
              <w:t xml:space="preserve">备注</w:t>
            </w:r>
            <w:r/>
          </w:p>
        </w:tc>
      </w:tr>
      <w:tr>
        <w:trPr>
          <w:trHeight w:val="598"/>
        </w:trPr>
        <w:tc>
          <w:tcPr>
            <w:tcW w:w="777" w:type="dxa"/>
            <w:textDirection w:val="lrTb"/>
            <w:noWrap w:val="false"/>
          </w:tcPr>
          <w:p>
            <w:pPr>
              <w:pStyle w:val="1108"/>
              <w:rPr>
                <w:highlight w:val="none"/>
              </w:rPr>
            </w:pPr>
            <w:r>
              <w:rPr>
                <w:highlight w:val="none"/>
              </w:rPr>
            </w:r>
            <w:r/>
          </w:p>
        </w:tc>
        <w:tc>
          <w:tcPr>
            <w:tcW w:w="1228" w:type="dxa"/>
            <w:textDirection w:val="lrTb"/>
            <w:noWrap w:val="false"/>
          </w:tcPr>
          <w:p>
            <w:pPr>
              <w:pStyle w:val="1108"/>
              <w:rPr>
                <w:highlight w:val="none"/>
              </w:rPr>
            </w:pPr>
            <w:r>
              <w:rPr>
                <w:highlight w:val="none"/>
              </w:rPr>
            </w:r>
            <w:r/>
          </w:p>
        </w:tc>
        <w:tc>
          <w:tcPr>
            <w:tcW w:w="777" w:type="dxa"/>
            <w:textDirection w:val="lrTb"/>
            <w:noWrap w:val="false"/>
          </w:tcPr>
          <w:p>
            <w:pPr>
              <w:pStyle w:val="1108"/>
              <w:rPr>
                <w:highlight w:val="none"/>
              </w:rPr>
            </w:pPr>
            <w:r>
              <w:rPr>
                <w:highlight w:val="none"/>
              </w:rPr>
            </w:r>
            <w:r/>
          </w:p>
        </w:tc>
        <w:tc>
          <w:tcPr>
            <w:tcW w:w="791" w:type="dxa"/>
            <w:textDirection w:val="lrTb"/>
            <w:noWrap w:val="false"/>
          </w:tcPr>
          <w:p>
            <w:pPr>
              <w:pStyle w:val="1108"/>
              <w:rPr>
                <w:highlight w:val="none"/>
              </w:rPr>
            </w:pPr>
            <w:r>
              <w:rPr>
                <w:highlight w:val="none"/>
              </w:rPr>
            </w:r>
            <w:r/>
          </w:p>
        </w:tc>
        <w:tc>
          <w:tcPr>
            <w:tcW w:w="1597" w:type="dxa"/>
            <w:textDirection w:val="lrTb"/>
            <w:noWrap w:val="false"/>
          </w:tcPr>
          <w:p>
            <w:pPr>
              <w:pStyle w:val="1108"/>
              <w:rPr>
                <w:highlight w:val="none"/>
              </w:rPr>
            </w:pPr>
            <w:r>
              <w:rPr>
                <w:highlight w:val="none"/>
              </w:rPr>
            </w:r>
            <w:r/>
          </w:p>
        </w:tc>
        <w:tc>
          <w:tcPr>
            <w:tcW w:w="1429" w:type="dxa"/>
            <w:textDirection w:val="lrTb"/>
            <w:noWrap w:val="false"/>
          </w:tcPr>
          <w:p>
            <w:pPr>
              <w:pStyle w:val="1108"/>
              <w:rPr>
                <w:highlight w:val="none"/>
              </w:rPr>
            </w:pPr>
            <w:r>
              <w:rPr>
                <w:highlight w:val="none"/>
              </w:rPr>
            </w:r>
            <w:r/>
          </w:p>
        </w:tc>
        <w:tc>
          <w:tcPr>
            <w:tcW w:w="1937" w:type="dxa"/>
            <w:textDirection w:val="lrTb"/>
            <w:noWrap w:val="false"/>
          </w:tcPr>
          <w:p>
            <w:pPr>
              <w:pStyle w:val="1108"/>
              <w:rPr>
                <w:highlight w:val="none"/>
              </w:rPr>
            </w:pPr>
            <w:r>
              <w:rPr>
                <w:highlight w:val="none"/>
              </w:rPr>
            </w:r>
            <w:r/>
          </w:p>
        </w:tc>
        <w:tc>
          <w:tcPr>
            <w:tcW w:w="972" w:type="dxa"/>
            <w:textDirection w:val="lrTb"/>
            <w:noWrap w:val="false"/>
          </w:tcPr>
          <w:p>
            <w:pPr>
              <w:pStyle w:val="1108"/>
              <w:rPr>
                <w:highlight w:val="none"/>
              </w:rPr>
            </w:pPr>
            <w:r>
              <w:rPr>
                <w:highlight w:val="none"/>
              </w:rPr>
            </w:r>
            <w:r/>
          </w:p>
        </w:tc>
      </w:tr>
      <w:tr>
        <w:trPr>
          <w:trHeight w:val="598"/>
        </w:trPr>
        <w:tc>
          <w:tcPr>
            <w:tcW w:w="777" w:type="dxa"/>
            <w:textDirection w:val="lrTb"/>
            <w:noWrap w:val="false"/>
          </w:tcPr>
          <w:p>
            <w:pPr>
              <w:pStyle w:val="1108"/>
              <w:rPr>
                <w:highlight w:val="none"/>
              </w:rPr>
            </w:pPr>
            <w:r>
              <w:rPr>
                <w:highlight w:val="none"/>
              </w:rPr>
            </w:r>
            <w:r/>
          </w:p>
        </w:tc>
        <w:tc>
          <w:tcPr>
            <w:tcW w:w="1228" w:type="dxa"/>
            <w:textDirection w:val="lrTb"/>
            <w:noWrap w:val="false"/>
          </w:tcPr>
          <w:p>
            <w:pPr>
              <w:pStyle w:val="1108"/>
              <w:rPr>
                <w:highlight w:val="none"/>
              </w:rPr>
            </w:pPr>
            <w:r>
              <w:rPr>
                <w:highlight w:val="none"/>
              </w:rPr>
            </w:r>
            <w:r/>
          </w:p>
        </w:tc>
        <w:tc>
          <w:tcPr>
            <w:tcW w:w="777" w:type="dxa"/>
            <w:textDirection w:val="lrTb"/>
            <w:noWrap w:val="false"/>
          </w:tcPr>
          <w:p>
            <w:pPr>
              <w:pStyle w:val="1108"/>
              <w:rPr>
                <w:highlight w:val="none"/>
              </w:rPr>
            </w:pPr>
            <w:r>
              <w:rPr>
                <w:highlight w:val="none"/>
              </w:rPr>
            </w:r>
            <w:r/>
          </w:p>
        </w:tc>
        <w:tc>
          <w:tcPr>
            <w:tcW w:w="791" w:type="dxa"/>
            <w:textDirection w:val="lrTb"/>
            <w:noWrap w:val="false"/>
          </w:tcPr>
          <w:p>
            <w:pPr>
              <w:pStyle w:val="1108"/>
              <w:rPr>
                <w:highlight w:val="none"/>
              </w:rPr>
            </w:pPr>
            <w:r>
              <w:rPr>
                <w:highlight w:val="none"/>
              </w:rPr>
            </w:r>
            <w:r/>
          </w:p>
        </w:tc>
        <w:tc>
          <w:tcPr>
            <w:tcW w:w="1597" w:type="dxa"/>
            <w:textDirection w:val="lrTb"/>
            <w:noWrap w:val="false"/>
          </w:tcPr>
          <w:p>
            <w:pPr>
              <w:pStyle w:val="1108"/>
              <w:rPr>
                <w:highlight w:val="none"/>
              </w:rPr>
            </w:pPr>
            <w:r>
              <w:rPr>
                <w:highlight w:val="none"/>
              </w:rPr>
            </w:r>
            <w:r/>
          </w:p>
        </w:tc>
        <w:tc>
          <w:tcPr>
            <w:tcW w:w="1429" w:type="dxa"/>
            <w:textDirection w:val="lrTb"/>
            <w:noWrap w:val="false"/>
          </w:tcPr>
          <w:p>
            <w:pPr>
              <w:pStyle w:val="1108"/>
              <w:rPr>
                <w:highlight w:val="none"/>
              </w:rPr>
            </w:pPr>
            <w:r>
              <w:rPr>
                <w:highlight w:val="none"/>
              </w:rPr>
            </w:r>
            <w:r/>
          </w:p>
        </w:tc>
        <w:tc>
          <w:tcPr>
            <w:tcW w:w="1937" w:type="dxa"/>
            <w:textDirection w:val="lrTb"/>
            <w:noWrap w:val="false"/>
          </w:tcPr>
          <w:p>
            <w:pPr>
              <w:pStyle w:val="1108"/>
              <w:rPr>
                <w:highlight w:val="none"/>
              </w:rPr>
            </w:pPr>
            <w:r>
              <w:rPr>
                <w:highlight w:val="none"/>
              </w:rPr>
            </w:r>
            <w:r/>
          </w:p>
        </w:tc>
        <w:tc>
          <w:tcPr>
            <w:tcW w:w="972" w:type="dxa"/>
            <w:textDirection w:val="lrTb"/>
            <w:noWrap w:val="false"/>
          </w:tcPr>
          <w:p>
            <w:pPr>
              <w:pStyle w:val="1108"/>
              <w:rPr>
                <w:highlight w:val="none"/>
              </w:rPr>
            </w:pPr>
            <w:r>
              <w:rPr>
                <w:highlight w:val="none"/>
              </w:rPr>
            </w:r>
            <w:r/>
          </w:p>
        </w:tc>
      </w:tr>
      <w:tr>
        <w:trPr>
          <w:trHeight w:val="598"/>
        </w:trPr>
        <w:tc>
          <w:tcPr>
            <w:tcW w:w="777" w:type="dxa"/>
            <w:textDirection w:val="lrTb"/>
            <w:noWrap w:val="false"/>
          </w:tcPr>
          <w:p>
            <w:pPr>
              <w:pStyle w:val="1108"/>
              <w:rPr>
                <w:highlight w:val="none"/>
              </w:rPr>
            </w:pPr>
            <w:r>
              <w:rPr>
                <w:highlight w:val="none"/>
              </w:rPr>
            </w:r>
            <w:r/>
          </w:p>
        </w:tc>
        <w:tc>
          <w:tcPr>
            <w:tcW w:w="1228" w:type="dxa"/>
            <w:textDirection w:val="lrTb"/>
            <w:noWrap w:val="false"/>
          </w:tcPr>
          <w:p>
            <w:pPr>
              <w:pStyle w:val="1108"/>
              <w:rPr>
                <w:highlight w:val="none"/>
              </w:rPr>
            </w:pPr>
            <w:r>
              <w:rPr>
                <w:highlight w:val="none"/>
              </w:rPr>
            </w:r>
            <w:r/>
          </w:p>
        </w:tc>
        <w:tc>
          <w:tcPr>
            <w:tcW w:w="777" w:type="dxa"/>
            <w:textDirection w:val="lrTb"/>
            <w:noWrap w:val="false"/>
          </w:tcPr>
          <w:p>
            <w:pPr>
              <w:pStyle w:val="1108"/>
              <w:rPr>
                <w:highlight w:val="none"/>
              </w:rPr>
            </w:pPr>
            <w:r>
              <w:rPr>
                <w:highlight w:val="none"/>
              </w:rPr>
            </w:r>
            <w:r/>
          </w:p>
        </w:tc>
        <w:tc>
          <w:tcPr>
            <w:tcW w:w="791" w:type="dxa"/>
            <w:textDirection w:val="lrTb"/>
            <w:noWrap w:val="false"/>
          </w:tcPr>
          <w:p>
            <w:pPr>
              <w:pStyle w:val="1108"/>
              <w:rPr>
                <w:highlight w:val="none"/>
              </w:rPr>
            </w:pPr>
            <w:r>
              <w:rPr>
                <w:highlight w:val="none"/>
              </w:rPr>
            </w:r>
            <w:r/>
          </w:p>
        </w:tc>
        <w:tc>
          <w:tcPr>
            <w:tcW w:w="1597" w:type="dxa"/>
            <w:textDirection w:val="lrTb"/>
            <w:noWrap w:val="false"/>
          </w:tcPr>
          <w:p>
            <w:pPr>
              <w:pStyle w:val="1108"/>
              <w:rPr>
                <w:highlight w:val="none"/>
              </w:rPr>
            </w:pPr>
            <w:r>
              <w:rPr>
                <w:highlight w:val="none"/>
              </w:rPr>
            </w:r>
            <w:r/>
          </w:p>
        </w:tc>
        <w:tc>
          <w:tcPr>
            <w:tcW w:w="1429" w:type="dxa"/>
            <w:textDirection w:val="lrTb"/>
            <w:noWrap w:val="false"/>
          </w:tcPr>
          <w:p>
            <w:pPr>
              <w:pStyle w:val="1108"/>
              <w:rPr>
                <w:highlight w:val="none"/>
              </w:rPr>
            </w:pPr>
            <w:r>
              <w:rPr>
                <w:highlight w:val="none"/>
              </w:rPr>
            </w:r>
            <w:r/>
          </w:p>
        </w:tc>
        <w:tc>
          <w:tcPr>
            <w:tcW w:w="1937" w:type="dxa"/>
            <w:textDirection w:val="lrTb"/>
            <w:noWrap w:val="false"/>
          </w:tcPr>
          <w:p>
            <w:pPr>
              <w:pStyle w:val="1108"/>
              <w:rPr>
                <w:highlight w:val="none"/>
              </w:rPr>
            </w:pPr>
            <w:r>
              <w:rPr>
                <w:highlight w:val="none"/>
              </w:rPr>
            </w:r>
            <w:r/>
          </w:p>
        </w:tc>
        <w:tc>
          <w:tcPr>
            <w:tcW w:w="972" w:type="dxa"/>
            <w:textDirection w:val="lrTb"/>
            <w:noWrap w:val="false"/>
          </w:tcPr>
          <w:p>
            <w:pPr>
              <w:pStyle w:val="1108"/>
              <w:rPr>
                <w:highlight w:val="none"/>
              </w:rPr>
            </w:pPr>
            <w:r>
              <w:rPr>
                <w:highlight w:val="none"/>
              </w:rPr>
            </w:r>
            <w:r/>
          </w:p>
        </w:tc>
      </w:tr>
      <w:tr>
        <w:trPr>
          <w:trHeight w:val="598"/>
        </w:trPr>
        <w:tc>
          <w:tcPr>
            <w:tcW w:w="777" w:type="dxa"/>
            <w:textDirection w:val="lrTb"/>
            <w:noWrap w:val="false"/>
          </w:tcPr>
          <w:p>
            <w:pPr>
              <w:pStyle w:val="1108"/>
              <w:rPr>
                <w:highlight w:val="none"/>
              </w:rPr>
            </w:pPr>
            <w:r>
              <w:rPr>
                <w:highlight w:val="none"/>
              </w:rPr>
            </w:r>
            <w:r/>
          </w:p>
        </w:tc>
        <w:tc>
          <w:tcPr>
            <w:tcW w:w="1228" w:type="dxa"/>
            <w:textDirection w:val="lrTb"/>
            <w:noWrap w:val="false"/>
          </w:tcPr>
          <w:p>
            <w:pPr>
              <w:pStyle w:val="1108"/>
              <w:rPr>
                <w:highlight w:val="none"/>
              </w:rPr>
            </w:pPr>
            <w:r>
              <w:rPr>
                <w:highlight w:val="none"/>
              </w:rPr>
            </w:r>
            <w:r/>
          </w:p>
        </w:tc>
        <w:tc>
          <w:tcPr>
            <w:tcW w:w="777" w:type="dxa"/>
            <w:textDirection w:val="lrTb"/>
            <w:noWrap w:val="false"/>
          </w:tcPr>
          <w:p>
            <w:pPr>
              <w:pStyle w:val="1108"/>
              <w:rPr>
                <w:highlight w:val="none"/>
              </w:rPr>
            </w:pPr>
            <w:r>
              <w:rPr>
                <w:highlight w:val="none"/>
              </w:rPr>
            </w:r>
            <w:r/>
          </w:p>
        </w:tc>
        <w:tc>
          <w:tcPr>
            <w:tcW w:w="791" w:type="dxa"/>
            <w:textDirection w:val="lrTb"/>
            <w:noWrap w:val="false"/>
          </w:tcPr>
          <w:p>
            <w:pPr>
              <w:pStyle w:val="1108"/>
              <w:rPr>
                <w:highlight w:val="none"/>
              </w:rPr>
            </w:pPr>
            <w:r>
              <w:rPr>
                <w:highlight w:val="none"/>
              </w:rPr>
            </w:r>
            <w:r/>
          </w:p>
        </w:tc>
        <w:tc>
          <w:tcPr>
            <w:tcW w:w="1597" w:type="dxa"/>
            <w:textDirection w:val="lrTb"/>
            <w:noWrap w:val="false"/>
          </w:tcPr>
          <w:p>
            <w:pPr>
              <w:pStyle w:val="1108"/>
              <w:rPr>
                <w:highlight w:val="none"/>
              </w:rPr>
            </w:pPr>
            <w:r>
              <w:rPr>
                <w:highlight w:val="none"/>
              </w:rPr>
            </w:r>
            <w:r/>
          </w:p>
        </w:tc>
        <w:tc>
          <w:tcPr>
            <w:tcW w:w="1429" w:type="dxa"/>
            <w:textDirection w:val="lrTb"/>
            <w:noWrap w:val="false"/>
          </w:tcPr>
          <w:p>
            <w:pPr>
              <w:pStyle w:val="1108"/>
              <w:rPr>
                <w:highlight w:val="none"/>
              </w:rPr>
            </w:pPr>
            <w:r>
              <w:rPr>
                <w:highlight w:val="none"/>
              </w:rPr>
            </w:r>
            <w:r/>
          </w:p>
        </w:tc>
        <w:tc>
          <w:tcPr>
            <w:tcW w:w="1937" w:type="dxa"/>
            <w:textDirection w:val="lrTb"/>
            <w:noWrap w:val="false"/>
          </w:tcPr>
          <w:p>
            <w:pPr>
              <w:pStyle w:val="1108"/>
              <w:rPr>
                <w:highlight w:val="none"/>
              </w:rPr>
            </w:pPr>
            <w:r>
              <w:rPr>
                <w:highlight w:val="none"/>
              </w:rPr>
            </w:r>
            <w:r/>
          </w:p>
        </w:tc>
        <w:tc>
          <w:tcPr>
            <w:tcW w:w="972" w:type="dxa"/>
            <w:textDirection w:val="lrTb"/>
            <w:noWrap w:val="false"/>
          </w:tcPr>
          <w:p>
            <w:pPr>
              <w:pStyle w:val="1108"/>
              <w:rPr>
                <w:highlight w:val="none"/>
              </w:rPr>
            </w:pPr>
            <w:r>
              <w:rPr>
                <w:highlight w:val="none"/>
              </w:rPr>
            </w:r>
            <w:r/>
          </w:p>
        </w:tc>
      </w:tr>
      <w:tr>
        <w:trPr>
          <w:trHeight w:val="598"/>
        </w:trPr>
        <w:tc>
          <w:tcPr>
            <w:tcW w:w="777" w:type="dxa"/>
            <w:textDirection w:val="lrTb"/>
            <w:noWrap w:val="false"/>
          </w:tcPr>
          <w:p>
            <w:pPr>
              <w:pStyle w:val="1108"/>
              <w:rPr>
                <w:highlight w:val="none"/>
              </w:rPr>
            </w:pPr>
            <w:r>
              <w:rPr>
                <w:highlight w:val="none"/>
              </w:rPr>
            </w:r>
            <w:r/>
          </w:p>
        </w:tc>
        <w:tc>
          <w:tcPr>
            <w:tcW w:w="1228" w:type="dxa"/>
            <w:textDirection w:val="lrTb"/>
            <w:noWrap w:val="false"/>
          </w:tcPr>
          <w:p>
            <w:pPr>
              <w:pStyle w:val="1108"/>
              <w:rPr>
                <w:highlight w:val="none"/>
              </w:rPr>
            </w:pPr>
            <w:r>
              <w:rPr>
                <w:highlight w:val="none"/>
              </w:rPr>
            </w:r>
            <w:r/>
          </w:p>
        </w:tc>
        <w:tc>
          <w:tcPr>
            <w:tcW w:w="777" w:type="dxa"/>
            <w:textDirection w:val="lrTb"/>
            <w:noWrap w:val="false"/>
          </w:tcPr>
          <w:p>
            <w:pPr>
              <w:pStyle w:val="1108"/>
              <w:rPr>
                <w:highlight w:val="none"/>
              </w:rPr>
            </w:pPr>
            <w:r>
              <w:rPr>
                <w:highlight w:val="none"/>
              </w:rPr>
            </w:r>
            <w:r/>
          </w:p>
        </w:tc>
        <w:tc>
          <w:tcPr>
            <w:tcW w:w="791" w:type="dxa"/>
            <w:textDirection w:val="lrTb"/>
            <w:noWrap w:val="false"/>
          </w:tcPr>
          <w:p>
            <w:pPr>
              <w:pStyle w:val="1108"/>
              <w:rPr>
                <w:highlight w:val="none"/>
              </w:rPr>
            </w:pPr>
            <w:r>
              <w:rPr>
                <w:highlight w:val="none"/>
              </w:rPr>
            </w:r>
            <w:r/>
          </w:p>
        </w:tc>
        <w:tc>
          <w:tcPr>
            <w:tcW w:w="1597" w:type="dxa"/>
            <w:textDirection w:val="lrTb"/>
            <w:noWrap w:val="false"/>
          </w:tcPr>
          <w:p>
            <w:pPr>
              <w:pStyle w:val="1108"/>
              <w:rPr>
                <w:highlight w:val="none"/>
              </w:rPr>
            </w:pPr>
            <w:r>
              <w:rPr>
                <w:highlight w:val="none"/>
              </w:rPr>
            </w:r>
            <w:r/>
          </w:p>
        </w:tc>
        <w:tc>
          <w:tcPr>
            <w:tcW w:w="1429" w:type="dxa"/>
            <w:textDirection w:val="lrTb"/>
            <w:noWrap w:val="false"/>
          </w:tcPr>
          <w:p>
            <w:pPr>
              <w:pStyle w:val="1108"/>
              <w:rPr>
                <w:highlight w:val="none"/>
              </w:rPr>
            </w:pPr>
            <w:r>
              <w:rPr>
                <w:highlight w:val="none"/>
              </w:rPr>
            </w:r>
            <w:r/>
          </w:p>
        </w:tc>
        <w:tc>
          <w:tcPr>
            <w:tcW w:w="1937" w:type="dxa"/>
            <w:textDirection w:val="lrTb"/>
            <w:noWrap w:val="false"/>
          </w:tcPr>
          <w:p>
            <w:pPr>
              <w:pStyle w:val="1108"/>
              <w:rPr>
                <w:highlight w:val="none"/>
              </w:rPr>
            </w:pPr>
            <w:r>
              <w:rPr>
                <w:highlight w:val="none"/>
              </w:rPr>
            </w:r>
            <w:r/>
          </w:p>
        </w:tc>
        <w:tc>
          <w:tcPr>
            <w:tcW w:w="972" w:type="dxa"/>
            <w:textDirection w:val="lrTb"/>
            <w:noWrap w:val="false"/>
          </w:tcPr>
          <w:p>
            <w:pPr>
              <w:pStyle w:val="1108"/>
              <w:rPr>
                <w:highlight w:val="none"/>
              </w:rPr>
            </w:pPr>
            <w:r>
              <w:rPr>
                <w:highlight w:val="none"/>
              </w:rPr>
            </w:r>
            <w:r/>
          </w:p>
        </w:tc>
      </w:tr>
      <w:tr>
        <w:trPr>
          <w:trHeight w:val="609"/>
        </w:trPr>
        <w:tc>
          <w:tcPr>
            <w:tcW w:w="777" w:type="dxa"/>
            <w:textDirection w:val="lrTb"/>
            <w:noWrap w:val="false"/>
          </w:tcPr>
          <w:p>
            <w:pPr>
              <w:pStyle w:val="1108"/>
              <w:rPr>
                <w:highlight w:val="none"/>
              </w:rPr>
            </w:pPr>
            <w:r>
              <w:rPr>
                <w:highlight w:val="none"/>
              </w:rPr>
            </w:r>
            <w:r/>
          </w:p>
        </w:tc>
        <w:tc>
          <w:tcPr>
            <w:tcW w:w="1228" w:type="dxa"/>
            <w:textDirection w:val="lrTb"/>
            <w:noWrap w:val="false"/>
          </w:tcPr>
          <w:p>
            <w:pPr>
              <w:pStyle w:val="1108"/>
              <w:rPr>
                <w:highlight w:val="none"/>
              </w:rPr>
            </w:pPr>
            <w:r>
              <w:rPr>
                <w:highlight w:val="none"/>
              </w:rPr>
            </w:r>
            <w:r/>
          </w:p>
        </w:tc>
        <w:tc>
          <w:tcPr>
            <w:tcW w:w="777" w:type="dxa"/>
            <w:textDirection w:val="lrTb"/>
            <w:noWrap w:val="false"/>
          </w:tcPr>
          <w:p>
            <w:pPr>
              <w:pStyle w:val="1108"/>
              <w:rPr>
                <w:highlight w:val="none"/>
              </w:rPr>
            </w:pPr>
            <w:r>
              <w:rPr>
                <w:highlight w:val="none"/>
              </w:rPr>
            </w:r>
            <w:r/>
          </w:p>
        </w:tc>
        <w:tc>
          <w:tcPr>
            <w:tcW w:w="791" w:type="dxa"/>
            <w:textDirection w:val="lrTb"/>
            <w:noWrap w:val="false"/>
          </w:tcPr>
          <w:p>
            <w:pPr>
              <w:pStyle w:val="1108"/>
              <w:rPr>
                <w:highlight w:val="none"/>
              </w:rPr>
            </w:pPr>
            <w:r>
              <w:rPr>
                <w:highlight w:val="none"/>
              </w:rPr>
            </w:r>
            <w:r/>
          </w:p>
        </w:tc>
        <w:tc>
          <w:tcPr>
            <w:tcW w:w="1597" w:type="dxa"/>
            <w:textDirection w:val="lrTb"/>
            <w:noWrap w:val="false"/>
          </w:tcPr>
          <w:p>
            <w:pPr>
              <w:pStyle w:val="1108"/>
              <w:rPr>
                <w:highlight w:val="none"/>
              </w:rPr>
            </w:pPr>
            <w:r>
              <w:rPr>
                <w:highlight w:val="none"/>
              </w:rPr>
            </w:r>
            <w:r/>
          </w:p>
        </w:tc>
        <w:tc>
          <w:tcPr>
            <w:tcW w:w="1429" w:type="dxa"/>
            <w:textDirection w:val="lrTb"/>
            <w:noWrap w:val="false"/>
          </w:tcPr>
          <w:p>
            <w:pPr>
              <w:pStyle w:val="1108"/>
              <w:rPr>
                <w:highlight w:val="none"/>
              </w:rPr>
            </w:pPr>
            <w:r>
              <w:rPr>
                <w:highlight w:val="none"/>
              </w:rPr>
            </w:r>
            <w:r/>
          </w:p>
        </w:tc>
        <w:tc>
          <w:tcPr>
            <w:tcW w:w="1937" w:type="dxa"/>
            <w:textDirection w:val="lrTb"/>
            <w:noWrap w:val="false"/>
          </w:tcPr>
          <w:p>
            <w:pPr>
              <w:pStyle w:val="1108"/>
              <w:rPr>
                <w:highlight w:val="none"/>
              </w:rPr>
            </w:pPr>
            <w:r>
              <w:rPr>
                <w:highlight w:val="none"/>
              </w:rPr>
            </w:r>
            <w:r/>
          </w:p>
        </w:tc>
        <w:tc>
          <w:tcPr>
            <w:tcW w:w="972" w:type="dxa"/>
            <w:textDirection w:val="lrTb"/>
            <w:noWrap w:val="false"/>
          </w:tcPr>
          <w:p>
            <w:pPr>
              <w:pStyle w:val="1108"/>
              <w:rPr>
                <w:highlight w:val="none"/>
              </w:rPr>
            </w:pPr>
            <w:r>
              <w:rPr>
                <w:highlight w:val="none"/>
              </w:rPr>
            </w:r>
            <w:r/>
          </w:p>
        </w:tc>
      </w:tr>
    </w:tbl>
    <w:p>
      <w:pPr>
        <w:pStyle w:val="1091"/>
        <w:rPr>
          <w:highlight w:val="none"/>
        </w:rPr>
      </w:pPr>
      <w:r>
        <w:rPr>
          <w:highlight w:val="none"/>
        </w:rPr>
        <w:t xml:space="preserve">说明：如果行数不够，请自行增加。</w:t>
      </w:r>
      <w:r/>
    </w:p>
    <w:p>
      <w:pPr>
        <w:pStyle w:val="1091"/>
        <w:rPr>
          <w:highlight w:val="none"/>
        </w:rPr>
      </w:pPr>
      <w:r>
        <w:rPr>
          <w:highlight w:val="none"/>
        </w:rPr>
      </w:r>
      <w:r/>
    </w:p>
    <w:p>
      <w:pPr>
        <w:pStyle w:val="1091"/>
        <w:rPr>
          <w:highlight w:val="none"/>
        </w:rPr>
      </w:pPr>
      <w:r>
        <w:rPr>
          <w:highlight w:val="none"/>
        </w:rPr>
        <w:t xml:space="preserve">投标人名称：</w:t>
      </w:r>
      <w:r>
        <w:rPr>
          <w:highlight w:val="none"/>
          <w:u w:val="single"/>
        </w:rPr>
        <w:t xml:space="preserve"> </w:t>
      </w:r>
      <w:r>
        <w:rPr>
          <w:highlight w:val="none"/>
          <w:u w:val="single"/>
        </w:rPr>
        <w:tab/>
      </w:r>
      <w:r>
        <w:rPr>
          <w:highlight w:val="none"/>
        </w:rPr>
        <w:t xml:space="preserve">（盖章）</w:t>
      </w:r>
      <w:r/>
    </w:p>
    <w:p>
      <w:pPr>
        <w:pStyle w:val="1117"/>
        <w:rPr>
          <w:highlight w:val="none"/>
        </w:rPr>
      </w:pPr>
      <w:r>
        <w:rPr>
          <w:highlight w:val="none"/>
        </w:rPr>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（三）投标人类似业绩情况表格式</w:t>
      </w:r>
      <w:r/>
    </w:p>
    <w:p>
      <w:pPr>
        <w:pStyle w:val="1091"/>
        <w:rPr>
          <w:highlight w:val="none"/>
        </w:rPr>
      </w:pPr>
      <w:r>
        <w:rPr>
          <w:highlight w:val="none"/>
        </w:rPr>
        <w:t xml:space="preserve">投标人类似业绩情况表</w:t>
      </w:r>
      <w:r/>
    </w:p>
    <w:p>
      <w:pPr>
        <w:pStyle w:val="1091"/>
        <w:rPr>
          <w:highlight w:val="none"/>
        </w:rPr>
      </w:pPr>
      <w:r>
        <w:rPr>
          <w:highlight w:val="none"/>
        </w:rPr>
      </w:r>
      <w:r/>
    </w:p>
    <w:tbl>
      <w:tblPr>
        <w:tblStyle w:val="1090"/>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2310"/>
        <w:gridCol w:w="2257"/>
        <w:gridCol w:w="1255"/>
        <w:gridCol w:w="1418"/>
        <w:gridCol w:w="1134"/>
        <w:gridCol w:w="969"/>
      </w:tblGrid>
      <w:tr>
        <w:trPr>
          <w:trHeight w:val="933"/>
        </w:trPr>
        <w:tc>
          <w:tcPr>
            <w:tcW w:w="733" w:type="dxa"/>
            <w:textDirection w:val="lrTb"/>
            <w:noWrap w:val="false"/>
          </w:tcPr>
          <w:p>
            <w:pPr>
              <w:pStyle w:val="1108"/>
              <w:rPr>
                <w:highlight w:val="none"/>
              </w:rPr>
            </w:pPr>
            <w:r>
              <w:rPr>
                <w:highlight w:val="none"/>
              </w:rPr>
            </w:r>
            <w:r/>
          </w:p>
          <w:p>
            <w:pPr>
              <w:pStyle w:val="1108"/>
              <w:rPr>
                <w:highlight w:val="none"/>
              </w:rPr>
            </w:pPr>
            <w:r>
              <w:rPr>
                <w:highlight w:val="none"/>
              </w:rPr>
              <w:t xml:space="preserve">序号</w:t>
            </w:r>
            <w:r/>
          </w:p>
        </w:tc>
        <w:tc>
          <w:tcPr>
            <w:tcW w:w="2310" w:type="dxa"/>
            <w:textDirection w:val="lrTb"/>
            <w:noWrap w:val="false"/>
          </w:tcPr>
          <w:p>
            <w:pPr>
              <w:pStyle w:val="1108"/>
              <w:rPr>
                <w:highlight w:val="none"/>
              </w:rPr>
            </w:pPr>
            <w:r>
              <w:rPr>
                <w:highlight w:val="none"/>
              </w:rPr>
            </w:r>
            <w:r/>
          </w:p>
          <w:p>
            <w:pPr>
              <w:pStyle w:val="1108"/>
              <w:rPr>
                <w:highlight w:val="none"/>
              </w:rPr>
            </w:pPr>
            <w:r>
              <w:rPr>
                <w:highlight w:val="none"/>
              </w:rPr>
              <w:t xml:space="preserve">项目名称</w:t>
            </w:r>
            <w:r/>
          </w:p>
        </w:tc>
        <w:tc>
          <w:tcPr>
            <w:tcW w:w="2257" w:type="dxa"/>
            <w:textDirection w:val="lrTb"/>
            <w:noWrap w:val="false"/>
          </w:tcPr>
          <w:p>
            <w:pPr>
              <w:pStyle w:val="1108"/>
              <w:rPr>
                <w:highlight w:val="none"/>
              </w:rPr>
            </w:pPr>
            <w:r>
              <w:rPr>
                <w:highlight w:val="none"/>
              </w:rPr>
            </w:r>
            <w:r/>
          </w:p>
          <w:p>
            <w:pPr>
              <w:pStyle w:val="1108"/>
              <w:rPr>
                <w:highlight w:val="none"/>
              </w:rPr>
            </w:pPr>
            <w:r>
              <w:rPr>
                <w:highlight w:val="none"/>
              </w:rPr>
              <w:t xml:space="preserve">采购单位</w:t>
            </w:r>
            <w:r/>
          </w:p>
        </w:tc>
        <w:tc>
          <w:tcPr>
            <w:tcW w:w="1255" w:type="dxa"/>
            <w:textDirection w:val="lrTb"/>
            <w:noWrap w:val="false"/>
          </w:tcPr>
          <w:p>
            <w:pPr>
              <w:pStyle w:val="1108"/>
              <w:rPr>
                <w:highlight w:val="none"/>
              </w:rPr>
            </w:pPr>
            <w:r>
              <w:rPr>
                <w:highlight w:val="none"/>
              </w:rPr>
              <w:t xml:space="preserve">合同</w:t>
            </w:r>
            <w:r/>
          </w:p>
          <w:p>
            <w:pPr>
              <w:pStyle w:val="1108"/>
              <w:rPr>
                <w:highlight w:val="none"/>
              </w:rPr>
            </w:pPr>
            <w:r>
              <w:rPr>
                <w:highlight w:val="none"/>
              </w:rPr>
              <w:t xml:space="preserve">金额</w:t>
            </w:r>
            <w:r/>
          </w:p>
        </w:tc>
        <w:tc>
          <w:tcPr>
            <w:tcW w:w="1418" w:type="dxa"/>
            <w:textDirection w:val="lrTb"/>
            <w:noWrap w:val="false"/>
          </w:tcPr>
          <w:p>
            <w:pPr>
              <w:pStyle w:val="1108"/>
              <w:rPr>
                <w:highlight w:val="none"/>
              </w:rPr>
            </w:pPr>
            <w:r>
              <w:rPr>
                <w:highlight w:val="none"/>
              </w:rPr>
              <w:t xml:space="preserve">合同签定</w:t>
            </w:r>
            <w:r/>
          </w:p>
          <w:p>
            <w:pPr>
              <w:pStyle w:val="1108"/>
              <w:rPr>
                <w:highlight w:val="none"/>
              </w:rPr>
            </w:pPr>
            <w:r>
              <w:rPr>
                <w:highlight w:val="none"/>
              </w:rPr>
              <w:t xml:space="preserve">时间</w:t>
            </w:r>
            <w:r/>
          </w:p>
        </w:tc>
        <w:tc>
          <w:tcPr>
            <w:tcW w:w="1134" w:type="dxa"/>
            <w:textDirection w:val="lrTb"/>
            <w:noWrap w:val="false"/>
          </w:tcPr>
          <w:p>
            <w:pPr>
              <w:pStyle w:val="1108"/>
              <w:rPr>
                <w:highlight w:val="none"/>
              </w:rPr>
            </w:pPr>
            <w:r>
              <w:rPr>
                <w:highlight w:val="none"/>
              </w:rPr>
              <w:t xml:space="preserve">联系人</w:t>
            </w:r>
            <w:r/>
          </w:p>
          <w:p>
            <w:pPr>
              <w:pStyle w:val="1108"/>
              <w:rPr>
                <w:highlight w:val="none"/>
              </w:rPr>
            </w:pPr>
            <w:r>
              <w:rPr>
                <w:highlight w:val="none"/>
              </w:rPr>
              <w:t xml:space="preserve">及电话</w:t>
            </w:r>
            <w:r/>
          </w:p>
        </w:tc>
        <w:tc>
          <w:tcPr>
            <w:tcW w:w="969" w:type="dxa"/>
            <w:textDirection w:val="lrTb"/>
            <w:noWrap w:val="false"/>
          </w:tcPr>
          <w:p>
            <w:pPr>
              <w:pStyle w:val="1108"/>
              <w:rPr>
                <w:highlight w:val="none"/>
              </w:rPr>
            </w:pPr>
            <w:r>
              <w:rPr>
                <w:highlight w:val="none"/>
              </w:rPr>
            </w:r>
            <w:r/>
          </w:p>
          <w:p>
            <w:pPr>
              <w:pStyle w:val="1108"/>
              <w:rPr>
                <w:highlight w:val="none"/>
              </w:rPr>
            </w:pPr>
            <w:r>
              <w:rPr>
                <w:highlight w:val="none"/>
              </w:rPr>
              <w:t xml:space="preserve">备注</w:t>
            </w:r>
            <w:r/>
          </w:p>
        </w:tc>
      </w:tr>
      <w:tr>
        <w:trPr>
          <w:trHeight w:val="466"/>
        </w:trPr>
        <w:tc>
          <w:tcPr>
            <w:tcW w:w="733" w:type="dxa"/>
            <w:textDirection w:val="lrTb"/>
            <w:noWrap w:val="false"/>
          </w:tcPr>
          <w:p>
            <w:pPr>
              <w:pStyle w:val="1108"/>
              <w:rPr>
                <w:highlight w:val="none"/>
              </w:rPr>
            </w:pPr>
            <w:r>
              <w:rPr>
                <w:highlight w:val="none"/>
              </w:rPr>
            </w:r>
            <w:r/>
          </w:p>
        </w:tc>
        <w:tc>
          <w:tcPr>
            <w:tcW w:w="2310" w:type="dxa"/>
            <w:textDirection w:val="lrTb"/>
            <w:noWrap w:val="false"/>
          </w:tcPr>
          <w:p>
            <w:pPr>
              <w:pStyle w:val="1108"/>
              <w:rPr>
                <w:highlight w:val="none"/>
              </w:rPr>
            </w:pPr>
            <w:r>
              <w:rPr>
                <w:highlight w:val="none"/>
              </w:rPr>
            </w:r>
            <w:r/>
          </w:p>
        </w:tc>
        <w:tc>
          <w:tcPr>
            <w:tcW w:w="2257" w:type="dxa"/>
            <w:textDirection w:val="lrTb"/>
            <w:noWrap w:val="false"/>
          </w:tcPr>
          <w:p>
            <w:pPr>
              <w:pStyle w:val="1108"/>
              <w:rPr>
                <w:highlight w:val="none"/>
              </w:rPr>
            </w:pPr>
            <w:r>
              <w:rPr>
                <w:highlight w:val="none"/>
              </w:rPr>
            </w:r>
            <w:r/>
          </w:p>
        </w:tc>
        <w:tc>
          <w:tcPr>
            <w:tcW w:w="1255" w:type="dxa"/>
            <w:textDirection w:val="lrTb"/>
            <w:noWrap w:val="false"/>
          </w:tcPr>
          <w:p>
            <w:pPr>
              <w:pStyle w:val="1108"/>
              <w:rPr>
                <w:highlight w:val="none"/>
              </w:rPr>
            </w:pPr>
            <w:r>
              <w:rPr>
                <w:highlight w:val="none"/>
              </w:rPr>
            </w:r>
            <w:r/>
          </w:p>
        </w:tc>
        <w:tc>
          <w:tcPr>
            <w:tcW w:w="1418" w:type="dxa"/>
            <w:textDirection w:val="lrTb"/>
            <w:noWrap w:val="false"/>
          </w:tcPr>
          <w:p>
            <w:pPr>
              <w:pStyle w:val="1108"/>
              <w:rPr>
                <w:highlight w:val="none"/>
              </w:rPr>
            </w:pPr>
            <w:r>
              <w:rPr>
                <w:highlight w:val="none"/>
              </w:rPr>
            </w:r>
            <w:r/>
          </w:p>
        </w:tc>
        <w:tc>
          <w:tcPr>
            <w:tcW w:w="1134" w:type="dxa"/>
            <w:textDirection w:val="lrTb"/>
            <w:noWrap w:val="false"/>
          </w:tcPr>
          <w:p>
            <w:pPr>
              <w:pStyle w:val="1108"/>
              <w:rPr>
                <w:highlight w:val="none"/>
              </w:rPr>
            </w:pPr>
            <w:r>
              <w:rPr>
                <w:highlight w:val="none"/>
              </w:rPr>
            </w:r>
            <w:r/>
          </w:p>
        </w:tc>
        <w:tc>
          <w:tcPr>
            <w:tcW w:w="969" w:type="dxa"/>
            <w:textDirection w:val="lrTb"/>
            <w:noWrap w:val="false"/>
          </w:tcPr>
          <w:p>
            <w:pPr>
              <w:pStyle w:val="1108"/>
              <w:rPr>
                <w:highlight w:val="none"/>
              </w:rPr>
            </w:pPr>
            <w:r>
              <w:rPr>
                <w:highlight w:val="none"/>
              </w:rPr>
            </w:r>
            <w:r/>
          </w:p>
        </w:tc>
      </w:tr>
      <w:tr>
        <w:trPr>
          <w:trHeight w:val="467"/>
        </w:trPr>
        <w:tc>
          <w:tcPr>
            <w:tcW w:w="733" w:type="dxa"/>
            <w:textDirection w:val="lrTb"/>
            <w:noWrap w:val="false"/>
          </w:tcPr>
          <w:p>
            <w:pPr>
              <w:pStyle w:val="1108"/>
              <w:rPr>
                <w:highlight w:val="none"/>
              </w:rPr>
            </w:pPr>
            <w:r>
              <w:rPr>
                <w:highlight w:val="none"/>
              </w:rPr>
            </w:r>
            <w:r/>
          </w:p>
        </w:tc>
        <w:tc>
          <w:tcPr>
            <w:tcW w:w="2310" w:type="dxa"/>
            <w:textDirection w:val="lrTb"/>
            <w:noWrap w:val="false"/>
          </w:tcPr>
          <w:p>
            <w:pPr>
              <w:pStyle w:val="1108"/>
              <w:rPr>
                <w:highlight w:val="none"/>
              </w:rPr>
            </w:pPr>
            <w:r>
              <w:rPr>
                <w:highlight w:val="none"/>
              </w:rPr>
            </w:r>
            <w:r/>
          </w:p>
        </w:tc>
        <w:tc>
          <w:tcPr>
            <w:tcW w:w="2257" w:type="dxa"/>
            <w:textDirection w:val="lrTb"/>
            <w:noWrap w:val="false"/>
          </w:tcPr>
          <w:p>
            <w:pPr>
              <w:pStyle w:val="1108"/>
              <w:rPr>
                <w:highlight w:val="none"/>
              </w:rPr>
            </w:pPr>
            <w:r>
              <w:rPr>
                <w:highlight w:val="none"/>
              </w:rPr>
            </w:r>
            <w:r/>
          </w:p>
        </w:tc>
        <w:tc>
          <w:tcPr>
            <w:tcW w:w="1255" w:type="dxa"/>
            <w:textDirection w:val="lrTb"/>
            <w:noWrap w:val="false"/>
          </w:tcPr>
          <w:p>
            <w:pPr>
              <w:pStyle w:val="1108"/>
              <w:rPr>
                <w:highlight w:val="none"/>
              </w:rPr>
            </w:pPr>
            <w:r>
              <w:rPr>
                <w:highlight w:val="none"/>
              </w:rPr>
            </w:r>
            <w:r/>
          </w:p>
        </w:tc>
        <w:tc>
          <w:tcPr>
            <w:tcW w:w="1418" w:type="dxa"/>
            <w:textDirection w:val="lrTb"/>
            <w:noWrap w:val="false"/>
          </w:tcPr>
          <w:p>
            <w:pPr>
              <w:pStyle w:val="1108"/>
              <w:rPr>
                <w:highlight w:val="none"/>
              </w:rPr>
            </w:pPr>
            <w:r>
              <w:rPr>
                <w:highlight w:val="none"/>
              </w:rPr>
            </w:r>
            <w:r/>
          </w:p>
        </w:tc>
        <w:tc>
          <w:tcPr>
            <w:tcW w:w="1134" w:type="dxa"/>
            <w:textDirection w:val="lrTb"/>
            <w:noWrap w:val="false"/>
          </w:tcPr>
          <w:p>
            <w:pPr>
              <w:pStyle w:val="1108"/>
              <w:rPr>
                <w:highlight w:val="none"/>
              </w:rPr>
            </w:pPr>
            <w:r>
              <w:rPr>
                <w:highlight w:val="none"/>
              </w:rPr>
            </w:r>
            <w:r/>
          </w:p>
        </w:tc>
        <w:tc>
          <w:tcPr>
            <w:tcW w:w="969" w:type="dxa"/>
            <w:textDirection w:val="lrTb"/>
            <w:noWrap w:val="false"/>
          </w:tcPr>
          <w:p>
            <w:pPr>
              <w:pStyle w:val="1108"/>
              <w:rPr>
                <w:highlight w:val="none"/>
              </w:rPr>
            </w:pPr>
            <w:r>
              <w:rPr>
                <w:highlight w:val="none"/>
              </w:rPr>
            </w:r>
            <w:r/>
          </w:p>
        </w:tc>
      </w:tr>
      <w:tr>
        <w:trPr>
          <w:trHeight w:val="467"/>
        </w:trPr>
        <w:tc>
          <w:tcPr>
            <w:tcW w:w="733" w:type="dxa"/>
            <w:textDirection w:val="lrTb"/>
            <w:noWrap w:val="false"/>
          </w:tcPr>
          <w:p>
            <w:pPr>
              <w:pStyle w:val="1108"/>
              <w:rPr>
                <w:highlight w:val="none"/>
              </w:rPr>
            </w:pPr>
            <w:r>
              <w:rPr>
                <w:highlight w:val="none"/>
              </w:rPr>
            </w:r>
            <w:r/>
          </w:p>
        </w:tc>
        <w:tc>
          <w:tcPr>
            <w:tcW w:w="2310" w:type="dxa"/>
            <w:textDirection w:val="lrTb"/>
            <w:noWrap w:val="false"/>
          </w:tcPr>
          <w:p>
            <w:pPr>
              <w:pStyle w:val="1108"/>
              <w:rPr>
                <w:highlight w:val="none"/>
              </w:rPr>
            </w:pPr>
            <w:r>
              <w:rPr>
                <w:highlight w:val="none"/>
              </w:rPr>
            </w:r>
            <w:r/>
          </w:p>
        </w:tc>
        <w:tc>
          <w:tcPr>
            <w:tcW w:w="2257" w:type="dxa"/>
            <w:textDirection w:val="lrTb"/>
            <w:noWrap w:val="false"/>
          </w:tcPr>
          <w:p>
            <w:pPr>
              <w:pStyle w:val="1108"/>
              <w:rPr>
                <w:highlight w:val="none"/>
              </w:rPr>
            </w:pPr>
            <w:r>
              <w:rPr>
                <w:highlight w:val="none"/>
              </w:rPr>
            </w:r>
            <w:r/>
          </w:p>
        </w:tc>
        <w:tc>
          <w:tcPr>
            <w:tcW w:w="1255" w:type="dxa"/>
            <w:textDirection w:val="lrTb"/>
            <w:noWrap w:val="false"/>
          </w:tcPr>
          <w:p>
            <w:pPr>
              <w:pStyle w:val="1108"/>
              <w:rPr>
                <w:highlight w:val="none"/>
              </w:rPr>
            </w:pPr>
            <w:r>
              <w:rPr>
                <w:highlight w:val="none"/>
              </w:rPr>
            </w:r>
            <w:r/>
          </w:p>
        </w:tc>
        <w:tc>
          <w:tcPr>
            <w:tcW w:w="1418" w:type="dxa"/>
            <w:textDirection w:val="lrTb"/>
            <w:noWrap w:val="false"/>
          </w:tcPr>
          <w:p>
            <w:pPr>
              <w:pStyle w:val="1108"/>
              <w:rPr>
                <w:highlight w:val="none"/>
              </w:rPr>
            </w:pPr>
            <w:r>
              <w:rPr>
                <w:highlight w:val="none"/>
              </w:rPr>
            </w:r>
            <w:r/>
          </w:p>
        </w:tc>
        <w:tc>
          <w:tcPr>
            <w:tcW w:w="1134" w:type="dxa"/>
            <w:textDirection w:val="lrTb"/>
            <w:noWrap w:val="false"/>
          </w:tcPr>
          <w:p>
            <w:pPr>
              <w:pStyle w:val="1108"/>
              <w:rPr>
                <w:highlight w:val="none"/>
              </w:rPr>
            </w:pPr>
            <w:r>
              <w:rPr>
                <w:highlight w:val="none"/>
              </w:rPr>
            </w:r>
            <w:r/>
          </w:p>
        </w:tc>
        <w:tc>
          <w:tcPr>
            <w:tcW w:w="969" w:type="dxa"/>
            <w:textDirection w:val="lrTb"/>
            <w:noWrap w:val="false"/>
          </w:tcPr>
          <w:p>
            <w:pPr>
              <w:pStyle w:val="1108"/>
              <w:rPr>
                <w:highlight w:val="none"/>
              </w:rPr>
            </w:pPr>
            <w:r>
              <w:rPr>
                <w:highlight w:val="none"/>
              </w:rPr>
            </w:r>
            <w:r/>
          </w:p>
        </w:tc>
      </w:tr>
    </w:tbl>
    <w:p>
      <w:pPr>
        <w:pStyle w:val="1091"/>
        <w:rPr>
          <w:spacing w:val="-17"/>
          <w:highlight w:val="none"/>
        </w:rPr>
      </w:pPr>
      <w:r>
        <w:rPr>
          <w:highlight w:val="none"/>
        </w:rPr>
        <w:t xml:space="preserve">说明：投标人根据本格式要求如实填写业绩情况表，并附业绩合同</w:t>
      </w:r>
      <w:r>
        <w:rPr>
          <w:rFonts w:hint="eastAsia"/>
          <w:highlight w:val="none"/>
          <w:lang w:val="en-US" w:eastAsia="zh-CN"/>
        </w:rPr>
        <w:t xml:space="preserve">扫描件</w:t>
      </w:r>
      <w:r>
        <w:rPr>
          <w:spacing w:val="-17"/>
          <w:highlight w:val="none"/>
        </w:rPr>
        <w:t xml:space="preserve">。</w:t>
      </w:r>
      <w:r/>
    </w:p>
    <w:p>
      <w:pPr>
        <w:pStyle w:val="1091"/>
        <w:rPr>
          <w:highlight w:val="none"/>
        </w:rPr>
      </w:pPr>
      <w:r>
        <w:rPr>
          <w:highlight w:val="none"/>
        </w:rPr>
        <w:t xml:space="preserve">投标人名称：</w:t>
      </w:r>
      <w:r>
        <w:rPr>
          <w:highlight w:val="none"/>
          <w:u w:val="single"/>
        </w:rPr>
        <w:t xml:space="preserve"> </w:t>
      </w:r>
      <w:r>
        <w:rPr>
          <w:highlight w:val="none"/>
          <w:u w:val="single"/>
        </w:rPr>
        <w:tab/>
      </w:r>
      <w:r>
        <w:rPr>
          <w:highlight w:val="none"/>
        </w:rPr>
        <w:t xml:space="preserve">（盖章）</w:t>
      </w:r>
      <w:r/>
    </w:p>
    <w:p>
      <w:pPr>
        <w:pStyle w:val="1091"/>
        <w:rPr>
          <w:highlight w:val="none"/>
        </w:rPr>
      </w:pPr>
      <w:r>
        <w:rPr>
          <w:highlight w:val="none"/>
        </w:rPr>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6.6、投标人认为需要提供的其他技术资料</w:t>
      </w:r>
      <w:r/>
    </w:p>
    <w:p>
      <w:pPr>
        <w:pStyle w:val="1091"/>
        <w:rPr>
          <w:highlight w:val="none"/>
        </w:rPr>
      </w:pPr>
      <w:r>
        <w:rPr>
          <w:highlight w:val="none"/>
        </w:rPr>
      </w:r>
      <w:r/>
    </w:p>
    <w:p>
      <w:pPr>
        <w:pStyle w:val="1091"/>
        <w:rPr>
          <w:highlight w:val="none"/>
        </w:rPr>
      </w:pPr>
      <w:r>
        <w:rPr>
          <w:highlight w:val="none"/>
        </w:rPr>
      </w:r>
      <w:r/>
    </w:p>
    <w:p>
      <w:pPr>
        <w:ind w:firstLine="420"/>
        <w:jc w:val="both"/>
        <w:spacing w:line="560" w:lineRule="exact"/>
        <w:rPr>
          <w:rFonts w:ascii="Times New Roman" w:hAnsi="Times New Roman" w:cs="Times New Roman"/>
          <w:sz w:val="21"/>
          <w:szCs w:val="21"/>
          <w:highlight w:val="none"/>
        </w:rPr>
        <w:sectPr>
          <w:footerReference w:type="default" r:id="rId15"/>
          <w:footnotePr/>
          <w:endnotePr/>
          <w:type w:val="nextPage"/>
          <w:pgSz w:w="11910" w:h="16840" w:orient="portrait"/>
          <w:pgMar w:top="1460" w:right="800" w:bottom="920" w:left="800" w:header="492" w:footer="726" w:gutter="0"/>
          <w:cols w:num="1" w:sep="0" w:space="720" w:equalWidth="1"/>
          <w:docGrid w:linePitch="360"/>
        </w:sectPr>
      </w:pPr>
      <w:r>
        <w:rPr>
          <w:rFonts w:ascii="Times New Roman" w:hAnsi="Times New Roman" w:cs="Times New Roman"/>
          <w:sz w:val="21"/>
          <w:szCs w:val="21"/>
          <w:highlight w:val="none"/>
        </w:rPr>
      </w:r>
      <w:r/>
    </w:p>
    <w:p>
      <w:pPr>
        <w:pStyle w:val="1085"/>
        <w:ind w:left="0" w:firstLine="422"/>
        <w:jc w:val="both"/>
        <w:spacing w:line="560" w:lineRule="exact"/>
        <w:rPr>
          <w:rFonts w:ascii="Times New Roman" w:hAnsi="Times New Roman" w:cs="Times New Roman"/>
          <w:sz w:val="21"/>
          <w:szCs w:val="21"/>
          <w:highlight w:val="none"/>
          <w:u w:val="none"/>
          <w:lang w:val="en-US"/>
        </w:rPr>
      </w:pPr>
      <w:r>
        <w:rPr>
          <w:rFonts w:hint="eastAsia" w:ascii="Times New Roman" w:hAnsi="Times New Roman" w:cs="Times New Roman"/>
          <w:sz w:val="21"/>
          <w:szCs w:val="21"/>
          <w:highlight w:val="none"/>
          <w:u w:val="none"/>
          <w:lang w:val="en-US"/>
        </w:rPr>
        <w:t xml:space="preserve">七</w:t>
      </w:r>
      <w:r>
        <w:rPr>
          <w:rFonts w:ascii="Times New Roman" w:hAnsi="Times New Roman" w:cs="Times New Roman"/>
          <w:sz w:val="21"/>
          <w:szCs w:val="21"/>
          <w:highlight w:val="none"/>
          <w:u w:val="none"/>
          <w:lang w:val="en-US"/>
        </w:rPr>
        <w:t xml:space="preserve">、价格部分</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5.1、开标一览表</w:t>
      </w:r>
      <w:r/>
    </w:p>
    <w:p>
      <w:pPr>
        <w:pStyle w:val="1091"/>
        <w:rPr>
          <w:highlight w:val="none"/>
        </w:rPr>
      </w:pPr>
      <w:r>
        <w:rPr>
          <w:highlight w:val="none"/>
        </w:rPr>
      </w:r>
      <w:r/>
    </w:p>
    <w:p>
      <w:pPr>
        <w:pStyle w:val="1091"/>
        <w:rPr>
          <w:highlight w:val="none"/>
        </w:rPr>
      </w:pPr>
      <w:r>
        <w:rPr>
          <w:highlight w:val="none"/>
        </w:rPr>
        <w:t xml:space="preserve">开标一览表格式</w:t>
      </w:r>
      <w:r/>
    </w:p>
    <w:p>
      <w:pPr>
        <w:pStyle w:val="1091"/>
        <w:rPr>
          <w:highlight w:val="none"/>
        </w:rPr>
      </w:pPr>
      <w:r>
        <w:rPr>
          <w:highlight w:val="none"/>
        </w:rPr>
      </w:r>
      <w:r/>
    </w:p>
    <w:p>
      <w:pPr>
        <w:pStyle w:val="1091"/>
        <w:rPr>
          <w:highlight w:val="none"/>
        </w:rPr>
      </w:pPr>
      <w:r>
        <w:rPr>
          <w:highlight w:val="none"/>
        </w:rPr>
        <w:t xml:space="preserve">项目名称：</w:t>
      </w:r>
      <w:r>
        <w:rPr>
          <w:highlight w:val="none"/>
        </w:rPr>
        <w:tab/>
      </w:r>
      <w:r>
        <w:rPr>
          <w:highlight w:val="none"/>
        </w:rPr>
        <w:t xml:space="preserve">项目编号：</w:t>
      </w:r>
      <w:r/>
    </w:p>
    <w:tbl>
      <w:tblPr>
        <w:tblStyle w:val="1090"/>
        <w:tblW w:w="9385" w:type="dxa"/>
        <w:tblInd w:w="6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2158"/>
        <w:gridCol w:w="1622"/>
      </w:tblGrid>
      <w:tr>
        <w:trPr>
          <w:trHeight w:val="545"/>
        </w:trPr>
        <w:tc>
          <w:tcPr>
            <w:tcW w:w="1105" w:type="dxa"/>
            <w:textDirection w:val="lrTb"/>
            <w:noWrap w:val="false"/>
          </w:tcPr>
          <w:p>
            <w:pPr>
              <w:pStyle w:val="1108"/>
              <w:rPr>
                <w:highlight w:val="none"/>
              </w:rPr>
            </w:pPr>
            <w:r>
              <w:rPr>
                <w:highlight w:val="none"/>
              </w:rPr>
              <w:t xml:space="preserve">序号</w:t>
            </w:r>
            <w:r/>
          </w:p>
        </w:tc>
        <w:tc>
          <w:tcPr>
            <w:gridSpan w:val="2"/>
            <w:tcW w:w="4500" w:type="dxa"/>
            <w:textDirection w:val="lrTb"/>
            <w:noWrap w:val="false"/>
          </w:tcPr>
          <w:p>
            <w:pPr>
              <w:pStyle w:val="1108"/>
              <w:rPr>
                <w:highlight w:val="none"/>
              </w:rPr>
            </w:pPr>
            <w:r>
              <w:rPr>
                <w:highlight w:val="none"/>
              </w:rPr>
              <w:t xml:space="preserve">名</w:t>
            </w:r>
            <w:r>
              <w:rPr>
                <w:highlight w:val="none"/>
              </w:rPr>
              <w:tab/>
            </w:r>
            <w:r>
              <w:rPr>
                <w:highlight w:val="none"/>
              </w:rPr>
              <w:t xml:space="preserve">称</w:t>
            </w:r>
            <w:r/>
          </w:p>
        </w:tc>
        <w:tc>
          <w:tcPr>
            <w:tcW w:w="2158" w:type="dxa"/>
            <w:textDirection w:val="lrTb"/>
            <w:noWrap w:val="false"/>
          </w:tcPr>
          <w:p>
            <w:pPr>
              <w:pStyle w:val="1108"/>
              <w:rPr>
                <w:highlight w:val="none"/>
              </w:rPr>
            </w:pPr>
            <w:r>
              <w:rPr>
                <w:highlight w:val="none"/>
              </w:rPr>
              <w:t xml:space="preserve">报价（元）</w:t>
            </w:r>
            <w:r/>
          </w:p>
        </w:tc>
        <w:tc>
          <w:tcPr>
            <w:tcW w:w="1622" w:type="dxa"/>
            <w:textDirection w:val="lrTb"/>
            <w:noWrap w:val="false"/>
          </w:tcPr>
          <w:p>
            <w:pPr>
              <w:pStyle w:val="1108"/>
              <w:rPr>
                <w:highlight w:val="none"/>
              </w:rPr>
            </w:pPr>
            <w:r>
              <w:rPr>
                <w:highlight w:val="none"/>
              </w:rPr>
              <w:t xml:space="preserve">备注</w:t>
            </w:r>
            <w:r/>
          </w:p>
        </w:tc>
      </w:tr>
      <w:tr>
        <w:trPr>
          <w:trHeight w:val="544"/>
        </w:trPr>
        <w:tc>
          <w:tcPr>
            <w:tcW w:w="1105" w:type="dxa"/>
            <w:textDirection w:val="lrTb"/>
            <w:noWrap w:val="false"/>
          </w:tcPr>
          <w:p>
            <w:pPr>
              <w:pStyle w:val="1108"/>
              <w:rPr>
                <w:highlight w:val="none"/>
              </w:rPr>
            </w:pPr>
            <w:r>
              <w:rPr>
                <w:highlight w:val="none"/>
              </w:rPr>
            </w:r>
            <w:r/>
          </w:p>
        </w:tc>
        <w:tc>
          <w:tcPr>
            <w:gridSpan w:val="2"/>
            <w:tcW w:w="4500" w:type="dxa"/>
            <w:textDirection w:val="lrTb"/>
            <w:noWrap w:val="false"/>
          </w:tcPr>
          <w:p>
            <w:pPr>
              <w:pStyle w:val="1108"/>
              <w:rPr>
                <w:highlight w:val="none"/>
              </w:rPr>
            </w:pPr>
            <w:r>
              <w:rPr>
                <w:highlight w:val="none"/>
              </w:rPr>
            </w:r>
            <w:r/>
          </w:p>
        </w:tc>
        <w:tc>
          <w:tcPr>
            <w:tcW w:w="2158" w:type="dxa"/>
            <w:textDirection w:val="lrTb"/>
            <w:noWrap w:val="false"/>
          </w:tcPr>
          <w:p>
            <w:pPr>
              <w:pStyle w:val="1108"/>
              <w:rPr>
                <w:highlight w:val="none"/>
              </w:rPr>
            </w:pPr>
            <w:r>
              <w:rPr>
                <w:highlight w:val="none"/>
              </w:rPr>
            </w:r>
            <w:r/>
          </w:p>
        </w:tc>
        <w:tc>
          <w:tcPr>
            <w:tcW w:w="1622" w:type="dxa"/>
            <w:textDirection w:val="lrTb"/>
            <w:noWrap w:val="false"/>
          </w:tcPr>
          <w:p>
            <w:pPr>
              <w:pStyle w:val="1108"/>
              <w:rPr>
                <w:highlight w:val="none"/>
              </w:rPr>
            </w:pPr>
            <w:r>
              <w:rPr>
                <w:highlight w:val="none"/>
              </w:rPr>
            </w:r>
            <w:r/>
          </w:p>
        </w:tc>
      </w:tr>
      <w:tr>
        <w:trPr>
          <w:trHeight w:val="545"/>
        </w:trPr>
        <w:tc>
          <w:tcPr>
            <w:tcW w:w="1105" w:type="dxa"/>
            <w:textDirection w:val="lrTb"/>
            <w:noWrap w:val="false"/>
          </w:tcPr>
          <w:p>
            <w:pPr>
              <w:pStyle w:val="1108"/>
              <w:rPr>
                <w:highlight w:val="none"/>
              </w:rPr>
            </w:pPr>
            <w:r>
              <w:rPr>
                <w:highlight w:val="none"/>
              </w:rPr>
            </w:r>
            <w:r/>
          </w:p>
        </w:tc>
        <w:tc>
          <w:tcPr>
            <w:gridSpan w:val="2"/>
            <w:tcW w:w="4500" w:type="dxa"/>
            <w:textDirection w:val="lrTb"/>
            <w:noWrap w:val="false"/>
          </w:tcPr>
          <w:p>
            <w:pPr>
              <w:pStyle w:val="1108"/>
              <w:rPr>
                <w:highlight w:val="none"/>
              </w:rPr>
            </w:pPr>
            <w:r>
              <w:rPr>
                <w:highlight w:val="none"/>
              </w:rPr>
            </w:r>
            <w:r/>
          </w:p>
        </w:tc>
        <w:tc>
          <w:tcPr>
            <w:tcW w:w="2158" w:type="dxa"/>
            <w:textDirection w:val="lrTb"/>
            <w:noWrap w:val="false"/>
          </w:tcPr>
          <w:p>
            <w:pPr>
              <w:pStyle w:val="1108"/>
              <w:rPr>
                <w:highlight w:val="none"/>
              </w:rPr>
            </w:pPr>
            <w:r>
              <w:rPr>
                <w:highlight w:val="none"/>
              </w:rPr>
            </w:r>
            <w:r/>
          </w:p>
        </w:tc>
        <w:tc>
          <w:tcPr>
            <w:tcW w:w="1622" w:type="dxa"/>
            <w:textDirection w:val="lrTb"/>
            <w:noWrap w:val="false"/>
          </w:tcPr>
          <w:p>
            <w:pPr>
              <w:pStyle w:val="1108"/>
              <w:rPr>
                <w:highlight w:val="none"/>
              </w:rPr>
            </w:pPr>
            <w:r>
              <w:rPr>
                <w:highlight w:val="none"/>
              </w:rPr>
            </w:r>
            <w:r/>
          </w:p>
        </w:tc>
      </w:tr>
      <w:tr>
        <w:trPr>
          <w:trHeight w:val="544"/>
        </w:trPr>
        <w:tc>
          <w:tcPr>
            <w:tcW w:w="1105" w:type="dxa"/>
            <w:textDirection w:val="lrTb"/>
            <w:noWrap w:val="false"/>
          </w:tcPr>
          <w:p>
            <w:pPr>
              <w:pStyle w:val="1108"/>
              <w:rPr>
                <w:highlight w:val="none"/>
              </w:rPr>
            </w:pPr>
            <w:r>
              <w:rPr>
                <w:highlight w:val="none"/>
              </w:rPr>
            </w:r>
            <w:r/>
          </w:p>
        </w:tc>
        <w:tc>
          <w:tcPr>
            <w:gridSpan w:val="2"/>
            <w:tcW w:w="4500" w:type="dxa"/>
            <w:textDirection w:val="lrTb"/>
            <w:noWrap w:val="false"/>
          </w:tcPr>
          <w:p>
            <w:pPr>
              <w:pStyle w:val="1108"/>
              <w:rPr>
                <w:highlight w:val="none"/>
              </w:rPr>
            </w:pPr>
            <w:r>
              <w:rPr>
                <w:highlight w:val="none"/>
              </w:rPr>
            </w:r>
            <w:r/>
          </w:p>
        </w:tc>
        <w:tc>
          <w:tcPr>
            <w:tcW w:w="2158" w:type="dxa"/>
            <w:textDirection w:val="lrTb"/>
            <w:noWrap w:val="false"/>
          </w:tcPr>
          <w:p>
            <w:pPr>
              <w:pStyle w:val="1108"/>
              <w:rPr>
                <w:highlight w:val="none"/>
              </w:rPr>
            </w:pPr>
            <w:r>
              <w:rPr>
                <w:highlight w:val="none"/>
              </w:rPr>
            </w:r>
            <w:r/>
          </w:p>
        </w:tc>
        <w:tc>
          <w:tcPr>
            <w:tcW w:w="1622" w:type="dxa"/>
            <w:textDirection w:val="lrTb"/>
            <w:noWrap w:val="false"/>
          </w:tcPr>
          <w:p>
            <w:pPr>
              <w:pStyle w:val="1108"/>
              <w:rPr>
                <w:highlight w:val="none"/>
              </w:rPr>
            </w:pPr>
            <w:r>
              <w:rPr>
                <w:highlight w:val="none"/>
              </w:rPr>
            </w:r>
            <w:r/>
          </w:p>
        </w:tc>
      </w:tr>
      <w:tr>
        <w:trPr>
          <w:trHeight w:val="544"/>
        </w:trPr>
        <w:tc>
          <w:tcPr>
            <w:gridSpan w:val="2"/>
            <w:tcW w:w="3265" w:type="dxa"/>
            <w:textDirection w:val="lrTb"/>
            <w:noWrap w:val="false"/>
          </w:tcPr>
          <w:p>
            <w:pPr>
              <w:pStyle w:val="1108"/>
              <w:rPr>
                <w:highlight w:val="none"/>
              </w:rPr>
            </w:pPr>
            <w:r>
              <w:rPr>
                <w:highlight w:val="none"/>
              </w:rPr>
              <w:t xml:space="preserve">投标总价（人民币，大写）</w:t>
            </w:r>
            <w:r/>
          </w:p>
        </w:tc>
        <w:tc>
          <w:tcPr>
            <w:gridSpan w:val="3"/>
            <w:tcW w:w="6120" w:type="dxa"/>
            <w:textDirection w:val="lrTb"/>
            <w:noWrap w:val="false"/>
          </w:tcPr>
          <w:p>
            <w:pPr>
              <w:pStyle w:val="1108"/>
              <w:rPr>
                <w:highlight w:val="none"/>
              </w:rPr>
            </w:pPr>
            <w:r>
              <w:rPr>
                <w:highlight w:val="none"/>
              </w:rPr>
              <w:t xml:space="preserve">元</w:t>
            </w:r>
            <w:r/>
          </w:p>
        </w:tc>
      </w:tr>
    </w:tbl>
    <w:p>
      <w:pPr>
        <w:pStyle w:val="1091"/>
        <w:rPr>
          <w:highlight w:val="none"/>
        </w:rPr>
      </w:pPr>
      <w:r>
        <w:rPr>
          <w:highlight w:val="none"/>
        </w:rPr>
      </w:r>
      <w:r/>
    </w:p>
    <w:p>
      <w:pPr>
        <w:pStyle w:val="1091"/>
        <w:rPr>
          <w:highlight w:val="none"/>
        </w:rPr>
      </w:pPr>
      <w:r>
        <w:rPr>
          <w:highlight w:val="none"/>
        </w:rPr>
        <w:t xml:space="preserve">说明：1、《开标一览表》一式两份，一份装订在投标文件</w:t>
      </w:r>
      <w:r>
        <w:rPr>
          <w:highlight w:val="none"/>
          <w:lang w:val="en-US"/>
        </w:rPr>
        <w:t xml:space="preserve">的正副本及电子版</w:t>
      </w:r>
      <w:r>
        <w:rPr>
          <w:highlight w:val="none"/>
        </w:rPr>
        <w:t xml:space="preserve">中，一份用封套单独加以密封，并在封套上注明“开标一览表”字样（如未按上述要求封装或未加盖单位公章的, 将作为无效投标处理</w:t>
      </w:r>
      <w:r>
        <w:rPr>
          <w:spacing w:val="-20"/>
          <w:highlight w:val="none"/>
        </w:rPr>
        <w:t xml:space="preserve">）</w:t>
      </w:r>
      <w:r>
        <w:rPr>
          <w:spacing w:val="-8"/>
          <w:highlight w:val="none"/>
        </w:rPr>
        <w:t xml:space="preserve">，随投标文件一并递交，以便唱标时使用。</w:t>
      </w:r>
      <w:r/>
    </w:p>
    <w:p>
      <w:pPr>
        <w:pStyle w:val="1091"/>
        <w:rPr>
          <w:spacing w:val="-18"/>
          <w:highlight w:val="none"/>
        </w:rPr>
      </w:pPr>
      <w:r>
        <w:rPr>
          <w:highlight w:val="none"/>
        </w:rPr>
        <w:t xml:space="preserve">投标人：</w:t>
      </w:r>
      <w:r>
        <w:rPr>
          <w:highlight w:val="none"/>
          <w:u w:val="single"/>
        </w:rPr>
        <w:t xml:space="preserve"> </w:t>
      </w:r>
      <w:r>
        <w:rPr>
          <w:highlight w:val="none"/>
          <w:u w:val="single"/>
        </w:rPr>
        <w:tab/>
      </w:r>
      <w:r>
        <w:rPr>
          <w:highlight w:val="none"/>
          <w:u w:val="single"/>
        </w:rPr>
        <w:tab/>
      </w:r>
      <w:r>
        <w:rPr>
          <w:highlight w:val="none"/>
          <w:u w:val="single"/>
        </w:rPr>
        <w:tab/>
      </w:r>
      <w:r>
        <w:rPr>
          <w:highlight w:val="none"/>
        </w:rPr>
        <w:t xml:space="preserve">（盖章</w:t>
      </w:r>
      <w:r>
        <w:rPr>
          <w:spacing w:val="-18"/>
          <w:highlight w:val="none"/>
        </w:rPr>
        <w:t xml:space="preserve">） </w:t>
      </w:r>
      <w:r/>
    </w:p>
    <w:p>
      <w:pPr>
        <w:pStyle w:val="1091"/>
        <w:rPr>
          <w:highlight w:val="none"/>
        </w:rPr>
      </w:pPr>
      <w:r>
        <w:rPr>
          <w:highlight w:val="none"/>
        </w:rPr>
        <w:t xml:space="preserve">法定代表人或授权代理人：</w:t>
      </w:r>
      <w:r>
        <w:rPr>
          <w:highlight w:val="none"/>
          <w:u w:val="single"/>
        </w:rPr>
        <w:t xml:space="preserve"> </w:t>
      </w:r>
      <w:r>
        <w:rPr>
          <w:highlight w:val="none"/>
          <w:u w:val="single"/>
        </w:rPr>
        <w:tab/>
      </w:r>
      <w:r>
        <w:rPr>
          <w:highlight w:val="none"/>
        </w:rPr>
        <w:t xml:space="preserve">（签字或盖章） </w:t>
      </w:r>
      <w:r/>
    </w:p>
    <w:p>
      <w:pPr>
        <w:pStyle w:val="1091"/>
        <w:rPr>
          <w:highlight w:val="none"/>
        </w:rPr>
      </w:pPr>
      <w:r>
        <w:rPr>
          <w:highlight w:val="none"/>
        </w:rPr>
        <w:t xml:space="preserve">日   期：</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r/>
    </w:p>
    <w:p>
      <w:pPr>
        <w:ind w:firstLine="420"/>
        <w:jc w:val="both"/>
        <w:spacing w:line="560" w:lineRule="exact"/>
        <w:rPr>
          <w:rFonts w:ascii="Times New Roman" w:hAnsi="Times New Roman" w:cs="Times New Roman"/>
          <w:sz w:val="21"/>
          <w:szCs w:val="21"/>
          <w:highlight w:val="none"/>
        </w:rPr>
        <w:sectPr>
          <w:footnotePr/>
          <w:endnotePr/>
          <w:type w:val="nextPage"/>
          <w:pgSz w:w="11910" w:h="16840" w:orient="portrait"/>
          <w:pgMar w:top="1440" w:right="800" w:bottom="920" w:left="800" w:header="492" w:footer="726" w:gutter="0"/>
          <w:cols w:num="1" w:sep="0" w:space="720" w:equalWidth="1"/>
          <w:docGrid w:linePitch="360"/>
        </w:sectPr>
      </w:pPr>
      <w:r>
        <w:rPr>
          <w:rFonts w:ascii="Times New Roman" w:hAnsi="Times New Roman" w:cs="Times New Roman"/>
          <w:sz w:val="21"/>
          <w:szCs w:val="21"/>
          <w:highlight w:val="none"/>
        </w:rPr>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5.2、分项报价表</w:t>
      </w:r>
      <w:r/>
    </w:p>
    <w:p>
      <w:pPr>
        <w:pStyle w:val="1094"/>
        <w:ind w:left="0" w:firstLine="480"/>
        <w:jc w:val="both"/>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ascii="Times New Roman" w:hAnsi="Times New Roman" w:cs="Times New Roman"/>
          <w:sz w:val="24"/>
          <w:szCs w:val="24"/>
          <w:highlight w:val="none"/>
          <w:lang w:val="en-US"/>
        </w:rPr>
        <w:t xml:space="preserve">                                                           </w:t>
      </w:r>
      <w:r>
        <w:rPr>
          <w:rFonts w:ascii="Times New Roman" w:hAnsi="Times New Roman" w:cs="Times New Roman"/>
          <w:sz w:val="24"/>
          <w:szCs w:val="24"/>
          <w:highlight w:val="none"/>
        </w:rPr>
        <w:t xml:space="preserve">项目编号:</w:t>
      </w:r>
      <w:r/>
    </w:p>
    <w:p>
      <w:pPr>
        <w:ind w:firstLine="480"/>
        <w:jc w:val="both"/>
        <w:rPr>
          <w:rFonts w:ascii="Times New Roman" w:hAnsi="Times New Roman" w:cs="Times New Roman"/>
          <w:sz w:val="24"/>
          <w:szCs w:val="24"/>
          <w:highlight w:val="none"/>
        </w:rPr>
      </w:pPr>
      <w:r>
        <w:rPr>
          <w:rFonts w:ascii="Times New Roman" w:hAnsi="Times New Roman" w:cs="Times New Roman"/>
          <w:sz w:val="24"/>
          <w:szCs w:val="24"/>
          <w:highlight w:val="none"/>
        </w:rPr>
      </w:r>
      <w:r/>
    </w:p>
    <w:tbl>
      <w:tblPr>
        <w:tblStyle w:val="1090"/>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8"/>
        <w:gridCol w:w="1134"/>
        <w:gridCol w:w="1134"/>
        <w:gridCol w:w="558"/>
        <w:gridCol w:w="567"/>
        <w:gridCol w:w="851"/>
        <w:gridCol w:w="992"/>
        <w:gridCol w:w="1172"/>
        <w:gridCol w:w="1076"/>
      </w:tblGrid>
      <w:tr>
        <w:trPr>
          <w:jc w:val="center"/>
          <w:trHeight w:val="439"/>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单价</w:t>
            </w:r>
            <w:r/>
          </w:p>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总价</w:t>
            </w:r>
            <w:r/>
          </w:p>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是否属于残疾人福利单位的产品</w:t>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是否属于监狱企业的产品</w:t>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none" w:color="000000" w:sz="4" w:space="0"/>
              <w:bottom w:val="single" w:color="auto" w:sz="4" w:space="0"/>
              <w:right w:val="single" w:color="auto" w:sz="4" w:space="0"/>
            </w:tcBorders>
            <w:tcW w:w="1076" w:type="dxa"/>
            <w:textDirection w:val="lrTb"/>
            <w:noWrap w:val="false"/>
          </w:tcPr>
          <w:p>
            <w:pPr>
              <w:jc w:val="both"/>
              <w:widowControl/>
              <w:rPr>
                <w:rFonts w:ascii="Times New Roman" w:hAnsi="Times New Roman" w:cs="Times New Roman"/>
                <w:sz w:val="21"/>
                <w:szCs w:val="21"/>
                <w:highlight w:val="none"/>
              </w:rPr>
            </w:pPr>
            <w:r>
              <w:rPr>
                <w:rFonts w:ascii="Times New Roman" w:hAnsi="Times New Roman" w:cs="Times New Roman"/>
                <w:sz w:val="21"/>
                <w:szCs w:val="21"/>
                <w:highlight w:val="none"/>
              </w:rPr>
            </w:r>
            <w:r/>
          </w:p>
        </w:tc>
      </w:tr>
    </w:tbl>
    <w:p>
      <w:pPr>
        <w:pStyle w:val="1091"/>
        <w:rPr>
          <w:highlight w:val="none"/>
        </w:rPr>
      </w:pPr>
      <w:r>
        <w:rPr>
          <w:highlight w:val="none"/>
        </w:rPr>
        <w:t xml:space="preserve">投标人名称：                                                      </w:t>
      </w:r>
      <w:r/>
    </w:p>
    <w:p>
      <w:pPr>
        <w:pStyle w:val="1091"/>
        <w:rPr>
          <w:highlight w:val="none"/>
        </w:rPr>
      </w:pPr>
      <w:r>
        <w:rPr>
          <w:highlight w:val="none"/>
        </w:rPr>
        <w:t xml:space="preserve">（盖章）</w:t>
      </w:r>
      <w:r/>
    </w:p>
    <w:p>
      <w:pPr>
        <w:pStyle w:val="1091"/>
        <w:rPr>
          <w:highlight w:val="none"/>
        </w:rPr>
      </w:pPr>
      <w:r>
        <w:rPr>
          <w:highlight w:val="none"/>
        </w:rPr>
        <w:t xml:space="preserve">说明：</w:t>
      </w:r>
      <w:r>
        <w:rPr>
          <w:highlight w:val="none"/>
          <w:lang w:val="en-US"/>
        </w:rPr>
        <w:t xml:space="preserve"> </w:t>
      </w:r>
      <w:r>
        <w:rPr>
          <w:highlight w:val="none"/>
        </w:rPr>
        <w:t xml:space="preserve">1、如果行数不够，请自行增加。</w:t>
      </w:r>
      <w:r/>
    </w:p>
    <w:p>
      <w:pPr>
        <w:pStyle w:val="1091"/>
        <w:numPr>
          <w:ilvl w:val="0"/>
          <w:numId w:val="8"/>
        </w:numPr>
        <w:rPr>
          <w:highlight w:val="none"/>
        </w:rPr>
      </w:pPr>
      <w:r>
        <w:rPr>
          <w:highlight w:val="none"/>
        </w:rPr>
        <w:t xml:space="preserve">在“是否属于残疾人福利单位的产品”、“是否属于监狱企业型企业的产品”栏内，填写“是”或“否”，如果残疾人福利单位、监狱企业的产品报价无法划分计算的，评标时将不予认可。</w:t>
      </w:r>
      <w:r/>
    </w:p>
    <w:p>
      <w:pPr>
        <w:ind w:firstLine="422"/>
        <w:jc w:val="both"/>
        <w:widowControl/>
        <w:rPr>
          <w:rFonts w:ascii="Times New Roman" w:hAnsi="Times New Roman" w:cs="Times New Roman"/>
          <w:b/>
          <w:sz w:val="21"/>
          <w:szCs w:val="21"/>
          <w:highlight w:val="none"/>
          <w:lang w:val="en-US" w:bidi="ja-JP"/>
        </w:rPr>
      </w:pPr>
      <w:r>
        <w:rPr>
          <w:rFonts w:ascii="Times New Roman" w:hAnsi="Times New Roman" w:cs="Times New Roman"/>
          <w:b/>
          <w:sz w:val="21"/>
          <w:szCs w:val="21"/>
          <w:highlight w:val="none"/>
          <w:lang w:val="en-US" w:bidi="ja-JP"/>
        </w:rPr>
        <w:br w:type="page" w:clear="all"/>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5.3享受政府采购政策优惠的证明资料和清单表</w:t>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（1）中小企业声明函格式</w:t>
      </w:r>
      <w:r/>
    </w:p>
    <w:p>
      <w:pPr>
        <w:ind w:firstLine="422"/>
        <w:jc w:val="both"/>
        <w:widowControl/>
        <w:rPr>
          <w:rFonts w:ascii="Times New Roman" w:hAnsi="Times New Roman" w:cs="Times New Roman"/>
          <w:b/>
          <w:bCs/>
          <w:sz w:val="21"/>
          <w:szCs w:val="21"/>
          <w:highlight w:val="none"/>
        </w:rPr>
      </w:pPr>
      <w:r/>
      <w:bookmarkStart w:id="65" w:name="_Hlk66863893"/>
      <w:r/>
      <w:r/>
    </w:p>
    <w:p>
      <w:pPr>
        <w:ind w:firstLine="422"/>
        <w:jc w:val="both"/>
        <w:widowControl/>
        <w:rPr>
          <w:rFonts w:ascii="Times New Roman" w:hAnsi="Times New Roman" w:cs="Times New Roman"/>
          <w:b/>
          <w:bCs/>
          <w:sz w:val="21"/>
          <w:szCs w:val="21"/>
          <w:highlight w:val="none"/>
        </w:rPr>
      </w:pPr>
      <w:r>
        <w:rPr>
          <w:rFonts w:ascii="Times New Roman" w:hAnsi="Times New Roman" w:cs="Times New Roman"/>
          <w:b/>
          <w:bCs/>
          <w:sz w:val="21"/>
          <w:szCs w:val="21"/>
          <w:highlight w:val="none"/>
        </w:rPr>
        <w:t xml:space="preserve">中小企业声明函（工程、服务）</w:t>
      </w:r>
      <w:r/>
    </w:p>
    <w:p>
      <w:pPr>
        <w:pStyle w:val="1091"/>
        <w:rPr>
          <w:highlight w:val="none"/>
        </w:rPr>
      </w:pPr>
      <w:r>
        <w:rPr>
          <w:highlight w:val="none"/>
        </w:rPr>
        <w:t xml:space="preserve">本公司（联合体）郑重声明，根据《政府采购促进中小企业发展管理办法》（财库﹝2020﹞46号）的规定，本公司（联合体）参加</w:t>
      </w:r>
      <w:r>
        <w:rPr>
          <w:highlight w:val="none"/>
          <w:u w:val="single"/>
        </w:rPr>
        <w:t xml:space="preserve">（单位名称）</w:t>
      </w:r>
      <w:r>
        <w:rPr>
          <w:highlight w:val="none"/>
        </w:rPr>
        <w:t xml:space="preserve">的</w:t>
      </w:r>
      <w:r>
        <w:rPr>
          <w:highlight w:val="none"/>
          <w:u w:val="single"/>
        </w:rPr>
        <w:t xml:space="preserve">（项目名称）</w:t>
      </w:r>
      <w:r>
        <w:rPr>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pStyle w:val="1091"/>
        <w:rPr>
          <w:highlight w:val="none"/>
        </w:rPr>
      </w:pPr>
      <w:r>
        <w:rPr>
          <w:highlight w:val="none"/>
        </w:rPr>
        <w:t xml:space="preserve">1. （标的名称） ，属于（采购文件中明确的所属行业）； 承建（承接）企业为（企业名称），从业人员  人，营业收入为  万元，资产总额为  万元，属于（中型企业、 小型企业、微型企业）；</w:t>
      </w:r>
      <w:r/>
    </w:p>
    <w:p>
      <w:pPr>
        <w:pStyle w:val="1091"/>
        <w:rPr>
          <w:highlight w:val="none"/>
        </w:rPr>
      </w:pPr>
      <w:r>
        <w:rPr>
          <w:highlight w:val="none"/>
        </w:rPr>
        <w:t xml:space="preserve">2. （标的名称） ，属于（采购文件中明确的所属行业）； 承建（承接）企业为（企业名称），从业人员  人，营业收入为  万元，资产总额为  万元，属于（中型企业、 小型企业、微型企业）；</w:t>
      </w:r>
      <w:r/>
    </w:p>
    <w:p>
      <w:pPr>
        <w:pStyle w:val="1091"/>
        <w:rPr>
          <w:highlight w:val="none"/>
        </w:rPr>
      </w:pPr>
      <w:r>
        <w:rPr>
          <w:highlight w:val="none"/>
        </w:rPr>
        <w:t xml:space="preserve"> ……</w:t>
      </w:r>
      <w:r/>
    </w:p>
    <w:p>
      <w:pPr>
        <w:pStyle w:val="1091"/>
        <w:rPr>
          <w:highlight w:val="none"/>
        </w:rPr>
      </w:pPr>
      <w:r>
        <w:rPr>
          <w:highlight w:val="none"/>
        </w:rPr>
        <w:t xml:space="preserve">以上企业，不属于大企业的分支机构，不存在控股股东 为大企业的情形，也不存在与大企业的负责人为同一人的情 形。</w:t>
      </w:r>
      <w:r/>
    </w:p>
    <w:p>
      <w:pPr>
        <w:pStyle w:val="1091"/>
        <w:rPr>
          <w:highlight w:val="none"/>
        </w:rPr>
      </w:pPr>
      <w:r>
        <w:rPr>
          <w:highlight w:val="none"/>
        </w:rPr>
        <w:t xml:space="preserve">本企业对上述声明内容的真实性负责。如有虚假，将依法承担相应责任。 </w:t>
      </w:r>
      <w:r/>
    </w:p>
    <w:p>
      <w:pPr>
        <w:pStyle w:val="1091"/>
        <w:rPr>
          <w:highlight w:val="none"/>
        </w:rPr>
      </w:pPr>
      <w:r>
        <w:rPr>
          <w:highlight w:val="none"/>
        </w:rPr>
        <w:t xml:space="preserve">企业名称（盖章）：</w:t>
      </w:r>
      <w:r/>
    </w:p>
    <w:p>
      <w:pPr>
        <w:pStyle w:val="1091"/>
        <w:rPr>
          <w:highlight w:val="none"/>
        </w:rPr>
      </w:pPr>
      <w:r>
        <w:rPr>
          <w:highlight w:val="none"/>
        </w:rPr>
        <w:t xml:space="preserve">日 期：</w:t>
      </w:r>
      <w:r/>
    </w:p>
    <w:p>
      <w:pPr>
        <w:pStyle w:val="1091"/>
        <w:rPr>
          <w:highlight w:val="none"/>
        </w:rPr>
      </w:pPr>
      <w:r>
        <w:rPr>
          <w:highlight w:val="none"/>
        </w:rPr>
        <w:t xml:space="preserve">备注1：从业人员、营业收入、资产总额填报上一年度数据，无上一年度数据的新成立企业可不填报。</w:t>
      </w:r>
      <w:r/>
    </w:p>
    <w:p>
      <w:pPr>
        <w:pStyle w:val="1091"/>
        <w:rPr>
          <w:highlight w:val="none"/>
        </w:rPr>
      </w:pPr>
      <w:r>
        <w:rPr>
          <w:highlight w:val="none"/>
        </w:rPr>
        <w:t xml:space="preserve">备注2：供应商如不提供此声明函，价格将不做相应扣除。</w:t>
      </w:r>
      <w:r/>
    </w:p>
    <w:p>
      <w:pPr>
        <w:pStyle w:val="1091"/>
        <w:rPr>
          <w:highlight w:val="none"/>
        </w:rPr>
      </w:pPr>
      <w:r>
        <w:rPr>
          <w:highlight w:val="none"/>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65"/>
      <w:r/>
      <w:r/>
    </w:p>
    <w:p>
      <w:pPr>
        <w:ind w:firstLine="422"/>
        <w:jc w:val="both"/>
        <w:widowControl/>
        <w:rPr>
          <w:rFonts w:ascii="Times New Roman" w:hAnsi="Times New Roman" w:cs="Times New Roman"/>
          <w:b/>
          <w:sz w:val="21"/>
          <w:szCs w:val="21"/>
          <w:highlight w:val="none"/>
        </w:rPr>
      </w:pPr>
      <w:r>
        <w:rPr>
          <w:rFonts w:ascii="Times New Roman" w:hAnsi="Times New Roman" w:cs="Times New Roman"/>
          <w:b/>
          <w:sz w:val="21"/>
          <w:szCs w:val="21"/>
          <w:highlight w:val="none"/>
        </w:rPr>
        <w:br w:type="page" w:clear="all"/>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（2）残疾人福利性单位声明函格式</w:t>
      </w:r>
      <w:r/>
    </w:p>
    <w:p>
      <w:pPr>
        <w:ind w:firstLine="422"/>
        <w:jc w:val="both"/>
        <w:spacing w:line="560" w:lineRule="exact"/>
        <w:rPr>
          <w:rFonts w:ascii="Times New Roman" w:hAnsi="Times New Roman" w:cs="Times New Roman"/>
          <w:sz w:val="21"/>
          <w:szCs w:val="21"/>
          <w:highlight w:val="none"/>
        </w:rPr>
      </w:pPr>
      <w:r>
        <w:rPr>
          <w:rFonts w:ascii="Times New Roman" w:hAnsi="Times New Roman" w:cs="Times New Roman"/>
          <w:b/>
          <w:sz w:val="21"/>
          <w:szCs w:val="21"/>
          <w:highlight w:val="none"/>
        </w:rPr>
        <w:t xml:space="preserve">残疾人福利性单位声明函</w:t>
      </w:r>
      <w:r/>
    </w:p>
    <w:p>
      <w:pPr>
        <w:pStyle w:val="1091"/>
        <w:rPr>
          <w:highlight w:val="none"/>
        </w:rPr>
      </w:pPr>
      <w:r>
        <w:rPr>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p>
    <w:p>
      <w:pPr>
        <w:pStyle w:val="1091"/>
        <w:rPr>
          <w:highlight w:val="none"/>
        </w:rPr>
      </w:pPr>
      <w:r>
        <w:rPr>
          <w:highlight w:val="none"/>
        </w:rPr>
        <w:t xml:space="preserve">本单位对上述声明的真实性负责。如有虚假，将依法承担相应责任。</w:t>
      </w:r>
      <w:r/>
    </w:p>
    <w:p>
      <w:pPr>
        <w:pStyle w:val="1091"/>
        <w:rPr>
          <w:highlight w:val="none"/>
        </w:rPr>
      </w:pPr>
      <w:r>
        <w:rPr>
          <w:highlight w:val="none"/>
        </w:rPr>
      </w:r>
      <w:r/>
    </w:p>
    <w:p>
      <w:pPr>
        <w:pStyle w:val="1091"/>
        <w:rPr>
          <w:highlight w:val="none"/>
        </w:rPr>
      </w:pPr>
      <w:r>
        <w:rPr>
          <w:highlight w:val="none"/>
        </w:rPr>
        <w:t xml:space="preserve">单位名称（盖章）： </w:t>
      </w:r>
      <w:r/>
    </w:p>
    <w:p>
      <w:pPr>
        <w:pStyle w:val="1091"/>
        <w:rPr>
          <w:highlight w:val="none"/>
        </w:rPr>
      </w:pPr>
      <w:r>
        <w:rPr>
          <w:highlight w:val="none"/>
        </w:rPr>
        <w:t xml:space="preserve">日</w:t>
      </w:r>
      <w:r>
        <w:rPr>
          <w:highlight w:val="none"/>
        </w:rPr>
        <w:tab/>
      </w:r>
      <w:r>
        <w:rPr>
          <w:highlight w:val="none"/>
        </w:rPr>
        <w:t xml:space="preserve">期：</w:t>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（3）属于监狱企业的证明文件</w:t>
      </w:r>
      <w:r/>
    </w:p>
    <w:p>
      <w:pPr>
        <w:pStyle w:val="1091"/>
        <w:rPr>
          <w:highlight w:val="none"/>
        </w:rPr>
      </w:pPr>
      <w:r>
        <w:rPr>
          <w:highlight w:val="none"/>
        </w:rPr>
        <w:t xml:space="preserve">提供由省级以上监狱管理局、戒毒管理局(含新疆生产建设兵团)出具的属于监狱企业的证明文件</w:t>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（4）节能产品认证文件</w:t>
      </w:r>
      <w:r/>
    </w:p>
    <w:p>
      <w:pPr>
        <w:pStyle w:val="1091"/>
        <w:rPr>
          <w:rFonts w:hint="eastAsia" w:eastAsia="宋体"/>
          <w:highlight w:val="none"/>
          <w:lang w:eastAsia="zh-CN"/>
        </w:rPr>
      </w:pPr>
      <w:r>
        <w:rPr>
          <w:highlight w:val="none"/>
        </w:rPr>
        <w:t xml:space="preserve">提供有效的节能产品认证认证证书</w:t>
      </w:r>
      <w:r>
        <w:rPr>
          <w:rFonts w:hint="eastAsia"/>
          <w:highlight w:val="none"/>
          <w:lang w:val="en-US" w:eastAsia="zh-CN"/>
        </w:rPr>
        <w:t xml:space="preserve">扫描件</w:t>
      </w:r>
      <w:r/>
    </w:p>
    <w:p>
      <w:pPr>
        <w:pStyle w:val="1087"/>
        <w:ind w:left="0" w:firstLine="482"/>
        <w:jc w:val="both"/>
        <w:spacing w:line="360" w:lineRule="auto"/>
        <w:rPr>
          <w:rFonts w:ascii="Times New Roman" w:hAnsi="Times New Roman" w:cs="Times New Roman"/>
          <w:highlight w:val="none"/>
          <w:lang w:val="en-US"/>
        </w:rPr>
      </w:pPr>
      <w:r>
        <w:rPr>
          <w:rFonts w:ascii="Times New Roman" w:hAnsi="Times New Roman" w:cs="Times New Roman"/>
          <w:highlight w:val="none"/>
          <w:lang w:val="en-US"/>
        </w:rPr>
        <w:t xml:space="preserve">（5）环境标志产品认证文件</w:t>
      </w:r>
      <w:r/>
    </w:p>
    <w:p>
      <w:pPr>
        <w:pStyle w:val="1091"/>
        <w:rPr>
          <w:highlight w:val="none"/>
        </w:rPr>
      </w:pPr>
      <w:r>
        <w:rPr>
          <w:highlight w:val="none"/>
        </w:rPr>
        <w:t xml:space="preserve">提供有效的环境标志产品认证认证证书</w:t>
      </w:r>
      <w:r>
        <w:rPr>
          <w:rFonts w:hint="eastAsia"/>
          <w:highlight w:val="none"/>
          <w:lang w:val="en-US" w:eastAsia="zh-CN"/>
        </w:rPr>
        <w:t xml:space="preserve">扫描件</w:t>
      </w:r>
      <w:r/>
    </w:p>
    <w:p>
      <w:pPr>
        <w:pStyle w:val="1087"/>
        <w:ind w:left="0" w:firstLine="482"/>
        <w:jc w:val="both"/>
        <w:spacing w:line="360" w:lineRule="auto"/>
        <w:rPr>
          <w:rFonts w:ascii="Times New Roman" w:hAnsi="Times New Roman" w:cs="Times New Roman"/>
          <w:b w:val="0"/>
          <w:sz w:val="21"/>
          <w:szCs w:val="21"/>
          <w:highlight w:val="none"/>
        </w:rPr>
      </w:pPr>
      <w:r>
        <w:rPr>
          <w:rFonts w:ascii="Times New Roman" w:hAnsi="Times New Roman" w:cs="Times New Roman"/>
          <w:highlight w:val="none"/>
          <w:lang w:val="en-US"/>
        </w:rPr>
        <w:t xml:space="preserve">（6）提供节能</w:t>
      </w:r>
      <w:bookmarkStart w:id="66" w:name="_Hlk49158630"/>
      <w:r>
        <w:rPr>
          <w:rFonts w:ascii="Times New Roman" w:hAnsi="Times New Roman" w:cs="Times New Roman"/>
          <w:highlight w:val="none"/>
          <w:lang w:val="en-US"/>
        </w:rPr>
        <w:t xml:space="preserve">产品、环境标志产品</w:t>
      </w:r>
      <w:bookmarkEnd w:id="66"/>
      <w:r>
        <w:rPr>
          <w:rFonts w:ascii="Times New Roman" w:hAnsi="Times New Roman" w:cs="Times New Roman"/>
          <w:highlight w:val="none"/>
          <w:lang w:val="en-US"/>
        </w:rPr>
        <w:t xml:space="preserve">清单表</w:t>
      </w:r>
      <w:r/>
    </w:p>
    <w:tbl>
      <w:tblPr>
        <w:tblStyle w:val="1090"/>
        <w:tblW w:w="8500"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115"/>
              <w:rPr>
                <w:sz w:val="24"/>
                <w:szCs w:val="24"/>
                <w:highlight w:val="none"/>
              </w:rPr>
            </w:pPr>
            <w:r>
              <w:rPr>
                <w:sz w:val="24"/>
                <w:szCs w:val="24"/>
                <w:highlight w:val="none"/>
              </w:rPr>
              <w:t xml:space="preserve">项目编号：</w:t>
            </w:r>
            <w:r/>
          </w:p>
        </w:tc>
      </w:tr>
      <w:tr>
        <w:trPr>
          <w:jc w:val="center"/>
          <w:trHeight w:val="6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115"/>
              <w:rPr>
                <w:sz w:val="24"/>
                <w:szCs w:val="24"/>
                <w:highlight w:val="none"/>
              </w:rPr>
            </w:pPr>
            <w:r>
              <w:rPr>
                <w:sz w:val="24"/>
                <w:szCs w:val="24"/>
                <w:highlight w:val="none"/>
              </w:rPr>
              <w:t xml:space="preserve">序号</w:t>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115"/>
              <w:rPr>
                <w:sz w:val="24"/>
                <w:szCs w:val="24"/>
                <w:highlight w:val="none"/>
              </w:rPr>
            </w:pPr>
            <w:r>
              <w:rPr>
                <w:sz w:val="24"/>
                <w:szCs w:val="24"/>
                <w:highlight w:val="none"/>
              </w:rPr>
              <w:t xml:space="preserve">产品名称</w:t>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115"/>
              <w:rPr>
                <w:sz w:val="24"/>
                <w:szCs w:val="24"/>
                <w:highlight w:val="none"/>
              </w:rPr>
            </w:pPr>
            <w:r>
              <w:rPr>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115"/>
              <w:rPr>
                <w:sz w:val="24"/>
                <w:szCs w:val="24"/>
                <w:highlight w:val="none"/>
              </w:rPr>
            </w:pPr>
            <w:r>
              <w:rPr>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115"/>
              <w:rPr>
                <w:sz w:val="24"/>
                <w:szCs w:val="24"/>
                <w:highlight w:val="none"/>
              </w:rPr>
            </w:pPr>
            <w:r>
              <w:rPr>
                <w:sz w:val="24"/>
                <w:szCs w:val="24"/>
                <w:highlight w:val="none"/>
              </w:rPr>
              <w:t xml:space="preserve">总额（元）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15"/>
              <w:rPr>
                <w:sz w:val="24"/>
                <w:szCs w:val="24"/>
                <w:highlight w:val="none"/>
              </w:rPr>
            </w:pPr>
            <w:r>
              <w:rPr>
                <w:sz w:val="24"/>
                <w:szCs w:val="24"/>
                <w:highlight w:val="none"/>
              </w:rPr>
              <w:t xml:space="preserve">产品制造商名称</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115"/>
              <w:rPr>
                <w:sz w:val="24"/>
                <w:szCs w:val="24"/>
                <w:highlight w:val="none"/>
              </w:rPr>
            </w:pPr>
            <w:r>
              <w:rPr>
                <w:sz w:val="24"/>
                <w:szCs w:val="24"/>
                <w:highlight w:val="none"/>
              </w:rPr>
              <w:t xml:space="preserve">节能产品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115"/>
              <w:rPr>
                <w:highlight w:val="none"/>
              </w:rPr>
            </w:pPr>
            <w:r>
              <w:rPr>
                <w:highlight w:val="none"/>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115"/>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115"/>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115"/>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115"/>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15"/>
              <w:rPr>
                <w:highlight w:val="none"/>
              </w:rPr>
            </w:pPr>
            <w:r>
              <w:rPr>
                <w:highlight w:val="none"/>
              </w:rPr>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1115"/>
              <w:rPr>
                <w:sz w:val="24"/>
                <w:szCs w:val="24"/>
                <w:highlight w:val="none"/>
              </w:rPr>
            </w:pPr>
            <w:r>
              <w:rPr>
                <w:sz w:val="24"/>
                <w:szCs w:val="24"/>
                <w:highlight w:val="none"/>
              </w:rPr>
              <w:t xml:space="preserve">环境标志产品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1115"/>
              <w:rPr>
                <w:highlight w:val="none"/>
              </w:rPr>
            </w:pPr>
            <w:r>
              <w:rPr>
                <w:highlight w:val="none"/>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1115"/>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1115"/>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1115"/>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115"/>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115"/>
              <w:rPr>
                <w:highlight w:val="none"/>
              </w:rPr>
            </w:pPr>
            <w:r>
              <w:rPr>
                <w:highlight w:val="none"/>
              </w:rPr>
            </w:r>
            <w:r/>
          </w:p>
        </w:tc>
      </w:tr>
    </w:tbl>
    <w:p>
      <w:pPr>
        <w:pStyle w:val="1091"/>
        <w:rPr>
          <w:highlight w:val="none"/>
        </w:rPr>
      </w:pPr>
      <w:r>
        <w:rPr>
          <w:highlight w:val="none"/>
        </w:rPr>
        <w:t xml:space="preserve">投标人名称：                                                      （盖章）</w:t>
      </w:r>
      <w:r/>
    </w:p>
    <w:p>
      <w:pPr>
        <w:pStyle w:val="1091"/>
        <w:rPr>
          <w:highlight w:val="none"/>
        </w:rPr>
      </w:pPr>
      <w:r>
        <w:rPr>
          <w:highlight w:val="none"/>
        </w:rPr>
        <w:t xml:space="preserve">说明：</w:t>
      </w:r>
      <w:r/>
    </w:p>
    <w:p>
      <w:pPr>
        <w:pStyle w:val="1091"/>
        <w:rPr>
          <w:highlight w:val="none"/>
        </w:rPr>
      </w:pPr>
      <w:r>
        <w:rPr>
          <w:highlight w:val="none"/>
        </w:rPr>
        <w:t xml:space="preserve">1、本表用于计算节能产品、环境标志产品应享受的政策功能加分或价格扣除。</w:t>
      </w:r>
      <w:r/>
    </w:p>
    <w:p>
      <w:pPr>
        <w:pStyle w:val="1091"/>
        <w:ind w:firstLine="496"/>
        <w:rPr>
          <w:highlight w:val="none"/>
        </w:rPr>
      </w:pPr>
      <w:r>
        <w:rPr>
          <w:rFonts w:ascii="Times New Roman" w:hAnsi="Times New Roman" w:cs="Times New Roman"/>
          <w:sz w:val="21"/>
          <w:szCs w:val="21"/>
          <w:highlight w:val="none"/>
        </w:rPr>
        <w:t xml:space="preserve">2、上表中的产品名称、数量、单价、总额信息须与分项报价表中相关数据一致，若出现数据不一致造成的</w:t>
      </w:r>
      <w:r>
        <w:rPr>
          <w:highlight w:val="none"/>
        </w:rPr>
        <w:t xml:space="preserve">价格扣除无法计算，其不利后果由投标人承担。</w:t>
      </w:r>
      <w:r/>
    </w:p>
    <w:p>
      <w:pPr>
        <w:pStyle w:val="1091"/>
        <w:rPr>
          <w:highlight w:val="none"/>
        </w:rPr>
      </w:pPr>
      <w:r>
        <w:rPr>
          <w:highlight w:val="none"/>
        </w:rPr>
        <w:t xml:space="preserve">3、未提供节能产品、环境标志产品证明及未按上述要求填写的，评审时本表所有优惠不予以考虑。</w:t>
      </w:r>
      <w:r/>
    </w:p>
    <w:p>
      <w:pPr>
        <w:pStyle w:val="1085"/>
        <w:ind w:left="0" w:firstLine="422"/>
        <w:jc w:val="both"/>
        <w:spacing w:line="560" w:lineRule="exact"/>
        <w:rPr>
          <w:rFonts w:ascii="Times New Roman" w:hAnsi="Times New Roman" w:cs="Times New Roman"/>
          <w:sz w:val="21"/>
          <w:szCs w:val="21"/>
          <w:highlight w:val="none"/>
          <w:u w:val="none"/>
          <w:lang w:val="en-US"/>
        </w:rPr>
      </w:pPr>
      <w:r>
        <w:rPr>
          <w:rFonts w:hint="eastAsia" w:ascii="Times New Roman" w:hAnsi="Times New Roman" w:cs="Times New Roman"/>
          <w:sz w:val="21"/>
          <w:szCs w:val="21"/>
          <w:highlight w:val="none"/>
          <w:u w:val="none"/>
          <w:lang w:val="en-US"/>
        </w:rPr>
        <w:t xml:space="preserve">八</w:t>
      </w:r>
      <w:r>
        <w:rPr>
          <w:rFonts w:ascii="Times New Roman" w:hAnsi="Times New Roman" w:cs="Times New Roman"/>
          <w:sz w:val="21"/>
          <w:szCs w:val="21"/>
          <w:highlight w:val="none"/>
          <w:u w:val="none"/>
          <w:lang w:val="en-US"/>
        </w:rPr>
        <w:t xml:space="preserve">、其他部分</w:t>
      </w:r>
      <w:r/>
    </w:p>
    <w:p>
      <w:pPr>
        <w:pStyle w:val="1086"/>
        <w:ind w:firstLine="482"/>
        <w:jc w:val="both"/>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6.1、联合体共同投标协议格式（如有需要）</w:t>
      </w:r>
      <w:r/>
    </w:p>
    <w:p>
      <w:pPr>
        <w:pStyle w:val="1091"/>
        <w:ind w:firstLine="663"/>
        <w:jc w:val="center"/>
        <w:rPr>
          <w:b/>
          <w:highlight w:val="none"/>
        </w:rPr>
      </w:pPr>
      <w:r>
        <w:rPr>
          <w:b/>
          <w:sz w:val="28"/>
          <w:highlight w:val="none"/>
        </w:rPr>
        <w:t xml:space="preserve">联合体共同投标协议</w:t>
      </w:r>
      <w:r/>
    </w:p>
    <w:p>
      <w:pPr>
        <w:pStyle w:val="1091"/>
        <w:rPr>
          <w:highlight w:val="none"/>
          <w:lang w:val="en-US"/>
        </w:rPr>
      </w:pPr>
      <w:r>
        <w:rPr>
          <w:highlight w:val="none"/>
        </w:rPr>
        <w:t xml:space="preserve">致：南京市鼓楼生态环境局（</w:t>
      </w:r>
      <w:r>
        <w:rPr>
          <w:highlight w:val="none"/>
          <w:lang w:val="en-US"/>
        </w:rPr>
        <w:t xml:space="preserve">采购人）</w:t>
      </w:r>
      <w:r/>
    </w:p>
    <w:p>
      <w:pPr>
        <w:pStyle w:val="1091"/>
        <w:rPr>
          <w:highlight w:val="none"/>
        </w:rPr>
      </w:pPr>
      <w:r>
        <w:rPr>
          <w:highlight w:val="none"/>
          <w:lang w:val="en-US"/>
        </w:rPr>
        <w:t xml:space="preserve">江苏金永诚建设投资管理咨询有限公司</w:t>
      </w:r>
      <w:r/>
    </w:p>
    <w:p>
      <w:pPr>
        <w:pStyle w:val="1091"/>
        <w:rPr>
          <w:highlight w:val="none"/>
        </w:rPr>
      </w:pPr>
      <w:r>
        <w:rPr>
          <w:highlight w:val="none"/>
        </w:rPr>
        <w:t xml:space="preserve">根据</w:t>
      </w:r>
      <w:r>
        <w:rPr>
          <w:highlight w:val="none"/>
          <w:u w:val="single"/>
        </w:rPr>
        <w:t xml:space="preserve"> </w:t>
      </w:r>
      <w:r>
        <w:rPr>
          <w:highlight w:val="none"/>
          <w:u w:val="single"/>
        </w:rPr>
        <w:tab/>
      </w:r>
      <w:r>
        <w:rPr>
          <w:highlight w:val="none"/>
        </w:rPr>
        <w:t xml:space="preserve">（项目名称</w:t>
      </w:r>
      <w:r>
        <w:rPr>
          <w:spacing w:val="-18"/>
          <w:highlight w:val="none"/>
        </w:rPr>
        <w:t xml:space="preserve">）</w:t>
      </w:r>
      <w:r>
        <w:rPr>
          <w:spacing w:val="-18"/>
          <w:highlight w:val="none"/>
          <w:u w:val="single"/>
        </w:rPr>
        <w:t xml:space="preserve"> </w:t>
      </w:r>
      <w:r>
        <w:rPr>
          <w:spacing w:val="-18"/>
          <w:highlight w:val="none"/>
          <w:u w:val="single"/>
        </w:rPr>
        <w:tab/>
      </w:r>
      <w:r>
        <w:rPr>
          <w:highlight w:val="none"/>
        </w:rPr>
        <w:t xml:space="preserve">（项目编号</w:t>
      </w:r>
      <w:r>
        <w:rPr>
          <w:spacing w:val="-18"/>
          <w:highlight w:val="none"/>
        </w:rPr>
        <w:t xml:space="preserve">） </w:t>
      </w:r>
      <w:r>
        <w:rPr>
          <w:highlight w:val="none"/>
        </w:rPr>
        <w:t xml:space="preserve">的招标公告</w:t>
      </w:r>
      <w:r>
        <w:rPr>
          <w:spacing w:val="-8"/>
          <w:highlight w:val="none"/>
        </w:rPr>
        <w:t xml:space="preserve">，甲</w:t>
      </w:r>
      <w:r>
        <w:rPr>
          <w:highlight w:val="none"/>
        </w:rPr>
        <w:t xml:space="preserve">（牵头单位</w:t>
      </w:r>
      <w:r>
        <w:rPr>
          <w:spacing w:val="-8"/>
          <w:highlight w:val="none"/>
        </w:rPr>
        <w:t xml:space="preserve">）</w:t>
      </w:r>
      <w:r>
        <w:rPr>
          <w:spacing w:val="-5"/>
          <w:highlight w:val="none"/>
        </w:rPr>
        <w:t xml:space="preserve">、</w:t>
      </w:r>
      <w:r>
        <w:rPr>
          <w:spacing w:val="-8"/>
          <w:highlight w:val="none"/>
        </w:rPr>
        <w:t xml:space="preserve">乙</w:t>
      </w:r>
      <w:r>
        <w:rPr>
          <w:highlight w:val="none"/>
        </w:rPr>
        <w:t xml:space="preserve">（联合体成员</w:t>
      </w:r>
      <w:r>
        <w:rPr>
          <w:spacing w:val="-8"/>
          <w:highlight w:val="none"/>
        </w:rPr>
        <w:t xml:space="preserve">）</w:t>
      </w:r>
      <w:r>
        <w:rPr>
          <w:highlight w:val="none"/>
        </w:rPr>
        <w:t xml:space="preserve">双方经平等协商</w:t>
      </w:r>
      <w:r>
        <w:rPr>
          <w:spacing w:val="-8"/>
          <w:highlight w:val="none"/>
        </w:rPr>
        <w:t xml:space="preserve">，</w:t>
      </w:r>
      <w:r>
        <w:rPr>
          <w:highlight w:val="none"/>
        </w:rPr>
        <w:t xml:space="preserve">决定组成联合体共同参加该项目政府采购活动</w:t>
      </w:r>
      <w:r>
        <w:rPr>
          <w:spacing w:val="-17"/>
          <w:highlight w:val="none"/>
        </w:rPr>
        <w:t xml:space="preserve">。</w:t>
      </w:r>
      <w:r>
        <w:rPr>
          <w:highlight w:val="none"/>
        </w:rPr>
        <w:t xml:space="preserve">如我方中标</w:t>
      </w:r>
      <w:r>
        <w:rPr>
          <w:spacing w:val="-17"/>
          <w:highlight w:val="none"/>
        </w:rPr>
        <w:t xml:space="preserve">，</w:t>
      </w:r>
      <w:r>
        <w:rPr>
          <w:highlight w:val="none"/>
        </w:rPr>
        <w:t xml:space="preserve">将共同与采购人签订采购合同</w:t>
      </w:r>
      <w:r>
        <w:rPr>
          <w:spacing w:val="-17"/>
          <w:highlight w:val="none"/>
        </w:rPr>
        <w:t xml:space="preserve">，</w:t>
      </w:r>
      <w:r>
        <w:rPr>
          <w:highlight w:val="none"/>
        </w:rPr>
        <w:t xml:space="preserve">就采购合同约定的事项对采购人承担连带责任。</w:t>
      </w:r>
      <w:r/>
    </w:p>
    <w:p>
      <w:pPr>
        <w:pStyle w:val="1091"/>
        <w:ind w:firstLine="562"/>
        <w:rPr>
          <w:highlight w:val="none"/>
        </w:rPr>
      </w:pPr>
      <w:r>
        <w:rPr>
          <w:spacing w:val="-1"/>
          <w:highlight w:val="none"/>
        </w:rPr>
        <w:t xml:space="preserve">甲</w:t>
      </w:r>
      <w:r>
        <w:rPr>
          <w:highlight w:val="none"/>
        </w:rPr>
        <w:t xml:space="preserve">方承担的工作和义务是：</w:t>
      </w:r>
      <w:r>
        <w:rPr>
          <w:highlight w:val="none"/>
          <w:u w:val="single"/>
        </w:rPr>
        <w:t xml:space="preserve"> </w:t>
      </w:r>
      <w:r>
        <w:rPr>
          <w:highlight w:val="none"/>
          <w:u w:val="single"/>
        </w:rPr>
        <w:tab/>
      </w:r>
      <w:r/>
    </w:p>
    <w:p>
      <w:pPr>
        <w:pStyle w:val="1091"/>
        <w:ind w:firstLine="562"/>
        <w:rPr>
          <w:highlight w:val="none"/>
        </w:rPr>
      </w:pPr>
      <w:r>
        <w:rPr>
          <w:spacing w:val="-1"/>
          <w:highlight w:val="none"/>
        </w:rPr>
        <w:t xml:space="preserve">乙</w:t>
      </w:r>
      <w:r>
        <w:rPr>
          <w:highlight w:val="none"/>
        </w:rPr>
        <w:t xml:space="preserve">方承当的工作和义务是：</w:t>
      </w:r>
      <w:r>
        <w:rPr>
          <w:highlight w:val="none"/>
          <w:u w:val="single"/>
        </w:rPr>
        <w:t xml:space="preserve"> </w:t>
      </w:r>
      <w:r>
        <w:rPr>
          <w:highlight w:val="none"/>
          <w:u w:val="single"/>
        </w:rPr>
        <w:tab/>
      </w:r>
      <w:r/>
    </w:p>
    <w:tbl>
      <w:tblPr>
        <w:tblStyle w:val="1090"/>
        <w:tblW w:w="8500" w:type="dxa"/>
        <w:tblInd w:w="575" w:type="dxa"/>
        <w:tblLayout w:type="fixed"/>
        <w:tblCellMar>
          <w:left w:w="0" w:type="dxa"/>
          <w:top w:w="0" w:type="dxa"/>
          <w:right w:w="0" w:type="dxa"/>
          <w:bottom w:w="0" w:type="dxa"/>
        </w:tblCellMar>
        <w:tblLook w:val="04A0" w:firstRow="1" w:lastRow="0" w:firstColumn="1" w:lastColumn="0" w:noHBand="0" w:noVBand="1"/>
      </w:tblPr>
      <w:tblGrid>
        <w:gridCol w:w="2270"/>
        <w:gridCol w:w="1980"/>
        <w:gridCol w:w="4250"/>
      </w:tblGrid>
      <w:tr>
        <w:trPr>
          <w:trHeight w:val="392"/>
        </w:trPr>
        <w:tc>
          <w:tcPr>
            <w:tcW w:w="2270" w:type="dxa"/>
            <w:textDirection w:val="lrTb"/>
            <w:noWrap w:val="false"/>
          </w:tcPr>
          <w:p>
            <w:pPr>
              <w:pStyle w:val="1108"/>
              <w:rPr>
                <w:highlight w:val="none"/>
              </w:rPr>
            </w:pPr>
            <w:r>
              <w:rPr>
                <w:highlight w:val="none"/>
              </w:rPr>
              <w:t xml:space="preserve">甲方：（盖章）</w:t>
            </w:r>
            <w:r/>
          </w:p>
        </w:tc>
        <w:tc>
          <w:tcPr>
            <w:tcW w:w="1980" w:type="dxa"/>
            <w:textDirection w:val="lrTb"/>
            <w:noWrap w:val="false"/>
          </w:tcPr>
          <w:p>
            <w:pPr>
              <w:pStyle w:val="1108"/>
              <w:rPr>
                <w:highlight w:val="none"/>
              </w:rPr>
            </w:pPr>
            <w:r>
              <w:rPr>
                <w:highlight w:val="none"/>
              </w:rPr>
            </w:r>
            <w:r/>
          </w:p>
        </w:tc>
        <w:tc>
          <w:tcPr>
            <w:tcW w:w="4250" w:type="dxa"/>
            <w:textDirection w:val="lrTb"/>
            <w:noWrap w:val="false"/>
          </w:tcPr>
          <w:p>
            <w:pPr>
              <w:pStyle w:val="1108"/>
              <w:rPr>
                <w:highlight w:val="none"/>
              </w:rPr>
            </w:pPr>
            <w:r>
              <w:rPr>
                <w:highlight w:val="none"/>
              </w:rPr>
              <w:t xml:space="preserve">乙方：（盖章）</w:t>
            </w:r>
            <w:r/>
          </w:p>
        </w:tc>
      </w:tr>
      <w:tr>
        <w:trPr>
          <w:trHeight w:val="544"/>
        </w:trPr>
        <w:tc>
          <w:tcPr>
            <w:tcW w:w="2270" w:type="dxa"/>
            <w:textDirection w:val="lrTb"/>
            <w:noWrap w:val="false"/>
          </w:tcPr>
          <w:p>
            <w:pPr>
              <w:pStyle w:val="1108"/>
              <w:rPr>
                <w:highlight w:val="none"/>
              </w:rPr>
            </w:pPr>
            <w:r>
              <w:rPr>
                <w:highlight w:val="none"/>
              </w:rPr>
              <w:t xml:space="preserve">住所：</w:t>
            </w:r>
            <w:r/>
          </w:p>
        </w:tc>
        <w:tc>
          <w:tcPr>
            <w:tcW w:w="1980" w:type="dxa"/>
            <w:textDirection w:val="lrTb"/>
            <w:noWrap w:val="false"/>
          </w:tcPr>
          <w:p>
            <w:pPr>
              <w:pStyle w:val="1108"/>
              <w:rPr>
                <w:highlight w:val="none"/>
              </w:rPr>
            </w:pPr>
            <w:r>
              <w:rPr>
                <w:highlight w:val="none"/>
              </w:rPr>
            </w:r>
            <w:r/>
          </w:p>
        </w:tc>
        <w:tc>
          <w:tcPr>
            <w:tcW w:w="4250" w:type="dxa"/>
            <w:textDirection w:val="lrTb"/>
            <w:noWrap w:val="false"/>
          </w:tcPr>
          <w:p>
            <w:pPr>
              <w:pStyle w:val="1108"/>
              <w:rPr>
                <w:highlight w:val="none"/>
              </w:rPr>
            </w:pPr>
            <w:r>
              <w:rPr>
                <w:highlight w:val="none"/>
              </w:rPr>
              <w:t xml:space="preserve">住所：</w:t>
            </w:r>
            <w:r/>
          </w:p>
        </w:tc>
      </w:tr>
      <w:tr>
        <w:trPr>
          <w:trHeight w:val="544"/>
        </w:trPr>
        <w:tc>
          <w:tcPr>
            <w:tcW w:w="2270" w:type="dxa"/>
            <w:textDirection w:val="lrTb"/>
            <w:noWrap w:val="false"/>
          </w:tcPr>
          <w:p>
            <w:pPr>
              <w:pStyle w:val="1108"/>
              <w:rPr>
                <w:highlight w:val="none"/>
              </w:rPr>
            </w:pPr>
            <w:r>
              <w:rPr>
                <w:highlight w:val="none"/>
              </w:rPr>
              <w:t xml:space="preserve">通信地址：</w:t>
            </w:r>
            <w:r/>
          </w:p>
        </w:tc>
        <w:tc>
          <w:tcPr>
            <w:tcW w:w="1980" w:type="dxa"/>
            <w:textDirection w:val="lrTb"/>
            <w:noWrap w:val="false"/>
          </w:tcPr>
          <w:p>
            <w:pPr>
              <w:pStyle w:val="1108"/>
              <w:rPr>
                <w:highlight w:val="none"/>
              </w:rPr>
            </w:pPr>
            <w:r>
              <w:rPr>
                <w:highlight w:val="none"/>
              </w:rPr>
            </w:r>
            <w:r/>
          </w:p>
        </w:tc>
        <w:tc>
          <w:tcPr>
            <w:tcW w:w="4250" w:type="dxa"/>
            <w:textDirection w:val="lrTb"/>
            <w:noWrap w:val="false"/>
          </w:tcPr>
          <w:p>
            <w:pPr>
              <w:pStyle w:val="1108"/>
              <w:rPr>
                <w:highlight w:val="none"/>
              </w:rPr>
            </w:pPr>
            <w:r>
              <w:rPr>
                <w:highlight w:val="none"/>
              </w:rPr>
              <w:t xml:space="preserve">通信地址：</w:t>
            </w:r>
            <w:r/>
          </w:p>
        </w:tc>
      </w:tr>
      <w:tr>
        <w:trPr>
          <w:trHeight w:val="544"/>
        </w:trPr>
        <w:tc>
          <w:tcPr>
            <w:tcW w:w="2270" w:type="dxa"/>
            <w:textDirection w:val="lrTb"/>
            <w:noWrap w:val="false"/>
          </w:tcPr>
          <w:p>
            <w:pPr>
              <w:pStyle w:val="1108"/>
              <w:rPr>
                <w:highlight w:val="none"/>
              </w:rPr>
            </w:pPr>
            <w:r>
              <w:rPr>
                <w:highlight w:val="none"/>
              </w:rPr>
              <w:t xml:space="preserve">法定代表人签字：</w:t>
            </w:r>
            <w:r/>
          </w:p>
        </w:tc>
        <w:tc>
          <w:tcPr>
            <w:tcW w:w="1980" w:type="dxa"/>
            <w:textDirection w:val="lrTb"/>
            <w:noWrap w:val="false"/>
          </w:tcPr>
          <w:p>
            <w:pPr>
              <w:pStyle w:val="1108"/>
              <w:rPr>
                <w:highlight w:val="none"/>
              </w:rPr>
            </w:pPr>
            <w:r>
              <w:rPr>
                <w:highlight w:val="none"/>
              </w:rPr>
            </w:r>
            <w:r/>
          </w:p>
        </w:tc>
        <w:tc>
          <w:tcPr>
            <w:tcW w:w="4250" w:type="dxa"/>
            <w:textDirection w:val="lrTb"/>
            <w:noWrap w:val="false"/>
          </w:tcPr>
          <w:p>
            <w:pPr>
              <w:pStyle w:val="1108"/>
              <w:rPr>
                <w:highlight w:val="none"/>
              </w:rPr>
            </w:pPr>
            <w:r>
              <w:rPr>
                <w:highlight w:val="none"/>
              </w:rPr>
              <w:t xml:space="preserve">法定代表人签字：</w:t>
            </w:r>
            <w:r/>
          </w:p>
        </w:tc>
      </w:tr>
      <w:tr>
        <w:trPr>
          <w:trHeight w:val="544"/>
        </w:trPr>
        <w:tc>
          <w:tcPr>
            <w:tcW w:w="2270" w:type="dxa"/>
            <w:textDirection w:val="lrTb"/>
            <w:noWrap w:val="false"/>
          </w:tcPr>
          <w:p>
            <w:pPr>
              <w:pStyle w:val="1108"/>
              <w:rPr>
                <w:highlight w:val="none"/>
              </w:rPr>
            </w:pPr>
            <w:r>
              <w:rPr>
                <w:highlight w:val="none"/>
              </w:rPr>
              <w:t xml:space="preserve">电话：</w:t>
            </w:r>
            <w:r/>
          </w:p>
        </w:tc>
        <w:tc>
          <w:tcPr>
            <w:tcW w:w="1980" w:type="dxa"/>
            <w:textDirection w:val="lrTb"/>
            <w:noWrap w:val="false"/>
          </w:tcPr>
          <w:p>
            <w:pPr>
              <w:pStyle w:val="1108"/>
              <w:rPr>
                <w:highlight w:val="none"/>
              </w:rPr>
            </w:pPr>
            <w:r>
              <w:rPr>
                <w:highlight w:val="none"/>
              </w:rPr>
            </w:r>
            <w:r/>
          </w:p>
        </w:tc>
        <w:tc>
          <w:tcPr>
            <w:tcW w:w="4250" w:type="dxa"/>
            <w:textDirection w:val="lrTb"/>
            <w:noWrap w:val="false"/>
          </w:tcPr>
          <w:p>
            <w:pPr>
              <w:pStyle w:val="1108"/>
              <w:rPr>
                <w:highlight w:val="none"/>
              </w:rPr>
            </w:pPr>
            <w:r>
              <w:rPr>
                <w:highlight w:val="none"/>
              </w:rPr>
              <w:t xml:space="preserve">电话：</w:t>
            </w:r>
            <w:r/>
          </w:p>
        </w:tc>
      </w:tr>
      <w:tr>
        <w:trPr>
          <w:trHeight w:val="392"/>
        </w:trPr>
        <w:tc>
          <w:tcPr>
            <w:tcW w:w="2270" w:type="dxa"/>
            <w:textDirection w:val="lrTb"/>
            <w:noWrap w:val="false"/>
          </w:tcPr>
          <w:p>
            <w:pPr>
              <w:pStyle w:val="1108"/>
              <w:rPr>
                <w:highlight w:val="none"/>
              </w:rPr>
            </w:pPr>
            <w:r>
              <w:rPr>
                <w:highlight w:val="none"/>
              </w:rPr>
              <w:t xml:space="preserve">日 期：</w:t>
            </w:r>
            <w:r>
              <w:rPr>
                <w:highlight w:val="none"/>
              </w:rPr>
              <w:tab/>
            </w:r>
            <w:r>
              <w:rPr>
                <w:highlight w:val="none"/>
              </w:rPr>
              <w:t xml:space="preserve">年</w:t>
            </w:r>
            <w:r>
              <w:rPr>
                <w:highlight w:val="none"/>
              </w:rPr>
              <w:tab/>
            </w:r>
            <w:r>
              <w:rPr>
                <w:highlight w:val="none"/>
              </w:rPr>
              <w:t xml:space="preserve">月</w:t>
            </w:r>
            <w:r/>
          </w:p>
        </w:tc>
        <w:tc>
          <w:tcPr>
            <w:tcW w:w="1980" w:type="dxa"/>
            <w:textDirection w:val="lrTb"/>
            <w:noWrap w:val="false"/>
          </w:tcPr>
          <w:p>
            <w:pPr>
              <w:pStyle w:val="1108"/>
              <w:rPr>
                <w:highlight w:val="none"/>
              </w:rPr>
            </w:pPr>
            <w:r>
              <w:rPr>
                <w:highlight w:val="none"/>
              </w:rPr>
              <w:t xml:space="preserve">日</w:t>
            </w:r>
            <w:r/>
          </w:p>
        </w:tc>
        <w:tc>
          <w:tcPr>
            <w:tcW w:w="4250" w:type="dxa"/>
            <w:textDirection w:val="lrTb"/>
            <w:noWrap w:val="false"/>
          </w:tcPr>
          <w:p>
            <w:pPr>
              <w:pStyle w:val="1108"/>
              <w:rPr>
                <w:highlight w:val="none"/>
              </w:rPr>
            </w:pPr>
            <w:r>
              <w:rPr>
                <w:highlight w:val="none"/>
              </w:rPr>
              <w:t xml:space="preserve">日 期：</w:t>
            </w:r>
            <w:r>
              <w:rPr>
                <w:highlight w:val="none"/>
              </w:rPr>
              <w:tab/>
            </w:r>
            <w:r>
              <w:rPr>
                <w:highlight w:val="none"/>
              </w:rPr>
              <w:t xml:space="preserve">年</w:t>
            </w:r>
            <w:r>
              <w:rPr>
                <w:highlight w:val="none"/>
              </w:rPr>
              <w:tab/>
            </w:r>
            <w:r>
              <w:rPr>
                <w:highlight w:val="none"/>
              </w:rPr>
              <w:t xml:space="preserve">月</w:t>
            </w:r>
            <w:r>
              <w:rPr>
                <w:highlight w:val="none"/>
              </w:rPr>
              <w:tab/>
            </w:r>
            <w:r>
              <w:rPr>
                <w:highlight w:val="none"/>
              </w:rPr>
              <w:t xml:space="preserve">日</w:t>
            </w:r>
            <w:r/>
          </w:p>
        </w:tc>
      </w:tr>
    </w:tbl>
    <w:p>
      <w:pPr>
        <w:ind w:left="618" w:firstLine="420"/>
        <w:jc w:val="both"/>
        <w:spacing w:line="560" w:lineRule="exact"/>
        <w:rPr>
          <w:rFonts w:ascii="Times New Roman" w:hAnsi="Times New Roman" w:cs="Times New Roman"/>
          <w:sz w:val="21"/>
          <w:szCs w:val="21"/>
          <w:highlight w:val="none"/>
        </w:rPr>
      </w:pPr>
      <w:r>
        <w:rPr>
          <w:rFonts w:ascii="Times New Roman" w:hAnsi="Times New Roman" w:cs="Times New Roman"/>
          <w:sz w:val="21"/>
          <w:szCs w:val="21"/>
          <w:highlight w:val="none"/>
        </w:rPr>
      </w:r>
      <w:r/>
    </w:p>
    <w:p>
      <w:pPr>
        <w:pStyle w:val="1086"/>
        <w:ind w:firstLine="482"/>
        <w:jc w:val="both"/>
        <w:spacing w:line="360" w:lineRule="auto"/>
        <w:rPr>
          <w:rFonts w:ascii="Times New Roman" w:hAnsi="Times New Roman" w:eastAsia="宋体" w:cs="Times New Roman"/>
          <w:b/>
          <w:sz w:val="21"/>
          <w:szCs w:val="21"/>
          <w:highlight w:val="none"/>
        </w:rPr>
      </w:pPr>
      <w:r>
        <w:rPr>
          <w:rFonts w:ascii="Times New Roman" w:hAnsi="Times New Roman" w:eastAsia="宋体" w:cs="Times New Roman"/>
          <w:b/>
          <w:bCs/>
          <w:sz w:val="24"/>
          <w:szCs w:val="24"/>
          <w:highlight w:val="none"/>
        </w:rPr>
        <w:t xml:space="preserve">6.2、政府采购投标担保函（如有需要）</w:t>
      </w:r>
      <w:r/>
    </w:p>
    <w:p>
      <w:pPr>
        <w:pStyle w:val="1091"/>
        <w:rPr>
          <w:highlight w:val="none"/>
        </w:rPr>
      </w:pPr>
      <w:r>
        <w:rPr>
          <w:highlight w:val="none"/>
        </w:rPr>
        <w:t xml:space="preserve">致：</w:t>
      </w:r>
      <w:r>
        <w:rPr>
          <w:highlight w:val="none"/>
          <w:lang w:val="en-US"/>
        </w:rPr>
        <w:t xml:space="preserve">江苏金永诚建设投资管理咨询有限公司</w:t>
      </w:r>
      <w:r/>
    </w:p>
    <w:p>
      <w:pPr>
        <w:pStyle w:val="1091"/>
        <w:rPr>
          <w:highlight w:val="none"/>
        </w:rPr>
      </w:pPr>
      <w:r>
        <w:rPr>
          <w:highlight w:val="none"/>
        </w:rPr>
        <w:t xml:space="preserve">鉴于</w:t>
      </w:r>
      <w:r>
        <w:rPr>
          <w:highlight w:val="none"/>
          <w:u w:val="single"/>
        </w:rPr>
        <w:t xml:space="preserve"> </w:t>
      </w:r>
      <w:r>
        <w:rPr>
          <w:highlight w:val="none"/>
          <w:u w:val="single"/>
        </w:rPr>
        <w:tab/>
      </w:r>
      <w:r>
        <w:rPr>
          <w:highlight w:val="none"/>
        </w:rPr>
        <w:t xml:space="preserve">（以下简称“投标人”）拟参加编号为</w:t>
      </w:r>
      <w:r>
        <w:rPr>
          <w:highlight w:val="none"/>
          <w:u w:val="single"/>
        </w:rPr>
        <w:t xml:space="preserve"> </w:t>
      </w:r>
      <w:r>
        <w:rPr>
          <w:highlight w:val="none"/>
          <w:u w:val="single"/>
        </w:rPr>
        <w:tab/>
      </w:r>
      <w:r>
        <w:rPr>
          <w:highlight w:val="none"/>
        </w:rPr>
        <w:t xml:space="preserve">的</w:t>
      </w:r>
      <w:r/>
    </w:p>
    <w:p>
      <w:pPr>
        <w:pStyle w:val="1091"/>
        <w:rPr>
          <w:highlight w:val="none"/>
        </w:rPr>
      </w:pPr>
      <w:r>
        <w:rPr>
          <w:highlight w:val="none"/>
          <w:u w:val="single"/>
        </w:rPr>
        <w:t xml:space="preserve"> </w:t>
      </w:r>
      <w:r>
        <w:rPr>
          <w:highlight w:val="none"/>
          <w:u w:val="single"/>
        </w:rPr>
        <w:tab/>
      </w:r>
      <w:r>
        <w:rPr>
          <w:highlight w:val="none"/>
        </w:rPr>
        <w:t xml:space="preserve">项目（以下简称“本项目”</w:t>
      </w:r>
      <w:r>
        <w:rPr>
          <w:spacing w:val="3"/>
          <w:highlight w:val="none"/>
        </w:rPr>
        <w:t xml:space="preserve">）</w:t>
      </w:r>
      <w:r>
        <w:rPr>
          <w:highlight w:val="none"/>
        </w:rPr>
        <w:t xml:space="preserve">投标，根据本项目招标文件，投标人</w:t>
      </w:r>
      <w:r>
        <w:rPr>
          <w:spacing w:val="-4"/>
          <w:highlight w:val="none"/>
        </w:rPr>
        <w:t xml:space="preserve">参加投标时应向你方交纳投标保证金，且可以投标担保函的形式交纳投标保证金。应</w:t>
      </w:r>
      <w:r>
        <w:rPr>
          <w:highlight w:val="none"/>
        </w:rPr>
        <w:t xml:space="preserve">投标人的申请，我方以保证的方式向你方提供如下投标保证金担保：</w:t>
      </w:r>
      <w:r/>
    </w:p>
    <w:p>
      <w:pPr>
        <w:pStyle w:val="1091"/>
        <w:rPr>
          <w:highlight w:val="none"/>
        </w:rPr>
      </w:pPr>
      <w:r>
        <w:rPr>
          <w:highlight w:val="none"/>
        </w:rPr>
        <w:t xml:space="preserve">一、保证责任的情形及保证金额</w:t>
      </w:r>
      <w:r/>
    </w:p>
    <w:p>
      <w:pPr>
        <w:pStyle w:val="1091"/>
        <w:rPr>
          <w:highlight w:val="none"/>
        </w:rPr>
      </w:pPr>
      <w:r>
        <w:rPr>
          <w:highlight w:val="none"/>
        </w:rPr>
        <w:t xml:space="preserve">（一）在投标人出现下列情形之一时，我方承担保证责任：</w:t>
      </w:r>
      <w:r/>
    </w:p>
    <w:p>
      <w:pPr>
        <w:pStyle w:val="1107"/>
        <w:numPr>
          <w:ilvl w:val="0"/>
          <w:numId w:val="9"/>
        </w:numPr>
        <w:rPr>
          <w:rFonts w:ascii="Times New Roman" w:hAnsi="Times New Roman" w:cs="Times New Roman"/>
          <w:highlight w:val="none"/>
        </w:rPr>
      </w:pPr>
      <w:r>
        <w:rPr>
          <w:rFonts w:ascii="Times New Roman" w:hAnsi="Times New Roman" w:cs="Times New Roman"/>
          <w:highlight w:val="none"/>
        </w:rPr>
        <w:t xml:space="preserve">中标后投标人无正当理由不与采购人签订《政府采购合同》；</w:t>
      </w:r>
      <w:r/>
    </w:p>
    <w:p>
      <w:pPr>
        <w:pStyle w:val="1107"/>
        <w:numPr>
          <w:ilvl w:val="0"/>
          <w:numId w:val="9"/>
        </w:numPr>
        <w:rPr>
          <w:rFonts w:ascii="Times New Roman" w:hAnsi="Times New Roman" w:cs="Times New Roman"/>
          <w:highlight w:val="none"/>
        </w:rPr>
      </w:pPr>
      <w:r>
        <w:rPr>
          <w:rFonts w:ascii="Times New Roman" w:hAnsi="Times New Roman" w:cs="Times New Roman"/>
          <w:highlight w:val="none"/>
        </w:rPr>
        <w:t xml:space="preserve">招标文件规定的投标人应当缴纳保证金的其他情形。</w:t>
      </w:r>
      <w:r/>
    </w:p>
    <w:p>
      <w:pPr>
        <w:pStyle w:val="1091"/>
        <w:rPr>
          <w:highlight w:val="none"/>
        </w:rPr>
      </w:pPr>
      <w:r>
        <w:rPr>
          <w:highlight w:val="none"/>
        </w:rPr>
        <w:t xml:space="preserve">（二</w:t>
      </w:r>
      <w:r>
        <w:rPr>
          <w:spacing w:val="-15"/>
          <w:highlight w:val="none"/>
        </w:rPr>
        <w:t xml:space="preserve">）</w:t>
      </w:r>
      <w:r>
        <w:rPr>
          <w:highlight w:val="none"/>
        </w:rPr>
        <w:t xml:space="preserve">我方承担保证责任的最高金额为人民币</w:t>
      </w:r>
      <w:r>
        <w:rPr>
          <w:highlight w:val="none"/>
          <w:u w:val="single"/>
        </w:rPr>
        <w:t xml:space="preserve"> </w:t>
      </w:r>
      <w:r>
        <w:rPr>
          <w:highlight w:val="none"/>
          <w:u w:val="single"/>
        </w:rPr>
        <w:tab/>
      </w:r>
      <w:r>
        <w:rPr>
          <w:spacing w:val="-12"/>
          <w:highlight w:val="none"/>
        </w:rPr>
        <w:t xml:space="preserve">元</w:t>
      </w:r>
      <w:r>
        <w:rPr>
          <w:highlight w:val="none"/>
        </w:rPr>
        <w:t xml:space="preserve">（大写</w:t>
      </w:r>
      <w:r>
        <w:rPr>
          <w:highlight w:val="none"/>
          <w:u w:val="single"/>
        </w:rPr>
        <w:t xml:space="preserve"> </w:t>
      </w:r>
      <w:r>
        <w:rPr>
          <w:highlight w:val="none"/>
          <w:u w:val="single"/>
        </w:rPr>
        <w:tab/>
      </w:r>
      <w:r>
        <w:rPr>
          <w:spacing w:val="-14"/>
          <w:highlight w:val="none"/>
        </w:rPr>
        <w:t xml:space="preserve">），</w:t>
      </w:r>
      <w:r>
        <w:rPr>
          <w:highlight w:val="none"/>
        </w:rPr>
        <w:t xml:space="preserve">即本</w:t>
      </w:r>
      <w:r>
        <w:rPr>
          <w:spacing w:val="-18"/>
          <w:highlight w:val="none"/>
        </w:rPr>
        <w:t xml:space="preserve">项</w:t>
      </w:r>
      <w:r>
        <w:rPr>
          <w:highlight w:val="none"/>
        </w:rPr>
        <w:t xml:space="preserve">目的投标保证金金额。</w:t>
      </w:r>
      <w:r/>
    </w:p>
    <w:p>
      <w:pPr>
        <w:pStyle w:val="1091"/>
        <w:rPr>
          <w:highlight w:val="none"/>
        </w:rPr>
      </w:pPr>
      <w:r>
        <w:rPr>
          <w:highlight w:val="none"/>
        </w:rPr>
        <w:t xml:space="preserve">二、保证的方式及保证期间</w:t>
      </w:r>
      <w:r/>
    </w:p>
    <w:p>
      <w:pPr>
        <w:pStyle w:val="1091"/>
        <w:rPr>
          <w:highlight w:val="none"/>
        </w:rPr>
      </w:pPr>
      <w:r>
        <w:rPr>
          <w:highlight w:val="none"/>
        </w:rPr>
        <w:t xml:space="preserve">我方保证的方式为：连带责任保证。</w:t>
      </w:r>
      <w:r/>
    </w:p>
    <w:p>
      <w:pPr>
        <w:pStyle w:val="1091"/>
        <w:rPr>
          <w:spacing w:val="-17"/>
          <w:highlight w:val="none"/>
        </w:rPr>
      </w:pPr>
      <w:r>
        <w:rPr>
          <w:highlight w:val="none"/>
        </w:rPr>
        <w:t xml:space="preserve">我方的保证期间为：自本保函生效之日起</w:t>
      </w:r>
      <w:r>
        <w:rPr>
          <w:highlight w:val="none"/>
          <w:u w:val="single"/>
        </w:rPr>
        <w:t xml:space="preserve"> </w:t>
      </w:r>
      <w:r>
        <w:rPr>
          <w:highlight w:val="none"/>
          <w:u w:val="single"/>
        </w:rPr>
        <w:tab/>
      </w:r>
      <w:r>
        <w:rPr>
          <w:highlight w:val="none"/>
        </w:rPr>
        <w:t xml:space="preserve">个月止</w:t>
      </w:r>
      <w:r>
        <w:rPr>
          <w:spacing w:val="-17"/>
          <w:highlight w:val="none"/>
        </w:rPr>
        <w:t xml:space="preserve">。</w:t>
      </w:r>
      <w:r/>
    </w:p>
    <w:p>
      <w:pPr>
        <w:pStyle w:val="1091"/>
        <w:rPr>
          <w:highlight w:val="none"/>
        </w:rPr>
      </w:pPr>
      <w:r>
        <w:rPr>
          <w:highlight w:val="none"/>
        </w:rPr>
        <w:t xml:space="preserve">三、承担保证责任的程序</w:t>
      </w:r>
      <w:r/>
    </w:p>
    <w:p>
      <w:pPr>
        <w:pStyle w:val="1107"/>
        <w:numPr>
          <w:ilvl w:val="0"/>
          <w:numId w:val="10"/>
        </w:numPr>
        <w:rPr>
          <w:rFonts w:ascii="Times New Roman" w:hAnsi="Times New Roman" w:cs="Times New Roman"/>
          <w:highlight w:val="none"/>
        </w:rPr>
      </w:pPr>
      <w:r>
        <w:rPr>
          <w:rFonts w:ascii="Times New Roman" w:hAnsi="Times New Roman" w:cs="Times New Roman"/>
          <w:highlight w:val="none"/>
        </w:rPr>
        <w:t xml:space="preserve">你方要求我方承担保证责任的，应在本保函保证期间内向我方发出书面索赔通知。</w:t>
      </w:r>
      <w:r>
        <w:rPr>
          <w:rFonts w:ascii="Times New Roman" w:hAnsi="Times New Roman" w:cs="Times New Roman"/>
          <w:spacing w:val="-4"/>
          <w:highlight w:val="none"/>
        </w:rPr>
        <w:t xml:space="preserve">索赔通知应写明要求索赔的金额，支付款项应到达的账号，并附有证明投标人发生我方</w:t>
      </w:r>
      <w:r>
        <w:rPr>
          <w:rFonts w:ascii="Times New Roman" w:hAnsi="Times New Roman" w:cs="Times New Roman"/>
          <w:highlight w:val="none"/>
        </w:rPr>
        <w:t xml:space="preserve">应承担保证责任情形的事实材料。</w:t>
      </w:r>
      <w:r/>
    </w:p>
    <w:p>
      <w:pPr>
        <w:pStyle w:val="1107"/>
        <w:numPr>
          <w:ilvl w:val="0"/>
          <w:numId w:val="10"/>
        </w:numPr>
        <w:rPr>
          <w:rFonts w:ascii="Times New Roman" w:hAnsi="Times New Roman" w:cs="Times New Roman"/>
          <w:highlight w:val="none"/>
        </w:rPr>
      </w:pPr>
      <w:r>
        <w:rPr>
          <w:rFonts w:ascii="Times New Roman" w:hAnsi="Times New Roman" w:cs="Times New Roman"/>
          <w:highlight w:val="none"/>
        </w:rPr>
        <w:t xml:space="preserve">我方在收到索赔通知及相关证明材料后，在</w:t>
      </w:r>
      <w:r>
        <w:rPr>
          <w:rFonts w:ascii="Times New Roman" w:hAnsi="Times New Roman" w:cs="Times New Roman"/>
          <w:highlight w:val="none"/>
          <w:u w:val="single"/>
        </w:rPr>
        <w:t xml:space="preserve"> </w:t>
      </w:r>
      <w:r>
        <w:rPr>
          <w:rFonts w:ascii="Times New Roman" w:hAnsi="Times New Roman" w:cs="Times New Roman"/>
          <w:highlight w:val="none"/>
          <w:u w:val="single"/>
        </w:rPr>
        <w:tab/>
      </w:r>
      <w:r>
        <w:rPr>
          <w:rFonts w:ascii="Times New Roman" w:hAnsi="Times New Roman" w:cs="Times New Roman"/>
          <w:highlight w:val="none"/>
        </w:rPr>
        <w:t xml:space="preserve">个工作日内进行审查，符合应承</w:t>
      </w:r>
      <w:r>
        <w:rPr>
          <w:rFonts w:ascii="Times New Roman" w:hAnsi="Times New Roman" w:cs="Times New Roman"/>
          <w:spacing w:val="-13"/>
          <w:highlight w:val="none"/>
        </w:rPr>
        <w:t xml:space="preserve">担</w:t>
      </w:r>
      <w:r>
        <w:rPr>
          <w:rFonts w:ascii="Times New Roman" w:hAnsi="Times New Roman" w:cs="Times New Roman"/>
          <w:highlight w:val="none"/>
        </w:rPr>
        <w:t xml:space="preserve">保证责任情形的，我方应按照你方的要求代投标人向你方支付投标保证金。</w:t>
      </w:r>
      <w:r/>
    </w:p>
    <w:p>
      <w:pPr>
        <w:pStyle w:val="1091"/>
        <w:rPr>
          <w:highlight w:val="none"/>
        </w:rPr>
      </w:pPr>
      <w:r>
        <w:rPr>
          <w:highlight w:val="none"/>
        </w:rPr>
        <w:t xml:space="preserve">四、保证责任的终止</w:t>
      </w:r>
      <w:r/>
    </w:p>
    <w:p>
      <w:pPr>
        <w:pStyle w:val="1107"/>
        <w:numPr>
          <w:ilvl w:val="0"/>
          <w:numId w:val="11"/>
        </w:numPr>
        <w:rPr>
          <w:rFonts w:ascii="Times New Roman" w:hAnsi="Times New Roman" w:cs="Times New Roman"/>
          <w:highlight w:val="none"/>
        </w:rPr>
      </w:pPr>
      <w:r>
        <w:rPr>
          <w:rFonts w:ascii="Times New Roman" w:hAnsi="Times New Roman" w:cs="Times New Roman"/>
          <w:highlight w:val="none"/>
        </w:rPr>
        <w:t xml:space="preserve">保证期间届满你方未向我方书面主张保证责任的，自保证期间届满次日起，我方保证责任自动终止。</w:t>
      </w:r>
      <w:r/>
    </w:p>
    <w:p>
      <w:pPr>
        <w:pStyle w:val="1107"/>
        <w:numPr>
          <w:ilvl w:val="0"/>
          <w:numId w:val="11"/>
        </w:numPr>
        <w:rPr>
          <w:rFonts w:ascii="Times New Roman" w:hAnsi="Times New Roman" w:cs="Times New Roman"/>
          <w:highlight w:val="none"/>
        </w:rPr>
      </w:pPr>
      <w:r>
        <w:rPr>
          <w:rFonts w:ascii="Times New Roman" w:hAnsi="Times New Roman" w:cs="Times New Roman"/>
          <w:highlight w:val="none"/>
        </w:rPr>
        <w:t xml:space="preserve">我方按照本保函向你贵方履行了保证责任后，自我方向你贵方支付款项（支付款项从我方账户划出）之日起，保证责任终止。</w:t>
      </w:r>
      <w:r/>
    </w:p>
    <w:p>
      <w:pPr>
        <w:pStyle w:val="1091"/>
        <w:rPr>
          <w:highlight w:val="none"/>
        </w:rPr>
      </w:pPr>
      <w:r>
        <w:rPr>
          <w:highlight w:val="none"/>
        </w:rPr>
        <w:t xml:space="preserve">按照法律法规的规定或出现我方保证责任终止的其它情形的，我方在本保函项下的保证责任亦终止。</w:t>
      </w:r>
      <w:bookmarkStart w:id="67" w:name="_bookmark1"/>
      <w:r/>
      <w:bookmarkEnd w:id="67"/>
      <w:r/>
      <w:r/>
    </w:p>
    <w:p>
      <w:pPr>
        <w:pStyle w:val="1091"/>
        <w:rPr>
          <w:highlight w:val="none"/>
        </w:rPr>
      </w:pPr>
      <w:r>
        <w:rPr>
          <w:highlight w:val="none"/>
        </w:rPr>
        <w:t xml:space="preserve">五、免责条款</w:t>
      </w:r>
      <w:r/>
    </w:p>
    <w:p>
      <w:pPr>
        <w:pStyle w:val="1107"/>
        <w:numPr>
          <w:ilvl w:val="0"/>
          <w:numId w:val="12"/>
        </w:numPr>
        <w:rPr>
          <w:rFonts w:ascii="Times New Roman" w:hAnsi="Times New Roman" w:cs="Times New Roman"/>
          <w:highlight w:val="none"/>
        </w:rPr>
      </w:pPr>
      <w:r>
        <w:rPr>
          <w:rFonts w:ascii="Times New Roman" w:hAnsi="Times New Roman" w:cs="Times New Roman"/>
          <w:highlight w:val="none"/>
        </w:rPr>
        <w:t xml:space="preserve">依照法律规定或你方与投标人的另行约定，全部或者部分免除投标人投标保证金义务时，我方亦免除相应的保证责任。</w:t>
      </w:r>
      <w:r/>
    </w:p>
    <w:p>
      <w:pPr>
        <w:pStyle w:val="1107"/>
        <w:numPr>
          <w:ilvl w:val="0"/>
          <w:numId w:val="12"/>
        </w:numPr>
        <w:rPr>
          <w:rFonts w:ascii="Times New Roman" w:hAnsi="Times New Roman" w:cs="Times New Roman"/>
          <w:highlight w:val="none"/>
        </w:rPr>
      </w:pPr>
      <w:r>
        <w:rPr>
          <w:rFonts w:ascii="Times New Roman" w:hAnsi="Times New Roman" w:cs="Times New Roman"/>
          <w:highlight w:val="none"/>
        </w:rPr>
        <w:t xml:space="preserve">因你方原因致使投标人发生本保函第一条第（一）款约定情形的，我方不承担保证责任。</w:t>
      </w:r>
      <w:r/>
    </w:p>
    <w:p>
      <w:pPr>
        <w:pStyle w:val="1107"/>
        <w:numPr>
          <w:ilvl w:val="0"/>
          <w:numId w:val="12"/>
        </w:numPr>
        <w:rPr>
          <w:rFonts w:ascii="Times New Roman" w:hAnsi="Times New Roman" w:cs="Times New Roman"/>
          <w:highlight w:val="none"/>
        </w:rPr>
      </w:pPr>
      <w:r>
        <w:rPr>
          <w:rFonts w:ascii="Times New Roman" w:hAnsi="Times New Roman" w:cs="Times New Roman"/>
          <w:highlight w:val="none"/>
        </w:rPr>
        <w:t xml:space="preserve">因不可抗力造成投标人发生本保函第一条约定情形的，我方不承担保证责任。</w:t>
      </w:r>
      <w:r/>
    </w:p>
    <w:p>
      <w:pPr>
        <w:pStyle w:val="1107"/>
        <w:numPr>
          <w:ilvl w:val="0"/>
          <w:numId w:val="12"/>
        </w:numPr>
        <w:rPr>
          <w:rFonts w:ascii="Times New Roman" w:hAnsi="Times New Roman" w:cs="Times New Roman"/>
          <w:highlight w:val="none"/>
        </w:rPr>
      </w:pPr>
      <w:r>
        <w:rPr>
          <w:rFonts w:ascii="Times New Roman" w:hAnsi="Times New Roman" w:cs="Times New Roman"/>
          <w:highlight w:val="none"/>
        </w:rPr>
        <w:t xml:space="preserve">你方或其他有权机关对招标文件进行任何澄清或修改，加重我方保证责任的，我方对加重部分不承担保证责任，但该澄清或修改经我方事先书面同意的除外。</w:t>
      </w:r>
      <w:r/>
    </w:p>
    <w:p>
      <w:pPr>
        <w:pStyle w:val="1091"/>
        <w:rPr>
          <w:highlight w:val="none"/>
        </w:rPr>
      </w:pPr>
      <w:r>
        <w:rPr>
          <w:highlight w:val="none"/>
        </w:rPr>
        <w:t xml:space="preserve">六、争议的解决</w:t>
      </w:r>
      <w:r/>
    </w:p>
    <w:p>
      <w:pPr>
        <w:pStyle w:val="1091"/>
        <w:rPr>
          <w:highlight w:val="none"/>
        </w:rPr>
      </w:pPr>
      <w:r>
        <w:rPr>
          <w:highlight w:val="none"/>
        </w:rPr>
        <w:t xml:space="preserve">因本保函发生的纠纷</w:t>
      </w:r>
      <w:r>
        <w:rPr>
          <w:spacing w:val="-12"/>
          <w:highlight w:val="none"/>
        </w:rPr>
        <w:t xml:space="preserve">，</w:t>
      </w:r>
      <w:r>
        <w:rPr>
          <w:highlight w:val="none"/>
        </w:rPr>
        <w:t xml:space="preserve">由你我双方协商解决</w:t>
      </w:r>
      <w:r>
        <w:rPr>
          <w:spacing w:val="-12"/>
          <w:highlight w:val="none"/>
        </w:rPr>
        <w:t xml:space="preserve">，</w:t>
      </w:r>
      <w:r>
        <w:rPr>
          <w:highlight w:val="none"/>
        </w:rPr>
        <w:t xml:space="preserve">协商不成的</w:t>
      </w:r>
      <w:r>
        <w:rPr>
          <w:spacing w:val="-15"/>
          <w:highlight w:val="none"/>
        </w:rPr>
        <w:t xml:space="preserve">，</w:t>
      </w:r>
      <w:r>
        <w:rPr>
          <w:highlight w:val="none"/>
        </w:rPr>
        <w:t xml:space="preserve">通过诉讼程序解决</w:t>
      </w:r>
      <w:r>
        <w:rPr>
          <w:spacing w:val="-15"/>
          <w:highlight w:val="none"/>
        </w:rPr>
        <w:t xml:space="preserve">，</w:t>
      </w:r>
      <w:r>
        <w:rPr>
          <w:highlight w:val="none"/>
        </w:rPr>
        <w:t xml:space="preserve">诉讼</w:t>
      </w:r>
      <w:r>
        <w:rPr>
          <w:spacing w:val="-17"/>
          <w:highlight w:val="none"/>
        </w:rPr>
        <w:t xml:space="preserve">管</w:t>
      </w:r>
      <w:r>
        <w:rPr>
          <w:highlight w:val="none"/>
        </w:rPr>
        <w:t xml:space="preserve">辖地法院为</w:t>
      </w:r>
      <w:r>
        <w:rPr>
          <w:highlight w:val="none"/>
          <w:u w:val="single"/>
        </w:rPr>
        <w:t xml:space="preserve"> </w:t>
      </w:r>
      <w:r>
        <w:rPr>
          <w:highlight w:val="none"/>
          <w:u w:val="single"/>
        </w:rPr>
        <w:tab/>
      </w:r>
      <w:r>
        <w:rPr>
          <w:highlight w:val="none"/>
        </w:rPr>
        <w:t xml:space="preserve">法院。</w:t>
      </w:r>
      <w:r/>
    </w:p>
    <w:p>
      <w:pPr>
        <w:pStyle w:val="1091"/>
        <w:rPr>
          <w:highlight w:val="none"/>
        </w:rPr>
      </w:pPr>
      <w:r>
        <w:rPr>
          <w:highlight w:val="none"/>
        </w:rPr>
        <w:t xml:space="preserve">七、保函的生效</w:t>
      </w:r>
      <w:r/>
    </w:p>
    <w:p>
      <w:pPr>
        <w:pStyle w:val="1091"/>
        <w:rPr>
          <w:highlight w:val="none"/>
        </w:rPr>
      </w:pPr>
      <w:r>
        <w:rPr>
          <w:highlight w:val="none"/>
        </w:rPr>
        <w:t xml:space="preserve">本保函自我方加盖公章之日起生效。</w:t>
      </w:r>
      <w:r/>
    </w:p>
    <w:p>
      <w:pPr>
        <w:pStyle w:val="1091"/>
        <w:rPr>
          <w:spacing w:val="-17"/>
          <w:highlight w:val="none"/>
        </w:rPr>
        <w:sectPr>
          <w:footerReference w:type="default" r:id="rId16"/>
          <w:footnotePr/>
          <w:endnotePr/>
          <w:type w:val="nextPage"/>
          <w:pgSz w:w="11910" w:h="16840" w:orient="portrait"/>
          <w:pgMar w:top="1460" w:right="800" w:bottom="920" w:left="800" w:header="492" w:footer="726" w:gutter="0"/>
          <w:cols w:num="1" w:sep="0" w:space="720" w:equalWidth="1"/>
          <w:docGrid w:linePitch="360"/>
        </w:sectPr>
      </w:pPr>
      <w:r>
        <w:rPr>
          <w:highlight w:val="none"/>
        </w:rPr>
        <w:t xml:space="preserve">保证人：（盖章） 年</w:t>
      </w:r>
      <w:r>
        <w:rPr>
          <w:highlight w:val="none"/>
        </w:rPr>
        <w:tab/>
      </w:r>
      <w:r>
        <w:rPr>
          <w:highlight w:val="none"/>
        </w:rPr>
        <w:t xml:space="preserve">月</w:t>
      </w:r>
      <w:r>
        <w:rPr>
          <w:highlight w:val="none"/>
        </w:rPr>
        <w:tab/>
      </w:r>
      <w:r/>
    </w:p>
    <w:p>
      <w:pPr>
        <w:ind w:left="-51" w:right="-68" w:firstLine="602"/>
        <w:jc w:val="both"/>
        <w:spacing w:line="240" w:lineRule="atLeast"/>
        <w:rPr>
          <w:rFonts w:ascii="Times New Roman" w:hAnsi="Times New Roman" w:eastAsia="仿宋" w:cs="Times New Roman"/>
          <w:b/>
          <w:sz w:val="30"/>
          <w:szCs w:val="30"/>
          <w:highlight w:val="none"/>
        </w:rPr>
      </w:pPr>
      <w:r/>
      <w:bookmarkStart w:id="68" w:name="_Toc476153619"/>
      <w:r>
        <w:rPr>
          <w:rFonts w:ascii="Times New Roman" w:hAnsi="Times New Roman" w:eastAsia="仿宋" w:cs="Times New Roman"/>
          <w:b/>
          <w:sz w:val="30"/>
          <w:szCs w:val="30"/>
          <w:highlight w:val="none"/>
        </w:rPr>
        <w:t xml:space="preserve">中小企业划型标准</w:t>
      </w:r>
      <w:bookmarkEnd w:id="68"/>
      <w:r/>
      <w:r/>
    </w:p>
    <w:tbl>
      <w:tblPr>
        <w:tblStyle w:val="1090"/>
        <w:tblW w:w="14895" w:type="dxa"/>
        <w:jc w:val="center"/>
        <w:tblLayout w:type="fixed"/>
        <w:tblCellMar>
          <w:left w:w="108" w:type="dxa"/>
          <w:top w:w="0" w:type="dxa"/>
          <w:right w:w="108" w:type="dxa"/>
          <w:bottom w:w="0" w:type="dxa"/>
        </w:tblCellMar>
        <w:tblLook w:val="04A0" w:firstRow="1" w:lastRow="0" w:firstColumn="1" w:lastColumn="0" w:noHBand="0" w:noVBand="1"/>
      </w:tblPr>
      <w:tblGrid>
        <w:gridCol w:w="651"/>
        <w:gridCol w:w="1990"/>
        <w:gridCol w:w="1045"/>
        <w:gridCol w:w="1116"/>
        <w:gridCol w:w="959"/>
        <w:gridCol w:w="1044"/>
        <w:gridCol w:w="1046"/>
        <w:gridCol w:w="1017"/>
        <w:gridCol w:w="1055"/>
        <w:gridCol w:w="1053"/>
        <w:gridCol w:w="1023"/>
        <w:gridCol w:w="1043"/>
        <w:gridCol w:w="992"/>
        <w:gridCol w:w="861"/>
      </w:tblGrid>
      <w:tr>
        <w:trPr>
          <w:jc w:val="center"/>
          <w:trHeight w:val="500"/>
          <w:tblHeader/>
        </w:trPr>
        <w:tc>
          <w:tcPr>
            <w:shd w:val="clear" w:color="auto" w:fill="auto"/>
            <w:tcBorders>
              <w:top w:val="single" w:color="auto" w:sz="4" w:space="0"/>
              <w:left w:val="single" w:color="auto" w:sz="4" w:space="0"/>
              <w:right w:val="single" w:color="auto" w:sz="4" w:space="0"/>
            </w:tcBorders>
            <w:tcW w:w="651" w:type="dxa"/>
            <w:vAlign w:val="center"/>
            <w:vMerge w:val="restart"/>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序号</w:t>
            </w:r>
            <w:r/>
          </w:p>
        </w:tc>
        <w:tc>
          <w:tcPr>
            <w:shd w:val="clear" w:color="auto" w:fill="auto"/>
            <w:tcBorders>
              <w:top w:val="single" w:color="auto" w:sz="4" w:space="0"/>
              <w:left w:val="none" w:color="000000" w:sz="4" w:space="0"/>
              <w:right w:val="single" w:color="auto" w:sz="4" w:space="0"/>
            </w:tcBorders>
            <w:tcW w:w="1990" w:type="dxa"/>
            <w:vAlign w:val="center"/>
            <w:vMerge w:val="restart"/>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行业</w:t>
            </w:r>
            <w:r/>
          </w:p>
        </w:tc>
        <w:tc>
          <w:tcPr>
            <w:gridSpan w:val="3"/>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大型企业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中型企业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3131"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小型企业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2896"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微型企业</w:t>
            </w:r>
            <w:r/>
          </w:p>
        </w:tc>
      </w:tr>
      <w:tr>
        <w:trPr>
          <w:jc w:val="center"/>
          <w:trHeight w:val="226"/>
          <w:tblHeader/>
        </w:trPr>
        <w:tc>
          <w:tcPr>
            <w:shd w:val="clear" w:color="auto" w:fill="auto"/>
            <w:tcBorders>
              <w:left w:val="single" w:color="auto" w:sz="4" w:space="0"/>
              <w:bottom w:val="single" w:color="auto" w:sz="4" w:space="0"/>
              <w:right w:val="single" w:color="auto" w:sz="4" w:space="0"/>
            </w:tcBorders>
            <w:tcW w:w="651" w:type="dxa"/>
            <w:vAlign w:val="center"/>
            <w:vMerge w:val="continue"/>
            <w:textDirection w:val="lrTb"/>
            <w:noWrap w:val="false"/>
          </w:tcPr>
          <w:p>
            <w:pPr>
              <w:ind w:left="-51" w:right="-68" w:firstLine="442"/>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left w:val="none" w:color="000000" w:sz="4" w:space="0"/>
              <w:bottom w:val="single" w:color="auto" w:sz="4" w:space="0"/>
              <w:right w:val="single" w:color="auto" w:sz="4" w:space="0"/>
            </w:tcBorders>
            <w:tcW w:w="1990" w:type="dxa"/>
            <w:vAlign w:val="center"/>
            <w:vMerge w:val="continue"/>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营业收入</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从业人员</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总资产</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营业收入</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从业人员</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总资产</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营业收入</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从业人员</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总资产</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营业收入</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从业人员</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总资产</w:t>
            </w:r>
            <w:r/>
          </w:p>
          <w:p>
            <w:pPr>
              <w:ind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(万元)</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90" w:type="dxa"/>
            <w:vAlign w:val="center"/>
            <w:textDirection w:val="lrTb"/>
            <w:noWrap w:val="false"/>
          </w:tcPr>
          <w:p>
            <w:pPr>
              <w:ind w:left="-29" w:right="-68"/>
              <w:jc w:val="both"/>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农、林、牧、渔业</w:t>
            </w:r>
            <w:r/>
          </w:p>
        </w:tc>
        <w:tc>
          <w:tcPr>
            <w:shd w:val="clear" w:color="auto" w:fill="auto"/>
            <w:tcBorders>
              <w:top w:val="single" w:color="auto" w:sz="4" w:space="0"/>
              <w:left w:val="none" w:color="000000" w:sz="4" w:space="0"/>
              <w:bottom w:val="single" w:color="auto" w:sz="4" w:space="0"/>
              <w:right w:val="single" w:color="auto" w:sz="4" w:space="0"/>
            </w:tcBorders>
            <w:tcW w:w="1045" w:type="dxa"/>
            <w:vAlign w:val="center"/>
            <w:textDirection w:val="lrTb"/>
            <w:noWrap w:val="false"/>
          </w:tcPr>
          <w:p>
            <w:pPr>
              <w:ind w:left="-112" w:right="-112"/>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hint="eastAsia" w:ascii="Times New Roman" w:hAnsi="Times New Roman" w:cs="Times New Roman"/>
                <w:bCs/>
                <w:szCs w:val="21"/>
                <w:highlight w:val="none"/>
              </w:rPr>
            </w:pPr>
            <w:r>
              <w:rPr>
                <w:rFonts w:hint="eastAsia"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right="-112" w:firstLine="110"/>
              <w:jc w:val="center"/>
              <w:spacing w:line="240" w:lineRule="atLeast"/>
              <w:widowControl/>
              <w:rPr>
                <w:rFonts w:hint="eastAsia" w:ascii="Times New Roman" w:hAnsi="Times New Roman" w:cs="Times New Roman"/>
                <w:bCs/>
                <w:szCs w:val="21"/>
                <w:highlight w:val="none"/>
              </w:rPr>
            </w:pPr>
            <w:r>
              <w:rPr>
                <w:rFonts w:hint="eastAsia"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firstLine="110"/>
              <w:jc w:val="both"/>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hanging="6"/>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firstLine="110"/>
              <w:jc w:val="both"/>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firstLine="110"/>
              <w:jc w:val="both"/>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firstLine="110"/>
              <w:jc w:val="both"/>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建筑业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≥80000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≥80000</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hint="eastAsia" w:ascii="Times New Roman" w:hAnsi="Times New Roman" w:cs="Times New Roman"/>
                <w:bCs/>
                <w:szCs w:val="21"/>
                <w:highlight w:val="none"/>
              </w:rPr>
            </w:pPr>
            <w:r>
              <w:rPr>
                <w:rFonts w:hint="eastAsia"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批发业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零售业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交通运输业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仓储业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邮政业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住宿业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餐饮业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left="-112" w:firstLine="110"/>
              <w:jc w:val="center"/>
              <w:spacing w:line="240" w:lineRule="atLeast"/>
              <w:widowControl/>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信息传输业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软件和信息技术</w:t>
            </w:r>
            <w:r/>
          </w:p>
          <w:p>
            <w:pPr>
              <w:ind w:right="-68"/>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服务业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right="-112"/>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spacing w:line="240" w:lineRule="atLeast"/>
              <w:rPr>
                <w:rFonts w:ascii="Times New Roman" w:hAnsi="Times New Roman" w:cs="Times New Roman"/>
                <w:b/>
                <w:bCs/>
                <w:szCs w:val="21"/>
                <w:highlight w:val="none"/>
              </w:rPr>
            </w:pPr>
            <w:r>
              <w:rPr>
                <w:rFonts w:ascii="Times New Roman" w:hAnsi="Times New Roman" w:cs="Times New Roman"/>
                <w:b/>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房地产开发经验</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≥200000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或,≥10000</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且,≥5000</w:t>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且,≥2000</w:t>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或,＜2000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物业管理</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right="-68"/>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租赁和商务服务业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或,≥120000</w:t>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right="-112"/>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且,≥8000</w:t>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且,≥100</w:t>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spacing w:line="240" w:lineRule="atLeast"/>
              <w:rPr>
                <w:rFonts w:ascii="Times New Roman" w:hAnsi="Times New Roman" w:cs="Times New Roman"/>
                <w:bCs/>
                <w:szCs w:val="21"/>
                <w:highlight w:val="none"/>
              </w:rPr>
            </w:pPr>
            <w:r>
              <w:rPr>
                <w:rFonts w:ascii="Times New Roman" w:hAnsi="Times New Roman" w:cs="Times New Roman"/>
                <w:bCs/>
                <w:szCs w:val="21"/>
                <w:highlight w:val="none"/>
              </w:rPr>
              <w:t xml:space="preserve">或,＜100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51" w:type="dxa"/>
            <w:vAlign w:val="center"/>
            <w:textDirection w:val="lrTb"/>
            <w:noWrap w:val="false"/>
          </w:tcPr>
          <w:p>
            <w:pPr>
              <w:ind w:left="-112" w:right="-112"/>
              <w:jc w:val="center"/>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90" w:type="dxa"/>
            <w:vAlign w:val="center"/>
            <w:textDirection w:val="lrTb"/>
            <w:noWrap w:val="false"/>
          </w:tcPr>
          <w:p>
            <w:pPr>
              <w:ind w:left="-29" w:right="-68"/>
              <w:jc w:val="both"/>
              <w:spacing w:line="240" w:lineRule="atLeast"/>
              <w:rPr>
                <w:rFonts w:ascii="Times New Roman" w:hAnsi="Times New Roman" w:cs="Times New Roman"/>
                <w:b/>
                <w:szCs w:val="21"/>
                <w:highlight w:val="none"/>
              </w:rPr>
            </w:pPr>
            <w:r>
              <w:rPr>
                <w:rFonts w:ascii="Times New Roman" w:hAnsi="Times New Roman" w:cs="Times New Roman"/>
                <w:b/>
                <w:szCs w:val="21"/>
                <w:highlight w:val="none"/>
              </w:rPr>
              <w:t xml:space="preserve">其他未列明行业</w:t>
            </w:r>
            <w:r/>
          </w:p>
        </w:tc>
        <w:tc>
          <w:tcPr>
            <w:shd w:val="clear" w:color="auto" w:fill="auto"/>
            <w:tcBorders>
              <w:top w:val="none" w:color="000000" w:sz="4" w:space="0"/>
              <w:left w:val="none" w:color="000000" w:sz="4" w:space="0"/>
              <w:bottom w:val="single" w:color="auto" w:sz="4" w:space="0"/>
              <w:right w:val="single" w:color="auto" w:sz="4" w:space="0"/>
            </w:tcBorders>
            <w:tcW w:w="1045" w:type="dxa"/>
            <w:vAlign w:val="center"/>
            <w:textDirection w:val="lrTb"/>
            <w:noWrap w:val="false"/>
          </w:tcPr>
          <w:p>
            <w:pPr>
              <w:ind w:left="-112" w:right="-112"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ind w:left="-112" w:right="-112"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12" w:right="-112"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4" w:type="dxa"/>
            <w:vAlign w:val="center"/>
            <w:textDirection w:val="lrTb"/>
            <w:noWrap w:val="false"/>
          </w:tcPr>
          <w:p>
            <w:pPr>
              <w:ind w:left="-112" w:right="-112"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6" w:type="dxa"/>
            <w:vAlign w:val="center"/>
            <w:textDirection w:val="lrTb"/>
            <w:noWrap w:val="false"/>
          </w:tcPr>
          <w:p>
            <w:pPr>
              <w:ind w:left="-112" w:right="-112"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17" w:type="dxa"/>
            <w:vAlign w:val="center"/>
            <w:textDirection w:val="lrTb"/>
            <w:noWrap w:val="false"/>
          </w:tcPr>
          <w:p>
            <w:pPr>
              <w:ind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ind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ind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ind w:firstLine="442"/>
              <w:jc w:val="both"/>
              <w:spacing w:line="240" w:lineRule="atLeast"/>
              <w:widowControl/>
              <w:rPr>
                <w:rFonts w:ascii="Times New Roman" w:hAnsi="Times New Roman" w:cs="Times New Roman"/>
                <w:b/>
                <w:szCs w:val="21"/>
                <w:highlight w:val="none"/>
              </w:rPr>
            </w:pPr>
            <w:r>
              <w:rPr>
                <w:rFonts w:ascii="Times New Roman" w:hAnsi="Times New Roman" w:cs="Times New Roman"/>
                <w:b/>
                <w:szCs w:val="21"/>
                <w:highlight w:val="none"/>
              </w:rPr>
            </w:r>
            <w:r/>
          </w:p>
        </w:tc>
      </w:tr>
    </w:tbl>
    <w:p>
      <w:pPr>
        <w:ind w:firstLine="440"/>
        <w:jc w:val="both"/>
        <w:rPr>
          <w:rFonts w:ascii="Times New Roman" w:hAnsi="Times New Roman" w:cs="Times New Roman"/>
          <w:highlight w:val="none"/>
        </w:rPr>
      </w:pPr>
      <w:r>
        <w:rPr>
          <w:rFonts w:ascii="Times New Roman" w:hAnsi="Times New Roman" w:cs="Times New Roman"/>
          <w:highlight w:val="none"/>
        </w:rPr>
      </w:r>
      <w:r/>
    </w:p>
    <w:sectPr>
      <w:footerReference w:type="default" r:id="rId17"/>
      <w:footnotePr/>
      <w:endnotePr/>
      <w:type w:val="nextPage"/>
      <w:pgSz w:w="16840" w:h="11910" w:orient="landscape"/>
      <w:pgMar w:top="799" w:right="1440" w:bottom="799" w:left="919" w:header="493"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华文细黑">
    <w:panose1 w:val="02010600040101010101"/>
  </w:font>
  <w:font w:name="方正小标宋简体">
    <w:panose1 w:val="020B0503020202020204"/>
  </w:font>
  <w:font w:name="Courier New">
    <w:panose1 w:val="02070309020205020404"/>
  </w:font>
  <w:font w:name="Calibri">
    <w:panose1 w:val="020F0502020204030204"/>
  </w:font>
  <w:font w:name="仿宋">
    <w:panose1 w:val="02010609060101010101"/>
  </w:font>
  <w:font w:name="等线">
    <w:panose1 w:val="0201060003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w="9525">
                        <a:noFill/>
                      </a:ln>
                      <a:effectLst/>
                    </wps:spPr>
                    <wps:txbx>
                      <w:txbxContent>
                        <w:p>
                          <w:pPr>
                            <w:rPr>
                              <w:sz w:val="18"/>
                            </w:rPr>
                          </w:pPr>
                          <w:r>
                            <w:rPr>
                              <w:sz w:val="18"/>
                            </w:rPr>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strokeweight="0.75pt">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3241040</wp:posOffset>
              </wp:positionH>
              <wp:positionV relativeFrom="paragraph">
                <wp:posOffset>3175</wp:posOffset>
              </wp:positionV>
              <wp:extent cx="731520" cy="190500"/>
              <wp:effectExtent l="0" t="0" r="1143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731520" cy="190500"/>
                      </a:xfrm>
                      <a:prstGeom prst="rect">
                        <a:avLst/>
                      </a:prstGeom>
                      <a:noFill/>
                      <a:ln>
                        <a:noFill/>
                      </a:ln>
                    </wps:spPr>
                    <wps:txbx>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argin-left:255.2pt;mso-position-horizontal:absolute;mso-position-vertical-relative:text;margin-top:0.2pt;mso-position-vertical:absolute;width:57.6pt;height:15.0pt;mso-wrap-distance-left:9.0pt;mso-wrap-distance-top:0.0pt;mso-wrap-distance-right:9.0pt;mso-wrap-distance-bottom:0.0pt;visibility:visible;" filled="f" stroked="f">
              <v:textbox inset="0,0,0,0">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asciiTheme="minorEastAsia" w:hAnsiTheme="minorEastAsia" w:eastAsiaTheme="minorEastAsia"/>
        <w:sz w:val="18"/>
      </w:rPr>
    </w:pPr>
    <w:r>
      <w:rPr>
        <w:rFonts w:asciiTheme="minorEastAsia" w:hAnsiTheme="minorEastAsia" w:eastAsiaTheme="minorEastAsia"/>
        <w:sz w:val="18"/>
      </w:rPr>
    </w:r>
    <w:r/>
  </w:p>
  <w:p>
    <w:pPr>
      <w:jc w:val="center"/>
      <w:tabs>
        <w:tab w:val="left" w:pos="238" w:leader="none"/>
      </w:tabs>
      <w:rPr>
        <w:rFonts w:asciiTheme="minorEastAsia" w:hAnsiTheme="minorEastAsia" w:eastAsiaTheme="minorEastAsia"/>
        <w:sz w:val="18"/>
      </w:rPr>
    </w:pPr>
    <w:r>
      <w:rPr>
        <w:rFonts w:asciiTheme="minorEastAsia" w:hAnsiTheme="minorEastAsia" w:eastAsiaTheme="minorEastAsia"/>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1278" w:hanging="420"/>
      </w:pPr>
      <w:rPr>
        <w:rFonts w:hint="default"/>
        <w:lang w:val="zh-CN" w:eastAsia="zh-CN" w:bidi="zh-CN"/>
      </w:rPr>
    </w:lvl>
    <w:lvl w:ilvl="1">
      <w:start w:val="1"/>
      <w:numFmt w:val="decimal"/>
      <w:pStyle w:val="1107"/>
      <w:isLgl w:val="false"/>
      <w:suff w:val="tab"/>
      <w:lvlText w:val="%1.%2"/>
      <w:lvlJc w:val="left"/>
      <w:pPr>
        <w:ind w:left="1278" w:hanging="420"/>
      </w:pPr>
      <w:rPr>
        <w:rFonts w:hint="default" w:ascii="宋体" w:hAnsi="宋体" w:eastAsia="宋体" w:cs="宋体"/>
        <w:sz w:val="24"/>
        <w:szCs w:val="24"/>
        <w:lang w:val="zh-CN" w:eastAsia="zh-CN" w:bidi="zh-CN"/>
      </w:rPr>
    </w:lvl>
    <w:lvl w:ilvl="2">
      <w:start w:val="0"/>
      <w:numFmt w:val="bullet"/>
      <w:isLgl w:val="false"/>
      <w:suff w:val="tab"/>
      <w:lvlText w:val="•"/>
      <w:lvlJc w:val="left"/>
      <w:pPr>
        <w:ind w:left="3085" w:hanging="420"/>
      </w:pPr>
      <w:rPr>
        <w:rFonts w:hint="default"/>
        <w:lang w:val="zh-CN" w:eastAsia="zh-CN" w:bidi="zh-CN"/>
      </w:rPr>
    </w:lvl>
    <w:lvl w:ilvl="3">
      <w:start w:val="0"/>
      <w:numFmt w:val="bullet"/>
      <w:isLgl w:val="false"/>
      <w:suff w:val="tab"/>
      <w:lvlText w:val="•"/>
      <w:lvlJc w:val="left"/>
      <w:pPr>
        <w:ind w:left="3987" w:hanging="420"/>
      </w:pPr>
      <w:rPr>
        <w:rFonts w:hint="default"/>
        <w:lang w:val="zh-CN" w:eastAsia="zh-CN" w:bidi="zh-CN"/>
      </w:rPr>
    </w:lvl>
    <w:lvl w:ilvl="4">
      <w:start w:val="0"/>
      <w:numFmt w:val="bullet"/>
      <w:isLgl w:val="false"/>
      <w:suff w:val="tab"/>
      <w:lvlText w:val="•"/>
      <w:lvlJc w:val="left"/>
      <w:pPr>
        <w:ind w:left="4890" w:hanging="420"/>
      </w:pPr>
      <w:rPr>
        <w:rFonts w:hint="default"/>
        <w:lang w:val="zh-CN" w:eastAsia="zh-CN" w:bidi="zh-CN"/>
      </w:rPr>
    </w:lvl>
    <w:lvl w:ilvl="5">
      <w:start w:val="0"/>
      <w:numFmt w:val="bullet"/>
      <w:isLgl w:val="false"/>
      <w:suff w:val="tab"/>
      <w:lvlText w:val="•"/>
      <w:lvlJc w:val="left"/>
      <w:pPr>
        <w:ind w:left="5793" w:hanging="420"/>
      </w:pPr>
      <w:rPr>
        <w:rFonts w:hint="default"/>
        <w:lang w:val="zh-CN" w:eastAsia="zh-CN" w:bidi="zh-CN"/>
      </w:rPr>
    </w:lvl>
    <w:lvl w:ilvl="6">
      <w:start w:val="0"/>
      <w:numFmt w:val="bullet"/>
      <w:isLgl w:val="false"/>
      <w:suff w:val="tab"/>
      <w:lvlText w:val="•"/>
      <w:lvlJc w:val="left"/>
      <w:pPr>
        <w:ind w:left="6695" w:hanging="420"/>
      </w:pPr>
      <w:rPr>
        <w:rFonts w:hint="default"/>
        <w:lang w:val="zh-CN" w:eastAsia="zh-CN" w:bidi="zh-CN"/>
      </w:rPr>
    </w:lvl>
    <w:lvl w:ilvl="7">
      <w:start w:val="0"/>
      <w:numFmt w:val="bullet"/>
      <w:isLgl w:val="false"/>
      <w:suff w:val="tab"/>
      <w:lvlText w:val="•"/>
      <w:lvlJc w:val="left"/>
      <w:pPr>
        <w:ind w:left="7598" w:hanging="420"/>
      </w:pPr>
      <w:rPr>
        <w:rFonts w:hint="default"/>
        <w:lang w:val="zh-CN" w:eastAsia="zh-CN" w:bidi="zh-CN"/>
      </w:rPr>
    </w:lvl>
    <w:lvl w:ilvl="8">
      <w:start w:val="0"/>
      <w:numFmt w:val="bullet"/>
      <w:isLgl w:val="false"/>
      <w:suff w:val="tab"/>
      <w:lvlText w:val="•"/>
      <w:lvlJc w:val="left"/>
      <w:pPr>
        <w:ind w:left="8500" w:hanging="420"/>
      </w:pPr>
      <w:rPr>
        <w:rFonts w:hint="default"/>
        <w:lang w:val="zh-CN" w:eastAsia="zh-CN" w:bidi="zh-CN"/>
      </w:rPr>
    </w:lvl>
  </w:abstractNum>
  <w:abstractNum w:abstractNumId="2">
    <w:multiLevelType w:val="hybridMultilevel"/>
    <w:lvl w:ilvl="0">
      <w:start w:val="1"/>
      <w:numFmt w:val="decimal"/>
      <w:isLgl w:val="false"/>
      <w:suff w:val="tab"/>
      <w:lvlText w:val="(%1)"/>
      <w:lvlJc w:val="left"/>
      <w:pPr>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73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79" w:hanging="361"/>
      </w:pPr>
      <w:rPr>
        <w:rFonts w:hint="default" w:ascii="宋体" w:hAnsi="宋体" w:eastAsia="宋体" w:cs="宋体"/>
        <w:sz w:val="22"/>
        <w:szCs w:val="22"/>
        <w:lang w:val="zh-CN" w:eastAsia="zh-CN" w:bidi="zh-CN"/>
      </w:rPr>
    </w:lvl>
    <w:lvl w:ilvl="1">
      <w:start w:val="0"/>
      <w:numFmt w:val="bullet"/>
      <w:isLgl w:val="false"/>
      <w:suff w:val="tab"/>
      <w:lvlText w:val="•"/>
      <w:lvlJc w:val="left"/>
      <w:pPr>
        <w:ind w:left="1912" w:hanging="361"/>
      </w:pPr>
      <w:rPr>
        <w:rFonts w:hint="default"/>
        <w:lang w:val="zh-CN" w:eastAsia="zh-CN" w:bidi="zh-CN"/>
      </w:rPr>
    </w:lvl>
    <w:lvl w:ilvl="2">
      <w:start w:val="0"/>
      <w:numFmt w:val="bullet"/>
      <w:isLgl w:val="false"/>
      <w:suff w:val="tab"/>
      <w:lvlText w:val="•"/>
      <w:lvlJc w:val="left"/>
      <w:pPr>
        <w:ind w:left="2845" w:hanging="361"/>
      </w:pPr>
      <w:rPr>
        <w:rFonts w:hint="default"/>
        <w:lang w:val="zh-CN" w:eastAsia="zh-CN" w:bidi="zh-CN"/>
      </w:rPr>
    </w:lvl>
    <w:lvl w:ilvl="3">
      <w:start w:val="0"/>
      <w:numFmt w:val="bullet"/>
      <w:isLgl w:val="false"/>
      <w:suff w:val="tab"/>
      <w:lvlText w:val="•"/>
      <w:lvlJc w:val="left"/>
      <w:pPr>
        <w:ind w:left="3777" w:hanging="361"/>
      </w:pPr>
      <w:rPr>
        <w:rFonts w:hint="default"/>
        <w:lang w:val="zh-CN" w:eastAsia="zh-CN" w:bidi="zh-CN"/>
      </w:rPr>
    </w:lvl>
    <w:lvl w:ilvl="4">
      <w:start w:val="0"/>
      <w:numFmt w:val="bullet"/>
      <w:isLgl w:val="false"/>
      <w:suff w:val="tab"/>
      <w:lvlText w:val="•"/>
      <w:lvlJc w:val="left"/>
      <w:pPr>
        <w:ind w:left="4710" w:hanging="361"/>
      </w:pPr>
      <w:rPr>
        <w:rFonts w:hint="default"/>
        <w:lang w:val="zh-CN" w:eastAsia="zh-CN" w:bidi="zh-CN"/>
      </w:rPr>
    </w:lvl>
    <w:lvl w:ilvl="5">
      <w:start w:val="0"/>
      <w:numFmt w:val="bullet"/>
      <w:isLgl w:val="false"/>
      <w:suff w:val="tab"/>
      <w:lvlText w:val="•"/>
      <w:lvlJc w:val="left"/>
      <w:pPr>
        <w:ind w:left="5643" w:hanging="361"/>
      </w:pPr>
      <w:rPr>
        <w:rFonts w:hint="default"/>
        <w:lang w:val="zh-CN" w:eastAsia="zh-CN" w:bidi="zh-CN"/>
      </w:rPr>
    </w:lvl>
    <w:lvl w:ilvl="6">
      <w:start w:val="0"/>
      <w:numFmt w:val="bullet"/>
      <w:isLgl w:val="false"/>
      <w:suff w:val="tab"/>
      <w:lvlText w:val="•"/>
      <w:lvlJc w:val="left"/>
      <w:pPr>
        <w:ind w:left="6575" w:hanging="361"/>
      </w:pPr>
      <w:rPr>
        <w:rFonts w:hint="default"/>
        <w:lang w:val="zh-CN" w:eastAsia="zh-CN" w:bidi="zh-CN"/>
      </w:rPr>
    </w:lvl>
    <w:lvl w:ilvl="7">
      <w:start w:val="0"/>
      <w:numFmt w:val="bullet"/>
      <w:isLgl w:val="false"/>
      <w:suff w:val="tab"/>
      <w:lvlText w:val="•"/>
      <w:lvlJc w:val="left"/>
      <w:pPr>
        <w:ind w:left="7508" w:hanging="361"/>
      </w:pPr>
      <w:rPr>
        <w:rFonts w:hint="default"/>
        <w:lang w:val="zh-CN" w:eastAsia="zh-CN" w:bidi="zh-CN"/>
      </w:rPr>
    </w:lvl>
    <w:lvl w:ilvl="8">
      <w:start w:val="0"/>
      <w:numFmt w:val="bullet"/>
      <w:isLgl w:val="false"/>
      <w:suff w:val="tab"/>
      <w:lvlText w:val="•"/>
      <w:lvlJc w:val="left"/>
      <w:pPr>
        <w:ind w:left="8440" w:hanging="361"/>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11">
    <w:multiLevelType w:val="hybridMultilevel"/>
    <w:lvl w:ilvl="0">
      <w:start w:val="1"/>
      <w:numFmt w:val="decimal"/>
      <w:isLgl w:val="false"/>
      <w:suff w:val="tab"/>
      <w:lvlText w:val="%1）"/>
      <w:lvlJc w:val="left"/>
      <w:pPr>
        <w:ind w:left="840" w:hanging="4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1"/>
  </w:num>
  <w:num w:numId="2">
    <w:abstractNumId w:val="0"/>
  </w:num>
  <w:num w:numId="3">
    <w:abstractNumId w:val="8"/>
  </w:num>
  <w:num w:numId="4">
    <w:abstractNumId w:val="2"/>
  </w:num>
  <w:num w:numId="5">
    <w:abstractNumId w:val="5"/>
  </w:num>
  <w:num w:numId="6">
    <w:abstractNumId w:val="11"/>
  </w:num>
  <w:num w:numId="7">
    <w:abstractNumId w:val="4"/>
  </w:num>
  <w:num w:numId="8">
    <w:abstractNumId w:val="3"/>
  </w:num>
  <w:num w:numId="9">
    <w:abstractNumId w:val="6"/>
  </w:num>
  <w:num w:numId="10">
    <w:abstractNumId w:val="1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6">
    <w:name w:val="Heading 1 Char"/>
    <w:basedOn w:val="1089"/>
    <w:link w:val="1084"/>
    <w:uiPriority w:val="9"/>
    <w:rPr>
      <w:rFonts w:ascii="Arial" w:hAnsi="Arial" w:eastAsia="Arial" w:cs="Arial"/>
      <w:sz w:val="40"/>
      <w:szCs w:val="40"/>
    </w:rPr>
  </w:style>
  <w:style w:type="character" w:styleId="917">
    <w:name w:val="Heading 2 Char"/>
    <w:basedOn w:val="1089"/>
    <w:link w:val="1085"/>
    <w:uiPriority w:val="9"/>
    <w:rPr>
      <w:rFonts w:ascii="Arial" w:hAnsi="Arial" w:eastAsia="Arial" w:cs="Arial"/>
      <w:sz w:val="34"/>
    </w:rPr>
  </w:style>
  <w:style w:type="character" w:styleId="918">
    <w:name w:val="Heading 3 Char"/>
    <w:basedOn w:val="1089"/>
    <w:link w:val="1086"/>
    <w:uiPriority w:val="9"/>
    <w:rPr>
      <w:rFonts w:ascii="Arial" w:hAnsi="Arial" w:eastAsia="Arial" w:cs="Arial"/>
      <w:sz w:val="30"/>
      <w:szCs w:val="30"/>
    </w:rPr>
  </w:style>
  <w:style w:type="character" w:styleId="919">
    <w:name w:val="Heading 4 Char"/>
    <w:basedOn w:val="1089"/>
    <w:link w:val="1087"/>
    <w:uiPriority w:val="9"/>
    <w:rPr>
      <w:rFonts w:ascii="Arial" w:hAnsi="Arial" w:eastAsia="Arial" w:cs="Arial"/>
      <w:b/>
      <w:bCs/>
      <w:sz w:val="26"/>
      <w:szCs w:val="26"/>
    </w:rPr>
  </w:style>
  <w:style w:type="character" w:styleId="920">
    <w:name w:val="Heading 5 Char"/>
    <w:basedOn w:val="1089"/>
    <w:link w:val="1088"/>
    <w:uiPriority w:val="9"/>
    <w:rPr>
      <w:rFonts w:ascii="Arial" w:hAnsi="Arial" w:eastAsia="Arial" w:cs="Arial"/>
      <w:b/>
      <w:bCs/>
      <w:sz w:val="24"/>
      <w:szCs w:val="24"/>
    </w:rPr>
  </w:style>
  <w:style w:type="paragraph" w:styleId="921">
    <w:name w:val="Heading 6"/>
    <w:basedOn w:val="1083"/>
    <w:next w:val="1083"/>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basedOn w:val="1089"/>
    <w:link w:val="921"/>
    <w:uiPriority w:val="9"/>
    <w:rPr>
      <w:rFonts w:ascii="Arial" w:hAnsi="Arial" w:eastAsia="Arial" w:cs="Arial"/>
      <w:b/>
      <w:bCs/>
      <w:sz w:val="22"/>
      <w:szCs w:val="22"/>
    </w:rPr>
  </w:style>
  <w:style w:type="paragraph" w:styleId="923">
    <w:name w:val="Heading 7"/>
    <w:basedOn w:val="1083"/>
    <w:next w:val="1083"/>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basedOn w:val="1089"/>
    <w:link w:val="923"/>
    <w:uiPriority w:val="9"/>
    <w:rPr>
      <w:rFonts w:ascii="Arial" w:hAnsi="Arial" w:eastAsia="Arial" w:cs="Arial"/>
      <w:b/>
      <w:bCs/>
      <w:i/>
      <w:iCs/>
      <w:sz w:val="22"/>
      <w:szCs w:val="22"/>
    </w:rPr>
  </w:style>
  <w:style w:type="paragraph" w:styleId="925">
    <w:name w:val="Heading 8"/>
    <w:basedOn w:val="1083"/>
    <w:next w:val="1083"/>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basedOn w:val="1089"/>
    <w:link w:val="925"/>
    <w:uiPriority w:val="9"/>
    <w:rPr>
      <w:rFonts w:ascii="Arial" w:hAnsi="Arial" w:eastAsia="Arial" w:cs="Arial"/>
      <w:i/>
      <w:iCs/>
      <w:sz w:val="22"/>
      <w:szCs w:val="22"/>
    </w:rPr>
  </w:style>
  <w:style w:type="paragraph" w:styleId="927">
    <w:name w:val="Heading 9"/>
    <w:basedOn w:val="1083"/>
    <w:next w:val="1083"/>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basedOn w:val="1089"/>
    <w:link w:val="927"/>
    <w:uiPriority w:val="9"/>
    <w:rPr>
      <w:rFonts w:ascii="Arial" w:hAnsi="Arial" w:eastAsia="Arial" w:cs="Arial"/>
      <w:i/>
      <w:iCs/>
      <w:sz w:val="21"/>
      <w:szCs w:val="21"/>
    </w:rPr>
  </w:style>
  <w:style w:type="paragraph" w:styleId="929">
    <w:name w:val="No Spacing"/>
    <w:uiPriority w:val="1"/>
    <w:qFormat/>
    <w:pPr>
      <w:spacing w:before="0" w:after="0" w:line="240" w:lineRule="auto"/>
    </w:pPr>
  </w:style>
  <w:style w:type="paragraph" w:styleId="930">
    <w:name w:val="Title"/>
    <w:basedOn w:val="1083"/>
    <w:next w:val="1083"/>
    <w:link w:val="931"/>
    <w:uiPriority w:val="10"/>
    <w:qFormat/>
    <w:pPr>
      <w:contextualSpacing/>
      <w:spacing w:before="300" w:after="200"/>
    </w:pPr>
    <w:rPr>
      <w:sz w:val="48"/>
      <w:szCs w:val="48"/>
    </w:rPr>
  </w:style>
  <w:style w:type="character" w:styleId="931">
    <w:name w:val="Title Char"/>
    <w:basedOn w:val="1089"/>
    <w:link w:val="930"/>
    <w:uiPriority w:val="10"/>
    <w:rPr>
      <w:sz w:val="48"/>
      <w:szCs w:val="48"/>
    </w:rPr>
  </w:style>
  <w:style w:type="paragraph" w:styleId="932">
    <w:name w:val="Subtitle"/>
    <w:basedOn w:val="1083"/>
    <w:next w:val="1083"/>
    <w:link w:val="933"/>
    <w:uiPriority w:val="11"/>
    <w:qFormat/>
    <w:pPr>
      <w:spacing w:before="200" w:after="200"/>
    </w:pPr>
    <w:rPr>
      <w:sz w:val="24"/>
      <w:szCs w:val="24"/>
    </w:rPr>
  </w:style>
  <w:style w:type="character" w:styleId="933">
    <w:name w:val="Subtitle Char"/>
    <w:basedOn w:val="1089"/>
    <w:link w:val="932"/>
    <w:uiPriority w:val="11"/>
    <w:rPr>
      <w:sz w:val="24"/>
      <w:szCs w:val="24"/>
    </w:rPr>
  </w:style>
  <w:style w:type="paragraph" w:styleId="934">
    <w:name w:val="Quote"/>
    <w:basedOn w:val="1083"/>
    <w:next w:val="1083"/>
    <w:link w:val="935"/>
    <w:uiPriority w:val="29"/>
    <w:qFormat/>
    <w:pPr>
      <w:ind w:left="720" w:right="720"/>
    </w:pPr>
    <w:rPr>
      <w:i/>
    </w:rPr>
  </w:style>
  <w:style w:type="character" w:styleId="935">
    <w:name w:val="Quote Char"/>
    <w:link w:val="934"/>
    <w:uiPriority w:val="29"/>
    <w:rPr>
      <w:i/>
    </w:rPr>
  </w:style>
  <w:style w:type="paragraph" w:styleId="936">
    <w:name w:val="Intense Quote"/>
    <w:basedOn w:val="1083"/>
    <w:next w:val="1083"/>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character" w:styleId="938">
    <w:name w:val="Header Char"/>
    <w:basedOn w:val="1089"/>
    <w:link w:val="1098"/>
    <w:uiPriority w:val="99"/>
  </w:style>
  <w:style w:type="character" w:styleId="939">
    <w:name w:val="Footer Char"/>
    <w:basedOn w:val="1089"/>
    <w:link w:val="1097"/>
    <w:uiPriority w:val="99"/>
  </w:style>
  <w:style w:type="paragraph" w:styleId="940">
    <w:name w:val="Caption"/>
    <w:basedOn w:val="1083"/>
    <w:next w:val="1083"/>
    <w:uiPriority w:val="35"/>
    <w:semiHidden/>
    <w:unhideWhenUsed/>
    <w:qFormat/>
    <w:pPr>
      <w:spacing w:line="276" w:lineRule="auto"/>
    </w:pPr>
    <w:rPr>
      <w:b/>
      <w:bCs/>
      <w:color w:val="4f81bd" w:themeColor="accent1"/>
      <w:sz w:val="18"/>
      <w:szCs w:val="18"/>
    </w:rPr>
  </w:style>
  <w:style w:type="character" w:styleId="941">
    <w:name w:val="Caption Char"/>
    <w:basedOn w:val="940"/>
    <w:link w:val="1097"/>
    <w:uiPriority w:val="99"/>
  </w:style>
  <w:style w:type="table" w:styleId="942">
    <w:name w:val="Table Grid Light"/>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3">
    <w:name w:val="Plain Table 1"/>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2"/>
    <w:basedOn w:val="10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3"/>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name w:val="Plain Table 4"/>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name w:val="Plain Table 5"/>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8">
    <w:name w:val="Grid Table 1 Light"/>
    <w:basedOn w:val="10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9">
    <w:name w:val="Grid Table 1 Light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0">
    <w:name w:val="Grid Table 1 Light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1">
    <w:name w:val="Grid Table 1 Light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2">
    <w:name w:val="Grid Table 1 Light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3">
    <w:name w:val="Grid Table 1 Light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4">
    <w:name w:val="Grid Table 1 Light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5">
    <w:name w:val="Grid Table 2"/>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6">
    <w:name w:val="Grid Table 2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7">
    <w:name w:val="Grid Table 2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2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2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2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1">
    <w:name w:val="Grid Table 2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2">
    <w:name w:val="Grid Table 3"/>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4"/>
    <w:basedOn w:val="10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name w:val="Grid Table 4 - Accent 1"/>
    <w:basedOn w:val="10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1">
    <w:name w:val="Grid Table 4 - Accent 2"/>
    <w:basedOn w:val="10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2">
    <w:name w:val="Grid Table 4 - Accent 3"/>
    <w:basedOn w:val="10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3">
    <w:name w:val="Grid Table 4 - Accent 4"/>
    <w:basedOn w:val="10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4">
    <w:name w:val="Grid Table 4 - Accent 5"/>
    <w:basedOn w:val="10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5">
    <w:name w:val="Grid Table 4 - Accent 6"/>
    <w:basedOn w:val="10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6">
    <w:name w:val="Grid Table 5 Dark"/>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7">
    <w:name w:val="Grid Table 5 Dark- Accent 1"/>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8">
    <w:name w:val="Grid Table 5 Dark - Accent 2"/>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9">
    <w:name w:val="Grid Table 5 Dark - Accent 3"/>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0">
    <w:name w:val="Grid Table 5 Dark- Accent 4"/>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1">
    <w:name w:val="Grid Table 5 Dark - Accent 5"/>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2">
    <w:name w:val="Grid Table 5 Dark - Accent 6"/>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3">
    <w:name w:val="Grid Table 6 Colorful"/>
    <w:basedOn w:val="10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4">
    <w:name w:val="Grid Table 6 Colorful - Accent 1"/>
    <w:basedOn w:val="10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5">
    <w:name w:val="Grid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6">
    <w:name w:val="Grid Table 6 Colorful - Accent 3"/>
    <w:basedOn w:val="10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7">
    <w:name w:val="Grid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8">
    <w:name w:val="Grid Table 6 Colorful - Accent 5"/>
    <w:basedOn w:val="10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6 Colorful - Accent 6"/>
    <w:basedOn w:val="10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7 Colorful"/>
    <w:basedOn w:val="10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1">
    <w:name w:val="Grid Table 7 Colorful - Accent 1"/>
    <w:basedOn w:val="10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2">
    <w:name w:val="Grid Table 7 Colorful - Accent 2"/>
    <w:basedOn w:val="10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7 Colorful - Accent 3"/>
    <w:basedOn w:val="10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7 Colorful - Accent 4"/>
    <w:basedOn w:val="10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7 Colorful - Accent 5"/>
    <w:basedOn w:val="10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6">
    <w:name w:val="Grid Table 7 Colorful - Accent 6"/>
    <w:basedOn w:val="10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7">
    <w:name w:val="List Table 1 Light"/>
    <w:basedOn w:val="10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name w:val="List Table 1 Light - Accent 1"/>
    <w:basedOn w:val="10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9">
    <w:name w:val="List Table 1 Light - Accent 2"/>
    <w:basedOn w:val="10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0">
    <w:name w:val="List Table 1 Light - Accent 3"/>
    <w:basedOn w:val="10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1">
    <w:name w:val="List Table 1 Light - Accent 4"/>
    <w:basedOn w:val="10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2">
    <w:name w:val="List Table 1 Light - Accent 5"/>
    <w:basedOn w:val="10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3">
    <w:name w:val="List Table 1 Light - Accent 6"/>
    <w:basedOn w:val="10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4">
    <w:name w:val="List Table 2"/>
    <w:basedOn w:val="10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5">
    <w:name w:val="List Table 2 - Accent 1"/>
    <w:basedOn w:val="10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6">
    <w:name w:val="List Table 2 - Accent 2"/>
    <w:basedOn w:val="10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7">
    <w:name w:val="List Table 2 - Accent 3"/>
    <w:basedOn w:val="10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8">
    <w:name w:val="List Table 2 - Accent 4"/>
    <w:basedOn w:val="10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9">
    <w:name w:val="List Table 2 - Accent 5"/>
    <w:basedOn w:val="10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0">
    <w:name w:val="List Table 2 - Accent 6"/>
    <w:basedOn w:val="10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1">
    <w:name w:val="List Table 3"/>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3 - Accent 1"/>
    <w:basedOn w:val="10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3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4">
    <w:name w:val="List Table 3 - Accent 3"/>
    <w:basedOn w:val="10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5">
    <w:name w:val="List Table 3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6">
    <w:name w:val="List Table 3 - Accent 5"/>
    <w:basedOn w:val="10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7">
    <w:name w:val="List Table 3 - Accent 6"/>
    <w:basedOn w:val="10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8">
    <w:name w:val="List Table 4"/>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4 - Accent 1"/>
    <w:basedOn w:val="10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4 - Accent 2"/>
    <w:basedOn w:val="10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1">
    <w:name w:val="List Table 4 - Accent 3"/>
    <w:basedOn w:val="10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2">
    <w:name w:val="List Table 4 - Accent 4"/>
    <w:basedOn w:val="10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3">
    <w:name w:val="List Table 4 - Accent 5"/>
    <w:basedOn w:val="10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4">
    <w:name w:val="List Table 4 - Accent 6"/>
    <w:basedOn w:val="10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5">
    <w:name w:val="List Table 5 Dark"/>
    <w:basedOn w:val="10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1"/>
    <w:basedOn w:val="10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2"/>
    <w:basedOn w:val="10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3"/>
    <w:basedOn w:val="10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4"/>
    <w:basedOn w:val="10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5"/>
    <w:basedOn w:val="10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6"/>
    <w:basedOn w:val="10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6 Colorful"/>
    <w:basedOn w:val="10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3">
    <w:name w:val="List Table 6 Colorful - Accent 1"/>
    <w:basedOn w:val="10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4">
    <w:name w:val="List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5">
    <w:name w:val="List Table 6 Colorful - Accent 3"/>
    <w:basedOn w:val="10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6">
    <w:name w:val="List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7">
    <w:name w:val="List Table 6 Colorful - Accent 5"/>
    <w:basedOn w:val="10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8">
    <w:name w:val="List Table 6 Colorful - Accent 6"/>
    <w:basedOn w:val="10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9">
    <w:name w:val="List Table 7 Colorful"/>
    <w:basedOn w:val="10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0">
    <w:name w:val="List Table 7 Colorful - Accent 1"/>
    <w:basedOn w:val="10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1">
    <w:name w:val="List Table 7 Colorful - Accent 2"/>
    <w:basedOn w:val="10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2">
    <w:name w:val="List Table 7 Colorful - Accent 3"/>
    <w:basedOn w:val="10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3">
    <w:name w:val="List Table 7 Colorful - Accent 4"/>
    <w:basedOn w:val="10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4">
    <w:name w:val="List Table 7 Colorful - Accent 5"/>
    <w:basedOn w:val="10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5">
    <w:name w:val="List Table 7 Colorful - Accent 6"/>
    <w:basedOn w:val="10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6">
    <w:name w:val="Lined - Accent"/>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Lined - Accent 1"/>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Lined - Accent 2"/>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Lined - Accent 3"/>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Lined - Accent 4"/>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Lined - Accent 5"/>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Lined - Accent 6"/>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amp; Lined - Accent"/>
    <w:basedOn w:val="10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Bordered &amp; Lined - Accent 1"/>
    <w:basedOn w:val="10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Bordered &amp; Lined - Accent 2"/>
    <w:basedOn w:val="10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Bordered &amp; Lined - Accent 3"/>
    <w:basedOn w:val="10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Bordered &amp; Lined - Accent 4"/>
    <w:basedOn w:val="10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Bordered &amp; Lined - Accent 5"/>
    <w:basedOn w:val="10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Bordered &amp; Lined - Accent 6"/>
    <w:basedOn w:val="10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w:basedOn w:val="10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1">
    <w:name w:val="Bordered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2">
    <w:name w:val="Bordered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3">
    <w:name w:val="Bordered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4">
    <w:name w:val="Bordered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5">
    <w:name w:val="Bordered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6">
    <w:name w:val="Bordered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7">
    <w:name w:val="footnote text"/>
    <w:basedOn w:val="1083"/>
    <w:link w:val="1068"/>
    <w:uiPriority w:val="99"/>
    <w:semiHidden/>
    <w:unhideWhenUsed/>
    <w:pPr>
      <w:spacing w:after="40" w:line="240" w:lineRule="auto"/>
    </w:pPr>
    <w:rPr>
      <w:sz w:val="18"/>
    </w:rPr>
  </w:style>
  <w:style w:type="character" w:styleId="1068">
    <w:name w:val="Footnote Text Char"/>
    <w:link w:val="1067"/>
    <w:uiPriority w:val="99"/>
    <w:rPr>
      <w:sz w:val="18"/>
    </w:rPr>
  </w:style>
  <w:style w:type="character" w:styleId="1069">
    <w:name w:val="footnote reference"/>
    <w:basedOn w:val="1089"/>
    <w:uiPriority w:val="99"/>
    <w:unhideWhenUsed/>
    <w:rPr>
      <w:vertAlign w:val="superscript"/>
    </w:rPr>
  </w:style>
  <w:style w:type="paragraph" w:styleId="1070">
    <w:name w:val="endnote text"/>
    <w:basedOn w:val="1083"/>
    <w:link w:val="1071"/>
    <w:uiPriority w:val="99"/>
    <w:semiHidden/>
    <w:unhideWhenUsed/>
    <w:pPr>
      <w:spacing w:after="0" w:line="240" w:lineRule="auto"/>
    </w:pPr>
    <w:rPr>
      <w:sz w:val="20"/>
    </w:rPr>
  </w:style>
  <w:style w:type="character" w:styleId="1071">
    <w:name w:val="Endnote Text Char"/>
    <w:link w:val="1070"/>
    <w:uiPriority w:val="99"/>
    <w:rPr>
      <w:sz w:val="20"/>
    </w:rPr>
  </w:style>
  <w:style w:type="character" w:styleId="1072">
    <w:name w:val="endnote reference"/>
    <w:basedOn w:val="1089"/>
    <w:uiPriority w:val="99"/>
    <w:semiHidden/>
    <w:unhideWhenUsed/>
    <w:rPr>
      <w:vertAlign w:val="superscript"/>
    </w:rPr>
  </w:style>
  <w:style w:type="paragraph" w:styleId="1073">
    <w:name w:val="toc 2"/>
    <w:basedOn w:val="1083"/>
    <w:next w:val="1083"/>
    <w:uiPriority w:val="39"/>
    <w:unhideWhenUsed/>
    <w:pPr>
      <w:ind w:left="283" w:right="0" w:firstLine="0"/>
      <w:spacing w:after="57"/>
    </w:pPr>
  </w:style>
  <w:style w:type="paragraph" w:styleId="1074">
    <w:name w:val="toc 3"/>
    <w:basedOn w:val="1083"/>
    <w:next w:val="1083"/>
    <w:uiPriority w:val="39"/>
    <w:unhideWhenUsed/>
    <w:pPr>
      <w:ind w:left="567" w:right="0" w:firstLine="0"/>
      <w:spacing w:after="57"/>
    </w:pPr>
  </w:style>
  <w:style w:type="paragraph" w:styleId="1075">
    <w:name w:val="toc 4"/>
    <w:basedOn w:val="1083"/>
    <w:next w:val="1083"/>
    <w:uiPriority w:val="39"/>
    <w:unhideWhenUsed/>
    <w:pPr>
      <w:ind w:left="850" w:right="0" w:firstLine="0"/>
      <w:spacing w:after="57"/>
    </w:pPr>
  </w:style>
  <w:style w:type="paragraph" w:styleId="1076">
    <w:name w:val="toc 5"/>
    <w:basedOn w:val="1083"/>
    <w:next w:val="1083"/>
    <w:uiPriority w:val="39"/>
    <w:unhideWhenUsed/>
    <w:pPr>
      <w:ind w:left="1134" w:right="0" w:firstLine="0"/>
      <w:spacing w:after="57"/>
    </w:pPr>
  </w:style>
  <w:style w:type="paragraph" w:styleId="1077">
    <w:name w:val="toc 6"/>
    <w:basedOn w:val="1083"/>
    <w:next w:val="1083"/>
    <w:uiPriority w:val="39"/>
    <w:unhideWhenUsed/>
    <w:pPr>
      <w:ind w:left="1417" w:right="0" w:firstLine="0"/>
      <w:spacing w:after="57"/>
    </w:pPr>
  </w:style>
  <w:style w:type="paragraph" w:styleId="1078">
    <w:name w:val="toc 7"/>
    <w:basedOn w:val="1083"/>
    <w:next w:val="1083"/>
    <w:uiPriority w:val="39"/>
    <w:unhideWhenUsed/>
    <w:pPr>
      <w:ind w:left="1701" w:right="0" w:firstLine="0"/>
      <w:spacing w:after="57"/>
    </w:pPr>
  </w:style>
  <w:style w:type="paragraph" w:styleId="1079">
    <w:name w:val="toc 8"/>
    <w:basedOn w:val="1083"/>
    <w:next w:val="1083"/>
    <w:uiPriority w:val="39"/>
    <w:unhideWhenUsed/>
    <w:pPr>
      <w:ind w:left="1984" w:right="0" w:firstLine="0"/>
      <w:spacing w:after="57"/>
    </w:pPr>
  </w:style>
  <w:style w:type="paragraph" w:styleId="1080">
    <w:name w:val="toc 9"/>
    <w:basedOn w:val="1083"/>
    <w:next w:val="1083"/>
    <w:uiPriority w:val="39"/>
    <w:unhideWhenUsed/>
    <w:pPr>
      <w:ind w:left="2268" w:right="0" w:firstLine="0"/>
      <w:spacing w:after="57"/>
    </w:pPr>
  </w:style>
  <w:style w:type="paragraph" w:styleId="1081">
    <w:name w:val="TOC Heading"/>
    <w:uiPriority w:val="39"/>
    <w:unhideWhenUsed/>
  </w:style>
  <w:style w:type="paragraph" w:styleId="1082">
    <w:name w:val="table of figures"/>
    <w:basedOn w:val="1083"/>
    <w:next w:val="1083"/>
    <w:uiPriority w:val="99"/>
    <w:unhideWhenUsed/>
    <w:pPr>
      <w:spacing w:after="0" w:afterAutospacing="0"/>
    </w:pPr>
  </w:style>
  <w:style w:type="paragraph" w:styleId="1083" w:default="1">
    <w:name w:val="Normal"/>
    <w:next w:val="1091"/>
    <w:uiPriority w:val="1"/>
    <w:qFormat/>
    <w:pPr>
      <w:widowControl w:val="off"/>
    </w:pPr>
    <w:rPr>
      <w:rFonts w:ascii="宋体" w:hAnsi="宋体" w:eastAsia="宋体" w:cs="宋体"/>
      <w:sz w:val="22"/>
      <w:szCs w:val="22"/>
      <w:lang w:val="zh-CN" w:eastAsia="zh-CN" w:bidi="zh-CN"/>
    </w:rPr>
  </w:style>
  <w:style w:type="paragraph" w:styleId="1084">
    <w:name w:val="Heading 1"/>
    <w:basedOn w:val="1083"/>
    <w:next w:val="1083"/>
    <w:uiPriority w:val="1"/>
    <w:qFormat/>
    <w:pPr>
      <w:outlineLvl w:val="0"/>
    </w:pPr>
    <w:rPr>
      <w:rFonts w:ascii="黑体" w:hAnsi="黑体" w:eastAsia="黑体" w:cs="黑体"/>
      <w:sz w:val="32"/>
      <w:szCs w:val="32"/>
    </w:rPr>
  </w:style>
  <w:style w:type="paragraph" w:styleId="1085">
    <w:name w:val="Heading 2"/>
    <w:basedOn w:val="1083"/>
    <w:next w:val="1083"/>
    <w:link w:val="1118"/>
    <w:uiPriority w:val="1"/>
    <w:qFormat/>
    <w:pPr>
      <w:ind w:left="2533" w:right="3025" w:firstLine="2"/>
      <w:jc w:val="right"/>
      <w:outlineLvl w:val="1"/>
    </w:pPr>
    <w:rPr>
      <w:b/>
      <w:bCs/>
      <w:sz w:val="30"/>
      <w:szCs w:val="30"/>
      <w:u w:val="single"/>
    </w:rPr>
  </w:style>
  <w:style w:type="paragraph" w:styleId="1086">
    <w:name w:val="Heading 3"/>
    <w:basedOn w:val="1083"/>
    <w:next w:val="1083"/>
    <w:link w:val="1119"/>
    <w:uiPriority w:val="1"/>
    <w:qFormat/>
    <w:pPr>
      <w:jc w:val="center"/>
      <w:spacing w:line="320" w:lineRule="exact"/>
      <w:outlineLvl w:val="2"/>
    </w:pPr>
    <w:rPr>
      <w:rFonts w:ascii="黑体" w:hAnsi="黑体" w:eastAsia="黑体" w:cs="黑体"/>
      <w:sz w:val="28"/>
      <w:szCs w:val="28"/>
    </w:rPr>
  </w:style>
  <w:style w:type="paragraph" w:styleId="1087">
    <w:name w:val="Heading 4"/>
    <w:basedOn w:val="1083"/>
    <w:next w:val="1083"/>
    <w:uiPriority w:val="1"/>
    <w:qFormat/>
    <w:pPr>
      <w:ind w:left="858"/>
      <w:outlineLvl w:val="3"/>
    </w:pPr>
    <w:rPr>
      <w:b/>
      <w:bCs/>
      <w:sz w:val="24"/>
      <w:szCs w:val="24"/>
    </w:rPr>
  </w:style>
  <w:style w:type="paragraph" w:styleId="1088">
    <w:name w:val="Heading 5"/>
    <w:basedOn w:val="1083"/>
    <w:next w:val="1083"/>
    <w:uiPriority w:val="0"/>
    <w:unhideWhenUsed/>
    <w:qFormat/>
    <w:pPr>
      <w:ind w:firstLine="422"/>
      <w:jc w:val="both"/>
      <w:keepLines/>
      <w:keepNext/>
      <w:spacing w:line="360" w:lineRule="auto"/>
      <w:outlineLvl w:val="4"/>
    </w:pPr>
    <w:rPr>
      <w:rFonts w:ascii="Times New Roman" w:hAnsi="Times New Roman" w:cs="Times New Roman"/>
      <w:b/>
      <w:sz w:val="21"/>
      <w:szCs w:val="21"/>
    </w:rPr>
  </w:style>
  <w:style w:type="character" w:styleId="1089" w:default="1">
    <w:name w:val="Default Paragraph Font"/>
    <w:uiPriority w:val="1"/>
    <w:semiHidden/>
    <w:unhideWhenUsed/>
    <w:qFormat/>
  </w:style>
  <w:style w:type="table" w:styleId="1090" w:default="1">
    <w:name w:val="Normal Table"/>
    <w:uiPriority w:val="99"/>
    <w:semiHidden/>
    <w:unhideWhenUsed/>
    <w:qFormat/>
    <w:tblPr>
      <w:tblCellMar>
        <w:left w:w="108" w:type="dxa"/>
        <w:top w:w="0" w:type="dxa"/>
        <w:right w:w="108" w:type="dxa"/>
        <w:bottom w:w="0" w:type="dxa"/>
      </w:tblCellMar>
    </w:tblPr>
  </w:style>
  <w:style w:type="paragraph" w:styleId="1091">
    <w:name w:val="Body Text"/>
    <w:basedOn w:val="1083"/>
    <w:next w:val="1083"/>
    <w:link w:val="1120"/>
    <w:uiPriority w:val="1"/>
    <w:qFormat/>
    <w:pPr>
      <w:ind w:firstLine="566"/>
      <w:jc w:val="both"/>
      <w:spacing w:line="360" w:lineRule="auto"/>
      <w:tabs>
        <w:tab w:val="left" w:pos="6623" w:leader="none"/>
      </w:tabs>
    </w:pPr>
    <w:rPr>
      <w:sz w:val="24"/>
      <w:szCs w:val="24"/>
    </w:rPr>
  </w:style>
  <w:style w:type="paragraph" w:styleId="1092">
    <w:name w:val="Normal Indent"/>
    <w:basedOn w:val="1083"/>
    <w:uiPriority w:val="0"/>
    <w:qFormat/>
    <w:pPr>
      <w:ind w:firstLine="420"/>
      <w:jc w:val="both"/>
    </w:pPr>
    <w:rPr>
      <w:rFonts w:ascii="等线" w:hAnsi="等线" w:eastAsia="等线" w:cs="Arial"/>
      <w:b/>
      <w:sz w:val="24"/>
      <w:szCs w:val="20"/>
      <w:lang w:val="en-US" w:bidi="ar-SA"/>
    </w:rPr>
  </w:style>
  <w:style w:type="paragraph" w:styleId="1093">
    <w:name w:val="annotation text"/>
    <w:basedOn w:val="1083"/>
    <w:link w:val="1110"/>
    <w:uiPriority w:val="99"/>
    <w:semiHidden/>
    <w:unhideWhenUsed/>
    <w:qFormat/>
  </w:style>
  <w:style w:type="paragraph" w:styleId="1094">
    <w:name w:val="index 4"/>
    <w:basedOn w:val="1083"/>
    <w:next w:val="1083"/>
    <w:uiPriority w:val="99"/>
    <w:unhideWhenUsed/>
    <w:qFormat/>
    <w:pPr>
      <w:ind w:left="600"/>
    </w:pPr>
  </w:style>
  <w:style w:type="paragraph" w:styleId="1095">
    <w:name w:val="Plain Text"/>
    <w:basedOn w:val="1083"/>
    <w:link w:val="1114"/>
    <w:uiPriority w:val="0"/>
    <w:qFormat/>
    <w:pPr>
      <w:jc w:val="center"/>
    </w:pPr>
    <w:rPr>
      <w:rFonts w:cstheme="minorBidi"/>
      <w:sz w:val="72"/>
      <w:szCs w:val="72"/>
      <w:lang w:val="en-US" w:bidi="ar-SA"/>
    </w:rPr>
  </w:style>
  <w:style w:type="paragraph" w:styleId="1096">
    <w:name w:val="Balloon Text"/>
    <w:basedOn w:val="1083"/>
    <w:link w:val="1109"/>
    <w:uiPriority w:val="0"/>
    <w:qFormat/>
    <w:rPr>
      <w:sz w:val="18"/>
      <w:szCs w:val="18"/>
    </w:rPr>
  </w:style>
  <w:style w:type="paragraph" w:styleId="1097">
    <w:name w:val="Footer"/>
    <w:basedOn w:val="1083"/>
    <w:uiPriority w:val="99"/>
    <w:unhideWhenUsed/>
    <w:qFormat/>
    <w:pPr>
      <w:tabs>
        <w:tab w:val="center" w:pos="4153" w:leader="none"/>
        <w:tab w:val="right" w:pos="8306" w:leader="none"/>
      </w:tabs>
    </w:pPr>
    <w:rPr>
      <w:sz w:val="18"/>
      <w:szCs w:val="18"/>
    </w:rPr>
  </w:style>
  <w:style w:type="paragraph" w:styleId="1098">
    <w:name w:val="Header"/>
    <w:basedOn w:val="10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99">
    <w:name w:val="toc 1"/>
    <w:basedOn w:val="1083"/>
    <w:next w:val="1083"/>
    <w:uiPriority w:val="1"/>
    <w:qFormat/>
    <w:pPr>
      <w:ind w:left="618"/>
      <w:spacing w:before="278"/>
    </w:pPr>
    <w:rPr>
      <w:b/>
      <w:bCs/>
      <w:sz w:val="24"/>
      <w:szCs w:val="24"/>
    </w:rPr>
  </w:style>
  <w:style w:type="paragraph" w:styleId="1100">
    <w:name w:val="Normal (Web)"/>
    <w:basedOn w:val="1083"/>
    <w:uiPriority w:val="99"/>
    <w:unhideWhenUsed/>
    <w:qFormat/>
    <w:pPr>
      <w:spacing w:before="100" w:beforeAutospacing="1" w:after="100" w:afterAutospacing="1"/>
      <w:widowControl/>
    </w:pPr>
    <w:rPr>
      <w:sz w:val="24"/>
      <w:szCs w:val="24"/>
      <w:lang w:val="en-US" w:bidi="ar-SA"/>
    </w:rPr>
  </w:style>
  <w:style w:type="paragraph" w:styleId="1101">
    <w:name w:val="annotation subject"/>
    <w:basedOn w:val="1093"/>
    <w:next w:val="1093"/>
    <w:link w:val="1111"/>
    <w:uiPriority w:val="0"/>
    <w:qFormat/>
    <w:rPr>
      <w:b/>
      <w:bCs/>
    </w:rPr>
  </w:style>
  <w:style w:type="table" w:styleId="1102">
    <w:name w:val="Table Grid"/>
    <w:basedOn w:val="109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3">
    <w:name w:val="Strong"/>
    <w:basedOn w:val="1089"/>
    <w:uiPriority w:val="22"/>
    <w:qFormat/>
    <w:rPr>
      <w:b/>
      <w:bCs/>
    </w:rPr>
  </w:style>
  <w:style w:type="character" w:styleId="1104">
    <w:name w:val="Hyperlink"/>
    <w:uiPriority w:val="0"/>
    <w:qFormat/>
    <w:rPr>
      <w:color w:val="0000ff"/>
      <w:u w:val="single"/>
    </w:rPr>
  </w:style>
  <w:style w:type="character" w:styleId="1105">
    <w:name w:val="annotation reference"/>
    <w:basedOn w:val="1089"/>
    <w:uiPriority w:val="99"/>
    <w:qFormat/>
    <w:rPr>
      <w:sz w:val="21"/>
      <w:szCs w:val="21"/>
    </w:rPr>
  </w:style>
  <w:style w:type="table" w:styleId="1106" w:customStyle="1">
    <w:name w:val="Table Normal"/>
    <w:uiPriority w:val="2"/>
    <w:semiHidden/>
    <w:unhideWhenUsed/>
    <w:qFormat/>
    <w:tblPr>
      <w:tblCellMar>
        <w:left w:w="0" w:type="dxa"/>
        <w:top w:w="0" w:type="dxa"/>
        <w:right w:w="0" w:type="dxa"/>
        <w:bottom w:w="0" w:type="dxa"/>
      </w:tblCellMar>
    </w:tblPr>
  </w:style>
  <w:style w:type="paragraph" w:styleId="1107">
    <w:name w:val="List Paragraph"/>
    <w:basedOn w:val="1083"/>
    <w:uiPriority w:val="1"/>
    <w:qFormat/>
    <w:pPr>
      <w:numPr>
        <w:ilvl w:val="1"/>
        <w:numId w:val="1"/>
      </w:numPr>
      <w:jc w:val="both"/>
      <w:spacing w:line="360" w:lineRule="auto"/>
    </w:pPr>
    <w:rPr>
      <w:b/>
    </w:rPr>
  </w:style>
  <w:style w:type="paragraph" w:styleId="1108" w:customStyle="1">
    <w:name w:val="Table Paragraph"/>
    <w:basedOn w:val="1083"/>
    <w:uiPriority w:val="1"/>
    <w:qFormat/>
    <w:pPr>
      <w:jc w:val="both"/>
      <w:spacing w:before="120"/>
    </w:pPr>
    <w:rPr>
      <w:b/>
      <w:lang w:val="en-US"/>
    </w:rPr>
  </w:style>
  <w:style w:type="character" w:styleId="1109" w:customStyle="1">
    <w:name w:val="批注框文本 Char"/>
    <w:basedOn w:val="1089"/>
    <w:link w:val="1096"/>
    <w:uiPriority w:val="0"/>
    <w:qFormat/>
    <w:rPr>
      <w:rFonts w:ascii="宋体" w:hAnsi="宋体" w:eastAsia="宋体" w:cs="宋体"/>
      <w:sz w:val="18"/>
      <w:szCs w:val="18"/>
      <w:lang w:val="zh-CN" w:bidi="zh-CN"/>
    </w:rPr>
  </w:style>
  <w:style w:type="character" w:styleId="1110" w:customStyle="1">
    <w:name w:val="批注文字 Char"/>
    <w:basedOn w:val="1089"/>
    <w:link w:val="1093"/>
    <w:uiPriority w:val="99"/>
    <w:semiHidden/>
    <w:qFormat/>
    <w:rPr>
      <w:rFonts w:ascii="宋体" w:hAnsi="宋体" w:eastAsia="宋体" w:cs="宋体"/>
      <w:sz w:val="22"/>
      <w:szCs w:val="22"/>
      <w:lang w:val="zh-CN" w:bidi="zh-CN"/>
    </w:rPr>
  </w:style>
  <w:style w:type="character" w:styleId="1111" w:customStyle="1">
    <w:name w:val="批注主题 Char"/>
    <w:basedOn w:val="1110"/>
    <w:link w:val="1101"/>
    <w:uiPriority w:val="0"/>
    <w:qFormat/>
    <w:rPr>
      <w:rFonts w:ascii="宋体" w:hAnsi="宋体" w:eastAsia="宋体" w:cs="宋体"/>
      <w:b/>
      <w:bCs/>
      <w:sz w:val="22"/>
      <w:szCs w:val="22"/>
      <w:lang w:val="zh-CN" w:bidi="zh-CN"/>
    </w:rPr>
  </w:style>
  <w:style w:type="paragraph" w:styleId="1112" w:customStyle="1">
    <w:name w:val="列出段落1"/>
    <w:basedOn w:val="1083"/>
    <w:uiPriority w:val="0"/>
    <w:qFormat/>
    <w:pPr>
      <w:contextualSpacing/>
      <w:ind w:firstLine="482"/>
      <w:spacing w:line="360" w:lineRule="auto"/>
      <w:widowControl/>
    </w:pPr>
    <w:rPr>
      <w:rFonts w:ascii="Times New Roman" w:hAnsi="Times New Roman" w:cs="Times New Roman"/>
      <w:b/>
      <w:sz w:val="24"/>
      <w:szCs w:val="21"/>
    </w:rPr>
  </w:style>
  <w:style w:type="character" w:styleId="1113" w:customStyle="1">
    <w:name w:val="纯文本 字符"/>
    <w:basedOn w:val="1089"/>
    <w:uiPriority w:val="0"/>
    <w:qFormat/>
    <w:rPr>
      <w:rFonts w:hAnsi="Courier New" w:cs="Courier New" w:asciiTheme="minorEastAsia" w:eastAsiaTheme="minorEastAsia"/>
      <w:sz w:val="22"/>
      <w:szCs w:val="22"/>
      <w:lang w:val="zh-CN" w:bidi="zh-CN"/>
    </w:rPr>
  </w:style>
  <w:style w:type="character" w:styleId="1114" w:customStyle="1">
    <w:name w:val="纯文本 Char"/>
    <w:basedOn w:val="1089"/>
    <w:link w:val="1095"/>
    <w:uiPriority w:val="0"/>
    <w:qFormat/>
    <w:rPr>
      <w:rFonts w:ascii="宋体" w:hAnsi="宋体" w:cstheme="minorBidi"/>
      <w:sz w:val="72"/>
      <w:szCs w:val="72"/>
    </w:rPr>
  </w:style>
  <w:style w:type="paragraph" w:styleId="1115" w:customStyle="1">
    <w:name w:val="正文_2_62"/>
    <w:basedOn w:val="1083"/>
    <w:uiPriority w:val="0"/>
    <w:qFormat/>
    <w:pPr>
      <w:jc w:val="center"/>
    </w:pPr>
    <w:rPr>
      <w:rFonts w:ascii="Times New Roman" w:hAnsi="Times New Roman" w:cs="Times New Roman"/>
      <w:b/>
      <w:sz w:val="32"/>
      <w:szCs w:val="32"/>
    </w:rPr>
  </w:style>
  <w:style w:type="character" w:styleId="1116" w:customStyle="1">
    <w:name w:val="未处理的提及1"/>
    <w:basedOn w:val="1089"/>
    <w:uiPriority w:val="99"/>
    <w:semiHidden/>
    <w:unhideWhenUsed/>
    <w:qFormat/>
    <w:rPr>
      <w:color w:val="605e5c"/>
      <w:shd w:val="clear" w:color="auto" w:fill="e1dfdd"/>
    </w:rPr>
  </w:style>
  <w:style w:type="paragraph" w:styleId="1117" w:customStyle="1">
    <w:name w:val="普通正文"/>
    <w:basedOn w:val="1083"/>
    <w:uiPriority w:val="0"/>
    <w:qFormat/>
    <w:pPr>
      <w:ind w:firstLine="482"/>
      <w:spacing w:line="360" w:lineRule="auto"/>
    </w:pPr>
    <w:rPr>
      <w:rFonts w:ascii="Arial" w:hAnsi="Arial" w:cs="Times New Roman"/>
      <w:b/>
      <w:sz w:val="24"/>
      <w:szCs w:val="24"/>
      <w:lang w:val="en-US" w:bidi="ar-SA"/>
    </w:rPr>
  </w:style>
  <w:style w:type="character" w:styleId="1118" w:customStyle="1">
    <w:name w:val="标题 2 Char"/>
    <w:basedOn w:val="1089"/>
    <w:link w:val="1085"/>
    <w:uiPriority w:val="1"/>
    <w:qFormat/>
    <w:rPr>
      <w:rFonts w:ascii="宋体" w:hAnsi="宋体" w:eastAsia="宋体" w:cs="宋体"/>
      <w:b/>
      <w:bCs/>
      <w:sz w:val="30"/>
      <w:szCs w:val="30"/>
      <w:u w:val="single"/>
      <w:lang w:val="zh-CN" w:bidi="zh-CN"/>
    </w:rPr>
  </w:style>
  <w:style w:type="character" w:styleId="1119" w:customStyle="1">
    <w:name w:val="标题 3 Char"/>
    <w:basedOn w:val="1089"/>
    <w:link w:val="1086"/>
    <w:uiPriority w:val="1"/>
    <w:qFormat/>
    <w:rPr>
      <w:rFonts w:ascii="黑体" w:hAnsi="黑体" w:eastAsia="黑体" w:cs="黑体"/>
      <w:sz w:val="28"/>
      <w:szCs w:val="28"/>
      <w:lang w:val="zh-CN" w:bidi="zh-CN"/>
    </w:rPr>
  </w:style>
  <w:style w:type="character" w:styleId="1120" w:customStyle="1">
    <w:name w:val="正文文本 Char"/>
    <w:basedOn w:val="1089"/>
    <w:link w:val="1091"/>
    <w:uiPriority w:val="1"/>
    <w:qFormat/>
    <w:rPr>
      <w:rFonts w:ascii="宋体" w:hAnsi="宋体" w:cs="宋体"/>
      <w:sz w:val="24"/>
      <w:szCs w:val="24"/>
      <w:lang w:val="zh-CN" w:bidi="zh-CN"/>
    </w:rPr>
  </w:style>
  <w:style w:type="paragraph" w:styleId="1121" w:customStyle="1">
    <w:name w:val="表格"/>
    <w:basedOn w:val="1083"/>
    <w:uiPriority w:val="0"/>
    <w:qFormat/>
    <w:pPr>
      <w:jc w:val="center"/>
    </w:pPr>
    <w:rPr>
      <w:rFonts w:ascii="华文细黑" w:hAnsi="华文细黑"/>
    </w:rPr>
  </w:style>
  <w:style w:type="paragraph" w:styleId="1122" w:customStyle="1">
    <w:name w:val="图表"/>
    <w:basedOn w:val="1083"/>
    <w:next w:val="1083"/>
    <w:uiPriority w:val="0"/>
    <w:qFormat/>
    <w:pPr>
      <w:jc w:val="center"/>
    </w:pPr>
    <w:rPr>
      <w:rFonts w:ascii="黑体" w:hAnsi="黑体" w:eastAsia="黑体" w:cstheme="minorBidi"/>
    </w:rPr>
  </w:style>
  <w:style w:type="character" w:styleId="1123" w:customStyle="1">
    <w:name w:val="NormalCharacter"/>
    <w:uiPriority w:val="0"/>
    <w:semiHidden/>
    <w:qFormat/>
    <w:rPr>
      <w:rFonts w:ascii="Times New Roman" w:hAnsi="Times New Roman" w:eastAsia="宋体" w:cs="Times New Roman"/>
      <w:sz w:val="21"/>
      <w:lang w:val="en-US" w:eastAsia="zh-CN" w:bidi="ar-SA"/>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B76B844-021D-46C2-A404-F6F7E4BC1B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李若男</cp:lastModifiedBy>
  <cp:revision>517</cp:revision>
  <dcterms:created xsi:type="dcterms:W3CDTF">2018-08-24T02:41:00Z</dcterms:created>
  <dcterms:modified xsi:type="dcterms:W3CDTF">2024-09-23T10:13:47Z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2018-08-20T00:00:00Z</vt:filetime>
  </property>
  <property fmtid="{D5CDD505-2E9C-101B-9397-08002B2CF9AE}" pid="3" name="Creator">
    <vt:lpwstr>WPS Office</vt:lpwstr>
  </property>
  <property fmtid="{D5CDD505-2E9C-101B-9397-08002B2CF9AE}" pid="4" name="LastSaved">
    <vt:filetime>2018-08-23T00:00:00Z</vt:filetime>
  </property>
  <property fmtid="{D5CDD505-2E9C-101B-9397-08002B2CF9AE}" pid="5" name="KSOProductBuildVer">
    <vt:lpwstr>2052-12.1.0.18276</vt:lpwstr>
  </property>
  <property fmtid="{D5CDD505-2E9C-101B-9397-08002B2CF9AE}" pid="6" name="ICV">
    <vt:lpwstr>787D09FA034F4A95B36A714B9D53C783_13</vt:lpwstr>
  </property>
</Properties>
</file>