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jc w:val="center"/>
        <w:spacing w:line="500" w:lineRule="exact"/>
        <w:shd w:val="clear" w:color="auto" w:fill="auto"/>
        <w:rPr>
          <w:rFonts w:hint="eastAsia" w:ascii="宋体" w:hAnsi="宋体" w:eastAsia="宋体" w:cs="宋体"/>
          <w:bCs/>
          <w:color w:val="000000"/>
          <w:spacing w:val="20"/>
          <w:sz w:val="44"/>
          <w:highlight w:val="none"/>
        </w:rPr>
      </w:pPr>
      <w:r>
        <w:rPr>
          <w:rFonts w:hint="eastAsia" w:ascii="宋体" w:hAnsi="宋体" w:eastAsia="宋体" w:cs="宋体"/>
          <w:bCs/>
          <w:color w:val="000000"/>
          <w:spacing w:val="20"/>
          <w:sz w:val="44"/>
          <w:highlight w:val="none"/>
        </w:rPr>
      </w:r>
      <w:r/>
    </w:p>
    <w:p>
      <w:pPr>
        <w:pStyle w:val="767"/>
        <w:ind w:firstLine="56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contextualSpacing/>
        <w:jc w:val="center"/>
        <w:spacing w:line="360" w:lineRule="auto"/>
        <w:shd w:val="clear" w:color="auto" w:fill="auto"/>
        <w:rPr>
          <w:rFonts w:hint="eastAsia" w:ascii="宋体" w:hAnsi="宋体" w:eastAsia="宋体" w:cs="宋体"/>
          <w:b/>
          <w:bCs/>
          <w:color w:val="000000"/>
          <w:sz w:val="48"/>
          <w:szCs w:val="48"/>
          <w:highlight w:val="none"/>
          <w:lang w:eastAsia="zh-CN"/>
        </w:rPr>
      </w:pPr>
      <w:r>
        <w:rPr>
          <w:rFonts w:hint="eastAsia" w:ascii="宋体" w:hAnsi="宋体" w:eastAsia="宋体" w:cs="宋体"/>
          <w:b/>
          <w:bCs/>
          <w:color w:val="000000"/>
          <w:sz w:val="48"/>
          <w:szCs w:val="48"/>
          <w:highlight w:val="none"/>
          <w:lang w:eastAsia="zh-CN"/>
        </w:rPr>
        <w:t xml:space="preserve">南通市电子政务网络资源更新项目一</w:t>
      </w:r>
      <w:r>
        <w:rPr>
          <w:rFonts w:hint="eastAsia" w:ascii="宋体" w:hAnsi="宋体" w:eastAsia="宋体" w:cs="宋体"/>
          <w:b/>
          <w:bCs/>
          <w:color w:val="000000"/>
          <w:sz w:val="48"/>
          <w:szCs w:val="48"/>
          <w:highlight w:val="none"/>
          <w:lang w:eastAsia="zh-CN"/>
        </w:rPr>
      </w:r>
      <w:r/>
    </w:p>
    <w:p>
      <w:pPr>
        <w:pStyle w:val="733"/>
        <w:jc w:val="center"/>
        <w:shd w:val="clear" w:color="auto" w:fill="auto"/>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r>
      <w:r/>
    </w:p>
    <w:p>
      <w:pPr>
        <w:pStyle w:val="733"/>
        <w:jc w:val="center"/>
        <w:spacing w:line="300" w:lineRule="auto"/>
        <w:shd w:val="clear" w:color="auto" w:fill="auto"/>
        <w:tabs>
          <w:tab w:val="left" w:pos="6300" w:leader="none"/>
        </w:tabs>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t xml:space="preserve">政府采购</w:t>
      </w:r>
      <w:r>
        <w:rPr>
          <w:rFonts w:hint="eastAsia" w:ascii="宋体" w:hAnsi="宋体" w:eastAsia="宋体" w:cs="宋体"/>
          <w:b/>
          <w:color w:val="000000"/>
          <w:sz w:val="96"/>
          <w:szCs w:val="96"/>
          <w:highlight w:val="none"/>
        </w:rPr>
      </w:r>
      <w:r/>
    </w:p>
    <w:p>
      <w:pPr>
        <w:pStyle w:val="733"/>
        <w:jc w:val="center"/>
        <w:spacing w:line="300" w:lineRule="auto"/>
        <w:shd w:val="clear" w:color="auto" w:fill="auto"/>
        <w:tabs>
          <w:tab w:val="left" w:pos="6300" w:leader="none"/>
        </w:tabs>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t xml:space="preserve">公开招标文件</w:t>
      </w:r>
      <w:r>
        <w:rPr>
          <w:rFonts w:hint="eastAsia" w:ascii="宋体" w:hAnsi="宋体" w:eastAsia="宋体" w:cs="宋体"/>
          <w:b/>
          <w:color w:val="000000"/>
          <w:sz w:val="96"/>
          <w:szCs w:val="96"/>
          <w:highlight w:val="none"/>
        </w:rPr>
      </w:r>
      <w:r/>
    </w:p>
    <w:p>
      <w:pPr>
        <w:pStyle w:val="739"/>
        <w:spacing w:line="500" w:lineRule="exact"/>
        <w:shd w:val="clear" w:color="auto" w:fill="auto"/>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733"/>
        <w:jc w:val="center"/>
        <w:spacing w:line="720" w:lineRule="auto"/>
        <w:shd w:val="clear" w:color="auto" w:fill="auto"/>
        <w:rPr>
          <w:rFonts w:hint="eastAsia" w:ascii="宋体" w:hAnsi="宋体" w:eastAsia="宋体" w:cs="宋体"/>
          <w:b/>
          <w:color w:val="000000"/>
          <w:sz w:val="32"/>
          <w:szCs w:val="32"/>
          <w:highlight w:val="none"/>
        </w:rPr>
      </w:pPr>
      <w:r/>
      <w:bookmarkStart w:id="0" w:name="_Hlk154567591"/>
      <w:r>
        <w:rPr>
          <w:rFonts w:hint="eastAsia" w:ascii="宋体" w:hAnsi="宋体" w:eastAsia="宋体" w:cs="宋体"/>
          <w:b/>
          <w:color w:val="000000"/>
          <w:sz w:val="32"/>
          <w:szCs w:val="32"/>
          <w:highlight w:val="none"/>
        </w:rPr>
        <w:t xml:space="preserve">项目编号：</w:t>
      </w:r>
      <w:bookmarkEnd w:id="0"/>
      <w:r>
        <w:rPr>
          <w:rFonts w:hint="eastAsia" w:ascii="宋体" w:hAnsi="宋体" w:eastAsia="宋体" w:cs="宋体"/>
          <w:b/>
          <w:color w:val="000000"/>
          <w:sz w:val="32"/>
          <w:szCs w:val="32"/>
          <w:highlight w:val="none"/>
        </w:rPr>
        <w:t xml:space="preserve">JSZC-320600-ZYZB-</w:t>
      </w:r>
      <w:r>
        <w:rPr>
          <w:rFonts w:hint="eastAsia" w:ascii="宋体" w:hAnsi="宋体" w:eastAsia="宋体" w:cs="宋体"/>
          <w:b/>
          <w:color w:val="000000"/>
          <w:sz w:val="32"/>
          <w:szCs w:val="32"/>
          <w:highlight w:val="none"/>
          <w:lang w:eastAsia="zh-CN"/>
        </w:rPr>
        <w:t xml:space="preserve">G2025-0031</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733"/>
        <w:jc w:val="center"/>
        <w:spacing w:line="360" w:lineRule="auto"/>
        <w:shd w:val="clear" w:color="auto" w:fill="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33"/>
        <w:ind w:left="-2" w:right="120"/>
        <w:jc w:val="center"/>
        <w:spacing w:before="120" w:after="120" w:line="500" w:lineRule="exact"/>
        <w:shd w:val="clear" w:color="auto" w:fill="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 购 单 位：</w:t>
      </w:r>
      <w:r>
        <w:rPr>
          <w:rFonts w:hint="eastAsia" w:ascii="宋体" w:hAnsi="宋体" w:eastAsia="宋体" w:cs="宋体"/>
          <w:b/>
          <w:color w:val="000000"/>
          <w:sz w:val="30"/>
          <w:szCs w:val="30"/>
          <w:highlight w:val="none"/>
          <w:lang w:eastAsia="zh-CN"/>
        </w:rPr>
        <w:t xml:space="preserve">南通市大数据管理中心</w:t>
      </w:r>
      <w:r>
        <w:rPr>
          <w:rFonts w:hint="eastAsia" w:ascii="宋体" w:hAnsi="宋体" w:eastAsia="宋体" w:cs="宋体"/>
          <w:b/>
          <w:color w:val="000000"/>
          <w:sz w:val="30"/>
          <w:szCs w:val="30"/>
          <w:highlight w:val="none"/>
          <w:lang w:eastAsia="zh-CN"/>
        </w:rPr>
      </w:r>
      <w:r/>
    </w:p>
    <w:p>
      <w:pPr>
        <w:pStyle w:val="733"/>
        <w:ind w:left="-2" w:right="120"/>
        <w:jc w:val="center"/>
        <w:spacing w:before="120" w:after="120" w:line="500" w:lineRule="exact"/>
        <w:shd w:val="clear" w:color="auto" w:fill="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采购代理机构：江苏正扬招标代理有限公司</w:t>
      </w:r>
      <w:r>
        <w:rPr>
          <w:rFonts w:hint="eastAsia" w:ascii="宋体" w:hAnsi="宋体" w:eastAsia="宋体" w:cs="宋体"/>
          <w:b/>
          <w:color w:val="000000"/>
          <w:sz w:val="30"/>
          <w:szCs w:val="30"/>
          <w:highlight w:val="none"/>
        </w:rPr>
      </w:r>
      <w:r/>
    </w:p>
    <w:p>
      <w:pPr>
        <w:pStyle w:val="733"/>
        <w:ind w:left="-2" w:right="120"/>
        <w:jc w:val="center"/>
        <w:spacing w:before="120" w:after="120" w:line="500" w:lineRule="exact"/>
        <w:shd w:val="clear" w:color="auto" w:fill="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日期：2025年</w:t>
      </w:r>
      <w:r>
        <w:rPr>
          <w:rFonts w:hint="eastAsia" w:ascii="宋体" w:hAnsi="宋体" w:eastAsia="宋体" w:cs="宋体"/>
          <w:b/>
          <w:color w:val="000000"/>
          <w:sz w:val="30"/>
          <w:szCs w:val="30"/>
          <w:highlight w:val="none"/>
          <w:lang w:val="en-US" w:eastAsia="zh-CN"/>
        </w:rPr>
        <w:t xml:space="preserve">11</w:t>
      </w:r>
      <w:r>
        <w:rPr>
          <w:rFonts w:hint="eastAsia" w:ascii="宋体" w:hAnsi="宋体" w:eastAsia="宋体" w:cs="宋体"/>
          <w:b/>
          <w:color w:val="000000"/>
          <w:sz w:val="30"/>
          <w:szCs w:val="30"/>
          <w:highlight w:val="none"/>
        </w:rPr>
        <w:t xml:space="preserve">月</w:t>
      </w:r>
      <w:r>
        <w:rPr>
          <w:rFonts w:hint="eastAsia" w:ascii="宋体" w:hAnsi="宋体" w:eastAsia="宋体" w:cs="宋体"/>
          <w:b/>
          <w:color w:val="000000"/>
          <w:sz w:val="30"/>
          <w:szCs w:val="30"/>
          <w:highlight w:val="none"/>
        </w:rPr>
      </w:r>
      <w:r/>
    </w:p>
    <w:p>
      <w:pPr>
        <w:pStyle w:val="733"/>
        <w:spacing w:line="50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jc w:val="center"/>
        <w:spacing w:line="500" w:lineRule="exact"/>
        <w:shd w:val="clear" w:color="auto" w:fill="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3"/>
        <w:jc w:val="center"/>
        <w:spacing w:line="500" w:lineRule="exact"/>
        <w:shd w:val="clear" w:color="auto" w:fill="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3"/>
        <w:jc w:val="center"/>
        <w:spacing w:line="500" w:lineRule="exact"/>
        <w:shd w:val="clear" w:color="auto" w:fill="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3"/>
        <w:shd w:val="clear" w:color="auto" w:fil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733"/>
        <w:jc w:val="center"/>
        <w:spacing w:line="360" w:lineRule="auto"/>
        <w:shd w:val="clear" w:color="auto" w:fil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733"/>
        <w:jc w:val="center"/>
        <w:spacing w:line="360" w:lineRule="auto"/>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3"/>
        <w:jc w:val="center"/>
        <w:spacing w:line="360" w:lineRule="auto"/>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3"/>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733"/>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733"/>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733"/>
        <w:ind w:firstLine="640"/>
        <w:spacing w:line="360" w:lineRule="auto"/>
        <w:shd w:val="clear" w:color="auto" w:fill="auto"/>
        <w:tabs>
          <w:tab w:val="left" w:pos="7740" w:leader="none"/>
        </w:tabs>
        <w:rPr>
          <w:rFonts w:hint="eastAsia" w:ascii="宋体" w:hAnsi="宋体" w:eastAsia="宋体" w:cs="宋体"/>
          <w:bCs/>
          <w:color w:val="000000"/>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评标方法与评标标准</w:t>
      </w:r>
      <w:r>
        <w:rPr>
          <w:rFonts w:hint="eastAsia" w:ascii="宋体" w:hAnsi="宋体" w:eastAsia="宋体" w:cs="宋体"/>
          <w:bCs/>
          <w:color w:val="000000"/>
          <w:sz w:val="32"/>
          <w:szCs w:val="32"/>
          <w:highlight w:val="none"/>
        </w:rPr>
      </w:r>
      <w:r/>
    </w:p>
    <w:p>
      <w:pPr>
        <w:pStyle w:val="733"/>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合同格式</w:t>
      </w:r>
      <w:r>
        <w:rPr>
          <w:rFonts w:hint="eastAsia" w:ascii="宋体" w:hAnsi="宋体" w:eastAsia="宋体" w:cs="宋体"/>
          <w:color w:val="000000"/>
          <w:spacing w:val="2"/>
          <w:sz w:val="32"/>
          <w:szCs w:val="32"/>
          <w:highlight w:val="none"/>
        </w:rPr>
      </w:r>
      <w:r/>
    </w:p>
    <w:p>
      <w:pPr>
        <w:pStyle w:val="733"/>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第六部分  投标文件组成</w:t>
      </w:r>
      <w:r>
        <w:rPr>
          <w:rFonts w:hint="eastAsia" w:ascii="宋体" w:hAnsi="宋体" w:eastAsia="宋体" w:cs="宋体"/>
          <w:color w:val="000000"/>
          <w:spacing w:val="2"/>
          <w:sz w:val="32"/>
          <w:szCs w:val="32"/>
          <w:highlight w:val="none"/>
        </w:rPr>
      </w:r>
      <w:r/>
    </w:p>
    <w:p>
      <w:pPr>
        <w:pStyle w:val="733"/>
        <w:jc w:val="center"/>
        <w:spacing w:line="500" w:lineRule="exact"/>
        <w:shd w:val="clear" w:color="auto" w:fill="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44"/>
          <w:szCs w:val="44"/>
          <w:highlight w:val="none"/>
        </w:rPr>
        <w:br w:type="page" w:clear="all"/>
      </w:r>
      <w:r>
        <w:rPr>
          <w:rFonts w:hint="eastAsia" w:ascii="宋体" w:hAnsi="宋体" w:eastAsia="宋体" w:cs="宋体"/>
          <w:bCs/>
          <w:color w:val="000000"/>
          <w:sz w:val="36"/>
          <w:szCs w:val="36"/>
          <w:highlight w:val="none"/>
        </w:rPr>
        <w:t xml:space="preserve">第一部分  </w:t>
      </w:r>
      <w:bookmarkStart w:id="1" w:name="OLE_LINK7"/>
      <w:r/>
      <w:bookmarkStart w:id="2" w:name="OLE_LINK5"/>
      <w:r>
        <w:rPr>
          <w:rFonts w:hint="eastAsia" w:ascii="宋体" w:hAnsi="宋体" w:eastAsia="宋体" w:cs="宋体"/>
          <w:bCs/>
          <w:color w:val="000000"/>
          <w:sz w:val="36"/>
          <w:szCs w:val="36"/>
          <w:highlight w:val="none"/>
        </w:rPr>
        <w:t xml:space="preserve">投标邀请</w:t>
      </w:r>
      <w:bookmarkStart w:id="3" w:name="OLE_LINK6"/>
      <w:r>
        <w:rPr>
          <w:rFonts w:hint="eastAsia" w:ascii="宋体" w:hAnsi="宋体" w:eastAsia="宋体" w:cs="宋体"/>
          <w:color w:val="000000"/>
          <w:sz w:val="28"/>
          <w:szCs w:val="28"/>
          <w:highlight w:val="none"/>
        </w:rPr>
      </w:r>
      <w:r/>
    </w:p>
    <w:p>
      <w:pPr>
        <w:pStyle w:val="733"/>
        <w:spacing w:line="500" w:lineRule="exact"/>
        <w:shd w:val="clear" w:color="auto" w:fill="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lang w:eastAsia="zh-CN"/>
        </w:rPr>
        <w:t xml:space="preserve">南通市电子政务网络资源更新项目一</w:t>
      </w:r>
      <w:r>
        <w:rPr>
          <w:rFonts w:hint="eastAsia" w:ascii="宋体" w:hAnsi="宋体" w:eastAsia="宋体" w:cs="宋体"/>
          <w:color w:val="000000"/>
          <w:szCs w:val="21"/>
          <w:highlight w:val="none"/>
        </w:rPr>
        <w:t xml:space="preserve">JSZC-320600-ZYZB-</w:t>
      </w:r>
      <w:r>
        <w:rPr>
          <w:rFonts w:hint="eastAsia" w:ascii="宋体" w:hAnsi="宋体" w:eastAsia="宋体" w:cs="宋体"/>
          <w:color w:val="000000"/>
          <w:szCs w:val="21"/>
          <w:highlight w:val="none"/>
          <w:lang w:eastAsia="zh-CN"/>
        </w:rPr>
        <w:t xml:space="preserve">G2025-0031</w:t>
      </w:r>
      <w:r>
        <w:rPr>
          <w:rFonts w:hint="eastAsia" w:ascii="宋体" w:hAnsi="宋体" w:eastAsia="宋体" w:cs="宋体"/>
          <w:color w:val="000000"/>
          <w:szCs w:val="21"/>
          <w:highlight w:val="none"/>
        </w:rPr>
        <w:t xml:space="preserve">的潜在投标供应商</w:t>
      </w:r>
      <w:r>
        <w:rPr>
          <w:rFonts w:hint="eastAsia" w:ascii="宋体" w:hAnsi="宋体" w:eastAsia="宋体" w:cs="宋体"/>
          <w:color w:val="000000"/>
          <w:szCs w:val="21"/>
          <w:highlight w:val="none"/>
          <w:lang w:val="en-US" w:eastAsia="zh-CN"/>
        </w:rPr>
        <w:t xml:space="preserve">应</w:t>
      </w:r>
      <w:r>
        <w:rPr>
          <w:rFonts w:hint="eastAsia" w:ascii="宋体" w:hAnsi="宋体" w:eastAsia="宋体" w:cs="宋体"/>
          <w:color w:val="000000"/>
          <w:szCs w:val="21"/>
          <w:highlight w:val="none"/>
        </w:rPr>
        <w:t xml:space="preserve">在</w:t>
      </w:r>
      <w:r>
        <w:rPr>
          <w:rFonts w:hint="eastAsia" w:ascii="宋体" w:hAnsi="宋体" w:eastAsia="宋体" w:cs="宋体"/>
          <w:b/>
          <w:bCs/>
          <w:color w:val="000000"/>
          <w:szCs w:val="21"/>
          <w:highlight w:val="none"/>
          <w:u w:val="single"/>
          <w:lang w:val="en-US" w:eastAsia="zh-CN"/>
        </w:rPr>
        <w:t xml:space="preserve">苏采云系统内</w:t>
      </w:r>
      <w:r>
        <w:rPr>
          <w:rFonts w:hint="eastAsia" w:ascii="宋体" w:hAnsi="宋体" w:eastAsia="宋体" w:cs="宋体"/>
          <w:color w:val="000000"/>
          <w:szCs w:val="21"/>
          <w:highlight w:val="none"/>
          <w:u w:val="none"/>
          <w:lang w:val="en-US" w:eastAsia="zh-CN"/>
        </w:rPr>
        <w:t xml:space="preserve">获取</w:t>
      </w:r>
      <w:r>
        <w:rPr>
          <w:rFonts w:hint="eastAsia" w:ascii="宋体" w:hAnsi="宋体" w:eastAsia="宋体" w:cs="宋体"/>
          <w:color w:val="000000"/>
          <w:szCs w:val="21"/>
          <w:highlight w:val="none"/>
          <w:u w:val="none"/>
        </w:rPr>
        <w:t xml:space="preserve">招</w:t>
      </w:r>
      <w:r>
        <w:rPr>
          <w:rFonts w:hint="eastAsia" w:ascii="宋体" w:hAnsi="宋体" w:eastAsia="宋体" w:cs="宋体"/>
          <w:color w:val="000000"/>
          <w:szCs w:val="21"/>
          <w:highlight w:val="none"/>
        </w:rPr>
        <w:t xml:space="preserve">标文件，并于</w:t>
      </w:r>
      <w:r>
        <w:rPr>
          <w:rFonts w:hint="eastAsia" w:ascii="宋体" w:hAnsi="宋体" w:eastAsia="宋体" w:cs="宋体"/>
          <w:color w:val="000000"/>
          <w:szCs w:val="21"/>
          <w:highlight w:val="none"/>
          <w:lang w:eastAsia="zh-CN"/>
        </w:rPr>
        <w:t xml:space="preserve">2025年</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09</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rPr>
        <w:t xml:space="preserve">（北京时间）前递交投标文件。</w:t>
      </w:r>
      <w:r>
        <w:rPr>
          <w:rFonts w:hint="eastAsia" w:ascii="宋体" w:hAnsi="宋体" w:eastAsia="宋体" w:cs="宋体"/>
          <w:color w:val="000000"/>
          <w:szCs w:val="21"/>
          <w:highlight w:val="none"/>
        </w:rPr>
      </w:r>
      <w:r/>
    </w:p>
    <w:p>
      <w:pPr>
        <w:pStyle w:val="733"/>
        <w:ind w:firstLine="42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一、项目基本情况</w:t>
      </w:r>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1.项目编号：JSZC-320600-ZYZB-</w:t>
      </w:r>
      <w:r>
        <w:rPr>
          <w:rFonts w:hint="eastAsia" w:ascii="宋体" w:hAnsi="宋体" w:eastAsia="宋体" w:cs="宋体"/>
          <w:color w:val="000000"/>
          <w:szCs w:val="21"/>
          <w:highlight w:val="none"/>
          <w:lang w:eastAsia="zh-CN"/>
        </w:rPr>
        <w:t xml:space="preserve">G2025-0031</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南通市电子政务网络资源更新项目一</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w:t>
      </w:r>
      <w:r>
        <w:rPr>
          <w:rFonts w:hint="eastAsia" w:ascii="宋体" w:hAnsi="宋体" w:eastAsia="宋体" w:cs="宋体"/>
          <w:color w:val="000000"/>
          <w:szCs w:val="21"/>
          <w:highlight w:val="none"/>
          <w:lang w:eastAsia="zh-CN"/>
        </w:rPr>
        <w:t xml:space="preserve">198.3万元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4.最高限价：</w:t>
      </w:r>
      <w:r>
        <w:rPr>
          <w:rFonts w:hint="eastAsia" w:ascii="宋体" w:hAnsi="宋体" w:eastAsia="宋体" w:cs="宋体"/>
          <w:color w:val="000000"/>
          <w:szCs w:val="21"/>
          <w:highlight w:val="none"/>
          <w:lang w:eastAsia="zh-CN"/>
        </w:rPr>
        <w:t xml:space="preserve">198.3万元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5.采购需求：详见采购文件第三部分，请仔细研究；</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6.合同履行期限：合同签订之日起6个月内交货并安装调试完毕；</w:t>
      </w:r>
      <w:r>
        <w:rPr>
          <w:rFonts w:hint="eastAsia" w:ascii="宋体" w:hAnsi="宋体" w:eastAsia="宋体" w:cs="宋体"/>
          <w:color w:val="000000"/>
          <w:szCs w:val="21"/>
          <w:highlight w:val="none"/>
          <w:lang w:eastAsia="zh-CN"/>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7.本项目不接收</w:t>
      </w:r>
      <w:bookmarkStart w:id="5" w:name="_GoBack"/>
      <w:r/>
      <w:bookmarkEnd w:id="5"/>
      <w:r>
        <w:rPr>
          <w:rFonts w:hint="eastAsia" w:ascii="宋体" w:hAnsi="宋体" w:eastAsia="宋体" w:cs="宋体"/>
          <w:color w:val="000000"/>
          <w:szCs w:val="21"/>
          <w:highlight w:val="none"/>
        </w:rPr>
        <w:t xml:space="preserve">联合体投标；</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8.本项目不接收进口产品投标；</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9.项目类型：货物类；</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10.所属行业：工业。</w:t>
      </w:r>
      <w:r>
        <w:rPr>
          <w:rFonts w:hint="eastAsia" w:ascii="宋体" w:hAnsi="宋体" w:eastAsia="宋体" w:cs="宋体"/>
          <w:color w:val="000000"/>
          <w:szCs w:val="21"/>
          <w:highlight w:val="none"/>
        </w:rPr>
      </w:r>
      <w:r/>
    </w:p>
    <w:p>
      <w:pPr>
        <w:pStyle w:val="733"/>
        <w:ind w:firstLine="56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二、申请人的资格要求：</w:t>
      </w:r>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(1)具有独立承担民事责任的能力（提供有效的法人或其他组织营业执照复印件等具有独立承担民事责任能力的证明材料复印件加盖公章）；</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bookmarkStart w:id="6" w:name="OLE_LINK9"/>
      <w:r>
        <w:rPr>
          <w:rFonts w:hint="eastAsia" w:ascii="宋体" w:hAnsi="宋体" w:eastAsia="宋体" w:cs="宋体"/>
          <w:color w:val="000000"/>
          <w:sz w:val="21"/>
          <w:szCs w:val="21"/>
          <w:highlight w:val="none"/>
          <w:lang w:val="en-US" w:eastAsia="zh-CN"/>
        </w:rPr>
        <w:t xml:space="preserve">具有良好的商业信誉和健全的财务会计制度[提供</w:t>
      </w:r>
      <w:r>
        <w:rPr>
          <w:rFonts w:hint="eastAsia" w:ascii="宋体" w:hAnsi="宋体" w:eastAsia="宋体" w:cs="宋体"/>
          <w:color w:val="000000"/>
          <w:szCs w:val="21"/>
          <w:highlight w:val="none"/>
        </w:rPr>
        <w:t xml:space="preserve">上一年度的财务状况报告(必须含资产负债表、利润表等证明材料)（成立不满一年不需提供）</w:t>
      </w:r>
      <w:r>
        <w:rPr>
          <w:rFonts w:hint="eastAsia" w:ascii="宋体" w:hAnsi="宋体" w:eastAsia="宋体" w:cs="宋体"/>
          <w:color w:val="000000"/>
          <w:sz w:val="21"/>
          <w:szCs w:val="21"/>
          <w:highlight w:val="none"/>
          <w:lang w:val="en-US" w:eastAsia="zh-CN"/>
        </w:rPr>
        <w:t xml:space="preserve">]</w:t>
      </w:r>
      <w:bookmarkEnd w:id="6"/>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bookmarkStart w:id="7" w:name="OLE_LINK10"/>
      <w:r>
        <w:rPr>
          <w:rFonts w:hint="eastAsia" w:ascii="宋体" w:hAnsi="宋体" w:eastAsia="宋体" w:cs="宋体"/>
          <w:color w:val="000000"/>
          <w:szCs w:val="21"/>
          <w:highlight w:val="none"/>
        </w:rPr>
        <w:t xml:space="preserve">具备履行合同所必需的设备和专业技术能力的证明材料（提供承诺书，格式见附件）</w:t>
      </w:r>
      <w:bookmarkEnd w:id="7"/>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bookmarkStart w:id="8" w:name="OLE_LINK11"/>
      <w:r>
        <w:rPr>
          <w:rFonts w:hint="eastAsia" w:ascii="宋体" w:hAnsi="宋体" w:eastAsia="宋体" w:cs="宋体"/>
          <w:color w:val="000000"/>
          <w:sz w:val="21"/>
          <w:szCs w:val="21"/>
          <w:highlight w:val="none"/>
          <w:lang w:val="en-US"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bookmarkEnd w:id="8"/>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bookmarkStart w:id="9" w:name="OLE_LINK12"/>
      <w:r>
        <w:rPr>
          <w:rFonts w:hint="eastAsia" w:ascii="宋体" w:hAnsi="宋体" w:eastAsia="宋体" w:cs="宋体"/>
          <w:color w:val="000000"/>
          <w:szCs w:val="21"/>
          <w:highlight w:val="none"/>
        </w:rPr>
        <w:t xml:space="preserve">参加政府采购活动前3年内在经营活动中没有重大违法记录的书面声明（提供无重大违法记录声明函，格式见附件）</w:t>
      </w:r>
      <w:bookmarkEnd w:id="9"/>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t xml:space="preserve">法律、行政法规规定的其他条件：无。</w:t>
      </w:r>
      <w:r>
        <w:rPr>
          <w:rFonts w:hint="eastAsia" w:ascii="宋体" w:hAnsi="宋体" w:eastAsia="宋体" w:cs="宋体"/>
          <w:color w:val="000000"/>
          <w:sz w:val="21"/>
          <w:szCs w:val="21"/>
          <w:highlight w:val="none"/>
          <w:lang w:val="en-US" w:eastAsia="zh-CN"/>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2.落实政府采购政策需满足的资格要求：无。</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3.本项目的特定资格要求：无。</w:t>
      </w:r>
      <w:r>
        <w:rPr>
          <w:rFonts w:hint="eastAsia" w:ascii="宋体" w:hAnsi="宋体" w:eastAsia="宋体" w:cs="宋体"/>
          <w:color w:val="000000"/>
          <w:szCs w:val="21"/>
          <w:highlight w:val="none"/>
        </w:rPr>
      </w:r>
      <w:r/>
    </w:p>
    <w:p>
      <w:pPr>
        <w:pStyle w:val="733"/>
        <w:ind w:firstLine="56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三、获取招标文件</w:t>
      </w:r>
      <w:r>
        <w:rPr>
          <w:rFonts w:hint="eastAsia" w:ascii="宋体" w:hAnsi="宋体" w:eastAsia="宋体" w:cs="宋体"/>
          <w:b/>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1.时间：</w:t>
      </w:r>
      <w:r>
        <w:rPr>
          <w:rStyle w:val="1053"/>
          <w:rFonts w:hint="eastAsia" w:ascii="宋体" w:hAnsi="宋体" w:eastAsia="宋体" w:cs="宋体"/>
          <w:bCs/>
          <w:color w:val="000000"/>
          <w:szCs w:val="21"/>
          <w:highlight w:val="none"/>
        </w:rPr>
        <w:t xml:space="preserve">自招标公告发布之日起5个工作日</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2.地点：</w:t>
      </w:r>
      <w:r>
        <w:rPr>
          <w:rFonts w:hint="eastAsia" w:ascii="宋体" w:hAnsi="宋体" w:eastAsia="宋体" w:cs="宋体"/>
          <w:bCs/>
          <w:color w:val="000000"/>
          <w:szCs w:val="21"/>
          <w:highlight w:val="none"/>
          <w:lang w:val="en-US" w:eastAsia="zh-CN"/>
        </w:rPr>
        <w:t xml:space="preserve">苏采云系统内；</w:t>
      </w:r>
      <w:r>
        <w:rPr>
          <w:rFonts w:hint="eastAsia" w:ascii="宋体" w:hAnsi="宋体" w:eastAsia="宋体" w:cs="宋体"/>
          <w:bCs/>
          <w:color w:val="000000"/>
          <w:szCs w:val="21"/>
          <w:highlight w:val="none"/>
          <w:lang w:val="en-US" w:eastAsia="zh-CN"/>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3.方式：</w:t>
      </w:r>
      <w:r>
        <w:rPr>
          <w:rFonts w:hint="eastAsia" w:ascii="宋体" w:hAnsi="宋体" w:eastAsia="宋体" w:cs="宋体"/>
          <w:bCs/>
          <w:color w:val="000000"/>
          <w:szCs w:val="21"/>
          <w:highlight w:val="none"/>
        </w:rPr>
        <w:t xml:space="preserve">网上注册登记成功后在苏采云系统内免费</w:t>
      </w:r>
      <w:r>
        <w:rPr>
          <w:rFonts w:hint="eastAsia" w:ascii="宋体" w:hAnsi="宋体" w:eastAsia="宋体" w:cs="宋体"/>
          <w:bCs/>
          <w:color w:val="000000"/>
          <w:szCs w:val="21"/>
          <w:highlight w:val="none"/>
        </w:rPr>
        <w:t xml:space="preserve">下载</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详见</w:t>
      </w:r>
      <w:r>
        <w:rPr>
          <w:rFonts w:hint="eastAsia" w:ascii="宋体" w:hAnsi="宋体" w:eastAsia="宋体" w:cs="宋体"/>
          <w:bCs/>
          <w:color w:val="000000"/>
          <w:szCs w:val="21"/>
          <w:highlight w:val="none"/>
        </w:rPr>
        <w:t xml:space="preserve">其他补充事宜</w:t>
      </w:r>
      <w:r>
        <w:rPr>
          <w:rFonts w:hint="eastAsia" w:ascii="宋体" w:hAnsi="宋体" w:eastAsia="宋体" w:cs="宋体"/>
          <w:bCs/>
          <w:color w:val="000000"/>
          <w:szCs w:val="21"/>
          <w:highlight w:val="none"/>
          <w:lang w:val="en-US" w:eastAsia="zh-CN"/>
        </w:rPr>
        <w:t xml:space="preserve">第3条</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4.售价：0.00元。</w:t>
      </w:r>
      <w:r>
        <w:rPr>
          <w:rFonts w:hint="eastAsia" w:ascii="宋体" w:hAnsi="宋体" w:eastAsia="宋体" w:cs="宋体"/>
          <w:bCs/>
          <w:color w:val="000000"/>
          <w:szCs w:val="21"/>
          <w:highlight w:val="none"/>
          <w:lang w:val="en-US" w:eastAsia="zh-CN"/>
        </w:rPr>
      </w:r>
      <w:r/>
    </w:p>
    <w:p>
      <w:pPr>
        <w:pStyle w:val="733"/>
        <w:ind w:firstLine="56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四、提交投标文件截止时间、开标时间和地点</w:t>
      </w:r>
      <w:r>
        <w:rPr>
          <w:rFonts w:hint="eastAsia" w:ascii="宋体" w:hAnsi="宋体" w:eastAsia="宋体" w:cs="宋体"/>
          <w:b/>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1.投标文件提交截止及开标时间：</w:t>
      </w:r>
      <w:r>
        <w:rPr>
          <w:rFonts w:hint="eastAsia" w:ascii="宋体" w:hAnsi="宋体" w:eastAsia="宋体" w:cs="宋体"/>
          <w:b/>
          <w:color w:val="000000"/>
          <w:szCs w:val="21"/>
          <w:highlight w:val="none"/>
          <w:lang w:eastAsia="zh-CN"/>
        </w:rPr>
        <w:t xml:space="preserve">2025年</w:t>
      </w:r>
      <w:r>
        <w:rPr>
          <w:rFonts w:hint="eastAsia" w:ascii="宋体" w:hAnsi="宋体" w:eastAsia="宋体" w:cs="宋体"/>
          <w:b/>
          <w:color w:val="000000"/>
          <w:szCs w:val="21"/>
          <w:highlight w:val="none"/>
          <w:lang w:val="en-US" w:eastAsia="zh-CN"/>
        </w:rPr>
        <w:t xml:space="preserve">1</w:t>
      </w:r>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lang w:eastAsia="zh-CN"/>
        </w:rPr>
        <w:t xml:space="preserve">月</w:t>
      </w:r>
      <w:r>
        <w:rPr>
          <w:rFonts w:hint="eastAsia" w:ascii="宋体" w:hAnsi="宋体" w:eastAsia="宋体" w:cs="宋体"/>
          <w:b/>
          <w:color w:val="000000"/>
          <w:szCs w:val="21"/>
          <w:highlight w:val="none"/>
          <w:lang w:val="en-US" w:eastAsia="zh-CN"/>
        </w:rPr>
        <w:t xml:space="preserve">12</w:t>
      </w:r>
      <w:r>
        <w:rPr>
          <w:rFonts w:hint="eastAsia" w:ascii="宋体" w:hAnsi="宋体" w:eastAsia="宋体" w:cs="宋体"/>
          <w:b/>
          <w:color w:val="000000"/>
          <w:szCs w:val="21"/>
          <w:highlight w:val="none"/>
          <w:lang w:eastAsia="zh-CN"/>
        </w:rPr>
        <w:t xml:space="preserve">日</w:t>
      </w:r>
      <w:r>
        <w:rPr>
          <w:rFonts w:hint="eastAsia" w:ascii="宋体" w:hAnsi="宋体" w:eastAsia="宋体" w:cs="宋体"/>
          <w:b/>
          <w:color w:val="000000"/>
          <w:szCs w:val="21"/>
          <w:highlight w:val="none"/>
          <w:lang w:val="en-US" w:eastAsia="zh-CN"/>
        </w:rPr>
        <w:t xml:space="preserve">09</w:t>
      </w:r>
      <w:r>
        <w:rPr>
          <w:rFonts w:hint="eastAsia" w:ascii="宋体" w:hAnsi="宋体" w:eastAsia="宋体" w:cs="宋体"/>
          <w:b/>
          <w:color w:val="000000"/>
          <w:szCs w:val="21"/>
          <w:highlight w:val="none"/>
          <w:lang w:eastAsia="zh-CN"/>
        </w:rPr>
        <w:t xml:space="preserve">时</w:t>
      </w:r>
      <w:r>
        <w:rPr>
          <w:rFonts w:hint="eastAsia" w:ascii="宋体" w:hAnsi="宋体" w:eastAsia="宋体" w:cs="宋体"/>
          <w:b/>
          <w:color w:val="000000"/>
          <w:szCs w:val="21"/>
          <w:highlight w:val="none"/>
          <w:lang w:val="en-US" w:eastAsia="zh-CN"/>
        </w:rPr>
        <w:t xml:space="preserve">30</w:t>
      </w:r>
      <w:r>
        <w:rPr>
          <w:rFonts w:hint="eastAsia" w:ascii="宋体" w:hAnsi="宋体" w:eastAsia="宋体" w:cs="宋体"/>
          <w:b/>
          <w:color w:val="000000"/>
          <w:szCs w:val="21"/>
          <w:highlight w:val="none"/>
          <w:lang w:eastAsia="zh-CN"/>
        </w:rPr>
        <w:t xml:space="preserve">分</w:t>
      </w:r>
      <w:r>
        <w:rPr>
          <w:rFonts w:hint="eastAsia" w:ascii="宋体" w:hAnsi="宋体" w:eastAsia="宋体" w:cs="宋体"/>
          <w:bCs/>
          <w:color w:val="000000"/>
          <w:szCs w:val="21"/>
          <w:highlight w:val="none"/>
        </w:rPr>
        <w:t xml:space="preserve">（北京时间）。逾时，“苏采云”系统将拒绝接受上传响应文件电子文档。</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2.地点：“苏采云”系统（网址：http://jszfcg.jsczt.cn/）“开标大厅”。</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五、公告期限</w:t>
      </w:r>
      <w:r>
        <w:rPr>
          <w:rFonts w:hint="eastAsia" w:ascii="宋体" w:hAnsi="宋体" w:eastAsia="宋体" w:cs="宋体"/>
          <w:b/>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自本公告发布之日起5个工作日。</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六、其他补充事宜</w:t>
      </w:r>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1.投标保证金：免收</w:t>
      </w:r>
      <w:r>
        <w:rPr>
          <w:rFonts w:hint="eastAsia" w:ascii="宋体" w:hAnsi="宋体" w:eastAsia="宋体" w:cs="宋体"/>
          <w:color w:val="000000"/>
          <w:szCs w:val="21"/>
          <w:highlight w:val="none"/>
        </w:rPr>
      </w:r>
      <w:r/>
    </w:p>
    <w:p>
      <w:pPr>
        <w:pStyle w:val="733"/>
        <w:ind w:firstLine="560"/>
        <w:spacing w:line="480" w:lineRule="exact"/>
        <w:shd w:val="clear" w:color="auto" w:fill="auto"/>
        <w:tabs>
          <w:tab w:val="left" w:pos="90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2.项目开标活动模式：不见面远程开标模式，投标供应商在各自地点通过“苏采云”系统参加开标会。</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
          <w:bCs w:val="0"/>
          <w:color w:val="000000"/>
          <w:szCs w:val="21"/>
          <w:highlight w:val="none"/>
          <w:u w:val="single"/>
        </w:rPr>
      </w:pPr>
      <w:r>
        <w:rPr>
          <w:rFonts w:hint="eastAsia" w:ascii="宋体" w:hAnsi="宋体" w:eastAsia="宋体" w:cs="宋体"/>
          <w:b/>
          <w:bCs w:val="0"/>
          <w:color w:val="000000"/>
          <w:szCs w:val="21"/>
          <w:highlight w:val="none"/>
          <w:u w:val="single"/>
        </w:rPr>
        <w:t xml:space="preserve">3.</w:t>
      </w:r>
      <w:r>
        <w:rPr>
          <w:rFonts w:hint="eastAsia" w:ascii="宋体" w:hAnsi="宋体" w:eastAsia="宋体" w:cs="宋体"/>
          <w:b/>
          <w:bCs w:val="0"/>
          <w:color w:val="000000"/>
          <w:szCs w:val="21"/>
          <w:highlight w:val="none"/>
          <w:u w:val="single"/>
          <w:lang w:val="en-US" w:eastAsia="zh-CN"/>
        </w:rPr>
        <w:t xml:space="preserve">招标文件</w:t>
      </w:r>
      <w:r>
        <w:rPr>
          <w:rFonts w:hint="eastAsia" w:ascii="宋体" w:hAnsi="宋体" w:eastAsia="宋体" w:cs="宋体"/>
          <w:b/>
          <w:bCs w:val="0"/>
          <w:color w:val="000000"/>
          <w:szCs w:val="21"/>
          <w:highlight w:val="none"/>
          <w:u w:val="single"/>
        </w:rPr>
        <w:t xml:space="preserve">获取方式：本项目采用网上注册登记方式</w:t>
      </w:r>
      <w:r>
        <w:rPr>
          <w:rFonts w:hint="eastAsia" w:ascii="宋体" w:hAnsi="宋体" w:eastAsia="宋体" w:cs="宋体"/>
          <w:b/>
          <w:bCs w:val="0"/>
          <w:color w:val="000000"/>
          <w:szCs w:val="21"/>
          <w:highlight w:val="none"/>
          <w:u w:val="singl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3.1潜在供应商访问电子招标响应交易平台的网络地址和方法：</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lang w:eastAsia="en-US"/>
        </w:rPr>
      </w:pPr>
      <w:r>
        <w:rPr>
          <w:rFonts w:hint="eastAsia" w:ascii="宋体" w:hAnsi="宋体" w:eastAsia="宋体" w:cs="宋体"/>
          <w:bCs/>
          <w:color w:val="000000"/>
          <w:szCs w:val="21"/>
          <w:highlight w:val="none"/>
          <w:lang w:eastAsia="en-US"/>
        </w:rPr>
        <w:t xml:space="preserve">3.2潜在供应商访问“苏采云”系统的网络地址和方法：“苏采云”系统的网址：http://jszfcg.jsczt.cn/。</w:t>
      </w:r>
      <w:r>
        <w:rPr>
          <w:rFonts w:hint="eastAsia" w:ascii="宋体" w:hAnsi="宋体" w:eastAsia="宋体" w:cs="宋体"/>
          <w:bCs/>
          <w:color w:val="000000"/>
          <w:szCs w:val="21"/>
          <w:highlight w:val="none"/>
          <w:lang w:eastAsia="en-US"/>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3.3“CA数字证书”的获取：</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投标供应商需办理“CA 数字证书”，CA办理指南及“苏采云”操作手册可至江苏省政府采购网―办事指南-资料下载中心下载。</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lang w:eastAsia="en-US"/>
        </w:rPr>
      </w:pPr>
      <w:r>
        <w:rPr>
          <w:rFonts w:hint="eastAsia" w:ascii="宋体" w:hAnsi="宋体" w:eastAsia="宋体" w:cs="宋体"/>
          <w:bCs/>
          <w:color w:val="000000"/>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bCs/>
          <w:color w:val="000000"/>
          <w:szCs w:val="21"/>
          <w:highlight w:val="none"/>
          <w:lang w:eastAsia="en-US"/>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3.5采购人或采购代理机构将数据电文形式的采购文件加载至“苏采云”系统，供潜在供应商下载或者查阅。</w:t>
      </w:r>
      <w:r>
        <w:rPr>
          <w:rFonts w:hint="eastAsia" w:ascii="宋体" w:hAnsi="宋体" w:eastAsia="宋体" w:cs="宋体"/>
          <w:bCs/>
          <w:color w:val="000000"/>
          <w:szCs w:val="21"/>
          <w:highlight w:val="none"/>
        </w:rPr>
      </w:r>
      <w:r/>
    </w:p>
    <w:p>
      <w:pPr>
        <w:pStyle w:val="733"/>
        <w:ind w:firstLine="562"/>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bCs/>
          <w:color w:val="000000"/>
          <w:szCs w:val="21"/>
          <w:highlight w:val="none"/>
        </w:rPr>
      </w:r>
      <w:r/>
    </w:p>
    <w:p>
      <w:pPr>
        <w:pStyle w:val="733"/>
        <w:ind w:firstLine="422"/>
        <w:jc w:val="left"/>
        <w:spacing w:line="420" w:lineRule="exact"/>
        <w:shd w:val="clear" w:color="auto" w:fill="auto"/>
        <w:widowControl/>
        <w:rPr>
          <w:rStyle w:val="1053"/>
          <w:rFonts w:hint="eastAsia" w:ascii="宋体" w:hAnsi="宋体" w:eastAsia="宋体" w:cs="宋体"/>
          <w:b/>
          <w:color w:val="000000"/>
          <w:szCs w:val="21"/>
          <w:highlight w:val="none"/>
        </w:rPr>
      </w:pPr>
      <w:r>
        <w:rPr>
          <w:rStyle w:val="1053"/>
          <w:rFonts w:hint="eastAsia" w:ascii="宋体" w:hAnsi="宋体" w:eastAsia="宋体" w:cs="宋体"/>
          <w:b/>
          <w:color w:val="000000"/>
          <w:szCs w:val="21"/>
          <w:highlight w:val="none"/>
        </w:rPr>
        <w:t xml:space="preserve">注：如潜在供应商未按上述要求操作，将自行承担所产生的风险。</w:t>
      </w:r>
      <w:r>
        <w:rPr>
          <w:rStyle w:val="1053"/>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.项目演示、样品、答辩等：</w:t>
      </w:r>
      <w:r>
        <w:rPr>
          <w:rFonts w:hint="eastAsia" w:ascii="宋体" w:hAnsi="宋体" w:eastAsia="宋体" w:cs="宋体"/>
          <w:b/>
          <w:bCs/>
          <w:color w:val="000000"/>
          <w:szCs w:val="21"/>
          <w:highlight w:val="none"/>
          <w:lang w:val="en-US" w:eastAsia="zh-CN"/>
        </w:rPr>
        <w:t xml:space="preserve">无。</w:t>
      </w:r>
      <w:r>
        <w:rPr>
          <w:rFonts w:hint="eastAsia" w:ascii="宋体" w:hAnsi="宋体" w:eastAsia="宋体" w:cs="宋体"/>
          <w:b/>
          <w:bCs/>
          <w:color w:val="000000"/>
          <w:szCs w:val="21"/>
          <w:highlight w:val="none"/>
          <w:lang w:val="en-US" w:eastAsia="zh-CN"/>
        </w:rPr>
      </w:r>
      <w:r/>
    </w:p>
    <w:p>
      <w:pPr>
        <w:pStyle w:val="733"/>
        <w:ind w:firstLine="560"/>
        <w:spacing w:line="480" w:lineRule="exact"/>
        <w:shd w:val="clear" w:color="auto" w:fill="auto"/>
        <w:tabs>
          <w:tab w:val="left" w:pos="90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.有关本次招标的事项若存在变动或修改，均以江苏政府采购网发布的更正或补充通知为准，敬请及时关注。</w:t>
      </w:r>
      <w:r>
        <w:rPr>
          <w:rFonts w:hint="eastAsia" w:ascii="宋体" w:hAnsi="宋体" w:eastAsia="宋体" w:cs="宋体"/>
          <w:bCs/>
          <w:color w:val="000000"/>
          <w:szCs w:val="21"/>
          <w:highlight w:val="none"/>
        </w:rPr>
      </w:r>
      <w:r/>
    </w:p>
    <w:p>
      <w:pPr>
        <w:pStyle w:val="733"/>
        <w:ind w:firstLine="560"/>
        <w:spacing w:line="480" w:lineRule="exact"/>
        <w:shd w:val="clear" w:color="auto" w:fill="auto"/>
        <w:tabs>
          <w:tab w:val="left" w:pos="90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宋体" w:hAnsi="宋体" w:eastAsia="宋体" w:cs="宋体"/>
          <w:bCs/>
          <w:color w:val="000000"/>
          <w:szCs w:val="21"/>
          <w:highlight w:val="none"/>
        </w:rPr>
      </w:r>
      <w:r/>
    </w:p>
    <w:p>
      <w:pPr>
        <w:pStyle w:val="733"/>
        <w:ind w:firstLine="560"/>
        <w:spacing w:line="48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.“苏采云”系统使用相关提醒</w:t>
      </w:r>
      <w:r>
        <w:rPr>
          <w:rFonts w:hint="eastAsia" w:ascii="宋体" w:hAnsi="宋体" w:eastAsia="宋体" w:cs="宋体"/>
          <w:color w:val="000000"/>
          <w:szCs w:val="21"/>
          <w:highlight w:val="none"/>
        </w:rPr>
      </w:r>
      <w:r/>
    </w:p>
    <w:p>
      <w:pPr>
        <w:pStyle w:val="733"/>
        <w:ind w:firstLine="560"/>
        <w:spacing w:line="480" w:lineRule="exact"/>
        <w:shd w:val="clear" w:color="auto" w:fill="auto"/>
        <w:tabs>
          <w:tab w:val="left" w:pos="900"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bCs/>
          <w:color w:val="000000"/>
          <w:szCs w:val="21"/>
          <w:highlight w:val="none"/>
        </w:rPr>
        <w:t xml:space="preserve">根据省财政厅《关于更换全省政府采购交易系统C A数字证书和电子签章的通知》（苏财购〔2023〕101号），</w:t>
      </w:r>
      <w:r>
        <w:rPr>
          <w:rFonts w:hint="eastAsia" w:ascii="宋体" w:hAnsi="宋体" w:eastAsia="宋体" w:cs="宋体"/>
          <w:color w:val="000000"/>
          <w:szCs w:val="21"/>
          <w:highlight w:val="none"/>
        </w:rPr>
        <w:t xml:space="preserve">“苏采云”政府采购交易系统（以下简称苏采云系统）</w:t>
      </w:r>
      <w:r>
        <w:rPr>
          <w:rFonts w:hint="eastAsia" w:ascii="宋体" w:hAnsi="宋体" w:eastAsia="宋体" w:cs="宋体"/>
          <w:bCs/>
          <w:color w:val="000000"/>
          <w:szCs w:val="21"/>
          <w:highlight w:val="none"/>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Cs w:val="21"/>
          <w:highlight w:val="none"/>
        </w:rPr>
      </w:r>
      <w:r/>
    </w:p>
    <w:p>
      <w:pPr>
        <w:pStyle w:val="733"/>
        <w:ind w:firstLine="560"/>
        <w:spacing w:after="120" w:line="48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宋体"/>
          <w:color w:val="000000"/>
          <w:szCs w:val="21"/>
          <w:highlight w:val="none"/>
        </w:rPr>
      </w:r>
      <w:r/>
    </w:p>
    <w:p>
      <w:pPr>
        <w:pStyle w:val="733"/>
        <w:ind w:right="120" w:firstLine="562"/>
        <w:spacing w:after="120" w:line="48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rPr>
        <w:t xml:space="preserve">.3</w:t>
      </w:r>
      <w:r>
        <w:rPr>
          <w:rFonts w:hint="eastAsia" w:ascii="宋体" w:hAnsi="宋体" w:eastAsia="宋体" w:cs="宋体"/>
          <w:color w:val="000000"/>
          <w:szCs w:val="21"/>
          <w:highlight w:val="none"/>
        </w:rPr>
        <w:t xml:space="preserve">开标当天投标供应商应及时登录“苏采云”不见面开标大厅，并在规定时间内自行实施远程解密。</w:t>
      </w:r>
      <w:r>
        <w:rPr>
          <w:rFonts w:hint="eastAsia" w:ascii="宋体" w:hAnsi="宋体" w:eastAsia="宋体" w:cs="宋体"/>
          <w:b/>
          <w:color w:val="000000"/>
          <w:szCs w:val="21"/>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Cs w:val="21"/>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
          <w:color w:val="000000"/>
          <w:szCs w:val="21"/>
          <w:highlight w:val="none"/>
        </w:rPr>
      </w:r>
      <w:r/>
    </w:p>
    <w:p>
      <w:pPr>
        <w:pStyle w:val="733"/>
        <w:ind w:firstLine="56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七、对本次招标提出询问，请按以下方式联系。</w:t>
      </w:r>
      <w:r>
        <w:rPr>
          <w:rFonts w:hint="eastAsia" w:ascii="宋体" w:hAnsi="宋体" w:eastAsia="宋体" w:cs="宋体"/>
          <w:b/>
          <w:color w:val="000000"/>
          <w:szCs w:val="21"/>
          <w:highlight w:val="none"/>
        </w:rPr>
      </w:r>
      <w:r/>
    </w:p>
    <w:p>
      <w:pPr>
        <w:pStyle w:val="733"/>
        <w:ind w:firstLine="63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733"/>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名  称：南通市大数据管理中心；</w:t>
      </w:r>
      <w:r>
        <w:rPr>
          <w:rFonts w:hint="eastAsia" w:ascii="宋体" w:hAnsi="宋体" w:eastAsia="宋体" w:cs="宋体"/>
          <w:color w:val="000000"/>
          <w:szCs w:val="21"/>
          <w:highlight w:val="none"/>
          <w:lang w:eastAsia="zh-CN"/>
        </w:rPr>
      </w:r>
      <w:r/>
    </w:p>
    <w:p>
      <w:pPr>
        <w:pStyle w:val="733"/>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地  址：南通市崇川区世纪大道6号；</w:t>
      </w:r>
      <w:r>
        <w:rPr>
          <w:rFonts w:hint="eastAsia" w:ascii="宋体" w:hAnsi="宋体" w:eastAsia="宋体" w:cs="宋体"/>
          <w:color w:val="000000"/>
          <w:szCs w:val="21"/>
          <w:highlight w:val="none"/>
          <w:lang w:eastAsia="zh-CN"/>
        </w:rPr>
      </w:r>
      <w:r/>
    </w:p>
    <w:p>
      <w:pPr>
        <w:pStyle w:val="733"/>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联系人：袁先生；     </w:t>
      </w:r>
      <w:r>
        <w:rPr>
          <w:rFonts w:hint="eastAsia" w:ascii="宋体" w:hAnsi="宋体" w:eastAsia="宋体" w:cs="宋体"/>
          <w:color w:val="000000"/>
          <w:szCs w:val="21"/>
          <w:highlight w:val="none"/>
          <w:lang w:eastAsia="zh-CN"/>
        </w:rPr>
      </w:r>
      <w:r/>
    </w:p>
    <w:p>
      <w:pPr>
        <w:pStyle w:val="733"/>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联系电话：0513-85216779； </w:t>
      </w:r>
      <w:r>
        <w:rPr>
          <w:rFonts w:hint="eastAsia" w:ascii="宋体" w:hAnsi="宋体" w:eastAsia="宋体" w:cs="宋体"/>
          <w:color w:val="000000"/>
          <w:szCs w:val="21"/>
          <w:highlight w:val="none"/>
          <w:lang w:eastAsia="zh-CN"/>
        </w:rPr>
      </w:r>
      <w:r/>
    </w:p>
    <w:p>
      <w:pPr>
        <w:pStyle w:val="733"/>
        <w:ind w:firstLine="63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.采购代理机构信息：</w:t>
      </w:r>
      <w:r>
        <w:rPr>
          <w:rFonts w:hint="eastAsia" w:ascii="宋体" w:hAnsi="宋体" w:eastAsia="宋体" w:cs="宋体"/>
          <w:color w:val="000000"/>
          <w:szCs w:val="21"/>
          <w:highlight w:val="none"/>
        </w:rPr>
      </w:r>
      <w:r/>
    </w:p>
    <w:p>
      <w:pPr>
        <w:pStyle w:val="733"/>
        <w:ind w:firstLine="63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bookmarkStart w:id="10" w:name="OLE_LINK16"/>
      <w:r>
        <w:rPr>
          <w:rFonts w:hint="eastAsia" w:ascii="宋体" w:hAnsi="宋体" w:eastAsia="宋体" w:cs="宋体"/>
          <w:color w:val="000000"/>
          <w:szCs w:val="21"/>
          <w:highlight w:val="none"/>
        </w:rPr>
        <w:t xml:space="preserve">江苏正扬招标代理有限公司</w:t>
      </w:r>
      <w:bookmarkEnd w:id="10"/>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63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地址：南通市崇川区青年中路153号4号楼213室；</w:t>
      </w:r>
      <w:r>
        <w:rPr>
          <w:rFonts w:hint="eastAsia" w:ascii="宋体" w:hAnsi="宋体" w:eastAsia="宋体" w:cs="宋体"/>
          <w:color w:val="000000"/>
          <w:szCs w:val="21"/>
          <w:highlight w:val="none"/>
        </w:rPr>
      </w:r>
      <w:r/>
    </w:p>
    <w:p>
      <w:pPr>
        <w:pStyle w:val="733"/>
        <w:ind w:firstLine="63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联系人：李艳梅；     </w:t>
      </w:r>
      <w:r>
        <w:rPr>
          <w:rFonts w:hint="eastAsia" w:ascii="宋体" w:hAnsi="宋体" w:eastAsia="宋体" w:cs="宋体"/>
          <w:color w:val="000000"/>
          <w:szCs w:val="21"/>
          <w:highlight w:val="none"/>
        </w:rPr>
      </w:r>
      <w:r/>
    </w:p>
    <w:p>
      <w:pPr>
        <w:pStyle w:val="733"/>
        <w:ind w:firstLine="63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联系电话：0513-85991998。</w:t>
      </w:r>
      <w:r>
        <w:rPr>
          <w:rFonts w:hint="eastAsia" w:ascii="宋体" w:hAnsi="宋体" w:eastAsia="宋体" w:cs="宋体"/>
          <w:color w:val="000000"/>
          <w:szCs w:val="21"/>
          <w:highlight w:val="none"/>
        </w:rPr>
      </w:r>
      <w:r/>
    </w:p>
    <w:p>
      <w:pPr>
        <w:pStyle w:val="733"/>
        <w:ind w:firstLine="63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.软件技术支持：0519-86722801。</w:t>
      </w:r>
      <w:r>
        <w:rPr>
          <w:rFonts w:hint="eastAsia" w:ascii="宋体" w:hAnsi="宋体" w:eastAsia="宋体" w:cs="宋体"/>
          <w:color w:val="000000"/>
          <w:szCs w:val="21"/>
          <w:highlight w:val="none"/>
        </w:rPr>
      </w:r>
      <w:r/>
    </w:p>
    <w:p>
      <w:pPr>
        <w:pStyle w:val="733"/>
        <w:ind w:firstLine="63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w:t>
      </w:r>
      <w:r>
        <w:rPr>
          <w:rFonts w:hint="eastAsia" w:ascii="宋体" w:hAnsi="宋体" w:eastAsia="宋体" w:cs="宋体"/>
          <w:b/>
          <w:color w:val="000000"/>
          <w:szCs w:val="21"/>
          <w:highlight w:val="none"/>
        </w:rPr>
      </w:r>
      <w:r/>
    </w:p>
    <w:p>
      <w:pPr>
        <w:pStyle w:val="733"/>
        <w:ind w:firstLine="63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733"/>
        <w:ind w:firstLine="632"/>
        <w:spacing w:line="500" w:lineRule="exact"/>
        <w:shd w:val="clear" w:color="auto" w:fill="auto"/>
        <w:rPr>
          <w:rFonts w:hint="eastAsia" w:ascii="宋体" w:hAnsi="宋体" w:eastAsia="宋体" w:cs="宋体"/>
          <w:b/>
          <w:color w:val="000000"/>
          <w:szCs w:val="21"/>
          <w:highlight w:val="none"/>
        </w:rPr>
      </w:pPr>
      <w:r/>
      <w:bookmarkEnd w:id="4"/>
      <w:r>
        <w:rPr>
          <w:rFonts w:hint="eastAsia" w:ascii="宋体" w:hAnsi="宋体" w:eastAsia="宋体" w:cs="宋体"/>
          <w:b/>
          <w:color w:val="000000"/>
          <w:szCs w:val="21"/>
          <w:highlight w:val="none"/>
        </w:rPr>
        <w:t xml:space="preserve">2.采购人信用承诺书</w:t>
      </w:r>
      <w:r>
        <w:rPr>
          <w:rFonts w:hint="eastAsia" w:ascii="宋体" w:hAnsi="宋体" w:eastAsia="宋体" w:cs="宋体"/>
          <w:b/>
          <w:color w:val="000000"/>
          <w:szCs w:val="21"/>
          <w:highlight w:val="none"/>
        </w:rPr>
      </w:r>
      <w:r/>
    </w:p>
    <w:p>
      <w:pPr>
        <w:pStyle w:val="733"/>
        <w:ind w:firstLine="63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3.公平竞争审查</w:t>
      </w:r>
      <w:r>
        <w:rPr>
          <w:rFonts w:hint="eastAsia" w:ascii="宋体" w:hAnsi="宋体" w:eastAsia="宋体" w:cs="宋体"/>
          <w:b/>
          <w:color w:val="000000"/>
          <w:szCs w:val="21"/>
          <w:highlight w:val="none"/>
        </w:rPr>
      </w:r>
      <w:r/>
    </w:p>
    <w:p>
      <w:pPr>
        <w:pStyle w:val="733"/>
        <w:ind w:firstLine="63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4.“苏采云”系统供应商操作手册</w:t>
      </w:r>
      <w:r>
        <w:rPr>
          <w:rFonts w:hint="eastAsia" w:ascii="宋体" w:hAnsi="宋体" w:eastAsia="宋体" w:cs="宋体"/>
          <w:b/>
          <w:color w:val="000000"/>
          <w:szCs w:val="21"/>
          <w:highlight w:val="none"/>
        </w:rPr>
      </w:r>
      <w:r/>
    </w:p>
    <w:p>
      <w:pPr>
        <w:pStyle w:val="733"/>
        <w:ind w:firstLine="632"/>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5.政采贷和履约保证保险告知函</w:t>
      </w:r>
      <w:r>
        <w:rPr>
          <w:rFonts w:hint="eastAsia" w:ascii="宋体" w:hAnsi="宋体" w:eastAsia="宋体" w:cs="宋体"/>
          <w:b/>
          <w:color w:val="000000"/>
          <w:szCs w:val="21"/>
          <w:highlight w:val="none"/>
        </w:rPr>
      </w:r>
      <w:r/>
    </w:p>
    <w:p>
      <w:pPr>
        <w:pStyle w:val="733"/>
        <w:shd w:val="clear" w:color="auto" w:fill="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r>
      <w:r/>
    </w:p>
    <w:p>
      <w:pPr>
        <w:pStyle w:val="733"/>
        <w:jc w:val="center"/>
        <w:spacing w:line="500" w:lineRule="exact"/>
        <w:shd w:val="clear" w:color="auto" w:fill="auto"/>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736"/>
        <w:spacing w:before="0" w:after="0" w:line="500" w:lineRule="exact"/>
        <w:shd w:val="clear" w:color="auto" w:fill="auto"/>
        <w:rPr>
          <w:rFonts w:hint="eastAsia" w:ascii="宋体" w:hAnsi="宋体" w:eastAsia="宋体" w:cs="宋体"/>
          <w:color w:val="000000"/>
          <w:sz w:val="21"/>
          <w:szCs w:val="21"/>
          <w:highlight w:val="none"/>
        </w:rPr>
      </w:pPr>
      <w:r/>
      <w:bookmarkStart w:id="11" w:name="_Toc120614214"/>
      <w:r/>
      <w:bookmarkStart w:id="12" w:name="_Toc20823275"/>
      <w:r/>
      <w:bookmarkStart w:id="13" w:name="_Toc16938519"/>
      <w:r/>
      <w:bookmarkStart w:id="14" w:name="_Toc513029203"/>
      <w:r>
        <w:rPr>
          <w:rFonts w:hint="eastAsia" w:ascii="宋体" w:hAnsi="宋体" w:eastAsia="宋体" w:cs="宋体"/>
          <w:color w:val="000000"/>
          <w:sz w:val="21"/>
          <w:szCs w:val="21"/>
          <w:highlight w:val="none"/>
        </w:rPr>
        <w:t xml:space="preserve">（一）总则</w:t>
      </w:r>
      <w:bookmarkEnd w:id="11"/>
      <w:r/>
      <w:bookmarkEnd w:id="12"/>
      <w:r/>
      <w:bookmarkEnd w:id="13"/>
      <w:r/>
      <w:bookmarkEnd w:id="14"/>
      <w:r>
        <w:rPr>
          <w:rFonts w:hint="eastAsia" w:ascii="宋体" w:hAnsi="宋体" w:eastAsia="宋体" w:cs="宋体"/>
          <w:color w:val="000000"/>
          <w:sz w:val="21"/>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15" w:name="_Hlt16619475"/>
      <w:r/>
      <w:bookmarkEnd w:id="15"/>
      <w:r/>
      <w:bookmarkStart w:id="16" w:name="_Toc458694821"/>
      <w:r/>
      <w:bookmarkStart w:id="17" w:name="_Toc16938520"/>
      <w:r/>
      <w:bookmarkStart w:id="18" w:name="_Toc513029204"/>
      <w:r/>
      <w:bookmarkStart w:id="19" w:name="_Toc20823276"/>
      <w:r>
        <w:rPr>
          <w:rFonts w:hint="eastAsia" w:ascii="宋体" w:hAnsi="宋体" w:eastAsia="宋体" w:cs="宋体"/>
          <w:color w:val="000000"/>
          <w:sz w:val="21"/>
          <w:highlight w:val="none"/>
        </w:rPr>
        <w:t xml:space="preserve">1</w:t>
      </w:r>
      <w:bookmarkEnd w:id="16"/>
      <w:r>
        <w:rPr>
          <w:rFonts w:hint="eastAsia" w:ascii="宋体" w:hAnsi="宋体" w:eastAsia="宋体" w:cs="宋体"/>
          <w:color w:val="000000"/>
          <w:sz w:val="21"/>
          <w:highlight w:val="none"/>
        </w:rPr>
        <w:t xml:space="preserve">.招标方式</w:t>
      </w:r>
      <w:bookmarkEnd w:id="17"/>
      <w:r/>
      <w:bookmarkEnd w:id="18"/>
      <w:r/>
      <w:bookmarkEnd w:id="19"/>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本次招标采取公开招标方式，本招标文件仅适用于招标公告中所述项目。</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20" w:name="_Toc16938521"/>
      <w:r/>
      <w:bookmarkStart w:id="21" w:name="_Toc513029205"/>
      <w:r/>
      <w:bookmarkStart w:id="22" w:name="_Toc20823277"/>
      <w:r>
        <w:rPr>
          <w:rFonts w:hint="eastAsia" w:ascii="宋体" w:hAnsi="宋体" w:eastAsia="宋体" w:cs="宋体"/>
          <w:color w:val="000000"/>
          <w:sz w:val="21"/>
          <w:highlight w:val="none"/>
        </w:rPr>
        <w:t xml:space="preserve">2.合格的</w:t>
      </w:r>
      <w:bookmarkEnd w:id="20"/>
      <w:r/>
      <w:bookmarkEnd w:id="21"/>
      <w:r/>
      <w:bookmarkEnd w:id="22"/>
      <w:r>
        <w:rPr>
          <w:rFonts w:hint="eastAsia" w:ascii="宋体" w:hAnsi="宋体" w:eastAsia="宋体" w:cs="宋体"/>
          <w:color w:val="000000"/>
          <w:sz w:val="21"/>
          <w:highlight w:val="none"/>
        </w:rPr>
        <w:t xml:space="preserve">投标供应商</w:t>
      </w:r>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2.1满足招标公告中供应商的资格要求的规定。</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满足本文件实质性条款的规定。</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23" w:name="_Toc513029206"/>
      <w:r/>
      <w:bookmarkStart w:id="24" w:name="_Toc16938522"/>
      <w:r/>
      <w:bookmarkStart w:id="25" w:name="_Toc20823278"/>
      <w:r>
        <w:rPr>
          <w:rFonts w:hint="eastAsia" w:ascii="宋体" w:hAnsi="宋体" w:eastAsia="宋体" w:cs="宋体"/>
          <w:color w:val="000000"/>
          <w:sz w:val="21"/>
          <w:highlight w:val="none"/>
        </w:rPr>
        <w:t xml:space="preserve">3.适用法律</w:t>
      </w:r>
      <w:bookmarkEnd w:id="23"/>
      <w:r/>
      <w:bookmarkEnd w:id="24"/>
      <w:r/>
      <w:bookmarkEnd w:id="25"/>
      <w:r>
        <w:rPr>
          <w:rFonts w:hint="eastAsia" w:ascii="宋体" w:hAnsi="宋体" w:eastAsia="宋体" w:cs="宋体"/>
          <w:b/>
          <w:bCs/>
          <w:color w:val="000000"/>
          <w:sz w:val="21"/>
          <w:highlight w:val="none"/>
        </w:rPr>
      </w:r>
      <w:r/>
    </w:p>
    <w:p>
      <w:pPr>
        <w:pStyle w:val="733"/>
        <w:ind w:firstLine="49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本次招标及由此产生的合同受中华人民共和国有关的法律法规制约和保护。</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26" w:name="_Toc16938523"/>
      <w:r/>
      <w:bookmarkStart w:id="27" w:name="_Toc513029207"/>
      <w:r/>
      <w:bookmarkStart w:id="28" w:name="_Toc20823279"/>
      <w:r/>
      <w:bookmarkStart w:id="29" w:name="_Toc462564067"/>
      <w:r>
        <w:rPr>
          <w:rFonts w:hint="eastAsia" w:ascii="宋体" w:hAnsi="宋体" w:eastAsia="宋体" w:cs="宋体"/>
          <w:color w:val="000000"/>
          <w:sz w:val="21"/>
          <w:highlight w:val="none"/>
        </w:rPr>
        <w:t xml:space="preserve">4.投标费用</w:t>
      </w:r>
      <w:bookmarkEnd w:id="26"/>
      <w:r/>
      <w:bookmarkEnd w:id="27"/>
      <w:r/>
      <w:bookmarkEnd w:id="28"/>
      <w:r/>
      <w:bookmarkEnd w:id="29"/>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 投标供应商应自行承担所有与参加投标有关的费用，无论招标过程中的做法和结果如何，采购人在任何情况下均无义务和责任承担这些费用。</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4.2本项目招标代理服务费由中标人支付。招标代理服务费采用分档累计费率，中标金额100万元以下的部分费率1.</w:t>
      </w:r>
      <w:r>
        <w:rPr>
          <w:rFonts w:hint="eastAsia" w:ascii="宋体" w:hAnsi="宋体" w:eastAsia="宋体" w:cs="宋体"/>
          <w:bCs/>
          <w:color w:val="000000"/>
          <w:szCs w:val="21"/>
          <w:highlight w:val="none"/>
          <w:lang w:val="en-US" w:eastAsia="zh-CN"/>
        </w:rPr>
        <w:t xml:space="preserve">0</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%，100万元</w:t>
      </w:r>
      <w:r>
        <w:rPr>
          <w:rFonts w:hint="eastAsia" w:ascii="宋体" w:hAnsi="宋体" w:eastAsia="宋体" w:cs="宋体"/>
          <w:bCs/>
          <w:color w:val="000000"/>
          <w:szCs w:val="21"/>
          <w:highlight w:val="none"/>
          <w:lang w:val="en-US" w:eastAsia="zh-CN"/>
        </w:rPr>
        <w:t xml:space="preserve">以上</w:t>
      </w:r>
      <w:r>
        <w:rPr>
          <w:rFonts w:hint="eastAsia" w:ascii="宋体" w:hAnsi="宋体" w:eastAsia="宋体" w:cs="宋体"/>
          <w:bCs/>
          <w:color w:val="000000"/>
          <w:szCs w:val="21"/>
          <w:highlight w:val="none"/>
        </w:rPr>
        <w:t xml:space="preserve">的部分费率0.</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5.招标文件的约束力</w:t>
      </w:r>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5.1</w:t>
      </w:r>
      <w:r>
        <w:rPr>
          <w:rFonts w:hint="eastAsia" w:ascii="宋体" w:hAnsi="宋体" w:eastAsia="宋体" w:cs="宋体"/>
          <w:color w:val="000000"/>
          <w:szCs w:val="21"/>
          <w:highlight w:val="none"/>
        </w:rPr>
        <w:t xml:space="preserve">投标供应商一旦参加本项目采购活动，即被认为接受了本招标文件的规定和约束。</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6.招标文件的解释</w:t>
      </w:r>
      <w:r>
        <w:rPr>
          <w:rFonts w:hint="eastAsia" w:ascii="宋体" w:hAnsi="宋体" w:eastAsia="宋体" w:cs="宋体"/>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6.1</w:t>
      </w:r>
      <w:r>
        <w:rPr>
          <w:rFonts w:hint="eastAsia" w:ascii="宋体" w:hAnsi="宋体" w:eastAsia="宋体" w:cs="宋体"/>
          <w:color w:val="000000"/>
          <w:szCs w:val="21"/>
          <w:highlight w:val="none"/>
        </w:rPr>
        <w:t xml:space="preserve">招标文件需求部分（供应商资格要求、项目需求、商务技术评分标准）由采购人解释，其它部分由采购代理机构解释。</w:t>
      </w:r>
      <w:r>
        <w:rPr>
          <w:rFonts w:hint="eastAsia" w:ascii="宋体" w:hAnsi="宋体" w:eastAsia="宋体" w:cs="宋体"/>
          <w:color w:val="000000"/>
          <w:szCs w:val="21"/>
          <w:highlight w:val="none"/>
        </w:rPr>
      </w:r>
      <w:r/>
    </w:p>
    <w:p>
      <w:pPr>
        <w:pStyle w:val="736"/>
        <w:spacing w:before="0" w:after="0" w:line="500" w:lineRule="exact"/>
        <w:shd w:val="clear" w:color="auto" w:fill="auto"/>
        <w:rPr>
          <w:rFonts w:hint="eastAsia" w:ascii="宋体" w:hAnsi="宋体" w:eastAsia="宋体" w:cs="宋体"/>
          <w:color w:val="000000"/>
          <w:sz w:val="21"/>
          <w:szCs w:val="21"/>
          <w:highlight w:val="none"/>
        </w:rPr>
      </w:pPr>
      <w:r/>
      <w:bookmarkStart w:id="30" w:name="_Toc513029209"/>
      <w:r/>
      <w:bookmarkStart w:id="31" w:name="_Toc120614215"/>
      <w:r/>
      <w:bookmarkStart w:id="32" w:name="_Toc20823281"/>
      <w:r/>
      <w:bookmarkStart w:id="33" w:name="_Toc16938525"/>
      <w:r>
        <w:rPr>
          <w:rFonts w:hint="eastAsia" w:ascii="宋体" w:hAnsi="宋体" w:eastAsia="宋体" w:cs="宋体"/>
          <w:color w:val="000000"/>
          <w:sz w:val="21"/>
          <w:szCs w:val="21"/>
          <w:highlight w:val="none"/>
        </w:rPr>
        <w:t xml:space="preserve">（二）招标文件</w:t>
      </w:r>
      <w:bookmarkEnd w:id="30"/>
      <w:r/>
      <w:bookmarkEnd w:id="31"/>
      <w:r/>
      <w:bookmarkEnd w:id="32"/>
      <w:r/>
      <w:bookmarkEnd w:id="33"/>
      <w:r>
        <w:rPr>
          <w:rFonts w:hint="eastAsia" w:ascii="宋体" w:hAnsi="宋体" w:eastAsia="宋体" w:cs="宋体"/>
          <w:color w:val="000000"/>
          <w:sz w:val="21"/>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34" w:name="_Toc16938526"/>
      <w:r/>
      <w:bookmarkStart w:id="35" w:name="_Toc513029210"/>
      <w:r/>
      <w:bookmarkStart w:id="36" w:name="_Toc20823282"/>
      <w:r>
        <w:rPr>
          <w:rFonts w:hint="eastAsia" w:ascii="宋体" w:hAnsi="宋体" w:eastAsia="宋体" w:cs="宋体"/>
          <w:color w:val="000000"/>
          <w:sz w:val="21"/>
          <w:highlight w:val="none"/>
        </w:rPr>
        <w:t xml:space="preserve">1.招标文件构成</w:t>
      </w:r>
      <w:bookmarkEnd w:id="34"/>
      <w:r/>
      <w:bookmarkEnd w:id="35"/>
      <w:r/>
      <w:bookmarkEnd w:id="36"/>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1.1</w:t>
      </w:r>
      <w:r>
        <w:rPr>
          <w:rFonts w:hint="eastAsia" w:ascii="宋体" w:hAnsi="宋体" w:eastAsia="宋体" w:cs="宋体"/>
          <w:color w:val="000000"/>
          <w:szCs w:val="21"/>
          <w:highlight w:val="none"/>
        </w:rPr>
        <w:t xml:space="preserve"> 招标文件由以下部分组成：</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（1）投标邀请</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（2）投标须知</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（3）项目需求</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（4）评标方法与评标标准</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（5）合同格式</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（6）投标文件组成</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（7）附件（如有）</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请仔细检查招标文件是否齐全，如有缺漏请立即与采购人或采购代理机构联系解决。</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1.2</w:t>
      </w:r>
      <w:r>
        <w:rPr>
          <w:rFonts w:hint="eastAsia" w:ascii="宋体" w:hAnsi="宋体" w:eastAsia="宋体" w:cs="宋体"/>
          <w:color w:val="000000"/>
          <w:szCs w:val="21"/>
          <w:highlight w:val="none"/>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37" w:name="_Toc20823283"/>
      <w:r/>
      <w:bookmarkStart w:id="38" w:name="_Toc16938527"/>
      <w:r/>
      <w:bookmarkStart w:id="39" w:name="_Toc462564070"/>
      <w:r/>
      <w:bookmarkStart w:id="40" w:name="_Toc513029211"/>
      <w:r>
        <w:rPr>
          <w:rFonts w:hint="eastAsia" w:ascii="宋体" w:hAnsi="宋体" w:eastAsia="宋体" w:cs="宋体"/>
          <w:color w:val="000000"/>
          <w:sz w:val="21"/>
          <w:highlight w:val="none"/>
        </w:rPr>
        <w:t xml:space="preserve">2.招标文件的澄清</w:t>
      </w:r>
      <w:bookmarkEnd w:id="37"/>
      <w:r/>
      <w:bookmarkEnd w:id="38"/>
      <w:r/>
      <w:bookmarkEnd w:id="39"/>
      <w:r/>
      <w:bookmarkEnd w:id="40"/>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2.1</w:t>
      </w:r>
      <w:r>
        <w:rPr>
          <w:rFonts w:hint="eastAsia" w:ascii="宋体" w:hAnsi="宋体" w:eastAsia="宋体" w:cs="宋体"/>
          <w:color w:val="000000"/>
          <w:szCs w:val="21"/>
          <w:highlight w:val="none"/>
        </w:rPr>
        <w:t xml:space="preserve"> 任何要求对招标文件进行澄清的投标供应商，应在投标截止期十日前按招标公告中的通讯地址，以书面形式通知采购人。采购人有权对发出的招标文件进行必要的澄清或修改</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2.2采购人视情组织答疑会</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41" w:name="_Toc462564071"/>
      <w:r/>
      <w:bookmarkStart w:id="42" w:name="_Toc20823284"/>
      <w:r/>
      <w:bookmarkStart w:id="43" w:name="_Toc16938528"/>
      <w:r/>
      <w:bookmarkStart w:id="44" w:name="_Toc513029212"/>
      <w:r>
        <w:rPr>
          <w:rFonts w:hint="eastAsia" w:ascii="宋体" w:hAnsi="宋体" w:eastAsia="宋体" w:cs="宋体"/>
          <w:color w:val="000000"/>
          <w:sz w:val="21"/>
          <w:highlight w:val="none"/>
        </w:rPr>
        <w:t xml:space="preserve">3.招标文件的修改</w:t>
      </w:r>
      <w:bookmarkEnd w:id="41"/>
      <w:r/>
      <w:bookmarkEnd w:id="42"/>
      <w:r/>
      <w:bookmarkEnd w:id="43"/>
      <w:r/>
      <w:bookmarkEnd w:id="44"/>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3.1</w:t>
      </w:r>
      <w:r>
        <w:rPr>
          <w:rFonts w:hint="eastAsia" w:ascii="宋体" w:hAnsi="宋体" w:eastAsia="宋体" w:cs="宋体"/>
          <w:color w:val="000000"/>
          <w:szCs w:val="21"/>
          <w:highlight w:val="none"/>
        </w:rPr>
        <w:t xml:space="preserve"> 在投标截止时间前，采购人或采购代理机构可以对招标文件进行修改。</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3.2 </w:t>
      </w:r>
      <w:r>
        <w:rPr>
          <w:rFonts w:hint="eastAsia" w:ascii="宋体" w:hAnsi="宋体" w:eastAsia="宋体" w:cs="宋体"/>
          <w:color w:val="000000"/>
          <w:szCs w:val="21"/>
          <w:highlight w:val="none"/>
        </w:rPr>
        <w:t xml:space="preserve">采购人或采购代理机构有权按照法定的要求推迟投标截止日期和开标日期。</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3.3 </w:t>
      </w:r>
      <w:r>
        <w:rPr>
          <w:rFonts w:hint="eastAsia" w:ascii="宋体" w:hAnsi="宋体" w:eastAsia="宋体" w:cs="宋体"/>
          <w:color w:val="000000"/>
          <w:szCs w:val="21"/>
          <w:highlight w:val="none"/>
        </w:rPr>
        <w:t xml:space="preserve">招标文件的修改将在江苏政府采购网公布，补充文件将作为招标文件的组成部分，并对投标供应商具有约束力。</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在投标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hint="eastAsia" w:ascii="宋体" w:hAnsi="宋体" w:eastAsia="宋体" w:cs="宋体"/>
          <w:color w:val="000000"/>
          <w:szCs w:val="21"/>
          <w:highlight w:val="none"/>
        </w:rPr>
      </w:r>
      <w:r/>
    </w:p>
    <w:p>
      <w:pPr>
        <w:pStyle w:val="736"/>
        <w:spacing w:before="0" w:after="0" w:line="500" w:lineRule="exact"/>
        <w:shd w:val="clear" w:color="auto" w:fill="auto"/>
        <w:rPr>
          <w:rFonts w:hint="eastAsia" w:ascii="宋体" w:hAnsi="宋体" w:eastAsia="宋体" w:cs="宋体"/>
          <w:color w:val="000000"/>
          <w:sz w:val="21"/>
          <w:szCs w:val="21"/>
          <w:highlight w:val="none"/>
        </w:rPr>
      </w:pPr>
      <w:r/>
      <w:bookmarkStart w:id="45" w:name="_Toc120614216"/>
      <w:r/>
      <w:bookmarkStart w:id="46" w:name="_Toc20823285"/>
      <w:r/>
      <w:bookmarkStart w:id="47" w:name="_Toc462564072"/>
      <w:r/>
      <w:bookmarkStart w:id="48" w:name="_Toc513029213"/>
      <w:r/>
      <w:bookmarkStart w:id="49" w:name="_Toc16938529"/>
      <w:r>
        <w:rPr>
          <w:rFonts w:hint="eastAsia" w:ascii="宋体" w:hAnsi="宋体" w:eastAsia="宋体" w:cs="宋体"/>
          <w:color w:val="000000"/>
          <w:sz w:val="21"/>
          <w:szCs w:val="21"/>
          <w:highlight w:val="none"/>
        </w:rPr>
        <w:t xml:space="preserve">（三）投标文件的编制</w:t>
      </w:r>
      <w:bookmarkEnd w:id="45"/>
      <w:r/>
      <w:bookmarkEnd w:id="46"/>
      <w:r/>
      <w:bookmarkEnd w:id="47"/>
      <w:r/>
      <w:bookmarkEnd w:id="48"/>
      <w:r/>
      <w:bookmarkEnd w:id="49"/>
      <w:r>
        <w:rPr>
          <w:rFonts w:hint="eastAsia" w:ascii="宋体" w:hAnsi="宋体" w:eastAsia="宋体" w:cs="宋体"/>
          <w:color w:val="000000"/>
          <w:sz w:val="21"/>
          <w:szCs w:val="21"/>
          <w:highlight w:val="none"/>
        </w:rPr>
      </w:r>
      <w:r/>
    </w:p>
    <w:p>
      <w:pPr>
        <w:pStyle w:val="737"/>
        <w:jc w:val="both"/>
        <w:spacing w:line="500" w:lineRule="exact"/>
        <w:shd w:val="clear" w:color="auto" w:fill="auto"/>
        <w:rPr>
          <w:rFonts w:hint="eastAsia" w:ascii="宋体" w:hAnsi="宋体" w:eastAsia="宋体" w:cs="宋体"/>
          <w:bCs/>
          <w:color w:val="000000"/>
          <w:sz w:val="21"/>
          <w:highlight w:val="none"/>
        </w:rPr>
      </w:pPr>
      <w:r/>
      <w:bookmarkStart w:id="50" w:name="_Toc16938530"/>
      <w:r/>
      <w:bookmarkStart w:id="51" w:name="_Toc513029214"/>
      <w:r/>
      <w:bookmarkStart w:id="52" w:name="_Toc20823286"/>
      <w:r/>
      <w:bookmarkStart w:id="53" w:name="_Toc462564073"/>
      <w:r>
        <w:rPr>
          <w:rFonts w:hint="eastAsia" w:ascii="宋体" w:hAnsi="宋体" w:eastAsia="宋体" w:cs="宋体"/>
          <w:color w:val="000000"/>
          <w:sz w:val="21"/>
          <w:highlight w:val="none"/>
        </w:rPr>
        <w:t xml:space="preserve">1.投标文件的语言及度量衡单位</w:t>
      </w:r>
      <w:bookmarkEnd w:id="50"/>
      <w:r/>
      <w:bookmarkEnd w:id="51"/>
      <w:r/>
      <w:bookmarkEnd w:id="52"/>
      <w:r/>
      <w:bookmarkEnd w:id="53"/>
      <w:r>
        <w:rPr>
          <w:rFonts w:hint="eastAsia" w:ascii="宋体" w:hAnsi="宋体" w:eastAsia="宋体" w:cs="宋体"/>
          <w:bCs/>
          <w:color w:val="000000"/>
          <w:sz w:val="21"/>
          <w:highlight w:val="none"/>
        </w:rPr>
      </w:r>
      <w:r/>
    </w:p>
    <w:p>
      <w:pPr>
        <w:pStyle w:val="733"/>
        <w:ind w:firstLine="42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投标供应商提交的投标文件以及投标供应商与采购人或采购代理机构就有关投标的所有来往通知、函件和文件均应使用简体中文。</w:t>
      </w:r>
      <w:r>
        <w:rPr>
          <w:rFonts w:hint="eastAsia" w:ascii="宋体" w:hAnsi="宋体" w:eastAsia="宋体" w:cs="宋体"/>
          <w:bCs/>
          <w:color w:val="000000"/>
          <w:szCs w:val="21"/>
          <w:highlight w:val="none"/>
        </w:rPr>
      </w:r>
      <w:r/>
    </w:p>
    <w:p>
      <w:pPr>
        <w:pStyle w:val="733"/>
        <w:ind w:firstLine="42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 除技术性能另有规定外，投标文件所使用的度量衡单位，均须采用国家法定计量单位。</w:t>
      </w:r>
      <w:r>
        <w:rPr>
          <w:rFonts w:hint="eastAsia" w:ascii="宋体" w:hAnsi="宋体" w:eastAsia="宋体" w:cs="宋体"/>
          <w:bCs/>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54" w:name="_Toc16938531"/>
      <w:r/>
      <w:bookmarkStart w:id="55" w:name="_Toc513029215"/>
      <w:r/>
      <w:bookmarkStart w:id="56" w:name="_Toc462564074"/>
      <w:r/>
      <w:bookmarkStart w:id="57" w:name="_Toc20823287"/>
      <w:r>
        <w:rPr>
          <w:rFonts w:hint="eastAsia" w:ascii="宋体" w:hAnsi="宋体" w:eastAsia="宋体" w:cs="宋体"/>
          <w:color w:val="000000"/>
          <w:sz w:val="21"/>
          <w:highlight w:val="none"/>
        </w:rPr>
        <w:t xml:space="preserve">2.投标文件构成</w:t>
      </w:r>
      <w:bookmarkEnd w:id="54"/>
      <w:r/>
      <w:bookmarkEnd w:id="55"/>
      <w:r/>
      <w:bookmarkEnd w:id="56"/>
      <w:r/>
      <w:bookmarkEnd w:id="57"/>
      <w:r>
        <w:rPr>
          <w:rFonts w:hint="eastAsia" w:ascii="宋体" w:hAnsi="宋体" w:eastAsia="宋体" w:cs="宋体"/>
          <w:b/>
          <w:bCs/>
          <w:color w:val="000000"/>
          <w:sz w:val="21"/>
          <w:highlight w:val="none"/>
        </w:rPr>
      </w:r>
      <w:r/>
    </w:p>
    <w:p>
      <w:pPr>
        <w:pStyle w:val="733"/>
        <w:ind w:firstLine="42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 投标供应商编写的投标文件应包括基本目录及相关材料、资格条件证明材料，符合条件证明材料、综合评审评分项证明材料等。供应商按“第六部分 投标文件组成”要求编写投标文件</w:t>
      </w:r>
      <w:r>
        <w:rPr>
          <w:rFonts w:hint="eastAsia" w:ascii="宋体" w:hAnsi="宋体" w:eastAsia="宋体" w:cs="宋体"/>
          <w:bCs/>
          <w:color w:val="000000"/>
          <w:szCs w:val="21"/>
          <w:highlight w:val="none"/>
        </w:rPr>
      </w:r>
      <w:r/>
    </w:p>
    <w:p>
      <w:pPr>
        <w:pStyle w:val="733"/>
        <w:ind w:firstLine="420"/>
        <w:spacing w:line="500" w:lineRule="exact"/>
        <w:shd w:val="clear" w:color="auto" w:fill="auto"/>
        <w:rPr>
          <w:rFonts w:hint="eastAsia" w:ascii="宋体" w:hAnsi="宋体" w:eastAsia="宋体" w:cs="宋体"/>
          <w:bCs/>
          <w:color w:val="000000"/>
          <w:szCs w:val="21"/>
          <w:highlight w:val="none"/>
        </w:rPr>
      </w:pPr>
      <w:r/>
      <w:bookmarkStart w:id="58" w:name="_Hlt26668975"/>
      <w:r/>
      <w:bookmarkEnd w:id="58"/>
      <w:r/>
      <w:bookmarkStart w:id="59" w:name="_Hlt26954838"/>
      <w:r/>
      <w:bookmarkEnd w:id="59"/>
      <w:r/>
      <w:bookmarkStart w:id="60" w:name="_Hlt26670360"/>
      <w:r/>
      <w:bookmarkEnd w:id="60"/>
      <w:r/>
      <w:bookmarkStart w:id="61" w:name="_Toc14577360"/>
      <w:r/>
      <w:bookmarkStart w:id="62" w:name="_Toc49090511"/>
      <w:r>
        <w:rPr>
          <w:rFonts w:hint="eastAsia" w:ascii="宋体" w:hAnsi="宋体" w:eastAsia="宋体" w:cs="宋体"/>
          <w:bCs/>
          <w:color w:val="000000"/>
          <w:szCs w:val="21"/>
          <w:highlight w:val="none"/>
        </w:rPr>
        <w:t xml:space="preserve">2.2 如标书制作工具中格式和内容与“江苏政府采购网”发布的招标文件不一致，请以“江苏政府采购网”发布的招标文件为准。</w:t>
      </w:r>
      <w:bookmarkStart w:id="63" w:name="_Toc513029216"/>
      <w:r/>
      <w:bookmarkStart w:id="64" w:name="_Toc49090507"/>
      <w:r/>
      <w:bookmarkStart w:id="65" w:name="_Toc14577354"/>
      <w:r/>
      <w:bookmarkStart w:id="66" w:name="_Toc513029219"/>
      <w:r/>
      <w:bookmarkStart w:id="67" w:name="_Toc14577357"/>
      <w:r/>
      <w:bookmarkStart w:id="68" w:name="_Toc49090508"/>
      <w:r/>
      <w:bookmarkStart w:id="69" w:name="_Toc14577355"/>
      <w:r/>
      <w:bookmarkStart w:id="70" w:name="_Toc49090509"/>
      <w:r>
        <w:rPr>
          <w:rFonts w:hint="eastAsia" w:ascii="宋体" w:hAnsi="宋体" w:eastAsia="宋体" w:cs="宋体"/>
          <w:bCs/>
          <w:color w:val="000000"/>
          <w:szCs w:val="21"/>
          <w:highlight w:val="none"/>
        </w:rPr>
      </w:r>
      <w:r/>
    </w:p>
    <w:p>
      <w:pPr>
        <w:pStyle w:val="733"/>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3.证明投标供应商及投标标的符合招标文件规定的文件</w:t>
      </w:r>
      <w:bookmarkEnd w:id="63"/>
      <w:r/>
      <w:bookmarkEnd w:id="64"/>
      <w:r/>
      <w:bookmarkEnd w:id="65"/>
      <w:r/>
      <w:bookmarkEnd w:id="66"/>
      <w:r/>
      <w:bookmarkEnd w:id="67"/>
      <w:r/>
      <w:bookmarkEnd w:id="70"/>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3.1 投标供应商应按照招标文件要求提交证明文件，证明其及投标标的符合招标文件规定。</w:t>
      </w:r>
      <w:r>
        <w:rPr>
          <w:rFonts w:hint="eastAsia" w:ascii="宋体" w:hAnsi="宋体" w:eastAsia="宋体" w:cs="宋体"/>
          <w:bCs/>
          <w:color w:val="000000"/>
          <w:szCs w:val="21"/>
          <w:highlight w:val="none"/>
        </w:rPr>
      </w:r>
      <w:r/>
    </w:p>
    <w:p>
      <w:pPr>
        <w:pStyle w:val="733"/>
        <w:ind w:firstLine="42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3.2招标文件对证明文件无明确形式要求的，证明文件可以以文字资料、图纸和数据等形式提交。</w:t>
      </w:r>
      <w:bookmarkEnd w:id="68"/>
      <w:r/>
      <w:bookmarkEnd w:id="69"/>
      <w:r>
        <w:rPr>
          <w:rFonts w:hint="eastAsia" w:ascii="宋体" w:hAnsi="宋体" w:eastAsia="宋体" w:cs="宋体"/>
          <w:bCs/>
          <w:color w:val="000000"/>
          <w:szCs w:val="21"/>
          <w:highlight w:val="none"/>
        </w:rPr>
      </w:r>
      <w:r/>
    </w:p>
    <w:p>
      <w:pPr>
        <w:pStyle w:val="733"/>
        <w:numPr>
          <w:ilvl w:val="0"/>
          <w:numId w:val="2"/>
        </w:numPr>
        <w:spacing w:line="500" w:lineRule="exact"/>
        <w:shd w:val="clear" w:color="auto" w:fill="auto"/>
        <w:tabs>
          <w:tab w:val="left" w:pos="31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投标分项报价表</w:t>
      </w:r>
      <w:r>
        <w:rPr>
          <w:rFonts w:hint="eastAsia" w:ascii="宋体" w:hAnsi="宋体" w:eastAsia="宋体" w:cs="宋体"/>
          <w:color w:val="000000"/>
          <w:szCs w:val="21"/>
          <w:highlight w:val="none"/>
        </w:rPr>
      </w:r>
      <w:r/>
    </w:p>
    <w:p>
      <w:pPr>
        <w:pStyle w:val="733"/>
        <w:numPr>
          <w:ilvl w:val="1"/>
          <w:numId w:val="2"/>
        </w:numPr>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投标供应商按照招标文件规定格式填报投标分项报价表。</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4.2投标货币。投标文件中的单价和总价无特殊规定的采用人民币报价，以元为单位标注。招标文件中另有规定的按规定执行。</w:t>
      </w:r>
      <w:bookmarkStart w:id="71" w:name="_Hlt26670486"/>
      <w:r/>
      <w:bookmarkEnd w:id="71"/>
      <w:r/>
      <w:bookmarkStart w:id="72" w:name="_Hlt26954848"/>
      <w:r/>
      <w:bookmarkEnd w:id="72"/>
      <w:r/>
      <w:bookmarkStart w:id="73" w:name="_Hlt26670482"/>
      <w:r/>
      <w:bookmarkEnd w:id="73"/>
      <w:r/>
      <w:bookmarkStart w:id="74" w:name="_Hlt26954846"/>
      <w:r/>
      <w:bookmarkEnd w:id="74"/>
      <w:r/>
      <w:bookmarkStart w:id="75" w:name="_Hlt26954731"/>
      <w:r/>
      <w:bookmarkEnd w:id="75"/>
      <w:r>
        <w:rPr>
          <w:rFonts w:hint="eastAsia" w:ascii="宋体" w:hAnsi="宋体" w:eastAsia="宋体" w:cs="宋体"/>
          <w:color w:val="000000"/>
          <w:szCs w:val="21"/>
          <w:highlight w:val="none"/>
        </w:rPr>
      </w:r>
      <w:r/>
    </w:p>
    <w:p>
      <w:pPr>
        <w:pStyle w:val="733"/>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5.技术要求响应及偏离表、商务要求响应及偏离表</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.1 投标供应商需对招标文件中的技术要求与商务要求逐项作出响应或偏离，并说明原因。</w:t>
      </w:r>
      <w:r>
        <w:rPr>
          <w:rFonts w:hint="eastAsia" w:ascii="宋体" w:hAnsi="宋体" w:eastAsia="宋体" w:cs="宋体"/>
          <w:color w:val="000000"/>
          <w:szCs w:val="21"/>
          <w:highlight w:val="none"/>
          <w:lang w:val="zh-CN"/>
        </w:rPr>
      </w:r>
      <w:r/>
    </w:p>
    <w:p>
      <w:pPr>
        <w:pStyle w:val="733"/>
        <w:ind w:firstLine="420"/>
        <w:spacing w:line="500" w:lineRule="exact"/>
        <w:shd w:val="clear" w:color="auto" w:fill="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.2投标供应商需按照</w:t>
      </w:r>
      <w:r>
        <w:rPr>
          <w:rFonts w:hint="eastAsia" w:ascii="宋体" w:hAnsi="宋体" w:eastAsia="宋体" w:cs="宋体"/>
          <w:color w:val="000000"/>
          <w:szCs w:val="21"/>
          <w:highlight w:val="none"/>
        </w:rPr>
        <w:t xml:space="preserve">招标</w:t>
      </w:r>
      <w:r>
        <w:rPr>
          <w:rFonts w:hint="eastAsia" w:ascii="宋体" w:hAnsi="宋体" w:eastAsia="宋体" w:cs="宋体"/>
          <w:color w:val="000000"/>
          <w:szCs w:val="21"/>
          <w:highlight w:val="none"/>
          <w:lang w:val="zh-CN"/>
        </w:rPr>
        <w:t xml:space="preserve">文件要求，在投标文件中提供与技术要求和商务要求相关的证明材料。</w:t>
      </w:r>
      <w:r>
        <w:rPr>
          <w:rFonts w:hint="eastAsia" w:ascii="宋体" w:hAnsi="宋体" w:eastAsia="宋体" w:cs="宋体"/>
          <w:color w:val="000000"/>
          <w:szCs w:val="21"/>
          <w:highlight w:val="none"/>
          <w:lang w:val="zh-CN"/>
        </w:rPr>
      </w:r>
      <w:r/>
    </w:p>
    <w:p>
      <w:pPr>
        <w:pStyle w:val="733"/>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6.服务承诺、培训计划、人员安排及其他（根据项目需求的实际要求进行填写）</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投标供应商需根据招标文件要求提供有关售后服务的管理制度，售后服务机构的分布情况，售后服务人员的数量、素质、技术水平及售后服务的反应能力等。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Cs w:val="21"/>
          <w:highlight w:val="none"/>
        </w:rPr>
      </w:r>
      <w:r/>
    </w:p>
    <w:p>
      <w:pPr>
        <w:pStyle w:val="737"/>
        <w:ind w:firstLine="420"/>
        <w:jc w:val="both"/>
        <w:spacing w:line="500" w:lineRule="exact"/>
        <w:shd w:val="clear" w:color="auto" w:fill="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 投标供应商需根据招标文件要求提供培训计划。</w:t>
      </w:r>
      <w:r>
        <w:rPr>
          <w:rFonts w:hint="eastAsia" w:ascii="宋体" w:hAnsi="宋体" w:eastAsia="宋体" w:cs="宋体"/>
          <w:color w:val="000000"/>
          <w:sz w:val="21"/>
          <w:highlight w:val="none"/>
        </w:rPr>
      </w:r>
      <w:r/>
    </w:p>
    <w:p>
      <w:pPr>
        <w:pStyle w:val="737"/>
        <w:ind w:firstLine="420"/>
        <w:jc w:val="both"/>
        <w:spacing w:line="500" w:lineRule="exact"/>
        <w:shd w:val="clear" w:color="auto" w:fill="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6.3 投标供应商需根据招标文件要求提供</w:t>
      </w:r>
      <w:r>
        <w:rPr>
          <w:rFonts w:hint="eastAsia" w:ascii="宋体" w:hAnsi="宋体" w:eastAsia="宋体" w:cs="宋体"/>
          <w:color w:val="000000"/>
          <w:sz w:val="21"/>
          <w:highlight w:val="none"/>
          <w:lang w:val="zh-CN"/>
        </w:rPr>
        <w:t xml:space="preserve">所投标的的主要组成部分、功能设计、实现思路及关键技术等。</w:t>
      </w:r>
      <w:r>
        <w:rPr>
          <w:rFonts w:hint="eastAsia" w:ascii="宋体" w:hAnsi="宋体" w:eastAsia="宋体" w:cs="宋体"/>
          <w:color w:val="000000"/>
          <w:sz w:val="21"/>
          <w:highlight w:val="none"/>
        </w:rPr>
      </w:r>
      <w:r/>
    </w:p>
    <w:p>
      <w:pPr>
        <w:pStyle w:val="737"/>
        <w:jc w:val="both"/>
        <w:spacing w:line="500" w:lineRule="exact"/>
        <w:shd w:val="clear" w:color="auto" w:fill="auto"/>
        <w:rPr>
          <w:rFonts w:hint="eastAsia" w:ascii="宋体" w:hAnsi="宋体" w:eastAsia="宋体" w:cs="宋体"/>
          <w:color w:val="000000"/>
          <w:sz w:val="21"/>
          <w:highlight w:val="none"/>
        </w:rPr>
      </w:pPr>
      <w:r/>
      <w:bookmarkStart w:id="76" w:name="_Toc14577359"/>
      <w:r/>
      <w:bookmarkStart w:id="77" w:name="_Toc49090510"/>
      <w:r>
        <w:rPr>
          <w:rFonts w:hint="eastAsia" w:ascii="宋体" w:hAnsi="宋体" w:eastAsia="宋体" w:cs="宋体"/>
          <w:color w:val="000000"/>
          <w:sz w:val="21"/>
          <w:highlight w:val="none"/>
        </w:rPr>
        <w:t xml:space="preserve">7.投标函和开标一览表</w:t>
      </w:r>
      <w:r>
        <w:rPr>
          <w:rFonts w:hint="eastAsia" w:ascii="宋体" w:hAnsi="宋体" w:eastAsia="宋体" w:cs="宋体"/>
          <w:color w:val="000000"/>
          <w:sz w:val="21"/>
          <w:highlight w:val="none"/>
        </w:rPr>
      </w:r>
      <w:r/>
    </w:p>
    <w:p>
      <w:pPr>
        <w:pStyle w:val="737"/>
        <w:ind w:firstLine="420"/>
        <w:jc w:val="both"/>
        <w:spacing w:line="500" w:lineRule="exact"/>
        <w:shd w:val="clear" w:color="auto" w:fill="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7.1 投标供应商应按照招标文件中提供的格式完整、正确填写投标函、开标一览表。</w:t>
      </w:r>
      <w:r>
        <w:rPr>
          <w:rFonts w:hint="eastAsia" w:ascii="宋体" w:hAnsi="宋体" w:eastAsia="宋体" w:cs="宋体"/>
          <w:color w:val="000000"/>
          <w:sz w:val="21"/>
          <w:highlight w:val="none"/>
        </w:rPr>
      </w:r>
      <w:r/>
    </w:p>
    <w:p>
      <w:pPr>
        <w:pStyle w:val="737"/>
        <w:ind w:firstLine="420"/>
        <w:jc w:val="both"/>
        <w:spacing w:line="500" w:lineRule="exact"/>
        <w:shd w:val="clear" w:color="auto" w:fill="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End w:id="76"/>
      <w:r/>
      <w:bookmarkEnd w:id="77"/>
      <w:r>
        <w:rPr>
          <w:rFonts w:hint="eastAsia" w:ascii="宋体" w:hAnsi="宋体" w:eastAsia="宋体" w:cs="宋体"/>
          <w:color w:val="000000"/>
          <w:sz w:val="21"/>
          <w:highlight w:val="none"/>
        </w:rPr>
        <w:t xml:space="preserve">8.投标有效期</w:t>
      </w:r>
      <w:bookmarkEnd w:id="61"/>
      <w:r/>
      <w:bookmarkEnd w:id="62"/>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8.1投标有效期为招标文件规定的开标之日后</w:t>
      </w:r>
      <w:r>
        <w:rPr>
          <w:rFonts w:hint="eastAsia" w:ascii="宋体" w:hAnsi="宋体" w:eastAsia="宋体" w:cs="宋体"/>
          <w:b/>
          <w:color w:val="000000"/>
          <w:szCs w:val="21"/>
          <w:highlight w:val="none"/>
          <w:u w:val="single"/>
        </w:rPr>
        <w:t xml:space="preserve">九十（90）天</w:t>
      </w:r>
      <w:r>
        <w:rPr>
          <w:rFonts w:hint="eastAsia" w:ascii="宋体" w:hAnsi="宋体" w:eastAsia="宋体" w:cs="宋体"/>
          <w:bCs/>
          <w:color w:val="000000"/>
          <w:szCs w:val="21"/>
          <w:highlight w:val="none"/>
        </w:rPr>
        <w:t xml:space="preserve">。投标有效期比规定短的将被视为非响应性投标而予以拒绝。</w:t>
      </w:r>
      <w:r>
        <w:rPr>
          <w:rFonts w:hint="eastAsia" w:ascii="宋体" w:hAnsi="宋体" w:eastAsia="宋体" w:cs="宋体"/>
          <w:bCs/>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9.投标有效期的延长</w:t>
      </w:r>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eastAsia="宋体" w:cs="宋体"/>
          <w:color w:val="000000"/>
          <w:szCs w:val="21"/>
          <w:highlight w:val="none"/>
        </w:rPr>
        <w:t xml:space="preserve">受投标有效期约束的所有权利与义务均延长至新的有效期</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3"/>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10.电子响应文件其他要求</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10.1电子招标投标交易平台（即“苏采云”系统）相关要求是本采购文件的组成部分。</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10.2投标供应商应对CA证书妥善保管，如被他人盗用投标，因此带来的结果均由供应商自行承担。</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10.3投标供应商应当对采购文件提出的实质性要求和条件作出实质性响应，并在电子投标系统逐条应答。</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10.4投标供应商应对要求提供的资格证明文件（如资质证书、资格证书）、技术资料（如白皮书、彩页、手册、检测报告等）扫描上传至投标系统。 </w:t>
      </w:r>
      <w:r>
        <w:rPr>
          <w:rFonts w:hint="eastAsia" w:ascii="宋体" w:hAnsi="宋体" w:eastAsia="宋体" w:cs="宋体"/>
          <w:bCs/>
          <w:color w:val="000000"/>
          <w:szCs w:val="21"/>
          <w:highlight w:val="none"/>
        </w:rPr>
      </w:r>
      <w:r/>
    </w:p>
    <w:p>
      <w:pPr>
        <w:pStyle w:val="733"/>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hint="eastAsia" w:ascii="宋体" w:hAnsi="宋体" w:eastAsia="宋体" w:cs="宋体"/>
          <w:bCs/>
          <w:color w:val="000000"/>
          <w:szCs w:val="21"/>
          <w:highlight w:val="none"/>
        </w:rPr>
      </w:r>
      <w:r/>
    </w:p>
    <w:p>
      <w:pPr>
        <w:pStyle w:val="736"/>
        <w:spacing w:before="0" w:after="0" w:line="500" w:lineRule="exact"/>
        <w:shd w:val="clear" w:color="auto" w:fill="auto"/>
        <w:rPr>
          <w:rFonts w:hint="eastAsia" w:ascii="宋体" w:hAnsi="宋体" w:eastAsia="宋体" w:cs="宋体"/>
          <w:color w:val="000000"/>
          <w:sz w:val="21"/>
          <w:szCs w:val="21"/>
          <w:highlight w:val="none"/>
        </w:rPr>
      </w:pPr>
      <w:r/>
      <w:bookmarkStart w:id="78" w:name="_Hlt26954852"/>
      <w:r/>
      <w:bookmarkEnd w:id="78"/>
      <w:r/>
      <w:bookmarkStart w:id="79" w:name="_Toc513029224"/>
      <w:r/>
      <w:bookmarkStart w:id="80" w:name="_Toc20823296"/>
      <w:r/>
      <w:bookmarkStart w:id="81" w:name="_Toc120614217"/>
      <w:r/>
      <w:bookmarkStart w:id="82" w:name="_Toc16938540"/>
      <w:r/>
      <w:bookmarkStart w:id="83" w:name="_Hlt26954739"/>
      <w:r/>
      <w:bookmarkEnd w:id="83"/>
      <w:r>
        <w:rPr>
          <w:rFonts w:hint="eastAsia" w:ascii="宋体" w:hAnsi="宋体" w:eastAsia="宋体" w:cs="宋体"/>
          <w:color w:val="000000"/>
          <w:sz w:val="21"/>
          <w:szCs w:val="21"/>
          <w:highlight w:val="none"/>
        </w:rPr>
        <w:t xml:space="preserve">（四）投标文件的递交</w:t>
      </w:r>
      <w:bookmarkEnd w:id="79"/>
      <w:r/>
      <w:bookmarkEnd w:id="80"/>
      <w:r/>
      <w:bookmarkEnd w:id="81"/>
      <w:r/>
      <w:bookmarkEnd w:id="82"/>
      <w:r>
        <w:rPr>
          <w:rFonts w:hint="eastAsia" w:ascii="宋体" w:hAnsi="宋体" w:eastAsia="宋体" w:cs="宋体"/>
          <w:color w:val="000000"/>
          <w:sz w:val="21"/>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84" w:name="_Toc462564084"/>
      <w:r/>
      <w:bookmarkStart w:id="85" w:name="_Toc16938541"/>
      <w:r/>
      <w:bookmarkStart w:id="86" w:name="_Toc513029225"/>
      <w:r/>
      <w:bookmarkStart w:id="87" w:name="_Toc20823297"/>
      <w:r>
        <w:rPr>
          <w:rFonts w:hint="eastAsia" w:ascii="宋体" w:hAnsi="宋体" w:eastAsia="宋体" w:cs="宋体"/>
          <w:color w:val="000000"/>
          <w:sz w:val="21"/>
          <w:highlight w:val="none"/>
        </w:rPr>
        <w:t xml:space="preserve">1.投标文件</w:t>
      </w:r>
      <w:bookmarkEnd w:id="84"/>
      <w:r/>
      <w:bookmarkEnd w:id="85"/>
      <w:r/>
      <w:bookmarkEnd w:id="86"/>
      <w:r/>
      <w:bookmarkEnd w:id="87"/>
      <w:r>
        <w:rPr>
          <w:rFonts w:hint="eastAsia" w:ascii="宋体" w:hAnsi="宋体" w:eastAsia="宋体" w:cs="宋体"/>
          <w:color w:val="000000"/>
          <w:sz w:val="21"/>
          <w:highlight w:val="none"/>
        </w:rPr>
        <w:t xml:space="preserve">的递交</w:t>
      </w:r>
      <w:r>
        <w:rPr>
          <w:rFonts w:hint="eastAsia" w:ascii="宋体" w:hAnsi="宋体" w:eastAsia="宋体" w:cs="宋体"/>
          <w:b/>
          <w:bCs/>
          <w:color w:val="000000"/>
          <w:sz w:val="21"/>
          <w:highlight w:val="none"/>
        </w:rPr>
      </w:r>
      <w:r/>
    </w:p>
    <w:p>
      <w:pPr>
        <w:pStyle w:val="733"/>
        <w:ind w:firstLine="556"/>
        <w:spacing w:line="500" w:lineRule="exact"/>
        <w:shd w:val="clear" w:color="auto" w:fill="auto"/>
        <w:rPr>
          <w:rFonts w:hint="eastAsia" w:ascii="宋体" w:hAnsi="宋体" w:eastAsia="宋体" w:cs="宋体"/>
          <w:bCs/>
          <w:color w:val="000000"/>
          <w:szCs w:val="21"/>
          <w:highlight w:val="none"/>
        </w:rPr>
      </w:pPr>
      <w:r/>
      <w:bookmarkStart w:id="88" w:name="_Toc16938542"/>
      <w:r/>
      <w:bookmarkStart w:id="89" w:name="_Toc20823298"/>
      <w:r/>
      <w:bookmarkStart w:id="90" w:name="_Toc513029226"/>
      <w:r>
        <w:rPr>
          <w:rFonts w:hint="eastAsia" w:ascii="宋体" w:hAnsi="宋体" w:eastAsia="宋体" w:cs="宋体"/>
          <w:bCs/>
          <w:color w:val="000000"/>
          <w:szCs w:val="21"/>
          <w:highlight w:val="none"/>
        </w:rPr>
        <w:t xml:space="preserve">1.1线上提交与接收地点：供应商应当通过“苏采云”系统提交数据电文形式的响应文件（即电子投标），“苏采云”系统自动接收。</w:t>
      </w:r>
      <w:r>
        <w:rPr>
          <w:rFonts w:hint="eastAsia" w:ascii="宋体" w:hAnsi="宋体" w:eastAsia="宋体" w:cs="宋体"/>
          <w:bCs/>
          <w:color w:val="000000"/>
          <w:szCs w:val="21"/>
          <w:highlight w:val="none"/>
        </w:rPr>
      </w:r>
      <w:r/>
    </w:p>
    <w:p>
      <w:pPr>
        <w:pStyle w:val="733"/>
        <w:ind w:firstLine="556"/>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hint="eastAsia" w:ascii="宋体" w:hAnsi="宋体" w:eastAsia="宋体" w:cs="宋体"/>
          <w:bCs/>
          <w:color w:val="000000"/>
          <w:szCs w:val="21"/>
          <w:highlight w:val="none"/>
        </w:rPr>
      </w:r>
      <w:r/>
    </w:p>
    <w:p>
      <w:pPr>
        <w:pStyle w:val="733"/>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2.投标截止日期</w:t>
      </w:r>
      <w:bookmarkEnd w:id="88"/>
      <w:r/>
      <w:bookmarkEnd w:id="89"/>
      <w:r/>
      <w:bookmarkEnd w:id="90"/>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u w:val="single"/>
        </w:rPr>
        <w:t xml:space="preserve">2.1 投标供应商上传电子投标文件的时间不得迟于招标公告中规定的投标截止时间。</w:t>
      </w:r>
      <w:r>
        <w:rPr>
          <w:rFonts w:hint="eastAsia" w:ascii="宋体" w:hAnsi="宋体" w:eastAsia="宋体" w:cs="宋体"/>
          <w:b/>
          <w:color w:val="000000"/>
          <w:szCs w:val="21"/>
          <w:highlight w:val="none"/>
          <w:u w:val="singl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投标供应商应充分考虑到网络环境、网络带宽等风险因素，如因投标供应商自身原因造成的电子投标文件上传不成功由投标供应商自行承担全部责任。</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2.2采购人或采购代理机构</w:t>
      </w:r>
      <w:r>
        <w:rPr>
          <w:rFonts w:hint="eastAsia" w:ascii="宋体" w:hAnsi="宋体" w:eastAsia="宋体" w:cs="宋体"/>
          <w:bCs/>
          <w:color w:val="000000"/>
          <w:szCs w:val="21"/>
          <w:highlight w:val="none"/>
        </w:rPr>
        <w:t xml:space="preserve">可以按照规定，通过修改招标文件酌情延长投标截止日期，在此情况下，投标供应商的所有权利和义务以及投标供应商受制的截止日期均应以延长后新的截止日期为准。</w:t>
      </w:r>
      <w:bookmarkStart w:id="91" w:name="_Toc16938543"/>
      <w:r/>
      <w:bookmarkStart w:id="92" w:name="_Toc20823299"/>
      <w:r/>
      <w:bookmarkStart w:id="93" w:name="_Toc513029227"/>
      <w:r>
        <w:rPr>
          <w:rFonts w:hint="eastAsia" w:ascii="宋体" w:hAnsi="宋体" w:eastAsia="宋体" w:cs="宋体"/>
          <w:bCs/>
          <w:color w:val="000000"/>
          <w:szCs w:val="21"/>
          <w:highlight w:val="none"/>
        </w:rPr>
      </w:r>
      <w:r/>
    </w:p>
    <w:p>
      <w:pPr>
        <w:pStyle w:val="733"/>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3.投标文件的密封（加密）要求：</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3.2投标供应商须通过“苏采云”系统提供的政府采购客户端工具（使用“CA数字证书”）加盖电子签章。</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说明：投标供应商应在用CA数字证书以及自备的能够登录“苏采云”系统的电脑，在达到开标时间后，使用CA数字证书解密各自投标文件。</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3.3投标供应商未按规定加密的投标文件，“苏采云”系统应当拒收并提示。</w:t>
      </w:r>
      <w:r>
        <w:rPr>
          <w:rFonts w:hint="eastAsia" w:ascii="宋体" w:hAnsi="宋体" w:eastAsia="宋体" w:cs="宋体"/>
          <w:color w:val="000000"/>
          <w:szCs w:val="21"/>
          <w:highlight w:val="none"/>
        </w:rPr>
      </w:r>
      <w:r/>
    </w:p>
    <w:p>
      <w:pPr>
        <w:pStyle w:val="733"/>
        <w:spacing w:line="50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4.投标文件</w:t>
      </w:r>
      <w:bookmarkEnd w:id="91"/>
      <w:r/>
      <w:bookmarkEnd w:id="92"/>
      <w:r/>
      <w:bookmarkEnd w:id="93"/>
      <w:r>
        <w:rPr>
          <w:rFonts w:hint="eastAsia" w:ascii="宋体" w:hAnsi="宋体" w:eastAsia="宋体" w:cs="宋体"/>
          <w:color w:val="000000"/>
          <w:szCs w:val="21"/>
          <w:highlight w:val="none"/>
        </w:rPr>
        <w:t xml:space="preserve">的拒收</w:t>
      </w:r>
      <w:r>
        <w:rPr>
          <w:rFonts w:hint="eastAsia" w:ascii="宋体" w:hAnsi="宋体" w:eastAsia="宋体" w:cs="宋体"/>
          <w:b/>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 采购人或采购代理机构拒绝接收在其规定的投标截止时间后上传的任何投标文件。</w:t>
      </w:r>
      <w:r>
        <w:rPr>
          <w:rFonts w:hint="eastAsia" w:ascii="宋体" w:hAnsi="宋体" w:eastAsia="宋体" w:cs="宋体"/>
          <w:bCs/>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94" w:name="_Toc16938544"/>
      <w:r/>
      <w:bookmarkStart w:id="95" w:name="_Toc20823300"/>
      <w:r/>
      <w:bookmarkStart w:id="96" w:name="_Toc513029228"/>
      <w:r>
        <w:rPr>
          <w:rFonts w:hint="eastAsia" w:ascii="宋体" w:hAnsi="宋体" w:eastAsia="宋体" w:cs="宋体"/>
          <w:color w:val="000000"/>
          <w:sz w:val="21"/>
          <w:highlight w:val="none"/>
        </w:rPr>
        <w:t xml:space="preserve">5.投标文件的撤回和修改</w:t>
      </w:r>
      <w:bookmarkEnd w:id="94"/>
      <w:r/>
      <w:bookmarkEnd w:id="95"/>
      <w:r/>
      <w:bookmarkEnd w:id="96"/>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投标文件的撤回</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5.1.1 电子投标文件的撤回</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投标供应商可在投标截止时间前，撤回其电子投标文件，具体操作方法见《操作手册》，可至江苏省政府采购网—办事指南-资料下载中心下载。</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5.1.2 投标供应商撤回电子投标文件，则认为其不再参与本项目投标活动。</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投标文件的修改</w:t>
      </w:r>
      <w:r>
        <w:rPr>
          <w:rFonts w:hint="eastAsia" w:ascii="宋体" w:hAnsi="宋体" w:eastAsia="宋体" w:cs="宋体"/>
          <w:color w:val="000000"/>
          <w:szCs w:val="21"/>
          <w:highlight w:val="none"/>
        </w:rPr>
      </w:r>
      <w:r/>
    </w:p>
    <w:p>
      <w:pPr>
        <w:pStyle w:val="733"/>
        <w:ind w:firstLine="555"/>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投标供应商可在投标截止时间前，对其电子投标文件进行修改，</w:t>
      </w:r>
      <w:r>
        <w:rPr>
          <w:rFonts w:hint="eastAsia" w:ascii="宋体" w:hAnsi="宋体" w:eastAsia="宋体" w:cs="宋体"/>
          <w:color w:val="000000"/>
          <w:szCs w:val="21"/>
          <w:highlight w:val="none"/>
        </w:rPr>
        <w:t xml:space="preserve">具体操作方法见《操作手册》。</w:t>
      </w:r>
      <w:r>
        <w:rPr>
          <w:rFonts w:hint="eastAsia" w:ascii="宋体" w:hAnsi="宋体" w:eastAsia="宋体" w:cs="宋体"/>
          <w:bCs/>
          <w:color w:val="000000"/>
          <w:szCs w:val="21"/>
          <w:highlight w:val="none"/>
        </w:rPr>
      </w:r>
      <w:r/>
    </w:p>
    <w:p>
      <w:pPr>
        <w:pStyle w:val="733"/>
        <w:ind w:firstLine="555"/>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5.3</w:t>
      </w:r>
      <w:r>
        <w:rPr>
          <w:rFonts w:hint="eastAsia" w:ascii="宋体" w:hAnsi="宋体" w:eastAsia="宋体" w:cs="宋体"/>
          <w:bCs/>
          <w:color w:val="000000"/>
          <w:szCs w:val="21"/>
          <w:highlight w:val="none"/>
        </w:rPr>
        <w:t xml:space="preserve"> 在投标截止时间之后，投标供应商不得对其电子投标文件作任何修改。</w:t>
      </w:r>
      <w:r>
        <w:rPr>
          <w:rFonts w:hint="eastAsia" w:ascii="宋体" w:hAnsi="宋体" w:eastAsia="宋体" w:cs="宋体"/>
          <w:bCs/>
          <w:color w:val="000000"/>
          <w:szCs w:val="21"/>
          <w:highlight w:val="none"/>
        </w:rPr>
      </w:r>
      <w:r/>
    </w:p>
    <w:p>
      <w:pPr>
        <w:pStyle w:val="733"/>
        <w:ind w:firstLine="555"/>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5.4</w:t>
      </w:r>
      <w:r>
        <w:rPr>
          <w:rFonts w:hint="eastAsia" w:ascii="宋体" w:hAnsi="宋体" w:eastAsia="宋体" w:cs="宋体"/>
          <w:bCs/>
          <w:color w:val="000000"/>
          <w:szCs w:val="21"/>
          <w:highlight w:val="none"/>
        </w:rPr>
        <w:t xml:space="preserve"> 在投标截止时间至招标文件中规定的投标有效期满之间的这段时间内，投标供应商不得撤回其投标。</w:t>
      </w:r>
      <w:r>
        <w:rPr>
          <w:rFonts w:hint="eastAsia" w:ascii="宋体" w:hAnsi="宋体" w:eastAsia="宋体" w:cs="宋体"/>
          <w:bCs/>
          <w:color w:val="000000"/>
          <w:szCs w:val="21"/>
          <w:highlight w:val="none"/>
        </w:rPr>
      </w:r>
      <w:r/>
    </w:p>
    <w:p>
      <w:pPr>
        <w:pStyle w:val="736"/>
        <w:spacing w:before="0" w:after="0" w:line="500" w:lineRule="exact"/>
        <w:shd w:val="clear" w:color="auto" w:fill="auto"/>
        <w:rPr>
          <w:rFonts w:hint="eastAsia" w:ascii="宋体" w:hAnsi="宋体" w:eastAsia="宋体" w:cs="宋体"/>
          <w:color w:val="000000"/>
          <w:sz w:val="21"/>
          <w:szCs w:val="21"/>
          <w:highlight w:val="none"/>
        </w:rPr>
      </w:pPr>
      <w:r/>
      <w:bookmarkStart w:id="97" w:name="_Toc16938545"/>
      <w:r/>
      <w:bookmarkStart w:id="98" w:name="_Toc20823301"/>
      <w:r/>
      <w:bookmarkStart w:id="99" w:name="_Toc513029229"/>
      <w:r/>
      <w:bookmarkStart w:id="100" w:name="_Toc120614218"/>
      <w:r>
        <w:rPr>
          <w:rFonts w:hint="eastAsia" w:ascii="宋体" w:hAnsi="宋体" w:eastAsia="宋体" w:cs="宋体"/>
          <w:color w:val="000000"/>
          <w:sz w:val="21"/>
          <w:szCs w:val="21"/>
          <w:highlight w:val="none"/>
        </w:rPr>
        <w:t xml:space="preserve">（五）开标与评标</w:t>
      </w:r>
      <w:bookmarkEnd w:id="97"/>
      <w:r/>
      <w:bookmarkEnd w:id="98"/>
      <w:r/>
      <w:bookmarkEnd w:id="99"/>
      <w:r/>
      <w:bookmarkEnd w:id="100"/>
      <w:r>
        <w:rPr>
          <w:rFonts w:hint="eastAsia" w:ascii="宋体" w:hAnsi="宋体" w:eastAsia="宋体" w:cs="宋体"/>
          <w:color w:val="000000"/>
          <w:sz w:val="21"/>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101" w:name="_Toc20823302"/>
      <w:r/>
      <w:bookmarkStart w:id="102" w:name="_Toc16938546"/>
      <w:r/>
      <w:bookmarkStart w:id="103" w:name="_Toc513029230"/>
      <w:r>
        <w:rPr>
          <w:rFonts w:hint="eastAsia" w:ascii="宋体" w:hAnsi="宋体" w:eastAsia="宋体" w:cs="宋体"/>
          <w:color w:val="000000"/>
          <w:sz w:val="21"/>
          <w:highlight w:val="none"/>
        </w:rPr>
        <w:t xml:space="preserve">1.开标</w:t>
      </w:r>
      <w:bookmarkEnd w:id="101"/>
      <w:r/>
      <w:bookmarkEnd w:id="102"/>
      <w:r/>
      <w:bookmarkEnd w:id="103"/>
      <w:r>
        <w:rPr>
          <w:rFonts w:hint="eastAsia" w:ascii="宋体" w:hAnsi="宋体" w:eastAsia="宋体" w:cs="宋体"/>
          <w:b/>
          <w:bCs/>
          <w:color w:val="000000"/>
          <w:sz w:val="21"/>
          <w:highlight w:val="none"/>
        </w:rPr>
      </w:r>
      <w:r/>
    </w:p>
    <w:p>
      <w:pPr>
        <w:pStyle w:val="733"/>
        <w:ind w:firstLine="556"/>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采购人或采购代理机构将在招标公告中规定的时间和地点组织公开开标。</w:t>
      </w:r>
      <w:r>
        <w:rPr>
          <w:rFonts w:hint="eastAsia" w:ascii="宋体" w:hAnsi="宋体" w:eastAsia="宋体" w:cs="宋体"/>
          <w:bCs/>
          <w:color w:val="000000"/>
          <w:szCs w:val="21"/>
          <w:highlight w:val="none"/>
        </w:rPr>
      </w:r>
      <w:r/>
    </w:p>
    <w:p>
      <w:pPr>
        <w:pStyle w:val="733"/>
        <w:ind w:firstLine="556"/>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开标当天投标供应商及时登录不见面开标大厅，投标文件递交截止时间后，采购人将在系统内公布投标</w:t>
      </w:r>
      <w:r>
        <w:rPr>
          <w:rFonts w:hint="eastAsia" w:ascii="宋体" w:hAnsi="宋体" w:eastAsia="宋体" w:cs="宋体"/>
          <w:bCs/>
          <w:color w:val="000000"/>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宋体" w:hAnsi="宋体" w:eastAsia="宋体" w:cs="宋体"/>
          <w:bCs/>
          <w:color w:val="000000"/>
          <w:szCs w:val="21"/>
          <w:highlight w:val="none"/>
        </w:rPr>
      </w:r>
      <w:r/>
    </w:p>
    <w:p>
      <w:pPr>
        <w:pStyle w:val="733"/>
        <w:ind w:firstLine="556"/>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1.2开标仪</w:t>
      </w:r>
      <w:r>
        <w:rPr>
          <w:rFonts w:hint="eastAsia" w:ascii="宋体" w:hAnsi="宋体" w:eastAsia="宋体" w:cs="宋体"/>
          <w:color w:val="000000"/>
          <w:szCs w:val="21"/>
          <w:highlight w:val="none"/>
        </w:rPr>
        <w:t xml:space="preserve">式由采购代理机构组织，苏采云系统将自动对项目进行开标，并宣布各投标供应商名称和投标价格。</w:t>
      </w:r>
      <w:r>
        <w:rPr>
          <w:rFonts w:hint="eastAsia" w:ascii="宋体" w:hAnsi="宋体" w:eastAsia="宋体" w:cs="宋体"/>
          <w:color w:val="000000"/>
          <w:szCs w:val="21"/>
          <w:highlight w:val="none"/>
        </w:rPr>
      </w:r>
      <w:r/>
    </w:p>
    <w:p>
      <w:pPr>
        <w:pStyle w:val="733"/>
        <w:ind w:firstLine="556"/>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1.3投标供应商在开标过程中涉及到的投标文件解密、开标结果确认等工作，应按照《操作手册》规定执行。</w:t>
      </w:r>
      <w:r>
        <w:rPr>
          <w:rFonts w:hint="eastAsia" w:ascii="宋体" w:hAnsi="宋体" w:eastAsia="宋体" w:cs="宋体"/>
          <w:bCs/>
          <w:color w:val="000000"/>
          <w:szCs w:val="21"/>
          <w:highlight w:val="none"/>
        </w:rPr>
      </w:r>
      <w:r/>
    </w:p>
    <w:p>
      <w:pPr>
        <w:pStyle w:val="733"/>
        <w:ind w:firstLine="556"/>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1.4投标供应商如果对开标过程和开标记录有疑义，应当根据《操作手册》规定提出，如苏采云系统中《开标记录表》宣布后5分钟内未提出的，视同认可开标结果。</w:t>
      </w:r>
      <w:r>
        <w:rPr>
          <w:rFonts w:hint="eastAsia" w:ascii="宋体" w:hAnsi="宋体" w:eastAsia="宋体" w:cs="宋体"/>
          <w:bCs/>
          <w:color w:val="000000"/>
          <w:szCs w:val="21"/>
          <w:highlight w:val="none"/>
        </w:rPr>
      </w:r>
      <w:r/>
    </w:p>
    <w:p>
      <w:pPr>
        <w:pStyle w:val="733"/>
        <w:spacing w:line="500" w:lineRule="exact"/>
        <w:shd w:val="clear" w:color="auto" w:fill="auto"/>
        <w:rPr>
          <w:rFonts w:hint="eastAsia" w:ascii="宋体" w:hAnsi="宋体" w:eastAsia="宋体" w:cs="宋体"/>
          <w:color w:val="000000"/>
          <w:szCs w:val="21"/>
          <w:highlight w:val="none"/>
        </w:rPr>
      </w:pPr>
      <w:r/>
      <w:bookmarkStart w:id="104" w:name="_Toc513029231"/>
      <w:r/>
      <w:bookmarkStart w:id="105" w:name="_Toc16938547"/>
      <w:r/>
      <w:bookmarkStart w:id="106" w:name="_Toc20823303"/>
      <w:r>
        <w:rPr>
          <w:rFonts w:hint="eastAsia" w:ascii="宋体" w:hAnsi="宋体" w:eastAsia="宋体" w:cs="宋体"/>
          <w:color w:val="000000"/>
          <w:szCs w:val="21"/>
          <w:highlight w:val="none"/>
        </w:rPr>
        <w:t xml:space="preserve">2.评标委员会</w:t>
      </w:r>
      <w:r>
        <w:rPr>
          <w:rFonts w:hint="eastAsia" w:ascii="宋体" w:hAnsi="宋体" w:eastAsia="宋体" w:cs="宋体"/>
          <w:color w:val="000000"/>
          <w:szCs w:val="21"/>
          <w:highlight w:val="none"/>
        </w:rPr>
      </w:r>
      <w:r/>
    </w:p>
    <w:p>
      <w:pPr>
        <w:pStyle w:val="733"/>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 2.1开标后，采购人或采购代理机构将立即组织评标委员会（以下简称评委会）进行评标。</w:t>
      </w:r>
      <w:r>
        <w:rPr>
          <w:rFonts w:hint="eastAsia" w:ascii="宋体" w:hAnsi="宋体" w:eastAsia="宋体" w:cs="宋体"/>
          <w:b/>
          <w:color w:val="000000"/>
          <w:szCs w:val="21"/>
          <w:highlight w:val="none"/>
        </w:rPr>
      </w:r>
      <w:r/>
    </w:p>
    <w:p>
      <w:pPr>
        <w:pStyle w:val="733"/>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2.2 评委会由采购人代表和有关技术、经济等方面的专家组成，且人员构成符合政府采购有关规定。</w:t>
      </w:r>
      <w:r>
        <w:rPr>
          <w:rFonts w:hint="eastAsia" w:ascii="宋体" w:hAnsi="宋体" w:eastAsia="宋体" w:cs="宋体"/>
          <w:color w:val="000000"/>
          <w:szCs w:val="21"/>
          <w:highlight w:val="none"/>
        </w:rPr>
      </w:r>
      <w:r/>
    </w:p>
    <w:p>
      <w:pPr>
        <w:pStyle w:val="733"/>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2.3评委会独立工作，负责评审所有投标文件并确定中标侯选人。</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3.评标过程的保密与公正</w:t>
      </w:r>
      <w:bookmarkEnd w:id="104"/>
      <w:r/>
      <w:bookmarkEnd w:id="105"/>
      <w:r/>
      <w:bookmarkEnd w:id="106"/>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eastAsia="宋体" w:cs="宋体"/>
          <w:bCs/>
          <w:color w:val="000000"/>
          <w:szCs w:val="21"/>
          <w:highlight w:val="none"/>
        </w:rPr>
        <w:t xml:space="preserve">凡是与审查、澄清、评价和比较投标的有关资料以及授标建议等，采购人、评委、采购代理机构均不得向投标供应商或与评标无关的其他人员透露。</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3.2在评标过程中，投标供应商不得以任何行为影响评标过程，否则其投标文件将被作为无效投标文件。</w:t>
      </w:r>
      <w:r>
        <w:rPr>
          <w:rFonts w:hint="eastAsia" w:ascii="宋体" w:hAnsi="宋体" w:eastAsia="宋体" w:cs="宋体"/>
          <w:b/>
          <w:bCs/>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3.3在评标期间，采购代理机构将设专门人员与投标供应商联系。</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3.4 采购人或采购代理机构和评标委员会不向未中标的投标供应商解释未中标原因，也不公布评标过程中的相关细节。</w:t>
      </w:r>
      <w:r>
        <w:rPr>
          <w:rFonts w:hint="eastAsia" w:ascii="宋体" w:hAnsi="宋体" w:eastAsia="宋体" w:cs="宋体"/>
          <w:b/>
          <w:bCs/>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 采用综合评分法的项目，未中标的投标人可于中标结果公告期限届满之日起通过苏采云系统查看自己的评审得分及排序情况。</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bookmarkStart w:id="107" w:name="_Toc20823304"/>
      <w:r/>
      <w:bookmarkStart w:id="108" w:name="_Toc16938548"/>
      <w:r/>
      <w:bookmarkStart w:id="109" w:name="_Toc513029232"/>
      <w:r>
        <w:rPr>
          <w:rFonts w:hint="eastAsia" w:ascii="宋体" w:hAnsi="宋体" w:eastAsia="宋体" w:cs="宋体"/>
          <w:color w:val="000000"/>
          <w:sz w:val="21"/>
          <w:highlight w:val="none"/>
        </w:rPr>
        <w:t xml:space="preserve">4.投标的澄清</w:t>
      </w:r>
      <w:bookmarkEnd w:id="107"/>
      <w:r/>
      <w:bookmarkEnd w:id="108"/>
      <w:r/>
      <w:bookmarkEnd w:id="109"/>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bookmarkStart w:id="110" w:name="_Toc16938549"/>
      <w:r/>
      <w:bookmarkStart w:id="111" w:name="_Toc20823305"/>
      <w:r/>
      <w:bookmarkStart w:id="112" w:name="_Toc513029233"/>
      <w:r>
        <w:rPr>
          <w:rFonts w:hint="eastAsia" w:ascii="宋体" w:hAnsi="宋体" w:eastAsia="宋体" w:cs="宋体"/>
          <w:color w:val="000000"/>
          <w:szCs w:val="21"/>
          <w:highlight w:val="none"/>
        </w:rPr>
        <w:t xml:space="preserve">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评标委员会并非对每个投标人都做澄清要求。</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接到评委会澄清、说明和补正要求的投标人如未按规定做出澄清、说明和补正，其风险由投标人自行承担。</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5对投标文件的初审</w:t>
      </w:r>
      <w:bookmarkEnd w:id="110"/>
      <w:r/>
      <w:bookmarkEnd w:id="111"/>
      <w:r/>
      <w:bookmarkEnd w:id="112"/>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5.1</w:t>
      </w:r>
      <w:r>
        <w:rPr>
          <w:rFonts w:hint="eastAsia" w:ascii="宋体" w:hAnsi="宋体" w:eastAsia="宋体" w:cs="宋体"/>
          <w:bCs/>
          <w:color w:val="000000"/>
          <w:szCs w:val="21"/>
          <w:highlight w:val="none"/>
        </w:rPr>
        <w:t xml:space="preserve">投标文件初审分为资格审查和符合性审查。</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联合体中有同类资质的供应商按照联合体分工承担相同工作的，应当按照资质等级较低的供应商确定资质等级。</w:t>
      </w:r>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eastAsia="宋体" w:cs="宋体"/>
          <w:bCs/>
          <w:color w:val="000000"/>
          <w:szCs w:val="21"/>
          <w:highlight w:val="none"/>
        </w:rPr>
        <w:t xml:space="preserve">评委决定投标文件的响应性只根据投标文件本身的内容，而不寻求外部的证据。</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5.3</w:t>
      </w:r>
      <w:r>
        <w:rPr>
          <w:rFonts w:hint="eastAsia" w:ascii="宋体" w:hAnsi="宋体" w:eastAsia="宋体" w:cs="宋体"/>
          <w:bCs/>
          <w:color w:val="000000"/>
          <w:szCs w:val="21"/>
          <w:highlight w:val="none"/>
        </w:rPr>
        <w:t xml:space="preserve">如果投标文件实质上没有响应招标文件的要求，评委会将予以拒绝，投标供应商不得通过修改或撤销不合要求的偏离或保留而使其投标成为实质性响应的投标。</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5.4</w:t>
      </w:r>
      <w:r>
        <w:rPr>
          <w:rFonts w:hint="eastAsia" w:ascii="宋体" w:hAnsi="宋体" w:eastAsia="宋体" w:cs="宋体"/>
          <w:bCs/>
          <w:color w:val="000000"/>
          <w:szCs w:val="21"/>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（1）投标文件中开标一览表内容与投标文件中相应内容不一致的，以开标一览表为准。</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（2）大写金额和小写金额不一致的，以大写金额为准。</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（3）单价金额小数点或者百分比有明显错位的，以开标一览表的总价为准，并修改单价。</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（4）总价金额与按单价汇总金额不一致的，以单价金额计算结果为准。</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同时出现两种以上错误的，按照前款规定的顺序修正。</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5.5</w:t>
      </w:r>
      <w:r>
        <w:rPr>
          <w:rFonts w:hint="eastAsia" w:ascii="宋体" w:hAnsi="宋体" w:eastAsia="宋体" w:cs="宋体"/>
          <w:bCs/>
          <w:color w:val="000000"/>
          <w:szCs w:val="21"/>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5.6</w:t>
      </w:r>
      <w:r>
        <w:rPr>
          <w:rFonts w:hint="eastAsia" w:ascii="宋体" w:hAnsi="宋体" w:eastAsia="宋体" w:cs="宋体"/>
          <w:bCs/>
          <w:color w:val="000000"/>
          <w:szCs w:val="21"/>
          <w:highlight w:val="none"/>
        </w:rPr>
        <w:t xml:space="preserve">评委会将允许修正投标文件中不构成重大偏离的、微小的、非正规的、不一致的或不规则的地方，但这些修改不能影响任何投标供应商相应的名次排列。</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bookmarkStart w:id="113" w:name="_Toc20823306"/>
      <w:r/>
      <w:bookmarkStart w:id="114" w:name="_Toc513029234"/>
      <w:r/>
      <w:bookmarkStart w:id="115" w:name="_Toc16938550"/>
      <w:r>
        <w:rPr>
          <w:rFonts w:hint="eastAsia" w:ascii="宋体" w:hAnsi="宋体" w:eastAsia="宋体" w:cs="宋体"/>
          <w:color w:val="000000"/>
          <w:szCs w:val="21"/>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非单一产品采购项目，招标文件中将载明其中的核心产品。多家投标供应商提供的核心产品品牌相同的，按前两款规定处理。</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5.8 投标供应商在开、评标全过程中应保持通讯畅通，并安排专人与采购人或采购代理机构联系。</w:t>
      </w:r>
      <w:bookmarkEnd w:id="113"/>
      <w:r/>
      <w:bookmarkEnd w:id="114"/>
      <w:r/>
      <w:bookmarkEnd w:id="115"/>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6.无效投标条款和废标条款</w:t>
      </w:r>
      <w:r>
        <w:rPr>
          <w:rFonts w:hint="eastAsia" w:ascii="宋体" w:hAnsi="宋体" w:eastAsia="宋体" w:cs="宋体"/>
          <w:b/>
          <w:bCs/>
          <w:color w:val="000000"/>
          <w:sz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bookmarkStart w:id="116" w:name="_Toc513029235"/>
      <w:r/>
      <w:bookmarkStart w:id="117" w:name="_Toc20823307"/>
      <w:r/>
      <w:bookmarkStart w:id="118" w:name="_Toc16938551"/>
      <w:r>
        <w:rPr>
          <w:rFonts w:hint="eastAsia" w:ascii="宋体" w:hAnsi="宋体" w:eastAsia="宋体" w:cs="宋体"/>
          <w:bCs/>
          <w:color w:val="000000"/>
          <w:szCs w:val="21"/>
          <w:highlight w:val="none"/>
        </w:rPr>
        <w:t xml:space="preserve">6.1无效投标条款</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 投标供应商在苏采云系统规定的时间内未成功解密电子投标文件的。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6.1.2 投标供应商未按照招标文件要求上传电子投标文件的。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6.1.3投标人同一分包提交两个（含两个）以上不同的投标报价的。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6.1.4投标供应商不具备招标文件中规定资格要求的。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6.1.5投标供应商的报价超过了采购预算或最高限价的。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i/>
          <w:color w:val="000000"/>
          <w:szCs w:val="21"/>
          <w:highlight w:val="none"/>
          <w:u w:val="single"/>
        </w:rPr>
      </w:pPr>
      <w:r>
        <w:rPr>
          <w:rFonts w:hint="eastAsia" w:ascii="宋体" w:hAnsi="宋体" w:eastAsia="宋体" w:cs="宋体"/>
          <w:bCs/>
          <w:color w:val="000000"/>
          <w:szCs w:val="21"/>
          <w:highlight w:val="none"/>
        </w:rPr>
        <w:t xml:space="preserve">6.1.6未通过符合性检查的。</w:t>
      </w:r>
      <w:r>
        <w:rPr>
          <w:rFonts w:hint="eastAsia" w:ascii="宋体" w:hAnsi="宋体" w:eastAsia="宋体" w:cs="宋体"/>
          <w:bCs/>
          <w:i/>
          <w:color w:val="000000"/>
          <w:szCs w:val="21"/>
          <w:highlight w:val="none"/>
          <w:u w:val="single"/>
        </w:rPr>
      </w:r>
      <w:r/>
    </w:p>
    <w:p>
      <w:pPr>
        <w:pStyle w:val="733"/>
        <w:ind w:firstLine="420"/>
        <w:spacing w:line="500" w:lineRule="exact"/>
        <w:shd w:val="clear" w:color="auto" w:fill="auto"/>
        <w:rPr>
          <w:rFonts w:hint="eastAsia" w:ascii="宋体" w:hAnsi="宋体" w:eastAsia="宋体" w:cs="宋体"/>
          <w:bCs/>
          <w:i/>
          <w:color w:val="000000"/>
          <w:szCs w:val="21"/>
          <w:highlight w:val="none"/>
          <w:u w:val="single"/>
        </w:rPr>
      </w:pPr>
      <w:r>
        <w:rPr>
          <w:rFonts w:hint="eastAsia" w:ascii="宋体" w:hAnsi="宋体" w:eastAsia="宋体" w:cs="宋体"/>
          <w:bCs/>
          <w:color w:val="000000"/>
          <w:szCs w:val="21"/>
          <w:highlight w:val="none"/>
        </w:rPr>
        <w:t xml:space="preserve"> 6.1.7不符合招标文件中规定的其他实质性要求和条件的。</w:t>
      </w:r>
      <w:r>
        <w:rPr>
          <w:rFonts w:hint="eastAsia" w:ascii="宋体" w:hAnsi="宋体" w:eastAsia="宋体" w:cs="宋体"/>
          <w:bCs/>
          <w:i/>
          <w:color w:val="000000"/>
          <w:szCs w:val="21"/>
          <w:highlight w:val="none"/>
          <w:u w:val="singl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6.1.9 投标文件含有采购人不能接受的附加条件的。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6.1.10评标委员会认为投标供应商的报价明显低于其他通过符合性审查投标供应商的报价，有可能影响产品质量或者不能诚信履约的，将通过</w:t>
      </w:r>
      <w:r>
        <w:rPr>
          <w:rFonts w:hint="eastAsia" w:ascii="宋体" w:hAnsi="宋体" w:eastAsia="宋体" w:cs="宋体"/>
          <w:color w:val="000000"/>
          <w:szCs w:val="21"/>
          <w:highlight w:val="none"/>
        </w:rPr>
        <w:t xml:space="preserve">”苏采云系统”</w:t>
      </w:r>
      <w:r>
        <w:rPr>
          <w:rFonts w:hint="eastAsia" w:ascii="宋体" w:hAnsi="宋体" w:eastAsia="宋体" w:cs="宋体"/>
          <w:bCs/>
          <w:color w:val="000000"/>
          <w:szCs w:val="21"/>
          <w:highlight w:val="none"/>
        </w:rPr>
        <w:t xml:space="preserve">要求其在合理的时间内提供说明，必要时提交相关证明材料；投标供应商不能证明其报价合理性的，评标委员会应当将其作为无效投标处理。</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6.1.12投标文件未按照招标文件要求加盖CA电子签章。</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6.1.13不同的投标供应商投标文件制作机器码、文件创建标识码一致的。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6.1.14投标供应商的商务技术部分得分相差悬殊，评标委员会一致认为得分畸低者没有实质性响应的。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6.1.15其他法律、法规及本招标文件规定的属无效投标的情形。</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6.2废标条款：</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6.2.1符合专业条件的供应商或者对招标文件作实质响应的供应商不足三家的。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6.2.2出现影响采购公正的违法、违规行为的。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6.2.3因重大变故，采购任务取消的。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6.2.4评标委员会认定招标文件存在歧义、重大缺陷导致评审工作无法进行。</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6.2.5 因苏采云系统故障原因造成开标不成功的。</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 投标截止时间结束后参加投标的供应商不足三家的处理：</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Cs w:val="21"/>
          <w:highlight w:val="none"/>
        </w:rPr>
      </w:r>
      <w:r/>
    </w:p>
    <w:p>
      <w:pPr>
        <w:pStyle w:val="733"/>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7.投标文件线上格式要求</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7.1投标供应商应当通过“苏采云”系统提交数据电文形式的投标文件（即电子投标）。</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7.2 通过“苏采云”系统提交政府采购客户端工具导出加密的投标文件（后缀名为zip）。投标文件不得超过150M！</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7.3 本项目采用线上投标，即投标供应商的投标文件从政府采购客户端工具制作通过“苏采云”系统提交，未提供线上投标文件的，投标无效。</w:t>
      </w:r>
      <w:bookmarkEnd w:id="116"/>
      <w:r/>
      <w:bookmarkEnd w:id="117"/>
      <w:r/>
      <w:bookmarkEnd w:id="118"/>
      <w:r>
        <w:rPr>
          <w:rFonts w:hint="eastAsia" w:ascii="宋体" w:hAnsi="宋体" w:eastAsia="宋体" w:cs="宋体"/>
          <w:bCs/>
          <w:color w:val="000000"/>
          <w:szCs w:val="21"/>
          <w:highlight w:val="none"/>
        </w:rPr>
      </w:r>
      <w:r/>
    </w:p>
    <w:p>
      <w:pPr>
        <w:pStyle w:val="736"/>
        <w:spacing w:before="0" w:after="0" w:line="500" w:lineRule="exact"/>
        <w:shd w:val="clear" w:color="auto" w:fill="auto"/>
        <w:rPr>
          <w:rFonts w:hint="eastAsia" w:ascii="宋体" w:hAnsi="宋体" w:eastAsia="宋体" w:cs="宋体"/>
          <w:color w:val="000000"/>
          <w:sz w:val="21"/>
          <w:szCs w:val="21"/>
          <w:highlight w:val="none"/>
        </w:rPr>
      </w:pPr>
      <w:r/>
      <w:bookmarkStart w:id="119" w:name="_Toc120614219"/>
      <w:r>
        <w:rPr>
          <w:rFonts w:hint="eastAsia" w:ascii="宋体" w:hAnsi="宋体" w:eastAsia="宋体" w:cs="宋体"/>
          <w:color w:val="000000"/>
          <w:sz w:val="21"/>
          <w:szCs w:val="21"/>
          <w:highlight w:val="none"/>
        </w:rPr>
        <w:t xml:space="preserve">（六）定标</w:t>
      </w:r>
      <w:bookmarkEnd w:id="119"/>
      <w:r>
        <w:rPr>
          <w:rFonts w:hint="eastAsia" w:ascii="宋体" w:hAnsi="宋体" w:eastAsia="宋体" w:cs="宋体"/>
          <w:color w:val="000000"/>
          <w:sz w:val="21"/>
          <w:szCs w:val="21"/>
          <w:highlight w:val="none"/>
        </w:rPr>
      </w:r>
      <w:r/>
    </w:p>
    <w:p>
      <w:pPr>
        <w:pStyle w:val="737"/>
        <w:jc w:val="both"/>
        <w:spacing w:line="500" w:lineRule="exact"/>
        <w:shd w:val="clear" w:color="auto" w:fill="auto"/>
        <w:rPr>
          <w:rFonts w:hint="eastAsia" w:ascii="宋体" w:hAnsi="宋体" w:eastAsia="宋体" w:cs="宋体"/>
          <w:b/>
          <w:color w:val="000000"/>
          <w:sz w:val="21"/>
          <w:highlight w:val="none"/>
        </w:rPr>
      </w:pPr>
      <w:r/>
      <w:bookmarkStart w:id="120" w:name="_Toc16938554"/>
      <w:r/>
      <w:bookmarkStart w:id="121" w:name="_Toc20823310"/>
      <w:r>
        <w:rPr>
          <w:rFonts w:hint="eastAsia" w:ascii="宋体" w:hAnsi="宋体" w:eastAsia="宋体" w:cs="宋体"/>
          <w:color w:val="000000"/>
          <w:sz w:val="21"/>
          <w:highlight w:val="none"/>
        </w:rPr>
        <w:t xml:space="preserve">1.确定</w:t>
      </w:r>
      <w:bookmarkEnd w:id="120"/>
      <w:r/>
      <w:bookmarkEnd w:id="121"/>
      <w:r>
        <w:rPr>
          <w:rFonts w:hint="eastAsia" w:ascii="宋体" w:hAnsi="宋体" w:eastAsia="宋体" w:cs="宋体"/>
          <w:color w:val="000000"/>
          <w:sz w:val="21"/>
          <w:highlight w:val="none"/>
        </w:rPr>
        <w:t xml:space="preserve">中标人</w:t>
      </w:r>
      <w:r>
        <w:rPr>
          <w:rFonts w:hint="eastAsia" w:ascii="宋体" w:hAnsi="宋体" w:eastAsia="宋体" w:cs="宋体"/>
          <w:b/>
          <w:color w:val="000000"/>
          <w:sz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1.1中标候选人的选取原则和数量见招标文件第四部分规定。 </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1.2采购人应根据评标委员会推荐的中标候选人确定中标人。</w:t>
      </w:r>
      <w:r>
        <w:rPr>
          <w:rFonts w:hint="eastAsia" w:ascii="宋体" w:hAnsi="宋体" w:eastAsia="宋体" w:cs="宋体"/>
          <w:bCs/>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1.3 </w:t>
      </w:r>
      <w:r>
        <w:rPr>
          <w:rFonts w:hint="eastAsia" w:ascii="宋体" w:hAnsi="宋体" w:eastAsia="宋体" w:cs="宋体"/>
          <w:color w:val="000000"/>
          <w:szCs w:val="21"/>
          <w:highlight w:val="none"/>
        </w:rPr>
        <w:t xml:space="preserve">采购人或采购代理机构将在“江苏政府采购网”发布中标公告，公告期限为1个工作日。</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  若有充分证据证明，中标人出现下列情况之一的，一经查实，将被取消中标资格：</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1.4.1提供虚假材料谋取中标的。</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1.4.2向采购人或采购代理机构行贿或者评审专家提供其他不正当利益的。</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1.4.3恶意竞争，投标总报价明显低于其自身合理成本且又无法提供证明的。</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1.4.4属于本文件规定的无效条件，但在评标过程中又未被评委会发现的。</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1.4.5与采购人或者其他供应商恶意串通的。</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1.4.6采取不正当手段诋毁、排挤其他供应商的。</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bookmarkStart w:id="122" w:name="_Toc200451960"/>
      <w:r>
        <w:rPr>
          <w:rFonts w:hint="eastAsia" w:ascii="宋体" w:hAnsi="宋体" w:eastAsia="宋体" w:cs="宋体"/>
          <w:color w:val="000000"/>
          <w:szCs w:val="21"/>
          <w:highlight w:val="none"/>
        </w:rPr>
        <w:t xml:space="preserve">1.5.有下列情形之一的，视为投标供应商串通投标，投标无效：</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1.5.1不同投标供应商的投标文件由同一单位或者个人编制；</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1.5.2不同投标供应商委托同一单位或者个人办理投标事宜；</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1.5.3不同投标供应商的投标文件载明的项目管理成员或者联系人员为同一人；</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1.5.4不同投标供应商的投标文件异常一致或者投标报价呈规律性差异；</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1.5.5不同投标供应商的投标文件相互混装。</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2.质疑处理</w:t>
      </w:r>
      <w:bookmarkEnd w:id="122"/>
      <w:r>
        <w:rPr>
          <w:rFonts w:hint="eastAsia" w:ascii="宋体" w:hAnsi="宋体" w:eastAsia="宋体" w:cs="宋体"/>
          <w:b/>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2.2.1对可以质疑的采购文件提出质疑的，为收到采购文件之日或者采购文件公告期限届满之日；</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2.2.2对采购过程提出质疑的，为各采购程序环节结束之日；</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2.2.3对中标结果提出质疑的，为中标结果公告期限届满之日。</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2.4质疑答复依据《政府采购质疑和投诉办法》（财政部令第94号）。</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采购人质疑接收人及联系方式，见招标文件第一部分。</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 以下情形的质疑不予受理</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 内容不符合《政府采购质疑和投诉办法》第十二条规定的质疑。</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 超出政府采购法定期限的质疑。</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 未参加投标活动的供应商或在投标活动中自身权益未受到损害的供应商所提出的质疑。</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2.5.4供应商组成联合体参加投标，联合体中任何一方或多方未按要求签字、盖章、加盖公章的质疑。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733"/>
        <w:ind w:firstLine="546"/>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3.中标通知书</w:t>
      </w:r>
      <w:r>
        <w:rPr>
          <w:rFonts w:hint="eastAsia" w:ascii="宋体" w:hAnsi="宋体" w:eastAsia="宋体" w:cs="宋体"/>
          <w:b/>
          <w:color w:val="000000"/>
          <w:sz w:val="21"/>
          <w:highlight w:val="none"/>
        </w:rPr>
      </w:r>
      <w:r/>
    </w:p>
    <w:p>
      <w:pPr>
        <w:pStyle w:val="733"/>
        <w:ind w:firstLine="700"/>
        <w:spacing w:line="480" w:lineRule="exact"/>
        <w:shd w:val="clear" w:color="auto" w:fill="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3.1中标结果确定后，</w:t>
      </w:r>
      <w:r>
        <w:rPr>
          <w:rFonts w:hint="eastAsia" w:ascii="宋体" w:hAnsi="宋体" w:eastAsia="宋体" w:cs="宋体"/>
          <w:bCs/>
          <w:color w:val="000000"/>
          <w:szCs w:val="21"/>
          <w:highlight w:val="none"/>
        </w:rPr>
        <w:t xml:space="preserve">采购人或采购代理机构</w:t>
      </w:r>
      <w:r>
        <w:rPr>
          <w:rFonts w:hint="eastAsia" w:ascii="宋体" w:hAnsi="宋体" w:eastAsia="宋体" w:cs="宋体"/>
          <w:color w:val="000000"/>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Cs w:val="21"/>
          <w:highlight w:val="none"/>
        </w:rPr>
      </w:r>
      <w:r/>
    </w:p>
    <w:p>
      <w:pPr>
        <w:pStyle w:val="733"/>
        <w:ind w:firstLine="557"/>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3.3中标人须提供</w:t>
      </w:r>
      <w:r>
        <w:rPr>
          <w:rFonts w:hint="eastAsia" w:ascii="宋体" w:hAnsi="宋体" w:eastAsia="宋体" w:cs="宋体"/>
          <w:b/>
          <w:color w:val="000000"/>
          <w:szCs w:val="21"/>
          <w:highlight w:val="none"/>
          <w:lang w:val="en-US" w:eastAsia="zh-CN"/>
        </w:rPr>
        <w:t xml:space="preserve">叁</w:t>
      </w:r>
      <w:r>
        <w:rPr>
          <w:rFonts w:hint="eastAsia" w:ascii="宋体" w:hAnsi="宋体" w:eastAsia="宋体" w:cs="宋体"/>
          <w:b/>
          <w:color w:val="000000"/>
          <w:szCs w:val="21"/>
          <w:highlight w:val="none"/>
        </w:rPr>
        <w:t xml:space="preserve">份纸质版投标文件至采购代理机构。</w:t>
      </w:r>
      <w:r>
        <w:rPr>
          <w:rFonts w:hint="eastAsia" w:ascii="宋体" w:hAnsi="宋体" w:eastAsia="宋体" w:cs="宋体"/>
          <w:b/>
          <w:color w:val="000000"/>
          <w:szCs w:val="21"/>
          <w:highlight w:val="none"/>
        </w:rPr>
      </w:r>
      <w:r/>
    </w:p>
    <w:p>
      <w:pPr>
        <w:pStyle w:val="736"/>
        <w:spacing w:before="0" w:after="0" w:line="500" w:lineRule="exact"/>
        <w:shd w:val="clear" w:color="auto" w:fill="auto"/>
        <w:rPr>
          <w:rFonts w:hint="eastAsia" w:ascii="宋体" w:hAnsi="宋体" w:eastAsia="宋体" w:cs="宋体"/>
          <w:color w:val="000000"/>
          <w:sz w:val="21"/>
          <w:szCs w:val="21"/>
          <w:highlight w:val="none"/>
        </w:rPr>
      </w:pPr>
      <w:r/>
      <w:bookmarkStart w:id="123" w:name="_Toc20823308"/>
      <w:r/>
      <w:bookmarkStart w:id="124" w:name="_Toc513029236"/>
      <w:r/>
      <w:bookmarkStart w:id="125" w:name="_Toc16938552"/>
      <w:r/>
      <w:bookmarkStart w:id="126" w:name="_Toc120614220"/>
      <w:r>
        <w:rPr>
          <w:rFonts w:hint="eastAsia" w:ascii="宋体" w:hAnsi="宋体" w:eastAsia="宋体" w:cs="宋体"/>
          <w:color w:val="000000"/>
          <w:sz w:val="21"/>
          <w:szCs w:val="21"/>
          <w:highlight w:val="none"/>
        </w:rPr>
        <w:t xml:space="preserve">（七）授予合同</w:t>
      </w:r>
      <w:bookmarkEnd w:id="123"/>
      <w:r/>
      <w:bookmarkEnd w:id="124"/>
      <w:r/>
      <w:bookmarkEnd w:id="125"/>
      <w:r/>
      <w:bookmarkEnd w:id="126"/>
      <w:r>
        <w:rPr>
          <w:rFonts w:hint="eastAsia" w:ascii="宋体" w:hAnsi="宋体" w:eastAsia="宋体" w:cs="宋体"/>
          <w:color w:val="000000"/>
          <w:sz w:val="21"/>
          <w:szCs w:val="21"/>
          <w:highlight w:val="none"/>
        </w:rPr>
      </w:r>
      <w:r/>
    </w:p>
    <w:p>
      <w:pPr>
        <w:pStyle w:val="737"/>
        <w:jc w:val="both"/>
        <w:spacing w:line="500" w:lineRule="exact"/>
        <w:shd w:val="clear" w:color="auto" w:fill="auto"/>
        <w:rPr>
          <w:rFonts w:hint="eastAsia" w:ascii="宋体" w:hAnsi="宋体" w:eastAsia="宋体" w:cs="宋体"/>
          <w:b/>
          <w:color w:val="000000"/>
          <w:sz w:val="21"/>
          <w:highlight w:val="none"/>
        </w:rPr>
      </w:pPr>
      <w:r/>
      <w:bookmarkStart w:id="127" w:name="_Toc513029237"/>
      <w:r/>
      <w:bookmarkStart w:id="128" w:name="_Toc16938553"/>
      <w:r/>
      <w:bookmarkStart w:id="129" w:name="_Toc20823309"/>
      <w:r>
        <w:rPr>
          <w:rFonts w:hint="eastAsia" w:ascii="宋体" w:hAnsi="宋体" w:eastAsia="宋体" w:cs="宋体"/>
          <w:color w:val="000000"/>
          <w:sz w:val="21"/>
          <w:highlight w:val="none"/>
        </w:rPr>
        <w:t xml:space="preserve">1.签订合同</w:t>
      </w:r>
      <w:r>
        <w:rPr>
          <w:rFonts w:hint="eastAsia" w:ascii="宋体" w:hAnsi="宋体" w:eastAsia="宋体" w:cs="宋体"/>
          <w:b/>
          <w:color w:val="000000"/>
          <w:sz w:val="21"/>
          <w:highlight w:val="none"/>
        </w:rPr>
      </w:r>
      <w:r/>
    </w:p>
    <w:p>
      <w:pPr>
        <w:pStyle w:val="733"/>
        <w:ind w:firstLine="70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color w:val="000000"/>
          <w:szCs w:val="21"/>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733"/>
        <w:ind w:firstLine="70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1.2招标文件、中标人的投标文件及招标过程中有关澄清、承诺文件均应作为合同附件。</w:t>
      </w:r>
      <w:r>
        <w:rPr>
          <w:rFonts w:hint="eastAsia" w:ascii="宋体" w:hAnsi="宋体" w:eastAsia="宋体" w:cs="宋体"/>
          <w:color w:val="000000"/>
          <w:szCs w:val="21"/>
          <w:highlight w:val="none"/>
        </w:rPr>
      </w:r>
      <w:r/>
    </w:p>
    <w:p>
      <w:pPr>
        <w:pStyle w:val="733"/>
        <w:ind w:firstLine="70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1.3签订合同后，</w:t>
      </w:r>
      <w:r>
        <w:rPr>
          <w:rFonts w:hint="eastAsia" w:ascii="宋体" w:hAnsi="宋体" w:eastAsia="宋体" w:cs="宋体"/>
          <w:color w:val="000000"/>
          <w:szCs w:val="21"/>
          <w:highlight w:val="none"/>
          <w:u w:val="single"/>
        </w:rPr>
        <w:t xml:space="preserve">中标人不得将合同标的进行转包</w:t>
      </w:r>
      <w:r>
        <w:rPr>
          <w:rFonts w:hint="eastAsia" w:ascii="宋体" w:hAnsi="宋体" w:eastAsia="宋体" w:cs="宋体"/>
          <w:color w:val="000000"/>
          <w:szCs w:val="21"/>
          <w:highlight w:val="none"/>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color w:val="000000"/>
          <w:szCs w:val="21"/>
          <w:highlight w:val="none"/>
        </w:rPr>
      </w:r>
      <w:r/>
    </w:p>
    <w:p>
      <w:pPr>
        <w:pStyle w:val="737"/>
        <w:jc w:val="both"/>
        <w:spacing w:line="500" w:lineRule="exact"/>
        <w:shd w:val="clear" w:color="auto" w:fill="auto"/>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2.货物和服务的追加、减少和添购。</w:t>
      </w:r>
      <w:r>
        <w:rPr>
          <w:rFonts w:hint="eastAsia" w:ascii="宋体" w:hAnsi="宋体" w:eastAsia="宋体" w:cs="宋体"/>
          <w:b/>
          <w:color w:val="000000"/>
          <w:sz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r/>
      <w:bookmarkEnd w:id="128"/>
      <w:r/>
      <w:bookmarkEnd w:id="129"/>
      <w:r>
        <w:rPr>
          <w:rFonts w:hint="eastAsia" w:ascii="宋体" w:hAnsi="宋体" w:eastAsia="宋体" w:cs="宋体"/>
          <w:color w:val="000000"/>
          <w:szCs w:val="21"/>
          <w:highlight w:val="none"/>
        </w:rPr>
      </w:r>
      <w:r/>
    </w:p>
    <w:p>
      <w:pPr>
        <w:pStyle w:val="733"/>
        <w:spacing w:line="50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 政府采购合同信用融资扶持政策</w:t>
      </w:r>
      <w:r>
        <w:rPr>
          <w:rFonts w:hint="eastAsia" w:ascii="宋体" w:hAnsi="宋体" w:eastAsia="宋体" w:cs="宋体"/>
          <w:b/>
          <w:bCs/>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根据《关于深入开展南通市政府采购线上合同信用融资业务的通知》（通财购〔2022〕68号），中标人可通过中征应收账款融资服务平台（简称“中征平台”）办理“政采贷”融资贷款，具体业务操作流程如下： </w:t>
      </w:r>
      <w:r>
        <w:rPr>
          <w:rFonts w:hint="eastAsia" w:ascii="宋体" w:hAnsi="宋体" w:eastAsia="宋体" w:cs="宋体"/>
          <w:color w:val="000000"/>
          <w:szCs w:val="21"/>
          <w:highlight w:val="none"/>
        </w:rPr>
      </w:r>
      <w:r/>
    </w:p>
    <w:p>
      <w:pPr>
        <w:pStyle w:val="733"/>
        <w:ind w:firstLine="42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3.1.1</w:t>
      </w:r>
      <w:r>
        <w:rPr>
          <w:rFonts w:hint="eastAsia" w:ascii="宋体" w:hAnsi="宋体" w:eastAsia="宋体" w:cs="宋体"/>
          <w:color w:val="000000"/>
          <w:szCs w:val="21"/>
          <w:highlight w:val="none"/>
        </w:rPr>
        <w:t xml:space="preserve">确定融资意向。中标人取得中标通知书后，联系意向金融机构，商治融资事项，确定融资意向。</w:t>
      </w:r>
      <w:r>
        <w:rPr>
          <w:rFonts w:hint="eastAsia" w:ascii="宋体" w:hAnsi="宋体" w:eastAsia="宋体" w:cs="宋体"/>
          <w:color w:val="000000"/>
          <w:szCs w:val="21"/>
          <w:highlight w:val="none"/>
        </w:rPr>
      </w:r>
      <w:r/>
    </w:p>
    <w:p>
      <w:pPr>
        <w:pStyle w:val="737"/>
        <w:ind w:firstLine="420"/>
        <w:jc w:val="both"/>
        <w:spacing w:line="499" w:lineRule="atLeast"/>
        <w:shd w:val="clear" w:color="auto" w:fill="auto"/>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3.1.2</w:t>
      </w:r>
      <w:r>
        <w:rPr>
          <w:rFonts w:hint="eastAsia" w:ascii="宋体" w:hAnsi="宋体" w:eastAsia="宋体" w:cs="宋体"/>
          <w:color w:val="000000"/>
          <w:sz w:val="21"/>
          <w:highlight w:val="none"/>
        </w:rPr>
        <w:t xml:space="preserve">签订采购合同。中标人与采购人签订政府采购合同时，应将自身融资需求告知采购人或其委托的采购代理机构，提醒 (或协助 ) 其当天在“苏采云”上传合同的同时将“供应商是否融资”选为“是”</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r>
      <w:r/>
    </w:p>
    <w:p>
      <w:pPr>
        <w:pStyle w:val="737"/>
        <w:ind w:firstLine="420"/>
        <w:jc w:val="both"/>
        <w:spacing w:line="499" w:lineRule="atLeast"/>
        <w:shd w:val="clear" w:color="auto" w:fill="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3.1.3</w:t>
      </w:r>
      <w:r>
        <w:rPr>
          <w:rFonts w:hint="eastAsia" w:ascii="宋体" w:hAnsi="宋体" w:eastAsia="宋体" w:cs="宋体"/>
          <w:color w:val="000000"/>
          <w:sz w:val="21"/>
          <w:highlight w:val="none"/>
        </w:rPr>
        <w:t xml:space="preserve">提交融资申请。中标人登录“中征平台”进行用户注册，查看“政采贷”融资产品，向确定合作的金融机构提交融资申请。</w:t>
      </w:r>
      <w:r>
        <w:rPr>
          <w:rFonts w:hint="eastAsia" w:ascii="宋体" w:hAnsi="宋体" w:eastAsia="宋体" w:cs="宋体"/>
          <w:color w:val="000000"/>
          <w:sz w:val="21"/>
          <w:highlight w:val="none"/>
        </w:rPr>
      </w:r>
      <w:r/>
    </w:p>
    <w:p>
      <w:pPr>
        <w:pStyle w:val="737"/>
        <w:ind w:firstLine="420"/>
        <w:jc w:val="both"/>
        <w:spacing w:line="499" w:lineRule="atLeast"/>
        <w:shd w:val="clear" w:color="auto" w:fill="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3.1.4</w:t>
      </w:r>
      <w:r>
        <w:rPr>
          <w:rFonts w:hint="eastAsia" w:ascii="宋体" w:hAnsi="宋体" w:eastAsia="宋体" w:cs="宋体"/>
          <w:color w:val="000000"/>
          <w:sz w:val="21"/>
          <w:highlight w:val="none"/>
        </w:rPr>
        <w:t xml:space="preserve">确认回款账户。金融机构填写需要锁定的回款账户信息后中标人应登录“中征平台”确认账户信息，以实现回款账户的锁定。</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pStyle w:val="733"/>
        <w:ind w:firstLine="281"/>
        <w:jc w:val="center"/>
        <w:spacing w:line="500" w:lineRule="exact"/>
        <w:shd w:val="clear" w:color="auto" w:fill="auto"/>
        <w:rPr>
          <w:rFonts w:hint="eastAsia" w:ascii="宋体" w:hAnsi="宋体" w:eastAsia="宋体" w:cs="宋体"/>
          <w:bCs/>
          <w:color w:val="000000"/>
          <w:sz w:val="36"/>
          <w:szCs w:val="36"/>
          <w:highlight w:val="none"/>
        </w:rPr>
        <w:outlineLvl w:val="0"/>
      </w:pPr>
      <w:r>
        <w:rPr>
          <w:rFonts w:hint="eastAsia" w:ascii="宋体" w:hAnsi="宋体" w:eastAsia="宋体" w:cs="宋体"/>
          <w:color w:val="000000"/>
          <w:sz w:val="28"/>
          <w:szCs w:val="28"/>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733"/>
        <w:ind w:firstLine="422"/>
        <w:spacing w:line="360" w:lineRule="auto"/>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Cs w:val="21"/>
          <w:highlight w:val="none"/>
        </w:rPr>
      </w:r>
      <w:r/>
    </w:p>
    <w:p>
      <w:pPr>
        <w:pStyle w:val="733"/>
        <w:ind w:firstLine="422"/>
        <w:spacing w:line="360" w:lineRule="auto"/>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1"/>
      <w:r/>
      <w:bookmarkEnd w:id="2"/>
      <w:r/>
      <w:bookmarkEnd w:id="3"/>
      <w:r>
        <w:rPr>
          <w:rFonts w:hint="eastAsia" w:ascii="宋体" w:hAnsi="宋体" w:eastAsia="宋体" w:cs="宋体"/>
          <w:b/>
          <w:color w:val="000000"/>
          <w:szCs w:val="21"/>
          <w:highlight w:val="none"/>
        </w:rPr>
      </w:r>
      <w:r/>
    </w:p>
    <w:p>
      <w:pPr>
        <w:pStyle w:val="733"/>
        <w:pageBreakBefore w:val="0"/>
        <w:spacing w:line="360" w:lineRule="auto"/>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66"/>
        <w:ind w:firstLine="422"/>
        <w:pageBreakBefore w:val="0"/>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项目属性:货物类项目。</w:t>
      </w:r>
      <w:r>
        <w:rPr>
          <w:rFonts w:hint="eastAsia" w:ascii="宋体" w:hAnsi="宋体" w:eastAsia="宋体" w:cs="宋体"/>
          <w:b/>
          <w:color w:val="000000"/>
          <w:sz w:val="21"/>
          <w:szCs w:val="21"/>
          <w:highlight w:val="none"/>
          <w:lang w:val="en-US"/>
        </w:rPr>
      </w:r>
      <w:r/>
    </w:p>
    <w:p>
      <w:pPr>
        <w:pStyle w:val="1066"/>
        <w:ind w:firstLine="422"/>
        <w:pageBreakBefore w:val="0"/>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项目概况及建设内容：</w:t>
      </w:r>
      <w:r>
        <w:rPr>
          <w:rFonts w:hint="eastAsia" w:ascii="宋体" w:hAnsi="宋体" w:eastAsia="宋体" w:cs="宋体"/>
          <w:b/>
          <w:color w:val="000000"/>
          <w:sz w:val="21"/>
          <w:szCs w:val="21"/>
          <w:highlight w:val="none"/>
          <w:lang w:val="en-US"/>
        </w:rPr>
      </w:r>
      <w:r/>
    </w:p>
    <w:p>
      <w:pPr>
        <w:pStyle w:val="1066"/>
        <w:ind w:firstLine="409"/>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随着人工智能技术的快速发展，尤其是大模型（如Deepseek R1 671B）在自然语言处理、图像识别等领域的广泛应用，政府部门对高性能计算资源的需求日益增长。</w:t>
      </w:r>
      <w:r>
        <w:rPr>
          <w:rFonts w:hint="eastAsia" w:ascii="宋体" w:hAnsi="宋体" w:eastAsia="宋体" w:cs="宋体"/>
          <w:bCs/>
          <w:color w:val="000000"/>
          <w:sz w:val="21"/>
          <w:szCs w:val="21"/>
          <w:highlight w:val="none"/>
          <w:lang w:val="en-US"/>
        </w:rPr>
        <w:t xml:space="preserve">本次项目主要采购智算平台配套相关交换机和高性能存储设备。</w:t>
      </w:r>
      <w:r>
        <w:rPr>
          <w:rFonts w:hint="eastAsia" w:ascii="宋体" w:hAnsi="宋体" w:eastAsia="宋体" w:cs="宋体"/>
          <w:bCs/>
          <w:color w:val="000000"/>
          <w:sz w:val="21"/>
          <w:szCs w:val="21"/>
          <w:highlight w:val="none"/>
          <w:lang w:val="en-US"/>
        </w:rPr>
      </w:r>
      <w:r/>
    </w:p>
    <w:p>
      <w:pPr>
        <w:pStyle w:val="1066"/>
        <w:ind w:firstLine="409"/>
        <w:pageBreakBefore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在电子政务外网和互联网区域各部署1台算力互联交换机，1套存储节点，2台存储交换机</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066"/>
        <w:ind w:firstLine="409"/>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配套高性能存储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提供数据缓存和预取机制，减少I/O延迟。本次构建高性能全闪存储资源池2套，可用容量共不低于100TB。</w:t>
      </w:r>
      <w:r>
        <w:rPr>
          <w:rFonts w:hint="eastAsia" w:ascii="宋体" w:hAnsi="宋体" w:eastAsia="宋体" w:cs="宋体"/>
          <w:bCs/>
          <w:color w:val="000000"/>
          <w:sz w:val="21"/>
          <w:szCs w:val="21"/>
          <w:highlight w:val="none"/>
        </w:rPr>
      </w:r>
      <w:r/>
    </w:p>
    <w:p>
      <w:pPr>
        <w:pStyle w:val="1066"/>
        <w:ind w:firstLine="409"/>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配套高性能网络</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搭建高速算力及存储网络，支持PB级数据存储和访问。本次算力</w:t>
      </w:r>
      <w:r>
        <w:rPr>
          <w:rFonts w:hint="eastAsia" w:ascii="宋体" w:hAnsi="宋体" w:eastAsia="宋体" w:cs="宋体"/>
          <w:bCs/>
          <w:color w:val="000000"/>
          <w:sz w:val="21"/>
          <w:szCs w:val="21"/>
          <w:highlight w:val="none"/>
          <w:lang w:val="en-US"/>
        </w:rPr>
        <w:t xml:space="preserve">互联网络</w:t>
      </w:r>
      <w:r>
        <w:rPr>
          <w:rFonts w:hint="eastAsia" w:ascii="宋体" w:hAnsi="宋体" w:eastAsia="宋体" w:cs="宋体"/>
          <w:bCs/>
          <w:color w:val="000000"/>
          <w:sz w:val="21"/>
          <w:szCs w:val="21"/>
          <w:highlight w:val="none"/>
        </w:rPr>
        <w:t xml:space="preserve">不低于200G ROCE，存储网络不低于25G网络，</w:t>
      </w:r>
      <w:r>
        <w:rPr>
          <w:rFonts w:hint="eastAsia" w:ascii="宋体" w:hAnsi="宋体" w:eastAsia="宋体" w:cs="宋体"/>
          <w:bCs/>
          <w:color w:val="000000"/>
          <w:sz w:val="21"/>
          <w:szCs w:val="21"/>
          <w:highlight w:val="none"/>
          <w:lang w:val="en-US"/>
        </w:rPr>
        <w:t xml:space="preserve">保障</w:t>
      </w:r>
      <w:r>
        <w:rPr>
          <w:rFonts w:hint="eastAsia" w:ascii="宋体" w:hAnsi="宋体" w:eastAsia="宋体" w:cs="宋体"/>
          <w:bCs/>
          <w:color w:val="000000"/>
          <w:sz w:val="21"/>
          <w:szCs w:val="21"/>
          <w:highlight w:val="none"/>
        </w:rPr>
        <w:t xml:space="preserve">智算资源高效运行。</w:t>
      </w:r>
      <w:r>
        <w:rPr>
          <w:rFonts w:hint="eastAsia" w:ascii="宋体" w:hAnsi="宋体" w:eastAsia="宋体" w:cs="宋体"/>
          <w:bCs/>
          <w:color w:val="000000"/>
          <w:sz w:val="21"/>
          <w:szCs w:val="21"/>
          <w:highlight w:val="none"/>
        </w:rPr>
      </w:r>
      <w:r/>
    </w:p>
    <w:p>
      <w:pPr>
        <w:pStyle w:val="1068"/>
        <w:pageBreakBefore w:val="0"/>
        <w:spacing w:before="145" w:after="14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Ⅰ、采购标的清单</w:t>
      </w:r>
      <w:r>
        <w:rPr>
          <w:rFonts w:hint="eastAsia" w:ascii="宋体" w:hAnsi="宋体" w:eastAsia="宋体" w:cs="宋体"/>
          <w:color w:val="000000"/>
          <w:sz w:val="21"/>
          <w:szCs w:val="21"/>
          <w:highlight w:val="none"/>
        </w:rPr>
      </w:r>
      <w:r/>
    </w:p>
    <w:p>
      <w:pPr>
        <w:pStyle w:val="733"/>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1.政务网区</w:t>
      </w:r>
      <w:r>
        <w:rPr>
          <w:rFonts w:hint="eastAsia" w:ascii="宋体" w:hAnsi="宋体" w:eastAsia="宋体" w:cs="宋体"/>
          <w:color w:val="000000"/>
          <w:sz w:val="21"/>
          <w:szCs w:val="21"/>
          <w:highlight w:val="none"/>
        </w:rPr>
      </w:r>
      <w:r/>
    </w:p>
    <w:p>
      <w:pPr>
        <w:pStyle w:val="733"/>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采购存储节点1套、算力互联交换机1台、存储交换机2台。</w:t>
      </w:r>
      <w:r>
        <w:rPr>
          <w:rFonts w:hint="eastAsia" w:ascii="宋体" w:hAnsi="宋体" w:eastAsia="宋体" w:cs="宋体"/>
          <w:color w:val="000000"/>
          <w:sz w:val="21"/>
          <w:szCs w:val="21"/>
          <w:highlight w:val="none"/>
        </w:rPr>
      </w:r>
      <w:r/>
    </w:p>
    <w:p>
      <w:pPr>
        <w:pStyle w:val="733"/>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2.互联网区</w:t>
      </w:r>
      <w:r>
        <w:rPr>
          <w:rFonts w:hint="eastAsia" w:ascii="宋体" w:hAnsi="宋体" w:eastAsia="宋体" w:cs="宋体"/>
          <w:color w:val="000000"/>
          <w:sz w:val="21"/>
          <w:szCs w:val="21"/>
          <w:highlight w:val="none"/>
        </w:rPr>
      </w:r>
      <w:r/>
    </w:p>
    <w:p>
      <w:pPr>
        <w:pStyle w:val="733"/>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采购存储节点1套、算力互联交换机1台、存储交换机2台。</w:t>
      </w:r>
      <w:r>
        <w:rPr>
          <w:rFonts w:hint="eastAsia" w:ascii="宋体" w:hAnsi="宋体" w:eastAsia="宋体" w:cs="宋体"/>
          <w:color w:val="000000"/>
          <w:sz w:val="21"/>
          <w:szCs w:val="21"/>
          <w:highlight w:val="none"/>
        </w:rPr>
      </w:r>
      <w:r/>
    </w:p>
    <w:p>
      <w:pPr>
        <w:pStyle w:val="733"/>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设备清单如下：</w:t>
      </w:r>
      <w:r>
        <w:rPr>
          <w:rFonts w:hint="eastAsia" w:ascii="宋体" w:hAnsi="宋体" w:eastAsia="宋体" w:cs="宋体"/>
          <w:color w:val="000000"/>
          <w:sz w:val="21"/>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468"/>
        <w:gridCol w:w="829"/>
        <w:gridCol w:w="829"/>
        <w:gridCol w:w="4268"/>
      </w:tblGrid>
      <w:tr>
        <w:trPr>
          <w:trHeight w:val="585"/>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345" w:type="dxa"/>
            <w:vAlign w:val="center"/>
            <w:textDirection w:val="lrTb"/>
            <w:noWrap/>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52" w:type="dxa"/>
            <w:vAlign w:val="center"/>
            <w:textDirection w:val="lrTb"/>
            <w:noWrap/>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52" w:type="dxa"/>
            <w:vAlign w:val="center"/>
            <w:textDirection w:val="lrTb"/>
            <w:noWrap/>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对应中小企业划分标准所属行业</w:t>
            </w:r>
            <w:r>
              <w:rPr>
                <w:rFonts w:hint="eastAsia" w:ascii="宋体" w:hAnsi="宋体" w:eastAsia="宋体" w:cs="宋体"/>
                <w:b/>
                <w:bCs/>
                <w:color w:val="000000"/>
                <w:sz w:val="21"/>
                <w:szCs w:val="21"/>
                <w:highlight w:val="none"/>
              </w:rPr>
            </w:r>
            <w:r/>
          </w:p>
        </w:tc>
      </w:tr>
      <w:tr>
        <w:trPr>
          <w:trHeight w:val="275"/>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存储节点1</w:t>
            </w:r>
            <w:r>
              <w:rPr>
                <w:rFonts w:hint="eastAsia" w:ascii="宋体" w:hAnsi="宋体" w:eastAsia="宋体" w:cs="宋体"/>
                <w:b/>
                <w:bCs/>
                <w:color w:val="000000"/>
                <w:sz w:val="21"/>
                <w:szCs w:val="21"/>
                <w:highlight w:val="none"/>
              </w:rPr>
              <w:t xml:space="preserve">（核心产品、主要标的）</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251"/>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算力互联交换机1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200"/>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存储交换机1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70"/>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存储节点2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70"/>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算力互联交换机2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70"/>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存储交换机2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bl>
    <w:p>
      <w:pPr>
        <w:pStyle w:val="1066"/>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068"/>
        <w:pageBreakBefore w:val="0"/>
        <w:spacing w:before="145" w:after="14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Ⅱ、技术部分要求</w:t>
      </w:r>
      <w:r>
        <w:rPr>
          <w:rFonts w:hint="eastAsia" w:ascii="宋体" w:hAnsi="宋体" w:eastAsia="宋体" w:cs="宋体"/>
          <w:color w:val="000000"/>
          <w:sz w:val="21"/>
          <w:szCs w:val="21"/>
          <w:highlight w:val="none"/>
        </w:rPr>
      </w:r>
      <w:r/>
    </w:p>
    <w:p>
      <w:pPr>
        <w:pStyle w:val="733"/>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1"/>
          <w:szCs w:val="21"/>
          <w:highlight w:val="none"/>
        </w:rPr>
      </w:r>
      <w:r/>
    </w:p>
    <w:p>
      <w:pPr>
        <w:pStyle w:val="733"/>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rPr>
          <w:rFonts w:hint="eastAsia" w:ascii="宋体" w:hAnsi="宋体" w:eastAsia="宋体" w:cs="宋体"/>
          <w:bCs/>
          <w:color w:val="000000"/>
          <w:sz w:val="21"/>
          <w:szCs w:val="21"/>
          <w:highlight w:val="none"/>
        </w:rPr>
      </w:r>
      <w:r/>
    </w:p>
    <w:p>
      <w:pPr>
        <w:pStyle w:val="733"/>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必须对以下所有招标技术参数要求逐项编写《技术要求响应及偏离表》。投标人所提供的所有证明材料应加盖投标单位公章，未提供有效证明材料或证明材料中内容与所填报指标不一致，该指标按不满足处理。</w:t>
      </w:r>
      <w:r>
        <w:rPr>
          <w:rFonts w:hint="eastAsia" w:ascii="宋体" w:hAnsi="宋体" w:eastAsia="宋体" w:cs="宋体"/>
          <w:bCs/>
          <w:color w:val="000000"/>
          <w:sz w:val="21"/>
          <w:szCs w:val="21"/>
          <w:highlight w:val="none"/>
        </w:rPr>
      </w:r>
      <w:r/>
    </w:p>
    <w:p>
      <w:pPr>
        <w:pStyle w:val="733"/>
        <w:ind w:firstLine="42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备注：（1）★参数为关键性参数，不接受负偏离，不能满足视为未实质性响应，作无效标处理。</w:t>
      </w:r>
      <w:r>
        <w:rPr>
          <w:rFonts w:hint="eastAsia" w:ascii="宋体" w:hAnsi="宋体" w:eastAsia="宋体" w:cs="宋体"/>
          <w:color w:val="000000"/>
          <w:sz w:val="21"/>
          <w:szCs w:val="21"/>
          <w:highlight w:val="none"/>
        </w:rPr>
      </w:r>
      <w:r/>
    </w:p>
    <w:p>
      <w:pPr>
        <w:pStyle w:val="1070"/>
        <w:ind w:left="0"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（2）中标人在签订合同前提供参数中要求提供证明材料原件，如中标人弄虚作假，取消中标资格并需承担相关法律责任。</w:t>
      </w:r>
      <w:r>
        <w:rPr>
          <w:rFonts w:hint="eastAsia" w:ascii="宋体" w:hAnsi="宋体" w:eastAsia="宋体" w:cs="宋体"/>
          <w:color w:val="000000"/>
          <w:sz w:val="21"/>
          <w:szCs w:val="21"/>
          <w:highlight w:val="none"/>
        </w:rPr>
      </w:r>
      <w:r/>
    </w:p>
    <w:p>
      <w:pPr>
        <w:pStyle w:val="733"/>
        <w:ind w:firstLine="42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次项目集成所需的尾纤、网线等相关施工辅材、服务以及项目中需与南通市电子政务云平台兼容对接的标的产品，兼容对接所产生的软件授权或定制开发等费用等均由投标人自行提供，合价包干，投标时须提供承诺函并加盖投标人公章。</w:t>
      </w:r>
      <w:r>
        <w:rPr>
          <w:rFonts w:hint="eastAsia" w:ascii="宋体" w:hAnsi="宋体" w:eastAsia="宋体" w:cs="宋体"/>
          <w:color w:val="000000"/>
          <w:sz w:val="21"/>
          <w:szCs w:val="21"/>
          <w:highlight w:val="none"/>
        </w:rPr>
      </w:r>
      <w:r/>
    </w:p>
    <w:p>
      <w:pPr>
        <w:pStyle w:val="733"/>
        <w:ind w:firstLine="42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（4）本项目所有软硬件产品质保期为五年，免费送货、免费安装，在质保期内免费维护维修及技术支持，中标后签订合同前提供中标供应商和设备原厂商对本项目相关产品的五年售后质保承诺函原件。</w:t>
      </w:r>
      <w:r>
        <w:rPr>
          <w:rFonts w:hint="eastAsia" w:ascii="宋体" w:hAnsi="宋体" w:eastAsia="宋体" w:cs="宋体"/>
          <w:color w:val="000000"/>
          <w:sz w:val="21"/>
          <w:szCs w:val="21"/>
          <w:highlight w:val="none"/>
        </w:rPr>
      </w:r>
      <w:r/>
    </w:p>
    <w:p>
      <w:pPr>
        <w:pStyle w:val="1066"/>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一、建设内容</w:t>
      </w:r>
      <w:r>
        <w:rPr>
          <w:rFonts w:hint="eastAsia" w:ascii="宋体" w:hAnsi="宋体" w:eastAsia="宋体" w:cs="宋体"/>
          <w:b/>
          <w:bCs/>
          <w:color w:val="000000"/>
          <w:sz w:val="21"/>
          <w:szCs w:val="21"/>
          <w:highlight w:val="none"/>
          <w:lang w:val="en-US"/>
        </w:rPr>
      </w:r>
      <w:r/>
    </w:p>
    <w:p>
      <w:pPr>
        <w:pStyle w:val="106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1、政务云政务网区：采购存储节点1套、算力互联交换机1台、存储交换机2台、高性能服务器4台。</w:t>
      </w:r>
      <w:r>
        <w:rPr>
          <w:rFonts w:hint="eastAsia" w:ascii="宋体" w:hAnsi="宋体" w:eastAsia="宋体" w:cs="宋体"/>
          <w:bCs/>
          <w:color w:val="000000"/>
          <w:sz w:val="21"/>
          <w:szCs w:val="21"/>
          <w:highlight w:val="none"/>
        </w:rPr>
      </w:r>
      <w:r/>
    </w:p>
    <w:p>
      <w:pPr>
        <w:pStyle w:val="1066"/>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Cs/>
          <w:color w:val="000000"/>
          <w:sz w:val="21"/>
          <w:szCs w:val="21"/>
          <w:highlight w:val="none"/>
        </w:rPr>
        <w:t xml:space="preserve">2、互联网区：采购存储节点1套、算力互联交换机1台、存储交换机2台、高性能服务器4台。</w:t>
      </w:r>
      <w:r>
        <w:rPr>
          <w:rFonts w:hint="eastAsia" w:ascii="宋体" w:hAnsi="宋体" w:eastAsia="宋体" w:cs="宋体"/>
          <w:b/>
          <w:bCs/>
          <w:color w:val="000000"/>
          <w:sz w:val="21"/>
          <w:szCs w:val="21"/>
          <w:highlight w:val="none"/>
          <w:lang w:val="en-US"/>
        </w:rPr>
      </w:r>
      <w:r/>
    </w:p>
    <w:p>
      <w:pPr>
        <w:pStyle w:val="1066"/>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主要设备清单如下：</w:t>
      </w:r>
      <w:r>
        <w:rPr>
          <w:rFonts w:hint="eastAsia" w:ascii="宋体" w:hAnsi="宋体" w:eastAsia="宋体" w:cs="宋体"/>
          <w:color w:val="000000"/>
          <w:sz w:val="21"/>
          <w:szCs w:val="21"/>
          <w:highlight w:val="none"/>
          <w:lang w:val="en-US"/>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36"/>
        <w:gridCol w:w="2559"/>
        <w:gridCol w:w="2033"/>
        <w:gridCol w:w="638"/>
        <w:gridCol w:w="638"/>
        <w:gridCol w:w="2670"/>
      </w:tblGrid>
      <w:tr>
        <w:trPr>
          <w:trHeight w:val="142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2559" w:type="dxa"/>
            <w:vAlign w:val="center"/>
            <w:textDirection w:val="lrTb"/>
            <w:noWrap/>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2033" w:type="dxa"/>
            <w:vAlign w:val="center"/>
            <w:textDirection w:val="lrTb"/>
            <w:noWrap/>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配置规格</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38" w:type="dxa"/>
            <w:vAlign w:val="center"/>
            <w:textDirection w:val="lrTb"/>
            <w:noWrap/>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38" w:type="dxa"/>
            <w:vAlign w:val="center"/>
            <w:textDirection w:val="lrTb"/>
            <w:noWrap/>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670" w:type="dxa"/>
            <w:vAlign w:val="center"/>
            <w:textDirection w:val="lrTb"/>
            <w:noWrap w:val="false"/>
          </w:tcPr>
          <w:p>
            <w:pPr>
              <w:pStyle w:val="733"/>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对应中小企业划分标准所属行业</w:t>
            </w:r>
            <w:r>
              <w:rPr>
                <w:rFonts w:hint="eastAsia" w:ascii="宋体" w:hAnsi="宋体" w:eastAsia="宋体" w:cs="宋体"/>
                <w:b/>
                <w:bCs/>
                <w:color w:val="000000"/>
                <w:sz w:val="21"/>
                <w:szCs w:val="21"/>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559"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存储节点1</w:t>
            </w:r>
            <w:r>
              <w:rPr>
                <w:rFonts w:hint="eastAsia" w:ascii="宋体" w:hAnsi="宋体" w:eastAsia="宋体" w:cs="宋体"/>
                <w:b/>
                <w:bCs/>
                <w:color w:val="000000"/>
                <w:sz w:val="21"/>
                <w:szCs w:val="21"/>
                <w:highlight w:val="none"/>
              </w:rPr>
              <w:t xml:space="preserve">（核心产品、主要标的）</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具体见“技术指标要求”</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70"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559"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算力互联交换机1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具体见“技术指标要求”</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70"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559"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存储交换机1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具体见“技术指标要求”</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70"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559"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存储节点2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具体见“技术指标要求”</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70"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559"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算力互联交换机2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具体见“技术指标要求”</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70"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559"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存储交换机2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具体见“技术指标要求”</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670" w:type="dxa"/>
            <w:vAlign w:val="center"/>
            <w:textDirection w:val="lrTb"/>
            <w:noWrap/>
          </w:tcPr>
          <w:p>
            <w:pPr>
              <w:pStyle w:val="733"/>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制造业（工业）</w:t>
            </w:r>
            <w:r>
              <w:rPr>
                <w:rFonts w:hint="eastAsia" w:ascii="宋体" w:hAnsi="宋体" w:eastAsia="宋体" w:cs="宋体"/>
                <w:color w:val="000000"/>
                <w:sz w:val="21"/>
                <w:szCs w:val="21"/>
                <w:highlight w:val="none"/>
              </w:rPr>
            </w:r>
            <w:r/>
          </w:p>
        </w:tc>
      </w:tr>
    </w:tbl>
    <w:p>
      <w:pPr>
        <w:pStyle w:val="1066"/>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733"/>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二、技术要求：</w:t>
      </w:r>
      <w:r>
        <w:rPr>
          <w:rFonts w:hint="eastAsia" w:ascii="宋体" w:hAnsi="宋体" w:eastAsia="宋体" w:cs="宋体"/>
          <w:b/>
          <w:bCs/>
          <w:color w:val="000000"/>
          <w:sz w:val="21"/>
          <w:szCs w:val="21"/>
          <w:highlight w:val="none"/>
        </w:rPr>
      </w:r>
      <w:r/>
    </w:p>
    <w:p>
      <w:pPr>
        <w:pStyle w:val="733"/>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必须对以下所有招标技术参数要求逐项编写《技术要求响应及偏离表》。投标人所提供的所有证明材料应加盖投标单位公章，未提供有效证明材料或证明材料中内容与所填报指标不一致，该指标按不满足处理。</w:t>
      </w:r>
      <w:r>
        <w:rPr>
          <w:rFonts w:hint="eastAsia" w:ascii="宋体" w:hAnsi="宋体" w:eastAsia="宋体" w:cs="宋体"/>
          <w:bCs/>
          <w:color w:val="000000"/>
          <w:sz w:val="21"/>
          <w:szCs w:val="21"/>
          <w:highlight w:val="none"/>
        </w:rPr>
      </w:r>
      <w:r/>
    </w:p>
    <w:p>
      <w:pPr>
        <w:pStyle w:val="733"/>
        <w:ind w:firstLine="48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下述技术参数要求中加“★”标志的为实质性指标，不允许有负偏离。</w:t>
      </w:r>
      <w:r>
        <w:rPr>
          <w:rFonts w:hint="eastAsia" w:ascii="宋体" w:hAnsi="宋体" w:eastAsia="宋体" w:cs="宋体"/>
          <w:b/>
          <w:color w:val="000000"/>
          <w:sz w:val="21"/>
          <w:szCs w:val="21"/>
          <w:highlight w:val="none"/>
        </w:rPr>
      </w:r>
      <w:r/>
    </w:p>
    <w:p>
      <w:pPr>
        <w:pStyle w:val="733"/>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人须提供本项目硬件（含软硬一体）和软件的相关质保服务，具体质保年限参照技术要求参数部分，本项目中所列软硬件质保期、系统集成维保服务期等各类期限从项目通过验收之日起开始计算。中标后签订合同前提供设备原厂商对本项目的售后质保函原件。</w:t>
      </w:r>
      <w:r>
        <w:rPr>
          <w:rFonts w:hint="eastAsia" w:ascii="宋体" w:hAnsi="宋体" w:eastAsia="宋体" w:cs="宋体"/>
          <w:color w:val="000000"/>
          <w:sz w:val="21"/>
          <w:szCs w:val="21"/>
          <w:highlight w:val="none"/>
        </w:rPr>
      </w:r>
      <w:r/>
    </w:p>
    <w:p>
      <w:pPr>
        <w:pStyle w:val="855"/>
        <w:ind w:left="360" w:hanging="36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1、存储节点1</w:t>
      </w:r>
      <w:r>
        <w:rPr>
          <w:rFonts w:hint="eastAsia" w:ascii="宋体" w:hAnsi="宋体" w:eastAsia="宋体" w:cs="宋体"/>
          <w:b/>
          <w:bCs/>
          <w:color w:val="000000"/>
          <w:sz w:val="21"/>
          <w:szCs w:val="21"/>
          <w:highlight w:val="none"/>
        </w:rPr>
        <w:t xml:space="preserve">（核心产品、主要标的）</w:t>
      </w:r>
      <w:r>
        <w:rPr>
          <w:rFonts w:hint="eastAsia" w:ascii="宋体" w:hAnsi="宋体" w:eastAsia="宋体" w:cs="宋体"/>
          <w:b/>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7831"/>
      </w:tblGrid>
      <w:tr>
        <w:trPr>
          <w:trHeight w:val="20"/>
        </w:trPr>
        <w:tc>
          <w:tcPr>
            <w:tcW w:w="732" w:type="dxa"/>
            <w:vAlign w:val="center"/>
            <w:textDirection w:val="lrTb"/>
            <w:noWrap w:val="false"/>
          </w:tcPr>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b/>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技术参数要求</w:t>
            </w:r>
            <w:r>
              <w:rPr>
                <w:rFonts w:hint="eastAsia" w:ascii="宋体" w:hAnsi="宋体" w:eastAsia="宋体" w:cs="宋体"/>
                <w:b/>
                <w:bCs/>
                <w:color w:val="000000"/>
                <w:sz w:val="21"/>
                <w:szCs w:val="21"/>
                <w:highlight w:val="none"/>
              </w:rPr>
            </w:r>
            <w:r/>
          </w:p>
        </w:tc>
      </w:tr>
      <w:tr>
        <w:trPr>
          <w:trHeight w:val="2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部署方式</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Scale-out横向扩展的分布式架构，节点间完全对称，无独立的元数据物理服务器或索引服务器</w:t>
            </w:r>
            <w:r>
              <w:rPr>
                <w:rFonts w:hint="eastAsia" w:ascii="宋体" w:hAnsi="宋体" w:eastAsia="宋体" w:cs="宋体"/>
                <w:bCs/>
                <w:color w:val="000000"/>
                <w:sz w:val="21"/>
                <w:szCs w:val="21"/>
                <w:highlight w:val="none"/>
              </w:rPr>
            </w:r>
            <w:r/>
          </w:p>
        </w:tc>
      </w:tr>
      <w:tr>
        <w:trPr>
          <w:trHeight w:val="2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IPv6支持</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同时支持IPv4和IPv6协议，在同时部署IPv4和IPv6组网的情况可正常进行业务访问；</w:t>
            </w:r>
            <w:r>
              <w:rPr>
                <w:rFonts w:hint="eastAsia" w:ascii="宋体" w:hAnsi="宋体" w:eastAsia="宋体" w:cs="宋体"/>
                <w:bCs/>
                <w:color w:val="000000"/>
                <w:sz w:val="21"/>
                <w:szCs w:val="21"/>
                <w:highlight w:val="none"/>
              </w:rPr>
            </w:r>
            <w:r/>
          </w:p>
        </w:tc>
      </w:tr>
      <w:tr>
        <w:trPr>
          <w:trHeight w:val="20"/>
        </w:trPr>
        <w:tc>
          <w:tcPr>
            <w:tcW w:w="134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▲反磨损均衡</w:t>
            </w:r>
            <w:r>
              <w:rPr>
                <w:rFonts w:hint="eastAsia" w:ascii="宋体" w:hAnsi="宋体" w:eastAsia="宋体" w:cs="宋体"/>
                <w:bCs/>
                <w:color w:val="000000"/>
                <w:sz w:val="21"/>
                <w:szCs w:val="21"/>
                <w:highlight w:val="none"/>
              </w:rPr>
            </w:r>
            <w:r/>
          </w:p>
        </w:tc>
        <w:tc>
          <w:tcPr>
            <w:tcW w:w="782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对系统中的盘磨损度进行检测，当盘达到设计的磨损度后增大到该盘的IO数量，使其提前磨损并重构，避免系统中多个盘寿命同时到达后同时故障。（提供相关证明材料，如第三方检测报告、官网截图、技术白皮书等）；</w:t>
            </w:r>
            <w:r>
              <w:rPr>
                <w:rFonts w:hint="eastAsia" w:ascii="宋体" w:hAnsi="宋体" w:eastAsia="宋体" w:cs="宋体"/>
                <w:bCs/>
                <w:color w:val="000000"/>
                <w:sz w:val="21"/>
                <w:szCs w:val="21"/>
                <w:highlight w:val="none"/>
              </w:rPr>
            </w:r>
            <w:r/>
          </w:p>
        </w:tc>
      </w:tr>
      <w:tr>
        <w:trPr>
          <w:trHeight w:val="2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文件特性</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支持WORM、权限管理、配额管理、回收站、硬链接、视频智能容错、元数据分离部署、分级存储；</w:t>
            </w:r>
            <w:r>
              <w:rPr>
                <w:rFonts w:hint="eastAsia" w:ascii="宋体" w:hAnsi="宋体" w:eastAsia="宋体" w:cs="宋体"/>
                <w:bCs/>
                <w:color w:val="000000"/>
                <w:sz w:val="21"/>
                <w:szCs w:val="21"/>
                <w:highlight w:val="none"/>
              </w:rPr>
            </w:r>
            <w:r/>
          </w:p>
        </w:tc>
      </w:tr>
      <w:tr>
        <w:trPr>
          <w:trHeight w:val="9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闪存加速</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配置SSD读写缓存功能，通过SSD盘存放热点数据来提升读性能，支持日志写加速；</w:t>
            </w:r>
            <w:r>
              <w:rPr>
                <w:rFonts w:hint="eastAsia" w:ascii="宋体" w:hAnsi="宋体" w:eastAsia="宋体" w:cs="宋体"/>
                <w:bCs/>
                <w:color w:val="000000"/>
                <w:sz w:val="21"/>
                <w:szCs w:val="21"/>
                <w:highlight w:val="none"/>
              </w:rPr>
            </w:r>
            <w:r/>
          </w:p>
        </w:tc>
      </w:tr>
      <w:tr>
        <w:trPr>
          <w:trHeight w:val="2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智能负载均衡</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支持节点间智能负载均衡功能，支持轮询方式，支持按照CPU使用率、剩余内存容量、客户端连接数、网络吞吐量、综合负载等多种方式，实时选择最优的节点用于业务分担；</w:t>
            </w:r>
            <w:r>
              <w:rPr>
                <w:rFonts w:hint="eastAsia" w:ascii="宋体" w:hAnsi="宋体" w:eastAsia="宋体" w:cs="宋体"/>
                <w:bCs/>
                <w:color w:val="000000"/>
                <w:sz w:val="21"/>
                <w:szCs w:val="21"/>
                <w:highlight w:val="none"/>
              </w:rPr>
            </w:r>
            <w:r/>
          </w:p>
        </w:tc>
      </w:tr>
      <w:tr>
        <w:trPr>
          <w:trHeight w:val="2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性能Qos</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支持按照业务设置性能上限，包括IOPS/带宽等；</w:t>
            </w:r>
            <w:r>
              <w:rPr>
                <w:rFonts w:hint="eastAsia" w:ascii="宋体" w:hAnsi="宋体" w:eastAsia="宋体" w:cs="宋体"/>
                <w:bCs/>
                <w:color w:val="000000"/>
                <w:sz w:val="21"/>
                <w:szCs w:val="21"/>
                <w:highlight w:val="none"/>
              </w:rPr>
            </w:r>
            <w:r/>
          </w:p>
        </w:tc>
      </w:tr>
      <w:tr>
        <w:trPr>
          <w:trHeight w:val="2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多副本</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支持多副本保护，支持2到6个副本；</w:t>
            </w:r>
            <w:r>
              <w:rPr>
                <w:rFonts w:hint="eastAsia" w:ascii="宋体" w:hAnsi="宋体" w:eastAsia="宋体" w:cs="宋体"/>
                <w:bCs/>
                <w:color w:val="000000"/>
                <w:sz w:val="21"/>
                <w:szCs w:val="21"/>
                <w:highlight w:val="none"/>
              </w:rPr>
            </w:r>
            <w:r/>
          </w:p>
        </w:tc>
      </w:tr>
      <w:tr>
        <w:trPr>
          <w:trHeight w:val="2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纠删码</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支持N+1到N+4的纠删码保护；</w:t>
            </w:r>
            <w:r>
              <w:rPr>
                <w:rFonts w:hint="eastAsia" w:ascii="宋体" w:hAnsi="宋体" w:eastAsia="宋体" w:cs="宋体"/>
                <w:bCs/>
                <w:color w:val="000000"/>
                <w:sz w:val="21"/>
                <w:szCs w:val="21"/>
                <w:highlight w:val="none"/>
              </w:rPr>
            </w:r>
            <w:r/>
          </w:p>
        </w:tc>
      </w:tr>
      <w:tr>
        <w:trPr>
          <w:trHeight w:val="20"/>
        </w:trPr>
        <w:tc>
          <w:tcPr>
            <w:tcW w:w="134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▲数据重构</w:t>
            </w:r>
            <w:r>
              <w:rPr>
                <w:rFonts w:hint="eastAsia" w:ascii="宋体" w:hAnsi="宋体" w:eastAsia="宋体" w:cs="宋体"/>
                <w:bCs/>
                <w:color w:val="000000"/>
                <w:sz w:val="21"/>
                <w:szCs w:val="21"/>
                <w:highlight w:val="none"/>
              </w:rPr>
            </w:r>
            <w:r/>
          </w:p>
        </w:tc>
        <w:tc>
          <w:tcPr>
            <w:tcW w:w="782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每TB数据重构恢复时间≤15分钟；（提供相关证明材料，如第三方检测报告、官网截图、技术白皮书等）；</w:t>
            </w:r>
            <w:r>
              <w:rPr>
                <w:rFonts w:hint="eastAsia" w:ascii="宋体" w:hAnsi="宋体" w:eastAsia="宋体" w:cs="宋体"/>
                <w:bCs/>
                <w:color w:val="000000"/>
                <w:sz w:val="21"/>
                <w:szCs w:val="21"/>
                <w:highlight w:val="none"/>
              </w:rPr>
            </w:r>
            <w:r/>
          </w:p>
        </w:tc>
      </w:tr>
      <w:tr>
        <w:trPr>
          <w:trHeight w:val="90"/>
        </w:trPr>
        <w:tc>
          <w:tcPr>
            <w:tcW w:w="7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★配置要求</w:t>
            </w:r>
            <w:r>
              <w:rPr>
                <w:rFonts w:hint="eastAsia" w:ascii="宋体" w:hAnsi="宋体" w:eastAsia="宋体" w:cs="宋体"/>
                <w:bCs/>
                <w:color w:val="000000"/>
                <w:sz w:val="21"/>
                <w:szCs w:val="21"/>
                <w:highlight w:val="none"/>
              </w:rPr>
            </w:r>
            <w:r/>
          </w:p>
        </w:tc>
        <w:tc>
          <w:tcPr>
            <w:tcW w:w="42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配置不少于3节点，单节点配置2颗C86处理器，单颗性能≥2.6GHz主频，内核≥32颗，≥384G内存，每节点配置≥2块480G SSD系统盘，≥8块3.84TB SSD数据盘。企业级分布式存储软件。（提供承诺书，格式自拟，加盖投标人公章）</w:t>
            </w:r>
            <w:r>
              <w:rPr>
                <w:rFonts w:hint="eastAsia" w:ascii="宋体" w:hAnsi="宋体" w:eastAsia="宋体" w:cs="宋体"/>
                <w:bCs/>
                <w:color w:val="000000"/>
                <w:sz w:val="21"/>
                <w:szCs w:val="21"/>
                <w:highlight w:val="none"/>
              </w:rPr>
            </w:r>
            <w:r/>
          </w:p>
        </w:tc>
      </w:tr>
    </w:tbl>
    <w:p>
      <w:pPr>
        <w:pStyle w:val="733"/>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5"/>
        <w:ind w:left="360" w:hanging="36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2、算力互联交换机1</w:t>
      </w:r>
      <w:r>
        <w:rPr>
          <w:rFonts w:hint="eastAsia" w:ascii="宋体" w:hAnsi="宋体" w:eastAsia="宋体" w:cs="宋体"/>
          <w:b/>
          <w:color w:val="000000"/>
          <w:sz w:val="21"/>
          <w:szCs w:val="21"/>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330"/>
        <w:gridCol w:w="7842"/>
      </w:tblGrid>
      <w:tr>
        <w:trPr>
          <w:trHeight w:val="2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技术参数要求</w:t>
            </w:r>
            <w:r>
              <w:rPr>
                <w:rFonts w:hint="eastAsia" w:ascii="宋体" w:hAnsi="宋体" w:eastAsia="宋体" w:cs="宋体"/>
                <w:b/>
                <w:bCs/>
                <w:color w:val="000000"/>
                <w:sz w:val="21"/>
                <w:szCs w:val="21"/>
                <w:highlight w:val="none"/>
              </w:rPr>
            </w:r>
            <w:r/>
          </w:p>
        </w:tc>
      </w:tr>
      <w:tr>
        <w:trPr>
          <w:trHeight w:val="540"/>
        </w:trPr>
        <w:tc>
          <w:tcPr>
            <w:shd w:val="clear" w:color="000000" w:fill="ffffff"/>
            <w:tcBorders>
              <w:top w:val="none" w:color="000000" w:sz="4" w:space="0"/>
              <w:left w:val="single" w:color="000000" w:sz="4" w:space="0"/>
              <w:bottom w:val="single" w:color="000000" w:sz="4" w:space="0"/>
              <w:right w:val="single" w:color="000000" w:sz="4" w:space="0"/>
            </w:tcBorders>
            <w:tcW w:w="725"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★性能规格</w:t>
            </w:r>
            <w:r>
              <w:rPr>
                <w:rFonts w:hint="eastAsia" w:ascii="宋体" w:hAnsi="宋体" w:eastAsia="宋体" w:cs="宋体"/>
                <w:bCs/>
                <w:color w:val="000000"/>
                <w:sz w:val="21"/>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交换容量≥16Tbps，转发性能≥5400Mpps；（提供承诺书，格式自拟，加盖投标人公章）</w:t>
            </w:r>
            <w:r>
              <w:rPr>
                <w:rFonts w:hint="eastAsia" w:ascii="宋体" w:hAnsi="宋体" w:eastAsia="宋体" w:cs="宋体"/>
                <w:bCs/>
                <w:color w:val="000000"/>
                <w:sz w:val="21"/>
                <w:szCs w:val="21"/>
                <w:highlight w:val="none"/>
              </w:rPr>
            </w:r>
            <w:r/>
          </w:p>
        </w:tc>
      </w:tr>
      <w:tr>
        <w:trPr>
          <w:trHeight w:val="263"/>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★硬件需求</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实配200G QSFP56端口≥40个；实配≥双电源，≥六风扇模块；（提供承诺书，格式自拟，加盖投标人公章）</w:t>
            </w:r>
            <w:r>
              <w:rPr>
                <w:rFonts w:hint="eastAsia" w:ascii="宋体" w:hAnsi="宋体" w:eastAsia="宋体" w:cs="宋体"/>
                <w:bCs/>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二层功能</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支持基于端口、基于协议VLAN；支持MAC地址自动学习和老化；支持动态MAC、静态MAC和黑洞MAC表项</w:t>
            </w:r>
            <w:r>
              <w:rPr>
                <w:rFonts w:hint="eastAsia" w:ascii="宋体" w:hAnsi="宋体" w:eastAsia="宋体" w:cs="宋体"/>
                <w:bCs/>
                <w:color w:val="000000"/>
                <w:sz w:val="21"/>
                <w:szCs w:val="2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725"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三层功能</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支持RIP/RIPng、OSPF/OSPFv3、ISIS/ISISv6、BGP/BGP4+等动态路由协议；支持静态路由和默认路由</w:t>
            </w:r>
            <w:r>
              <w:rPr>
                <w:rFonts w:hint="eastAsia" w:ascii="宋体" w:hAnsi="宋体" w:eastAsia="宋体" w:cs="宋体"/>
                <w:bCs/>
                <w:color w:val="000000"/>
                <w:sz w:val="21"/>
                <w:szCs w:val="21"/>
                <w:highlight w:val="none"/>
              </w:rPr>
            </w:r>
            <w:r/>
          </w:p>
        </w:tc>
      </w:tr>
      <w:tr>
        <w:trPr>
          <w:trHeight w:val="260"/>
        </w:trPr>
        <w:tc>
          <w:tcPr>
            <w:tcBorders>
              <w:top w:val="none" w:color="000000" w:sz="4" w:space="0"/>
              <w:left w:val="single" w:color="000000" w:sz="4" w:space="0"/>
              <w:bottom w:val="none" w:color="000000" w:sz="0" w:space="0"/>
              <w:right w:val="single" w:color="000000" w:sz="4" w:space="0"/>
            </w:tcBorders>
            <w:tcW w:w="725" w:type="dxa"/>
            <w:vAlign w:val="center"/>
            <w:vMerge w:val="restart"/>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无损数据中心特性</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支持RDMA无损网络功能，支持RoCEv1/RoCEv2，支持PFC、ETS、ECN、Fast ECN，DCB功能</w:t>
            </w:r>
            <w:r>
              <w:rPr>
                <w:rFonts w:hint="eastAsia" w:ascii="宋体" w:hAnsi="宋体" w:eastAsia="宋体" w:cs="宋体"/>
                <w:bCs/>
                <w:color w:val="000000"/>
                <w:sz w:val="21"/>
                <w:szCs w:val="21"/>
                <w:highlight w:val="none"/>
              </w:rPr>
            </w:r>
            <w:r/>
          </w:p>
        </w:tc>
      </w:tr>
      <w:tr>
        <w:trPr>
          <w:trHeight w:val="620"/>
        </w:trPr>
        <w:tc>
          <w:tcPr>
            <w:tcBorders>
              <w:top w:val="none" w:color="000000" w:sz="0" w:space="0"/>
              <w:left w:val="single" w:color="000000" w:sz="4" w:space="0"/>
              <w:bottom w:val="none" w:color="000000" w:sz="0" w:space="0"/>
              <w:right w:val="single" w:color="000000" w:sz="4" w:space="0"/>
            </w:tcBorders>
            <w:tcW w:w="725" w:type="dxa"/>
            <w:vAlign w:val="center"/>
            <w:vMerge w:val="continue"/>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支持集中式AI ECN动态调优功能，支持并实配智能无损网络RoCE授权，支持Roce策略自动下发</w:t>
            </w:r>
            <w:r>
              <w:rPr>
                <w:rFonts w:hint="eastAsia" w:ascii="宋体" w:hAnsi="宋体" w:eastAsia="宋体" w:cs="宋体"/>
                <w:bCs/>
                <w:color w:val="000000"/>
                <w:sz w:val="21"/>
                <w:szCs w:val="21"/>
                <w:highlight w:val="none"/>
              </w:rPr>
            </w:r>
            <w:r/>
          </w:p>
        </w:tc>
      </w:tr>
      <w:tr>
        <w:trPr>
          <w:trHeight w:val="263"/>
        </w:trPr>
        <w:tc>
          <w:tcPr>
            <w:tcBorders>
              <w:top w:val="none" w:color="000000" w:sz="0" w:space="0"/>
              <w:left w:val="single" w:color="000000" w:sz="4" w:space="0"/>
              <w:bottom w:val="none" w:color="000000" w:sz="0" w:space="0"/>
              <w:right w:val="single" w:color="000000" w:sz="4" w:space="0"/>
            </w:tcBorders>
            <w:tcW w:w="725" w:type="dxa"/>
            <w:vAlign w:val="center"/>
            <w:vMerge w:val="continue"/>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支持智能流量分析功能，包括TCP流量、UDP流量和全流分析</w:t>
            </w:r>
            <w:r>
              <w:rPr>
                <w:rFonts w:hint="eastAsia" w:ascii="宋体" w:hAnsi="宋体" w:eastAsia="宋体" w:cs="宋体"/>
                <w:bCs/>
                <w:color w:val="000000"/>
                <w:sz w:val="21"/>
                <w:szCs w:val="21"/>
                <w:highlight w:val="none"/>
              </w:rPr>
            </w:r>
            <w:r/>
          </w:p>
        </w:tc>
      </w:tr>
      <w:tr>
        <w:trPr>
          <w:trHeight w:val="263"/>
        </w:trPr>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支持Roce集群智能运维平台功能，包括网络健康度概览验证等功能；</w:t>
            </w:r>
            <w:r>
              <w:rPr>
                <w:rFonts w:hint="eastAsia" w:ascii="宋体" w:hAnsi="宋体" w:eastAsia="宋体" w:cs="宋体"/>
                <w:bCs/>
                <w:color w:val="000000"/>
                <w:sz w:val="21"/>
                <w:szCs w:val="21"/>
                <w:highlight w:val="none"/>
              </w:rPr>
            </w:r>
            <w:r/>
          </w:p>
        </w:tc>
      </w:tr>
      <w:tr>
        <w:trPr>
          <w:trHeight w:val="132"/>
        </w:trPr>
        <w:tc>
          <w:tcPr>
            <w:tcBorders>
              <w:top w:val="none" w:color="000000" w:sz="4" w:space="0"/>
              <w:left w:val="single" w:color="000000" w:sz="4" w:space="0"/>
              <w:bottom w:val="none" w:color="000000" w:sz="0" w:space="0"/>
              <w:right w:val="single" w:color="000000" w:sz="4" w:space="0"/>
            </w:tcBorders>
            <w:tcW w:w="725" w:type="dxa"/>
            <w:vAlign w:val="center"/>
            <w:vMerge w:val="restart"/>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可视化功能</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▲实配支持INT可视化功能；（提供相关证明材料，如第三方检测报告、官网截图、技术白皮书等）；</w:t>
            </w:r>
            <w:r>
              <w:rPr>
                <w:rFonts w:hint="eastAsia" w:ascii="宋体" w:hAnsi="宋体" w:eastAsia="宋体" w:cs="宋体"/>
                <w:bCs/>
                <w:color w:val="000000"/>
                <w:sz w:val="21"/>
                <w:szCs w:val="21"/>
                <w:highlight w:val="none"/>
              </w:rPr>
            </w:r>
            <w:r/>
          </w:p>
        </w:tc>
      </w:tr>
      <w:tr>
        <w:trPr>
          <w:trHeight w:val="131"/>
        </w:trPr>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支持Telemetry Stream功能，支持MOD功能；</w:t>
            </w:r>
            <w:r>
              <w:rPr>
                <w:rFonts w:hint="eastAsia" w:ascii="宋体" w:hAnsi="宋体" w:eastAsia="宋体" w:cs="宋体"/>
                <w:bCs/>
                <w:color w:val="000000"/>
                <w:sz w:val="21"/>
                <w:szCs w:val="21"/>
                <w:highlight w:val="none"/>
              </w:rPr>
            </w:r>
            <w:r/>
          </w:p>
        </w:tc>
      </w:tr>
      <w:tr>
        <w:trPr>
          <w:trHeight w:val="280"/>
        </w:trPr>
        <w:tc>
          <w:tcPr>
            <w:tcBorders>
              <w:top w:val="none" w:color="000000" w:sz="4" w:space="0"/>
              <w:left w:val="single" w:color="000000" w:sz="4" w:space="0"/>
              <w:bottom w:val="single" w:color="000000" w:sz="4" w:space="0"/>
              <w:right w:val="single" w:color="000000" w:sz="4" w:space="0"/>
            </w:tcBorders>
            <w:tcW w:w="725"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安全性</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设备支持CPU防攻击功能、支持ARP防攻击功能、支持自动防御；</w:t>
            </w:r>
            <w:r>
              <w:rPr>
                <w:rFonts w:hint="eastAsia" w:ascii="宋体" w:hAnsi="宋体" w:eastAsia="宋体" w:cs="宋体"/>
                <w:bCs/>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管理</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支持网络故障快速感知，支持缓存的微突发检测功能，支持自动化上线部署。</w:t>
            </w:r>
            <w:r>
              <w:rPr>
                <w:rFonts w:hint="eastAsia" w:ascii="宋体" w:hAnsi="宋体" w:eastAsia="宋体" w:cs="宋体"/>
                <w:bCs/>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配置要求</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274"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满配电源风扇，≥16个200G 0SFP56多模光模块;</w:t>
            </w:r>
            <w:r>
              <w:rPr>
                <w:rFonts w:hint="eastAsia" w:ascii="宋体" w:hAnsi="宋体" w:eastAsia="宋体" w:cs="宋体"/>
                <w:bCs/>
                <w:color w:val="000000"/>
                <w:sz w:val="21"/>
                <w:szCs w:val="21"/>
                <w:highlight w:val="none"/>
              </w:rPr>
            </w:r>
            <w:r/>
          </w:p>
        </w:tc>
      </w:tr>
    </w:tbl>
    <w:p>
      <w:pPr>
        <w:pStyle w:val="733"/>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5"/>
        <w:ind w:left="360" w:hanging="36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3、存储交换机1</w:t>
      </w:r>
      <w:r>
        <w:rPr>
          <w:rFonts w:hint="eastAsia" w:ascii="宋体" w:hAnsi="宋体" w:eastAsia="宋体" w:cs="宋体"/>
          <w:b/>
          <w:color w:val="000000"/>
          <w:sz w:val="21"/>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3"/>
        <w:gridCol w:w="7395"/>
      </w:tblGrid>
      <w:tr>
        <w:trPr>
          <w:trHeight w:val="482"/>
        </w:trPr>
        <w:tc>
          <w:tcPr>
            <w:tcW w:w="967" w:type="dxa"/>
            <w:vAlign w:val="center"/>
            <w:textDirection w:val="lrTb"/>
            <w:noWrap w:val="false"/>
          </w:tcPr>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b/>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技术参数要求</w:t>
            </w:r>
            <w:r>
              <w:rPr>
                <w:rFonts w:hint="eastAsia" w:ascii="宋体" w:hAnsi="宋体" w:eastAsia="宋体" w:cs="宋体"/>
                <w:b/>
                <w:bCs/>
                <w:color w:val="000000"/>
                <w:sz w:val="21"/>
                <w:szCs w:val="21"/>
                <w:highlight w:val="none"/>
              </w:rPr>
            </w:r>
            <w:r/>
          </w:p>
        </w:tc>
      </w:tr>
      <w:tr>
        <w:trPr>
          <w:trHeight w:val="454"/>
        </w:trPr>
        <w:tc>
          <w:tcPr>
            <w:tcW w:w="9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★性能规格</w:t>
            </w: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交换容量≥8 Tbps，包转发率≥2400 Mpps；（提供承诺书，格式自拟，加盖投标人公章）</w:t>
            </w:r>
            <w:r>
              <w:rPr>
                <w:rFonts w:hint="eastAsia" w:ascii="宋体" w:hAnsi="宋体" w:eastAsia="宋体" w:cs="宋体"/>
                <w:bCs/>
                <w:color w:val="000000"/>
                <w:sz w:val="21"/>
                <w:szCs w:val="21"/>
                <w:highlight w:val="none"/>
              </w:rPr>
            </w:r>
            <w:r/>
          </w:p>
        </w:tc>
      </w:tr>
      <w:tr>
        <w:trPr>
          <w:trHeight w:val="454"/>
        </w:trPr>
        <w:tc>
          <w:tcPr>
            <w:tcW w:w="9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★硬件需求</w:t>
            </w: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提供≥48端口25G以太网光接口，提供≥8端口100G以太网光接口；（提供承诺书，格式自拟，加盖投标人公章）</w:t>
            </w:r>
            <w:r>
              <w:rPr>
                <w:rFonts w:hint="eastAsia" w:ascii="宋体" w:hAnsi="宋体" w:eastAsia="宋体" w:cs="宋体"/>
                <w:bCs/>
                <w:color w:val="000000"/>
                <w:sz w:val="21"/>
                <w:szCs w:val="21"/>
                <w:highlight w:val="none"/>
              </w:rPr>
            </w:r>
            <w:r/>
          </w:p>
        </w:tc>
      </w:tr>
      <w:tr>
        <w:trPr>
          <w:trHeight w:val="454"/>
        </w:trPr>
        <w:tc>
          <w:tcPr>
            <w:tcW w:w="9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路由性能</w:t>
            </w: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支持IPv4/IPv6静态路由、RIP、OSPF、IS-IS、BGP、等价路由、策略路由； </w:t>
            </w:r>
            <w:r>
              <w:rPr>
                <w:rFonts w:hint="eastAsia" w:ascii="宋体" w:hAnsi="宋体" w:eastAsia="宋体" w:cs="宋体"/>
                <w:bCs/>
                <w:color w:val="000000"/>
                <w:sz w:val="21"/>
                <w:szCs w:val="21"/>
                <w:highlight w:val="none"/>
              </w:rPr>
            </w:r>
            <w:r/>
          </w:p>
        </w:tc>
      </w:tr>
      <w:tr>
        <w:trPr>
          <w:trHeight w:val="454"/>
        </w:trPr>
        <w:tc>
          <w:tcPr>
            <w:tcW w:w="967" w:type="dxa"/>
            <w:vAlign w:val="center"/>
            <w:vMerge w:val="restart"/>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智能无损</w:t>
            </w: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支持无损网络RoCE/RDMA，支持PFC、ECN、ETS、DCB</w:t>
            </w:r>
            <w:r>
              <w:rPr>
                <w:rFonts w:hint="eastAsia" w:ascii="宋体" w:hAnsi="宋体" w:eastAsia="宋体" w:cs="宋体"/>
                <w:bCs/>
                <w:color w:val="000000"/>
                <w:sz w:val="21"/>
                <w:szCs w:val="21"/>
                <w:highlight w:val="none"/>
              </w:rPr>
            </w:r>
            <w:r/>
          </w:p>
        </w:tc>
      </w:tr>
      <w:tr>
        <w:trPr>
          <w:trHeight w:val="90"/>
        </w:trPr>
        <w:tc>
          <w:tcPr>
            <w:tcW w:w="967" w:type="dxa"/>
            <w:vAlign w:val="center"/>
            <w:vMerge w:val="continue"/>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▲支持PFC死锁检测和死锁预防；（提供相关证明材料，如第三方检测报告、官网截图、技术白皮书等）；</w:t>
            </w:r>
            <w:r>
              <w:rPr>
                <w:rFonts w:hint="eastAsia" w:ascii="宋体" w:hAnsi="宋体" w:eastAsia="宋体" w:cs="宋体"/>
                <w:bCs/>
                <w:color w:val="000000"/>
                <w:sz w:val="21"/>
                <w:szCs w:val="21"/>
                <w:highlight w:val="none"/>
              </w:rPr>
            </w:r>
            <w:r/>
          </w:p>
        </w:tc>
      </w:tr>
      <w:tr>
        <w:trPr>
          <w:trHeight w:val="454"/>
        </w:trPr>
        <w:tc>
          <w:tcPr>
            <w:tcW w:w="967" w:type="dxa"/>
            <w:vAlign w:val="center"/>
            <w:vMerge w:val="continue"/>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支持IPCC、AI ECN、iNOF等功能</w:t>
            </w:r>
            <w:r>
              <w:rPr>
                <w:rFonts w:hint="eastAsia" w:ascii="宋体" w:hAnsi="宋体" w:eastAsia="宋体" w:cs="宋体"/>
                <w:bCs/>
                <w:color w:val="000000"/>
                <w:sz w:val="21"/>
                <w:szCs w:val="21"/>
                <w:highlight w:val="none"/>
              </w:rPr>
            </w:r>
            <w:r/>
          </w:p>
        </w:tc>
      </w:tr>
      <w:tr>
        <w:trPr>
          <w:trHeight w:val="454"/>
        </w:trPr>
        <w:tc>
          <w:tcPr>
            <w:tcW w:w="9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可视化</w:t>
            </w: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实配支持INT可视化功能。实时分析INT报文中携带的时间戳分析每台设备和链路的逐跳转发延迟，快速找到拥塞节点。</w:t>
            </w:r>
            <w:r>
              <w:rPr>
                <w:rFonts w:hint="eastAsia" w:ascii="宋体" w:hAnsi="宋体" w:eastAsia="宋体" w:cs="宋体"/>
                <w:bCs/>
                <w:color w:val="000000"/>
                <w:sz w:val="21"/>
                <w:szCs w:val="21"/>
                <w:highlight w:val="none"/>
              </w:rPr>
            </w:r>
            <w:r/>
          </w:p>
        </w:tc>
      </w:tr>
      <w:tr>
        <w:trPr>
          <w:trHeight w:val="454"/>
        </w:trPr>
        <w:tc>
          <w:tcPr>
            <w:tcW w:w="9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SDN</w:t>
            </w: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支持OPENFLOW 1.3标准，支持普通模式和Openflow 模式切换</w:t>
            </w:r>
            <w:r>
              <w:rPr>
                <w:rFonts w:hint="eastAsia" w:ascii="宋体" w:hAnsi="宋体" w:eastAsia="宋体" w:cs="宋体"/>
                <w:bCs/>
                <w:color w:val="000000"/>
                <w:sz w:val="21"/>
                <w:szCs w:val="21"/>
                <w:highlight w:val="none"/>
              </w:rPr>
            </w:r>
            <w:r/>
          </w:p>
        </w:tc>
      </w:tr>
      <w:tr>
        <w:trPr>
          <w:trHeight w:val="454"/>
        </w:trPr>
        <w:tc>
          <w:tcPr>
            <w:tcW w:w="967"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配置要求</w:t>
            </w:r>
            <w:r>
              <w:rPr>
                <w:rFonts w:hint="eastAsia" w:ascii="宋体" w:hAnsi="宋体" w:eastAsia="宋体" w:cs="宋体"/>
                <w:bCs/>
                <w:color w:val="000000"/>
                <w:sz w:val="21"/>
                <w:szCs w:val="21"/>
                <w:highlight w:val="none"/>
              </w:rPr>
            </w:r>
            <w:r/>
          </w:p>
        </w:tc>
        <w:tc>
          <w:tcPr>
            <w:tcW w:w="4032" w:type="dxa"/>
            <w:vAlign w:val="center"/>
            <w:textDirection w:val="lrTb"/>
            <w:noWrap w:val="false"/>
          </w:tcPr>
          <w:p>
            <w:pPr>
              <w:pStyle w:val="733"/>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满配电源风扇，≥20个25G多模光模块</w:t>
            </w:r>
            <w:r>
              <w:rPr>
                <w:rFonts w:hint="eastAsia" w:ascii="宋体" w:hAnsi="宋体" w:eastAsia="宋体" w:cs="宋体"/>
                <w:bCs/>
                <w:color w:val="000000"/>
                <w:sz w:val="21"/>
                <w:szCs w:val="21"/>
                <w:highlight w:val="none"/>
              </w:rPr>
            </w:r>
            <w:r/>
          </w:p>
        </w:tc>
      </w:tr>
    </w:tbl>
    <w:p>
      <w:pPr>
        <w:pStyle w:val="855"/>
        <w:ind w:left="360" w:hanging="36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5"/>
        <w:ind w:left="360" w:hanging="36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4、存储节点2</w:t>
      </w:r>
      <w:r>
        <w:rPr>
          <w:rFonts w:hint="eastAsia" w:ascii="宋体" w:hAnsi="宋体" w:eastAsia="宋体" w:cs="宋体"/>
          <w:b/>
          <w:color w:val="000000"/>
          <w:sz w:val="21"/>
          <w:szCs w:val="21"/>
          <w:highlight w:val="none"/>
        </w:rPr>
      </w:r>
      <w:r/>
    </w:p>
    <w:tbl>
      <w:tblPr>
        <w:tblW w:w="4894" w:type="pct"/>
        <w:tblInd w:w="-108" w:type="dxa"/>
        <w:tblLayout w:type="fixed"/>
        <w:tblCellMar>
          <w:left w:w="108" w:type="dxa"/>
          <w:top w:w="0" w:type="dxa"/>
          <w:right w:w="108" w:type="dxa"/>
          <w:bottom w:w="0" w:type="dxa"/>
        </w:tblCellMar>
        <w:tblLook w:val="04A0" w:firstRow="1" w:lastRow="0" w:firstColumn="1" w:lastColumn="0" w:noHBand="0" w:noVBand="1"/>
      </w:tblPr>
      <w:tblGrid>
        <w:gridCol w:w="733"/>
        <w:gridCol w:w="1154"/>
        <w:gridCol w:w="7093"/>
      </w:tblGrid>
      <w:tr>
        <w:trPr>
          <w:trHeight w:val="576"/>
        </w:trPr>
        <w:tc>
          <w:tcPr>
            <w:gridSpan w:val="2"/>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指标要求</w:t>
            </w:r>
            <w:r>
              <w:rPr>
                <w:rFonts w:hint="eastAsia" w:ascii="宋体" w:hAnsi="宋体" w:eastAsia="宋体" w:cs="宋体"/>
                <w:color w:val="000000"/>
                <w:sz w:val="21"/>
                <w:szCs w:val="21"/>
                <w:highlight w:val="none"/>
              </w:rPr>
            </w:r>
            <w:r/>
          </w:p>
        </w:tc>
      </w:tr>
      <w:tr>
        <w:trPr>
          <w:trHeight w:val="960"/>
        </w:trPr>
        <w:tc>
          <w:tcPr>
            <w:tcBorders>
              <w:top w:val="single" w:color="000000" w:sz="4" w:space="0"/>
              <w:left w:val="single" w:color="000000" w:sz="4" w:space="0"/>
              <w:bottom w:val="none" w:color="000000" w:sz="0" w:space="0"/>
              <w:right w:val="single" w:color="000000" w:sz="4" w:space="0"/>
            </w:tcBorders>
            <w:tcW w:w="408" w:type="dxa"/>
            <w:vAlign w:val="center"/>
            <w:vMerge w:val="restart"/>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系统架构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分布式架构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全对称分布式架构，无独立元数据节点，性能、容量随节点数增加而线性增加，新增性能不低于单节点性能基线80%*新增节点个数，扩容过程中对业务无影响，</w:t>
            </w:r>
            <w:r>
              <w:rPr>
                <w:rFonts w:hint="eastAsia" w:ascii="宋体" w:hAnsi="宋体" w:eastAsia="宋体" w:cs="宋体"/>
                <w:color w:val="000000"/>
                <w:sz w:val="21"/>
                <w:szCs w:val="21"/>
                <w:highlight w:val="none"/>
              </w:rPr>
            </w:r>
            <w:r/>
          </w:p>
        </w:tc>
      </w:tr>
      <w:tr>
        <w:trPr>
          <w:trHeight w:val="338"/>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系统扩展性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△具备大规模横向扩展能力，单集群规模最大可扩展至≥4096节点。</w:t>
            </w:r>
            <w:r>
              <w:rPr>
                <w:rFonts w:hint="eastAsia" w:ascii="宋体" w:hAnsi="宋体" w:eastAsia="宋体" w:cs="宋体"/>
                <w:color w:val="000000"/>
                <w:sz w:val="21"/>
                <w:szCs w:val="21"/>
                <w:highlight w:val="none"/>
              </w:rPr>
            </w:r>
            <w:r/>
          </w:p>
        </w:tc>
      </w:tr>
      <w:tr>
        <w:trPr>
          <w:trHeight w:val="864"/>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数据冗余保护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支持数据高冗余模式，最多可容忍任意4个节点同时失效而不丢失数据。支持动态EC，当节点故障时，自动调整EC配比，确保新数据可靠性不降级。</w:t>
            </w:r>
            <w:r>
              <w:rPr>
                <w:rFonts w:hint="eastAsia" w:ascii="宋体" w:hAnsi="宋体" w:eastAsia="宋体" w:cs="宋体"/>
                <w:color w:val="000000"/>
                <w:sz w:val="21"/>
                <w:szCs w:val="21"/>
                <w:highlight w:val="none"/>
              </w:rPr>
            </w:r>
            <w:r/>
          </w:p>
        </w:tc>
      </w:tr>
      <w:tr>
        <w:trPr>
          <w:trHeight w:val="887"/>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空间利用率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1、支持EC（纠删码）数据保护模式，且支持+2/+3/+4灵活EC配比；</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2、支持大比例EC，支持22+2 EC配比，利用率高于90%</w:t>
            </w:r>
            <w:r>
              <w:rPr>
                <w:rFonts w:hint="eastAsia" w:ascii="宋体" w:hAnsi="宋体" w:eastAsia="宋体" w:cs="宋体"/>
                <w:color w:val="000000"/>
                <w:sz w:val="21"/>
                <w:szCs w:val="21"/>
                <w:highlight w:val="none"/>
              </w:rPr>
            </w:r>
            <w:r/>
          </w:p>
        </w:tc>
      </w:tr>
      <w:tr>
        <w:trPr>
          <w:trHeight w:val="792"/>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数据重构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当磁盘或存储节点故障时，系统能自动进行数据重建，在无人工干预条件下，数据重建速度需能满足：每TB≤30分钟。</w:t>
            </w:r>
            <w:r>
              <w:rPr>
                <w:rFonts w:hint="eastAsia" w:ascii="宋体" w:hAnsi="宋体" w:eastAsia="宋体" w:cs="宋体"/>
                <w:color w:val="000000"/>
                <w:sz w:val="21"/>
                <w:szCs w:val="21"/>
                <w:highlight w:val="none"/>
              </w:rPr>
            </w:r>
            <w:r/>
          </w:p>
        </w:tc>
      </w:tr>
      <w:tr>
        <w:trPr>
          <w:trHeight w:val="864"/>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协议支持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△一套存储支持NFS/CIFS/POSIX/MPI-IO/HDFS/S3多种访问协议，无需配置独立的网关节点</w:t>
            </w:r>
            <w:r>
              <w:rPr>
                <w:rFonts w:hint="eastAsia" w:ascii="宋体" w:hAnsi="宋体" w:eastAsia="宋体" w:cs="宋体"/>
                <w:color w:val="000000"/>
                <w:sz w:val="21"/>
                <w:szCs w:val="21"/>
                <w:highlight w:val="none"/>
              </w:rPr>
            </w:r>
            <w:r/>
          </w:p>
        </w:tc>
      </w:tr>
      <w:tr>
        <w:trPr>
          <w:trHeight w:val="1440"/>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协议互通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NFS/CIFS/POSIX/MPI-IO/HDFS/S3多种访问协议访问同一文件，避免因访问协议不同造成的数据拷贝，无明显语义损失，支持文件修改写、对象字典序、对象多段上传、对象多版本等常用语义，无需配置独立的网关节点；</w:t>
            </w:r>
            <w:r>
              <w:rPr>
                <w:rFonts w:hint="eastAsia" w:ascii="宋体" w:hAnsi="宋体" w:eastAsia="宋体" w:cs="宋体"/>
                <w:color w:val="000000"/>
                <w:sz w:val="21"/>
                <w:szCs w:val="21"/>
                <w:highlight w:val="none"/>
              </w:rPr>
            </w:r>
            <w:r/>
          </w:p>
        </w:tc>
      </w:tr>
      <w:tr>
        <w:trPr>
          <w:trHeight w:val="576"/>
        </w:trPr>
        <w:tc>
          <w:tcPr>
            <w:tcBorders>
              <w:top w:val="none" w:color="000000" w:sz="0"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并行客户端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支持并行客户端，支持MPI-IO，兼容OpenMPI， MPICH2；</w:t>
            </w:r>
            <w:r>
              <w:rPr>
                <w:rFonts w:hint="eastAsia" w:ascii="宋体" w:hAnsi="宋体" w:eastAsia="宋体" w:cs="宋体"/>
                <w:color w:val="000000"/>
                <w:sz w:val="21"/>
                <w:szCs w:val="21"/>
                <w:highlight w:val="none"/>
              </w:rPr>
            </w:r>
            <w:r/>
          </w:p>
        </w:tc>
      </w:tr>
      <w:tr>
        <w:trPr>
          <w:trHeight w:val="1152"/>
        </w:trPr>
        <w:tc>
          <w:tcPr>
            <w:tcBorders>
              <w:top w:val="single" w:color="000000" w:sz="4" w:space="0"/>
              <w:left w:val="single" w:color="000000" w:sz="4" w:space="0"/>
              <w:bottom w:val="none" w:color="000000" w:sz="0" w:space="0"/>
              <w:right w:val="single" w:color="000000" w:sz="4" w:space="0"/>
            </w:tcBorders>
            <w:tcW w:w="408" w:type="dxa"/>
            <w:vAlign w:val="center"/>
            <w:vMerge w:val="restart"/>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增值特性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快照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△支持基于命名空间和子命名空间粒度的快照，快照占用的空间可在配额中统计；</w:t>
            </w:r>
            <w:r>
              <w:rPr>
                <w:rFonts w:hint="eastAsia" w:ascii="宋体" w:hAnsi="宋体" w:eastAsia="宋体" w:cs="宋体"/>
                <w:color w:val="000000"/>
                <w:sz w:val="21"/>
                <w:szCs w:val="21"/>
                <w:highlight w:val="none"/>
              </w:rPr>
            </w:r>
            <w:r/>
          </w:p>
        </w:tc>
      </w:tr>
      <w:tr>
        <w:trPr>
          <w:trHeight w:val="576"/>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支持命名空间（文件系统）级和子命名空间级配额。</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支持容量和文件数配额</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可基于用户和用户组设置配额</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支持默认配额；</w:t>
            </w:r>
            <w:r>
              <w:rPr>
                <w:rFonts w:hint="eastAsia" w:ascii="宋体" w:hAnsi="宋体" w:eastAsia="宋体" w:cs="宋体"/>
                <w:color w:val="000000"/>
                <w:sz w:val="21"/>
                <w:szCs w:val="21"/>
                <w:highlight w:val="none"/>
              </w:rPr>
            </w:r>
            <w:r/>
          </w:p>
        </w:tc>
      </w:tr>
      <w:tr>
        <w:trPr>
          <w:trHeight w:val="576"/>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异步复制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△文件/大数据/对象服务均支持异步远程复制功能，支持Failover和Failback能力，最低RPO&lt;=1分钟</w:t>
            </w:r>
            <w:r>
              <w:rPr>
                <w:rFonts w:hint="eastAsia" w:ascii="宋体" w:hAnsi="宋体" w:eastAsia="宋体" w:cs="宋体"/>
                <w:color w:val="000000"/>
                <w:sz w:val="21"/>
                <w:szCs w:val="21"/>
                <w:highlight w:val="none"/>
              </w:rPr>
            </w:r>
            <w:r/>
          </w:p>
        </w:tc>
      </w:tr>
      <w:tr>
        <w:trPr>
          <w:trHeight w:val="864"/>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多租户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△支持多租户能力，可基于租户设置域控、协议类型、Qos，以租户为粒度进行元数据检索和审计日志查询。</w:t>
            </w:r>
            <w:r>
              <w:rPr>
                <w:rFonts w:hint="eastAsia" w:ascii="宋体" w:hAnsi="宋体" w:eastAsia="宋体" w:cs="宋体"/>
                <w:color w:val="000000"/>
                <w:sz w:val="21"/>
                <w:szCs w:val="21"/>
                <w:highlight w:val="none"/>
              </w:rPr>
            </w:r>
            <w:r/>
          </w:p>
        </w:tc>
      </w:tr>
      <w:tr>
        <w:trPr>
          <w:trHeight w:val="1440"/>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1、支持分级功能；</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2、支持配置数据写入策略、迁移策略和删除策略；</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3、支持一次性或周期性数据迁移；</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4、可按容量水位设置迁移策略；</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5、支持文件扩展名的包含和不包含匹配；</w:t>
            </w:r>
            <w:r>
              <w:rPr>
                <w:rFonts w:hint="eastAsia" w:ascii="宋体" w:hAnsi="宋体" w:eastAsia="宋体" w:cs="宋体"/>
                <w:color w:val="000000"/>
                <w:sz w:val="21"/>
                <w:szCs w:val="21"/>
                <w:highlight w:val="none"/>
              </w:rPr>
            </w:r>
            <w:r/>
          </w:p>
        </w:tc>
      </w:tr>
      <w:tr>
        <w:trPr>
          <w:trHeight w:val="1056"/>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Qos</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1、支持Qos功能，多服务共享一份Qos资源；</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2、可基于租户、命名空间（文件系统/桶）或客户端进行配置；</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3、可限定带宽和IOPS上限；</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4、可控制最大链接数、最大打开文件数、最大锁数量；</w:t>
            </w:r>
            <w:r>
              <w:rPr>
                <w:rFonts w:hint="eastAsia" w:ascii="宋体" w:hAnsi="宋体" w:eastAsia="宋体" w:cs="宋体"/>
                <w:color w:val="000000"/>
                <w:sz w:val="21"/>
                <w:szCs w:val="21"/>
                <w:highlight w:val="none"/>
              </w:rPr>
            </w:r>
            <w:r/>
          </w:p>
        </w:tc>
      </w:tr>
      <w:tr>
        <w:trPr>
          <w:trHeight w:val="1320"/>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元数据检索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1、支持元数据检索功能；</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2、可针对文件名、文件大小、创建时间、所属用户、扩展属性等元数据项查询，且不区分不同服务写入的文件；</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3、可通过管理界面或REST接口查询；</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4、无需独立的服务节点；</w:t>
            </w:r>
            <w:r>
              <w:rPr>
                <w:rFonts w:hint="eastAsia" w:ascii="宋体" w:hAnsi="宋体" w:eastAsia="宋体" w:cs="宋体"/>
                <w:color w:val="000000"/>
                <w:sz w:val="21"/>
                <w:szCs w:val="21"/>
                <w:highlight w:val="none"/>
              </w:rPr>
            </w:r>
            <w:r/>
          </w:p>
        </w:tc>
      </w:tr>
      <w:tr>
        <w:trPr>
          <w:trHeight w:val="528"/>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回收站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1、支持回收站功能</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2、回收站内文件的保留时长和扫描周期可配置</w:t>
            </w:r>
            <w:r>
              <w:rPr>
                <w:rFonts w:hint="eastAsia" w:ascii="宋体" w:hAnsi="宋体" w:eastAsia="宋体" w:cs="宋体"/>
                <w:color w:val="000000"/>
                <w:sz w:val="21"/>
                <w:szCs w:val="21"/>
                <w:highlight w:val="none"/>
              </w:rPr>
            </w:r>
            <w:r/>
          </w:p>
        </w:tc>
      </w:tr>
      <w:tr>
        <w:trPr>
          <w:trHeight w:val="576"/>
        </w:trPr>
        <w:tc>
          <w:tcPr>
            <w:tcBorders>
              <w:top w:val="none" w:color="000000" w:sz="0" w:space="0"/>
              <w:left w:val="single" w:color="000000" w:sz="4" w:space="0"/>
              <w:bottom w:val="single" w:color="000000" w:sz="4"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数据加密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△支持数据加密，可基于文件系统开启加密功能</w:t>
            </w:r>
            <w:r>
              <w:rPr>
                <w:rFonts w:hint="eastAsia" w:ascii="宋体" w:hAnsi="宋体" w:eastAsia="宋体" w:cs="宋体"/>
                <w:color w:val="000000"/>
                <w:sz w:val="21"/>
                <w:szCs w:val="21"/>
                <w:highlight w:val="none"/>
              </w:rPr>
            </w:r>
            <w:r/>
          </w:p>
        </w:tc>
      </w:tr>
      <w:tr>
        <w:trPr>
          <w:trHeight w:val="792"/>
        </w:trPr>
        <w:tc>
          <w:tcPr>
            <w:tcBorders>
              <w:top w:val="single" w:color="000000" w:sz="4" w:space="0"/>
              <w:left w:val="single" w:color="000000" w:sz="4" w:space="0"/>
              <w:bottom w:val="none" w:color="000000" w:sz="0" w:space="0"/>
              <w:right w:val="single" w:color="000000" w:sz="4" w:space="0"/>
            </w:tcBorders>
            <w:tcW w:w="408" w:type="dxa"/>
            <w:vAlign w:val="center"/>
            <w:vMerge w:val="restart"/>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★硬件配置要求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集群CPU核数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本次配置3个分布式存储节点，每节点硬件配置：</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配置两颗处理器,每颗主频≥2.6GHz,每颗物理核数≥32核</w:t>
            </w:r>
            <w:r>
              <w:rPr>
                <w:rFonts w:hint="eastAsia" w:ascii="宋体" w:hAnsi="宋体" w:eastAsia="宋体" w:cs="宋体"/>
                <w:color w:val="000000"/>
                <w:sz w:val="21"/>
                <w:szCs w:val="21"/>
                <w:highlight w:val="none"/>
              </w:rPr>
            </w:r>
            <w:r/>
          </w:p>
        </w:tc>
      </w:tr>
      <w:tr>
        <w:trPr>
          <w:trHeight w:val="288"/>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单存储节点内存≥128GB</w:t>
            </w:r>
            <w:r>
              <w:rPr>
                <w:rFonts w:hint="eastAsia" w:ascii="宋体" w:hAnsi="宋体" w:eastAsia="宋体" w:cs="宋体"/>
                <w:color w:val="000000"/>
                <w:sz w:val="21"/>
                <w:szCs w:val="21"/>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主存盘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单节点配置：≥2*480G SSD系统盘，≥8*3.84T SSD 数据盘</w:t>
            </w:r>
            <w:r>
              <w:rPr>
                <w:rFonts w:hint="eastAsia" w:ascii="宋体" w:hAnsi="宋体" w:eastAsia="宋体" w:cs="宋体"/>
                <w:color w:val="000000"/>
                <w:sz w:val="21"/>
                <w:szCs w:val="21"/>
                <w:highlight w:val="none"/>
              </w:rPr>
            </w:r>
            <w:r/>
          </w:p>
        </w:tc>
      </w:tr>
      <w:tr>
        <w:trPr>
          <w:trHeight w:val="532"/>
        </w:trPr>
        <w:tc>
          <w:tcPr>
            <w:tcBorders>
              <w:top w:val="none" w:color="000000" w:sz="0" w:space="0"/>
              <w:left w:val="single" w:color="000000" w:sz="4" w:space="0"/>
              <w:bottom w:val="single" w:color="000000" w:sz="4" w:space="0"/>
              <w:right w:val="single" w:color="000000" w:sz="4" w:space="0"/>
            </w:tcBorders>
            <w:tcW w:w="408" w:type="dxa"/>
            <w:vAlign w:val="center"/>
            <w:vMerge w:val="continue"/>
            <w:textDirection w:val="lrTb"/>
            <w:noWrap/>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≥4个1GE,≥4*25GE光口（含模块）</w:t>
            </w:r>
            <w:r>
              <w:rPr>
                <w:rFonts w:hint="eastAsia" w:ascii="宋体" w:hAnsi="宋体" w:eastAsia="宋体" w:cs="宋体"/>
                <w:color w:val="000000"/>
                <w:sz w:val="21"/>
                <w:szCs w:val="21"/>
                <w:highlight w:val="none"/>
              </w:rPr>
            </w:r>
            <w:r/>
          </w:p>
        </w:tc>
      </w:tr>
      <w:tr>
        <w:trPr>
          <w:trHeight w:val="792"/>
        </w:trPr>
        <w:tc>
          <w:tcPr>
            <w:tcBorders>
              <w:top w:val="single" w:color="000000" w:sz="4" w:space="0"/>
              <w:left w:val="single" w:color="000000" w:sz="4" w:space="0"/>
              <w:bottom w:val="none" w:color="000000" w:sz="0" w:space="0"/>
              <w:right w:val="single" w:color="000000" w:sz="4" w:space="0"/>
            </w:tcBorders>
            <w:tcW w:w="408" w:type="dxa"/>
            <w:vAlign w:val="center"/>
            <w:vMerge w:val="restart"/>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管理特性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管理界面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△分布式存储系统通过GUI图形界面提供独立的OM操作维护图形界面来对存储资源池进行管理。</w:t>
            </w:r>
            <w:r>
              <w:rPr>
                <w:rFonts w:hint="eastAsia" w:ascii="宋体" w:hAnsi="宋体" w:eastAsia="宋体" w:cs="宋体"/>
                <w:color w:val="000000"/>
                <w:sz w:val="21"/>
                <w:szCs w:val="21"/>
                <w:highlight w:val="none"/>
              </w:rPr>
            </w:r>
            <w:r/>
          </w:p>
        </w:tc>
      </w:tr>
      <w:tr>
        <w:trPr>
          <w:trHeight w:val="792"/>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亚健康检测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支持检测磁盘SMART信息，支持慢盘检测，并在磁盘损坏前进行隔离并告警；</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支持如果存储节点性能异常，分布式存储软件可以自动检测对应的节点，触发告警并提供处理方案</w:t>
            </w:r>
            <w:r>
              <w:rPr>
                <w:rFonts w:hint="eastAsia" w:ascii="宋体" w:hAnsi="宋体" w:eastAsia="宋体" w:cs="宋体"/>
                <w:color w:val="000000"/>
                <w:sz w:val="21"/>
                <w:szCs w:val="21"/>
                <w:highlight w:val="none"/>
              </w:rPr>
            </w:r>
            <w:r/>
          </w:p>
        </w:tc>
      </w:tr>
      <w:tr>
        <w:trPr>
          <w:trHeight w:val="528"/>
        </w:trPr>
        <w:tc>
          <w:tcPr>
            <w:tcBorders>
              <w:top w:val="none" w:color="000000" w:sz="0" w:space="0"/>
              <w:left w:val="single" w:color="000000" w:sz="4" w:space="0"/>
              <w:bottom w:val="none" w:color="000000" w:sz="0"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△支持针对存储节点的网络出现丢包、错包、网络时延大、网口协商降速、网口故障故障现象可提供故障告警并隔离</w:t>
            </w:r>
            <w:r>
              <w:rPr>
                <w:rFonts w:hint="eastAsia" w:ascii="宋体" w:hAnsi="宋体" w:eastAsia="宋体" w:cs="宋体"/>
                <w:color w:val="000000"/>
                <w:sz w:val="21"/>
                <w:szCs w:val="21"/>
                <w:highlight w:val="none"/>
              </w:rPr>
            </w:r>
            <w:r/>
          </w:p>
        </w:tc>
      </w:tr>
      <w:tr>
        <w:trPr>
          <w:trHeight w:val="528"/>
        </w:trPr>
        <w:tc>
          <w:tcPr>
            <w:tcBorders>
              <w:top w:val="none" w:color="000000" w:sz="0"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948"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支持如果存储节点性能异常，分布式存储软件可以自动检测对应的节点，触发告警并提供处理方案</w:t>
            </w:r>
            <w:r>
              <w:rPr>
                <w:rFonts w:hint="eastAsia" w:ascii="宋体" w:hAnsi="宋体" w:eastAsia="宋体" w:cs="宋体"/>
                <w:color w:val="000000"/>
                <w:sz w:val="21"/>
                <w:szCs w:val="21"/>
                <w:highlight w:val="none"/>
              </w:rPr>
            </w:r>
            <w:r/>
          </w:p>
        </w:tc>
      </w:tr>
    </w:tbl>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5"/>
        <w:ind w:left="360" w:hanging="36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5"/>
        <w:ind w:left="360" w:hanging="36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5、算力互联交换机2</w:t>
      </w:r>
      <w:r>
        <w:rPr>
          <w:rFonts w:hint="eastAsia" w:ascii="宋体" w:hAnsi="宋体" w:eastAsia="宋体" w:cs="宋体"/>
          <w:b/>
          <w:color w:val="000000"/>
          <w:sz w:val="21"/>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249"/>
        <w:gridCol w:w="6991"/>
      </w:tblGrid>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681"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参数项</w:t>
            </w: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描述</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81"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性能</w:t>
            </w: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★交换容量≥25Tbps ，转发率≥8000Mpps。</w:t>
            </w:r>
            <w:r>
              <w:rPr>
                <w:rFonts w:hint="eastAsia" w:ascii="宋体" w:hAnsi="宋体" w:eastAsia="宋体" w:cs="宋体"/>
                <w:bCs/>
                <w:color w:val="000000"/>
                <w:sz w:val="21"/>
                <w:szCs w:val="21"/>
                <w:highlight w:val="none"/>
              </w:rPr>
              <w:t xml:space="preserve">（提供承诺书，格式自拟，加盖投标人公章）</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681" w:type="dxa"/>
            <w:vAlign w:val="center"/>
            <w:vMerge w:val="restart"/>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硬件规格</w:t>
            </w: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★400G/200GE/100GE/40GE光接口≥32个，10光接口≥2个。</w:t>
            </w:r>
            <w:r>
              <w:rPr>
                <w:rFonts w:hint="eastAsia" w:ascii="宋体" w:hAnsi="宋体" w:eastAsia="宋体" w:cs="宋体"/>
                <w:bCs/>
                <w:color w:val="000000"/>
                <w:sz w:val="21"/>
                <w:szCs w:val="21"/>
                <w:highlight w:val="none"/>
              </w:rPr>
              <w:t xml:space="preserve">（提供承诺书，格式自拟，加盖投标人公章）</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681" w:type="dxa"/>
            <w:vAlign w:val="center"/>
            <w:vMerge w:val="continue"/>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CPU（处理器）、NP（转发芯片）均自主可控；</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681"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可靠性</w:t>
            </w: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支持数据面故障快速自愈、支持网络故障快速感知；</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681" w:type="dxa"/>
            <w:vAlign w:val="center"/>
            <w:vMerge w:val="restart"/>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AI网络特性</w:t>
            </w: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△为了保障流量全程正常转发不丢包，支持PFC，支持PFC死锁预防；</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681" w:type="dxa"/>
            <w:vAlign w:val="center"/>
            <w:vMerge w:val="continue"/>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△支持RDMA、RoCEv2、DCB、AI ECN；</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681" w:type="dxa"/>
            <w:vAlign w:val="center"/>
            <w:vMerge w:val="continue"/>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△为了缓解网络拥塞，支持ECN Overlay。</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681" w:type="dxa"/>
            <w:vAlign w:val="center"/>
            <w:vMerge w:val="restart"/>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配置与维护</w:t>
            </w: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△支持辅助故障定位，支持路径可视、接口级时延分析。</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681" w:type="dxa"/>
            <w:vAlign w:val="center"/>
            <w:vMerge w:val="continue"/>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△为了方便定位设备缩短故障处理时间，支持远程定位指示灯。</w:t>
            </w:r>
            <w:r>
              <w:rPr>
                <w:rFonts w:hint="eastAsia" w:ascii="宋体" w:hAnsi="宋体" w:eastAsia="宋体" w:cs="宋体"/>
                <w:color w:val="000000"/>
                <w:sz w:val="21"/>
                <w:szCs w:val="21"/>
                <w:highlight w:val="none"/>
              </w:rPr>
            </w:r>
            <w:r/>
          </w:p>
        </w:tc>
      </w:tr>
      <w:tr>
        <w:trPr/>
        <w:tc>
          <w:tcPr>
            <w:tcW w:w="506"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681"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实际配置</w:t>
            </w:r>
            <w:r>
              <w:rPr>
                <w:rFonts w:hint="eastAsia" w:ascii="宋体" w:hAnsi="宋体" w:eastAsia="宋体" w:cs="宋体"/>
                <w:color w:val="000000"/>
                <w:sz w:val="21"/>
                <w:szCs w:val="21"/>
                <w:highlight w:val="none"/>
              </w:rPr>
            </w:r>
            <w:r/>
          </w:p>
        </w:tc>
        <w:tc>
          <w:tcPr>
            <w:tcW w:w="3811"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实际配置：双电源、所需光模块、线缆。</w:t>
            </w:r>
            <w:r>
              <w:rPr>
                <w:rFonts w:hint="eastAsia" w:ascii="宋体" w:hAnsi="宋体" w:eastAsia="宋体" w:cs="宋体"/>
                <w:color w:val="000000"/>
                <w:sz w:val="21"/>
                <w:szCs w:val="21"/>
                <w:highlight w:val="none"/>
              </w:rPr>
            </w:r>
            <w:r/>
          </w:p>
        </w:tc>
      </w:tr>
    </w:tbl>
    <w:p>
      <w:pPr>
        <w:pStyle w:val="855"/>
        <w:ind w:left="360" w:hanging="36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5"/>
        <w:ind w:left="360" w:hanging="36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5"/>
        <w:ind w:left="360" w:hanging="36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6、存储交换机2</w:t>
      </w:r>
      <w:r>
        <w:rPr>
          <w:rFonts w:hint="eastAsia" w:ascii="宋体" w:hAnsi="宋体" w:eastAsia="宋体" w:cs="宋体"/>
          <w:b/>
          <w:color w:val="000000"/>
          <w:sz w:val="21"/>
          <w:szCs w:val="2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223"/>
        <w:gridCol w:w="7010"/>
      </w:tblGrid>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667"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参数项</w:t>
            </w: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描述</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67"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性能</w:t>
            </w: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★交换容量≥8Tbps ，转发率≥2400Mpps。</w:t>
            </w:r>
            <w:r>
              <w:rPr>
                <w:rFonts w:hint="eastAsia" w:ascii="宋体" w:hAnsi="宋体" w:eastAsia="宋体" w:cs="宋体"/>
                <w:bCs/>
                <w:color w:val="000000"/>
                <w:sz w:val="21"/>
                <w:szCs w:val="21"/>
                <w:highlight w:val="none"/>
              </w:rPr>
              <w:t xml:space="preserve">（提供承诺书，格式自拟，加盖投标人公章）</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667" w:type="dxa"/>
            <w:vAlign w:val="center"/>
            <w:vMerge w:val="restart"/>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硬件规格</w:t>
            </w: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★10/25GE光接口≥48个，40/100GE光接口≥8个。</w:t>
            </w:r>
            <w:r>
              <w:rPr>
                <w:rFonts w:hint="eastAsia" w:ascii="宋体" w:hAnsi="宋体" w:eastAsia="宋体" w:cs="宋体"/>
                <w:bCs/>
                <w:color w:val="000000"/>
                <w:sz w:val="21"/>
                <w:szCs w:val="21"/>
                <w:highlight w:val="none"/>
              </w:rPr>
              <w:t xml:space="preserve">（提供承诺书，格式自拟，加盖投标人公章）</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667" w:type="dxa"/>
            <w:vAlign w:val="center"/>
            <w:vMerge w:val="continue"/>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CPU（处理器）自主可控。</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667"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可靠性</w:t>
            </w: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支持网络故障快速感知、支持TCP/UDP智能流量分析；</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667" w:type="dxa"/>
            <w:vAlign w:val="center"/>
            <w:vMerge w:val="restart"/>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AI网络特性</w:t>
            </w: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△为了保障流量全程正常转发不丢包，支持PFC功能；</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667" w:type="dxa"/>
            <w:vAlign w:val="center"/>
            <w:vMerge w:val="continue"/>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△支持Roce的DCB功能、AI ECN功能；</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667" w:type="dxa"/>
            <w:vAlign w:val="center"/>
            <w:vMerge w:val="continue"/>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△为了提升训练效率，支持动态负载均衡（DLB）功能；</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667" w:type="dxa"/>
            <w:vAlign w:val="center"/>
            <w:vMerge w:val="restart"/>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配置与维护</w:t>
            </w: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△支持ERSPAN增强；</w:t>
            </w:r>
            <w:r>
              <w:rPr>
                <w:rFonts w:hint="eastAsia" w:ascii="宋体" w:hAnsi="宋体" w:eastAsia="宋体" w:cs="宋体"/>
                <w:color w:val="000000"/>
                <w:sz w:val="21"/>
                <w:szCs w:val="21"/>
                <w:highlight w:val="none"/>
              </w:rPr>
            </w:r>
            <w:r/>
          </w:p>
        </w:tc>
      </w:tr>
      <w:tr>
        <w:trPr>
          <w:trHeight w:val="624"/>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667" w:type="dxa"/>
            <w:vAlign w:val="center"/>
            <w:vMerge w:val="continue"/>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△为了方便定位设备缩短故障处理时间，支持远程定位指示灯。</w:t>
            </w:r>
            <w:r>
              <w:rPr>
                <w:rFonts w:hint="eastAsia" w:ascii="宋体" w:hAnsi="宋体" w:eastAsia="宋体" w:cs="宋体"/>
                <w:color w:val="000000"/>
                <w:sz w:val="21"/>
                <w:szCs w:val="21"/>
                <w:highlight w:val="none"/>
              </w:rPr>
            </w:r>
            <w:r/>
          </w:p>
        </w:tc>
      </w:tr>
      <w:tr>
        <w:trPr/>
        <w:tc>
          <w:tcPr>
            <w:tcW w:w="509"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667" w:type="dxa"/>
            <w:vAlign w:val="center"/>
            <w:textDirection w:val="lrTb"/>
            <w:noWrap w:val="false"/>
          </w:tcPr>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实际配置</w:t>
            </w:r>
            <w:r>
              <w:rPr>
                <w:rFonts w:hint="eastAsia" w:ascii="宋体" w:hAnsi="宋体" w:eastAsia="宋体" w:cs="宋体"/>
                <w:color w:val="000000"/>
                <w:sz w:val="21"/>
                <w:szCs w:val="21"/>
                <w:highlight w:val="none"/>
              </w:rPr>
            </w:r>
            <w:r/>
          </w:p>
        </w:tc>
        <w:tc>
          <w:tcPr>
            <w:tcW w:w="3822" w:type="dxa"/>
            <w:vAlign w:val="center"/>
            <w:textDirection w:val="lrTb"/>
            <w:noWrap w:val="false"/>
          </w:tcPr>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实际配置：双电源、所需光模块、线缆。</w:t>
            </w:r>
            <w:r>
              <w:rPr>
                <w:rFonts w:hint="eastAsia" w:ascii="宋体" w:hAnsi="宋体" w:eastAsia="宋体" w:cs="宋体"/>
                <w:color w:val="000000"/>
                <w:sz w:val="21"/>
                <w:szCs w:val="21"/>
                <w:highlight w:val="none"/>
              </w:rPr>
            </w:r>
            <w:r/>
          </w:p>
        </w:tc>
      </w:tr>
    </w:tbl>
    <w:p>
      <w:pPr>
        <w:pStyle w:val="733"/>
        <w:jc w:val="left"/>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6"/>
        <w:ind w:firstLine="0"/>
        <w:pageBreakBefore w:val="0"/>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三、项目要求</w:t>
      </w:r>
      <w:r>
        <w:rPr>
          <w:rFonts w:hint="eastAsia" w:ascii="宋体" w:hAnsi="宋体" w:eastAsia="宋体" w:cs="宋体"/>
          <w:b/>
          <w:color w:val="000000"/>
          <w:sz w:val="21"/>
          <w:szCs w:val="21"/>
          <w:highlight w:val="none"/>
          <w:lang w:val="en-US"/>
        </w:rPr>
      </w:r>
      <w:r/>
    </w:p>
    <w:p>
      <w:pPr>
        <w:pStyle w:val="1066"/>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1.现状分析</w:t>
      </w:r>
      <w:r>
        <w:rPr>
          <w:rFonts w:hint="eastAsia" w:ascii="宋体" w:hAnsi="宋体" w:eastAsia="宋体" w:cs="宋体"/>
          <w:bCs/>
          <w:color w:val="000000"/>
          <w:sz w:val="21"/>
          <w:szCs w:val="21"/>
          <w:highlight w:val="none"/>
          <w:lang w:val="en-US"/>
        </w:rPr>
      </w:r>
      <w:r/>
    </w:p>
    <w:p>
      <w:pPr>
        <w:pStyle w:val="733"/>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根据本项目需求，投标供应商须对南通市政务云现状充分了解，需求分析合理、准确，确保分析方案能够引导项目建设。</w:t>
      </w:r>
      <w:r>
        <w:rPr>
          <w:rFonts w:hint="eastAsia" w:ascii="宋体" w:hAnsi="宋体" w:eastAsia="宋体" w:cs="宋体"/>
          <w:bCs/>
          <w:color w:val="000000"/>
          <w:sz w:val="21"/>
          <w:szCs w:val="21"/>
          <w:highlight w:val="none"/>
        </w:rPr>
      </w:r>
      <w:r/>
    </w:p>
    <w:p>
      <w:pPr>
        <w:pStyle w:val="1066"/>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2.建设方案</w:t>
      </w:r>
      <w:r>
        <w:rPr>
          <w:rFonts w:hint="eastAsia" w:ascii="宋体" w:hAnsi="宋体" w:eastAsia="宋体" w:cs="宋体"/>
          <w:bCs/>
          <w:color w:val="000000"/>
          <w:sz w:val="21"/>
          <w:szCs w:val="21"/>
          <w:highlight w:val="none"/>
          <w:lang w:val="en-US"/>
        </w:rPr>
      </w:r>
      <w:r/>
    </w:p>
    <w:p>
      <w:pPr>
        <w:pStyle w:val="733"/>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涵盖需求分析、架构规划、组网设计、路由设置、网络对接规划及可靠性保障等方面提出专项解决方案。应以文字与网络拓扑图结合的形式，清晰展现项目建设全貌，细化系统配置，确保方案科学、合理、可行，针对性强，满足项目建设目标，保障项目安全运行。</w:t>
      </w:r>
      <w:r>
        <w:rPr>
          <w:rFonts w:hint="eastAsia" w:ascii="宋体" w:hAnsi="宋体" w:eastAsia="宋体" w:cs="宋体"/>
          <w:bCs/>
          <w:color w:val="000000"/>
          <w:sz w:val="21"/>
          <w:szCs w:val="21"/>
          <w:highlight w:val="none"/>
        </w:rPr>
      </w:r>
      <w:r/>
    </w:p>
    <w:p>
      <w:pPr>
        <w:pStyle w:val="1066"/>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3.实施计划安排</w:t>
      </w:r>
      <w:r>
        <w:rPr>
          <w:rFonts w:hint="eastAsia" w:ascii="宋体" w:hAnsi="宋体" w:eastAsia="宋体" w:cs="宋体"/>
          <w:bCs/>
          <w:color w:val="000000"/>
          <w:sz w:val="21"/>
          <w:szCs w:val="21"/>
          <w:highlight w:val="none"/>
          <w:lang w:val="en-US"/>
        </w:rPr>
      </w:r>
      <w:r/>
    </w:p>
    <w:p>
      <w:pPr>
        <w:pStyle w:val="1066"/>
        <w:ind w:firstLine="420"/>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投标人应提供项目实施方案，包括供货及安装各节点时间进度、人员配置安排、质量控制、文明施工等，方案应科学、合理、切实可行、针对性强，保障文明安全施工零事故，并确保项目整体质量控制达到项目设计及各参数要求。</w:t>
      </w:r>
      <w:r>
        <w:rPr>
          <w:rFonts w:hint="eastAsia" w:ascii="宋体" w:hAnsi="宋体" w:eastAsia="宋体" w:cs="宋体"/>
          <w:bCs/>
          <w:color w:val="000000"/>
          <w:sz w:val="21"/>
          <w:szCs w:val="21"/>
          <w:highlight w:val="none"/>
          <w:lang w:val="en-US"/>
        </w:rPr>
      </w:r>
      <w:r/>
    </w:p>
    <w:p>
      <w:pPr>
        <w:pStyle w:val="1066"/>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4.售后服务方案</w:t>
      </w:r>
      <w:r>
        <w:rPr>
          <w:rFonts w:hint="eastAsia" w:ascii="宋体" w:hAnsi="宋体" w:eastAsia="宋体" w:cs="宋体"/>
          <w:bCs/>
          <w:color w:val="000000"/>
          <w:sz w:val="21"/>
          <w:szCs w:val="21"/>
          <w:highlight w:val="none"/>
          <w:lang w:val="en-US"/>
        </w:rPr>
      </w:r>
      <w:r/>
    </w:p>
    <w:p>
      <w:pPr>
        <w:pStyle w:val="733"/>
        <w:ind w:firstLine="48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投标人须提供本项目硬件（含软硬一体）和软件（如有）的相关质保服务，具体质保年限参照技术要求参数部分，本项目中所列软硬件质保期、系统集成维保服务期等各类期限从项目通过验收之日起开始计算。</w:t>
      </w:r>
      <w:r>
        <w:rPr>
          <w:rFonts w:hint="eastAsia" w:ascii="宋体" w:hAnsi="宋体" w:eastAsia="宋体" w:cs="宋体"/>
          <w:b/>
          <w:color w:val="000000"/>
          <w:sz w:val="21"/>
          <w:szCs w:val="21"/>
          <w:highlight w:val="none"/>
        </w:rPr>
      </w:r>
      <w:r/>
    </w:p>
    <w:p>
      <w:pPr>
        <w:pStyle w:val="733"/>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应提供售后服务方案，须包括组织机构与人员配置、日常巡检、故障处理、应急响应、运维流程与规范等内容，保障方案应紧密结合本项目实际情况，内容完整、切实可行，针对本项目的运营需要，提供服务目录管理、业务审批与开通、运营态势分析、安全态势分析等内容的方案。方案内容完整、切实可行，确保售后服务的规范和高效。</w:t>
      </w:r>
      <w:r>
        <w:rPr>
          <w:rFonts w:hint="eastAsia" w:ascii="宋体" w:hAnsi="宋体" w:eastAsia="宋体" w:cs="宋体"/>
          <w:bCs/>
          <w:color w:val="000000"/>
          <w:sz w:val="21"/>
          <w:szCs w:val="21"/>
          <w:highlight w:val="none"/>
        </w:rPr>
      </w:r>
      <w:r/>
    </w:p>
    <w:p>
      <w:pPr>
        <w:pStyle w:val="1066"/>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5.培训服务方案</w:t>
      </w:r>
      <w:r>
        <w:rPr>
          <w:rFonts w:hint="eastAsia" w:ascii="宋体" w:hAnsi="宋体" w:eastAsia="宋体" w:cs="宋体"/>
          <w:bCs/>
          <w:color w:val="000000"/>
          <w:sz w:val="21"/>
          <w:szCs w:val="21"/>
          <w:highlight w:val="none"/>
          <w:lang w:val="en-US"/>
        </w:rPr>
      </w:r>
      <w:r/>
    </w:p>
    <w:p>
      <w:pPr>
        <w:pStyle w:val="733"/>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投标人应提供培训服务方案，</w:t>
      </w:r>
      <w:r>
        <w:rPr>
          <w:rFonts w:hint="eastAsia" w:ascii="宋体" w:hAnsi="宋体" w:eastAsia="宋体" w:cs="宋体"/>
          <w:bCs/>
          <w:color w:val="000000"/>
          <w:sz w:val="21"/>
          <w:szCs w:val="21"/>
          <w:highlight w:val="none"/>
        </w:rPr>
        <w:t xml:space="preserve">方案应科学、合理、切实可行、针对性强。针对本项目相关人员培训的具体时间和地点将在采购人认为方便合适的时间和地点举行，内容应包括产品的介绍、产品的使用、产品的日常运维，要求如下：投标人在提交投标文件时，须包含详细的培训计划书、培训内容、课程安排及培训时间表，确保在中标后能提供现场培训。培训方式应按照基本原理、安装操作、运行管理三个方面有序组织实施，旨在使受训人员全面了解和掌握系统基本原理、技术特性、操作规范、运行规程及管理维护等方面的知识，从而能够胜任系统的全部运行、操作、故障分析处理、设备维修和保养等工作。</w:t>
      </w:r>
      <w:r>
        <w:rPr>
          <w:rFonts w:hint="eastAsia" w:ascii="宋体" w:hAnsi="宋体" w:eastAsia="宋体" w:cs="宋体"/>
          <w:bCs/>
          <w:color w:val="000000"/>
          <w:sz w:val="21"/>
          <w:szCs w:val="21"/>
          <w:highlight w:val="none"/>
        </w:rPr>
      </w:r>
      <w:r/>
    </w:p>
    <w:p>
      <w:pPr>
        <w:pStyle w:val="733"/>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提供的培训服务必须由产品原厂商提供，投标人中标后须提供主要产品厂商的原厂培训服务承诺函，主要产品原厂商需要满足以下培训能力：提供政务信息化全系列产品培训，包括但不限于交换机、存储等产品.</w:t>
      </w:r>
      <w:r>
        <w:rPr>
          <w:rFonts w:hint="eastAsia" w:ascii="宋体" w:hAnsi="宋体" w:eastAsia="宋体" w:cs="宋体"/>
          <w:bCs/>
          <w:color w:val="000000"/>
          <w:sz w:val="21"/>
          <w:szCs w:val="21"/>
          <w:highlight w:val="none"/>
        </w:rPr>
      </w:r>
      <w:r/>
    </w:p>
    <w:p>
      <w:pPr>
        <w:pStyle w:val="1066"/>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6.安全保密要求</w:t>
      </w:r>
      <w:r>
        <w:rPr>
          <w:rFonts w:hint="eastAsia" w:ascii="宋体" w:hAnsi="宋体" w:eastAsia="宋体" w:cs="宋体"/>
          <w:bCs/>
          <w:color w:val="000000"/>
          <w:sz w:val="21"/>
          <w:szCs w:val="21"/>
          <w:highlight w:val="none"/>
          <w:lang w:val="en-US"/>
        </w:rPr>
      </w:r>
      <w:r/>
    </w:p>
    <w:p>
      <w:pPr>
        <w:pStyle w:val="733"/>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须签署安全保密协议，必须保守项目相关业务、技术和数据的秘密，未经采购人书面许可，不得转存或拷贝数据，不得披露业务内容、技术内容信息。投标人未遵守保密及安全要求而引发的一切后果，由投标人承担相关法律责任。</w:t>
      </w:r>
      <w:r>
        <w:rPr>
          <w:rFonts w:hint="eastAsia" w:ascii="宋体" w:hAnsi="宋体" w:eastAsia="宋体" w:cs="宋体"/>
          <w:bCs/>
          <w:color w:val="000000"/>
          <w:sz w:val="21"/>
          <w:szCs w:val="21"/>
          <w:highlight w:val="none"/>
        </w:rPr>
      </w:r>
      <w:r/>
    </w:p>
    <w:p>
      <w:pPr>
        <w:pStyle w:val="1066"/>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投标人须遵守《中华人民共和国网络安全法》《中华人民共和国数据安全法》《中华人民共和国个人信息保护法》的有关要求，应保证数据安全，在数据存储、供需对接、数据共享应用、数据开发利用、数据分析等环节采取相应的安全防护措施。按照《江苏省公共数据管理办法》《江苏省公共数据分类分级规范》等要求，做好数据安全管控，并定期开展数据安全评估和安全审计。投标人未遵守数据安全操作要求而引发的一切后果，由投标人承担相关责任。</w:t>
      </w:r>
      <w:r>
        <w:rPr>
          <w:rFonts w:hint="eastAsia" w:ascii="宋体" w:hAnsi="宋体" w:eastAsia="宋体" w:cs="宋体"/>
          <w:bCs/>
          <w:color w:val="000000"/>
          <w:sz w:val="21"/>
          <w:szCs w:val="21"/>
          <w:highlight w:val="none"/>
          <w:lang w:val="en-US"/>
        </w:rPr>
      </w:r>
      <w:r/>
    </w:p>
    <w:p>
      <w:pPr>
        <w:pStyle w:val="1066"/>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7.团队人员安排</w:t>
      </w:r>
      <w:r>
        <w:rPr>
          <w:rFonts w:hint="eastAsia" w:ascii="宋体" w:hAnsi="宋体" w:eastAsia="宋体" w:cs="宋体"/>
          <w:bCs/>
          <w:color w:val="000000"/>
          <w:sz w:val="21"/>
          <w:szCs w:val="21"/>
          <w:highlight w:val="none"/>
          <w:lang w:val="en-US"/>
        </w:rPr>
      </w:r>
      <w:r/>
    </w:p>
    <w:p>
      <w:pPr>
        <w:pStyle w:val="733"/>
        <w:ind w:firstLine="420"/>
        <w:pageBreakBefore w:val="0"/>
        <w:spacing w:line="360" w:lineRule="auto"/>
        <w:widowControl/>
        <w:rPr>
          <w:rFonts w:hint="eastAsia" w:ascii="宋体" w:hAnsi="宋体" w:eastAsia="宋体" w:cs="宋体"/>
          <w:b/>
          <w:bCs/>
          <w:color w:val="000000"/>
          <w:sz w:val="21"/>
          <w:szCs w:val="21"/>
          <w:highlight w:val="none"/>
        </w:rPr>
      </w:pPr>
      <w:r/>
      <w:bookmarkStart w:id="130" w:name="_Hlk214005104"/>
      <w:r>
        <w:rPr>
          <w:rFonts w:hint="eastAsia" w:ascii="宋体" w:hAnsi="宋体" w:eastAsia="宋体" w:cs="宋体"/>
          <w:bCs/>
          <w:color w:val="000000"/>
          <w:sz w:val="21"/>
          <w:szCs w:val="21"/>
          <w:highlight w:val="none"/>
        </w:rPr>
        <w:t xml:space="preserve">为确保项目实施，投标人需为本项目组件专业项目团队，包括但不限于项目负责人1位，为整体项目的进度、技术方案、实施质量等进行全面把控；技术负责人1位，为项目的整体技术路线走向进行把控；项目团队人员至少4人以上，需要对项目的网络、路由、信息安全保障、设备安装调试、IT网络服务、使用培训等全方面进行保障，确保项目的正常进行。同时，该团队需为用户提供7×24小时的技术支持服务。接到故障报修后，售后服务团队立即响应，</w:t>
      </w:r>
      <w:r>
        <w:rPr>
          <w:rFonts w:hint="eastAsia" w:ascii="宋体" w:hAnsi="宋体" w:eastAsia="宋体" w:cs="宋体"/>
          <w:bCs/>
          <w:color w:val="000000"/>
          <w:sz w:val="21"/>
          <w:szCs w:val="21"/>
          <w:highlight w:val="none"/>
          <w:lang w:val="en-US" w:eastAsia="zh-CN"/>
        </w:rPr>
        <w:t xml:space="preserve">如有必要需</w:t>
      </w:r>
      <w:r>
        <w:rPr>
          <w:rFonts w:hint="eastAsia" w:ascii="宋体" w:hAnsi="宋体" w:eastAsia="宋体" w:cs="宋体"/>
          <w:bCs/>
          <w:color w:val="000000"/>
          <w:sz w:val="21"/>
          <w:szCs w:val="21"/>
          <w:highlight w:val="none"/>
        </w:rPr>
        <w:t xml:space="preserve">现场处置。</w:t>
      </w:r>
      <w:r>
        <w:rPr>
          <w:rFonts w:hint="eastAsia" w:ascii="宋体" w:hAnsi="宋体" w:eastAsia="宋体" w:cs="宋体"/>
          <w:b/>
          <w:bCs/>
          <w:color w:val="000000"/>
          <w:sz w:val="21"/>
          <w:szCs w:val="21"/>
          <w:highlight w:val="none"/>
        </w:rPr>
      </w:r>
      <w:r/>
    </w:p>
    <w:p>
      <w:pPr>
        <w:pStyle w:val="733"/>
        <w:pageBreakBefore w:val="0"/>
        <w:spacing w:line="360" w:lineRule="auto"/>
        <w:widowControl/>
        <w:rPr>
          <w:rFonts w:hint="eastAsia" w:ascii="宋体" w:hAnsi="宋体" w:eastAsia="宋体" w:cs="宋体"/>
          <w:color w:val="000000"/>
          <w:sz w:val="21"/>
          <w:szCs w:val="21"/>
          <w:highlight w:val="none"/>
          <w:lang w:bidi="ar"/>
        </w:rPr>
      </w:pPr>
      <w:r/>
      <w:bookmarkEnd w:id="130"/>
      <w:r>
        <w:rPr>
          <w:rFonts w:hint="eastAsia" w:ascii="宋体" w:hAnsi="宋体" w:eastAsia="宋体" w:cs="宋体"/>
          <w:color w:val="000000"/>
          <w:sz w:val="21"/>
          <w:szCs w:val="21"/>
          <w:highlight w:val="none"/>
          <w:lang w:bidi="ar"/>
        </w:rPr>
      </w:r>
      <w:r/>
    </w:p>
    <w:p>
      <w:pPr>
        <w:pStyle w:val="1068"/>
        <w:pageBreakBefore w:val="0"/>
        <w:spacing w:before="145" w:after="14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Ⅲ、商务部分要求</w:t>
      </w:r>
      <w:r>
        <w:rPr>
          <w:rFonts w:hint="eastAsia" w:ascii="宋体" w:hAnsi="宋体" w:eastAsia="宋体" w:cs="宋体"/>
          <w:color w:val="000000"/>
          <w:sz w:val="21"/>
          <w:szCs w:val="21"/>
          <w:highlight w:val="none"/>
        </w:rPr>
      </w:r>
      <w:r/>
    </w:p>
    <w:p>
      <w:pPr>
        <w:pStyle w:val="733"/>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1.交货期：</w:t>
      </w:r>
      <w:r>
        <w:rPr>
          <w:rFonts w:hint="eastAsia" w:ascii="宋体" w:hAnsi="宋体" w:eastAsia="宋体" w:cs="宋体"/>
          <w:bCs/>
          <w:color w:val="000000"/>
          <w:sz w:val="21"/>
          <w:szCs w:val="21"/>
          <w:highlight w:val="none"/>
        </w:rPr>
        <w:t xml:space="preserve">合同签订之日起，6个月内交货并安装调试完毕。</w:t>
      </w:r>
      <w:r>
        <w:rPr>
          <w:rFonts w:hint="eastAsia" w:ascii="宋体" w:hAnsi="宋体" w:eastAsia="宋体" w:cs="宋体"/>
          <w:bCs/>
          <w:color w:val="000000"/>
          <w:sz w:val="21"/>
          <w:szCs w:val="21"/>
          <w:highlight w:val="none"/>
        </w:rPr>
      </w:r>
      <w:r/>
    </w:p>
    <w:p>
      <w:pPr>
        <w:pStyle w:val="733"/>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2.质保期</w:t>
      </w:r>
      <w:r>
        <w:rPr>
          <w:rFonts w:hint="eastAsia" w:ascii="宋体" w:hAnsi="宋体" w:eastAsia="宋体" w:cs="宋体"/>
          <w:bCs/>
          <w:color w:val="000000"/>
          <w:sz w:val="21"/>
          <w:szCs w:val="21"/>
          <w:highlight w:val="none"/>
        </w:rPr>
        <w:t xml:space="preserve">：参照技术要求参数部分（自通过验收之日起开始计算）。</w:t>
      </w:r>
      <w:r>
        <w:rPr>
          <w:rFonts w:hint="eastAsia" w:ascii="宋体" w:hAnsi="宋体" w:eastAsia="宋体" w:cs="宋体"/>
          <w:bCs/>
          <w:color w:val="000000"/>
          <w:sz w:val="21"/>
          <w:szCs w:val="21"/>
          <w:highlight w:val="none"/>
        </w:rPr>
      </w:r>
      <w:r/>
    </w:p>
    <w:p>
      <w:pPr>
        <w:pStyle w:val="733"/>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3.交货方式：</w:t>
      </w:r>
      <w:r>
        <w:rPr>
          <w:rFonts w:hint="eastAsia" w:ascii="宋体" w:hAnsi="宋体" w:eastAsia="宋体" w:cs="宋体"/>
          <w:bCs/>
          <w:color w:val="000000"/>
          <w:sz w:val="21"/>
          <w:szCs w:val="21"/>
          <w:highlight w:val="none"/>
        </w:rPr>
        <w:t xml:space="preserve">设备及软件货物现场交货验货，并提交相关交付物。</w:t>
      </w:r>
      <w:r>
        <w:rPr>
          <w:rFonts w:hint="eastAsia" w:ascii="宋体" w:hAnsi="宋体" w:eastAsia="宋体" w:cs="宋体"/>
          <w:bCs/>
          <w:color w:val="000000"/>
          <w:sz w:val="21"/>
          <w:szCs w:val="21"/>
          <w:highlight w:val="none"/>
        </w:rPr>
      </w:r>
      <w:r/>
    </w:p>
    <w:p>
      <w:pPr>
        <w:pStyle w:val="733"/>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4.交货地点：</w:t>
      </w:r>
      <w:r>
        <w:rPr>
          <w:rFonts w:hint="eastAsia" w:ascii="宋体" w:hAnsi="宋体" w:eastAsia="宋体" w:cs="宋体"/>
          <w:bCs/>
          <w:color w:val="000000"/>
          <w:sz w:val="21"/>
          <w:szCs w:val="21"/>
          <w:highlight w:val="none"/>
        </w:rPr>
        <w:t xml:space="preserve">采购人指定地点。</w:t>
      </w:r>
      <w:r>
        <w:rPr>
          <w:rFonts w:hint="eastAsia" w:ascii="宋体" w:hAnsi="宋体" w:eastAsia="宋体" w:cs="宋体"/>
          <w:bCs/>
          <w:color w:val="000000"/>
          <w:sz w:val="21"/>
          <w:szCs w:val="21"/>
          <w:highlight w:val="none"/>
        </w:rPr>
      </w:r>
      <w:r/>
    </w:p>
    <w:p>
      <w:pPr>
        <w:pStyle w:val="733"/>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5.货款支付：</w:t>
      </w:r>
      <w:r>
        <w:rPr>
          <w:rFonts w:hint="eastAsia" w:ascii="宋体" w:hAnsi="宋体" w:eastAsia="宋体" w:cs="宋体"/>
          <w:bCs/>
          <w:color w:val="000000"/>
          <w:sz w:val="21"/>
          <w:szCs w:val="21"/>
          <w:highlight w:val="none"/>
        </w:rPr>
        <w:t xml:space="preserve">签订合同后</w:t>
      </w:r>
      <w:r>
        <w:rPr>
          <w:rFonts w:hint="eastAsia" w:ascii="宋体" w:hAnsi="宋体" w:eastAsia="宋体" w:cs="宋体"/>
          <w:bCs/>
          <w:color w:val="000000"/>
          <w:sz w:val="21"/>
          <w:szCs w:val="21"/>
          <w:highlight w:val="none"/>
          <w:lang w:val="en-US" w:eastAsia="zh-CN"/>
        </w:rPr>
        <w:t xml:space="preserve">30日内，</w:t>
      </w:r>
      <w:r>
        <w:rPr>
          <w:rFonts w:hint="eastAsia" w:ascii="宋体" w:hAnsi="宋体" w:eastAsia="宋体" w:cs="宋体"/>
          <w:bCs/>
          <w:color w:val="000000"/>
          <w:sz w:val="21"/>
          <w:szCs w:val="21"/>
          <w:highlight w:val="none"/>
        </w:rPr>
        <w:t xml:space="preserve">支付合同金额的50%；项目通过验收，支付至合同金额100%。款项由采购人按相关财务支付规定办理支付手续。不得故意拖延支付时间。</w:t>
      </w:r>
      <w:r>
        <w:rPr>
          <w:rFonts w:hint="eastAsia" w:ascii="宋体" w:hAnsi="宋体" w:eastAsia="宋体" w:cs="宋体"/>
          <w:bCs/>
          <w:color w:val="000000"/>
          <w:sz w:val="21"/>
          <w:szCs w:val="21"/>
          <w:highlight w:val="none"/>
        </w:rPr>
      </w:r>
      <w:r/>
    </w:p>
    <w:p>
      <w:pPr>
        <w:pStyle w:val="1073"/>
        <w:ind w:firstLine="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6.备品备件及耗材等要求：</w:t>
      </w:r>
      <w:r>
        <w:rPr>
          <w:rFonts w:hint="eastAsia" w:ascii="宋体" w:hAnsi="宋体" w:eastAsia="宋体" w:cs="宋体"/>
          <w:bCs/>
          <w:color w:val="000000"/>
          <w:sz w:val="21"/>
          <w:szCs w:val="21"/>
          <w:highlight w:val="none"/>
        </w:rPr>
        <w:t xml:space="preserve">满足本项目设备的安装、调试、集成、质保、运维等需求。</w:t>
      </w:r>
      <w:r>
        <w:rPr>
          <w:rFonts w:hint="eastAsia" w:ascii="宋体" w:hAnsi="宋体" w:eastAsia="宋体" w:cs="宋体"/>
          <w:bCs/>
          <w:color w:val="000000"/>
          <w:sz w:val="21"/>
          <w:szCs w:val="21"/>
          <w:highlight w:val="none"/>
        </w:rPr>
      </w:r>
      <w:r/>
    </w:p>
    <w:p>
      <w:pPr>
        <w:pStyle w:val="1073"/>
        <w:ind w:firstLine="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7.项目验收：</w:t>
      </w:r>
      <w:r>
        <w:rPr>
          <w:rFonts w:hint="eastAsia" w:ascii="宋体" w:hAnsi="宋体" w:eastAsia="宋体" w:cs="宋体"/>
          <w:bCs/>
          <w:color w:val="000000"/>
          <w:sz w:val="21"/>
          <w:szCs w:val="21"/>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w:t>
      </w:r>
      <w:r>
        <w:rPr>
          <w:rFonts w:hint="eastAsia" w:ascii="宋体" w:hAnsi="宋体" w:eastAsia="宋体" w:cs="宋体"/>
          <w:bCs/>
          <w:color w:val="000000"/>
          <w:sz w:val="21"/>
          <w:szCs w:val="21"/>
          <w:highlight w:val="none"/>
        </w:rPr>
      </w:r>
      <w:r/>
    </w:p>
    <w:p>
      <w:pPr>
        <w:pStyle w:val="1073"/>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8.本项目不接受进口产品投标。</w:t>
      </w:r>
      <w:r>
        <w:rPr>
          <w:rFonts w:hint="eastAsia" w:ascii="宋体" w:hAnsi="宋体" w:eastAsia="宋体" w:cs="宋体"/>
          <w:b/>
          <w:color w:val="000000"/>
          <w:sz w:val="21"/>
          <w:szCs w:val="21"/>
          <w:highlight w:val="none"/>
        </w:rPr>
      </w:r>
      <w:r/>
    </w:p>
    <w:p>
      <w:pPr>
        <w:pStyle w:val="1073"/>
        <w:ind w:firstLine="422"/>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9.履约保证金要求：</w:t>
      </w:r>
      <w:r>
        <w:rPr>
          <w:rFonts w:hint="eastAsia" w:ascii="宋体" w:hAnsi="宋体" w:eastAsia="宋体" w:cs="宋体"/>
          <w:bCs/>
          <w:color w:val="000000"/>
          <w:sz w:val="21"/>
          <w:szCs w:val="21"/>
          <w:highlight w:val="none"/>
        </w:rPr>
        <w:t xml:space="preserve">本项目不收取履约保证金。</w:t>
      </w:r>
      <w:r>
        <w:rPr>
          <w:rFonts w:hint="eastAsia" w:ascii="宋体" w:hAnsi="宋体" w:eastAsia="宋体" w:cs="宋体"/>
          <w:bCs/>
          <w:color w:val="000000"/>
          <w:sz w:val="21"/>
          <w:szCs w:val="21"/>
          <w:highlight w:val="none"/>
        </w:rPr>
      </w:r>
      <w:r/>
    </w:p>
    <w:p>
      <w:pPr>
        <w:pStyle w:val="733"/>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68"/>
        <w:pageBreakBefore w:val="0"/>
        <w:spacing w:before="145" w:after="14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Ⅳ、采购需求中必须满足的实质性要求</w:t>
      </w:r>
      <w:r>
        <w:rPr>
          <w:rFonts w:hint="eastAsia" w:ascii="宋体" w:hAnsi="宋体" w:eastAsia="宋体" w:cs="宋体"/>
          <w:color w:val="000000"/>
          <w:sz w:val="21"/>
          <w:szCs w:val="21"/>
          <w:highlight w:val="none"/>
        </w:rPr>
      </w:r>
      <w:r/>
    </w:p>
    <w:p>
      <w:pPr>
        <w:pStyle w:val="1073"/>
        <w:ind w:firstLine="42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技术参数要求中所有加“★”标志的为实质性指标，不允许有负偏离。须提供承诺函，格式自拟并加盖投标人公章。</w:t>
      </w: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pageBreakBefore w:val="0"/>
        <w:spacing w:line="360" w:lineRule="auto"/>
        <w:shd w:val="clear" w:color="auto" w:fill="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shd w:val="clear" w:color="auto" w:fill="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r>
      <w:r/>
    </w:p>
    <w:p>
      <w:pPr>
        <w:pStyle w:val="733"/>
        <w:jc w:val="center"/>
        <w:spacing w:line="500" w:lineRule="exact"/>
        <w:shd w:val="clear" w:color="auto" w:fill="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第四部分  评标方法与评标标准</w:t>
      </w:r>
      <w:r>
        <w:rPr>
          <w:rFonts w:hint="eastAsia" w:ascii="宋体" w:hAnsi="宋体" w:eastAsia="宋体" w:cs="宋体"/>
          <w:b/>
          <w:color w:val="000000"/>
          <w:sz w:val="36"/>
          <w:szCs w:val="36"/>
          <w:highlight w:val="none"/>
        </w:rPr>
      </w:r>
      <w:r/>
    </w:p>
    <w:p>
      <w:pPr>
        <w:pStyle w:val="733"/>
        <w:ind w:firstLine="555"/>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eastAsia="宋体" w:cs="宋体"/>
          <w:color w:val="000000"/>
          <w:szCs w:val="21"/>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912"/>
      </w:tblGrid>
      <w:tr>
        <w:trPr/>
        <w:tc>
          <w:tcPr>
            <w:tcW w:w="2888" w:type="dxa"/>
            <w:vAlign w:val="center"/>
            <w:textDirection w:val="lrTb"/>
            <w:noWrap/>
          </w:tcPr>
          <w:p>
            <w:pPr>
              <w:pStyle w:val="733"/>
              <w:jc w:val="center"/>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选取中标候选人数量</w:t>
            </w:r>
            <w:r>
              <w:rPr>
                <w:rFonts w:hint="eastAsia" w:ascii="宋体" w:hAnsi="宋体" w:eastAsia="宋体" w:cs="宋体"/>
                <w:color w:val="000000"/>
                <w:szCs w:val="21"/>
                <w:highlight w:val="none"/>
              </w:rPr>
            </w:r>
            <w:r/>
          </w:p>
        </w:tc>
        <w:tc>
          <w:tcPr>
            <w:tcW w:w="5912" w:type="dxa"/>
            <w:vAlign w:val="center"/>
            <w:textDirection w:val="lrTb"/>
            <w:noWrap/>
          </w:tcPr>
          <w:p>
            <w:pPr>
              <w:pStyle w:val="733"/>
              <w:jc w:val="center"/>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选取中标候选人的原则</w:t>
            </w:r>
            <w:r>
              <w:rPr>
                <w:rFonts w:hint="eastAsia" w:ascii="宋体" w:hAnsi="宋体" w:eastAsia="宋体" w:cs="宋体"/>
                <w:color w:val="000000"/>
                <w:szCs w:val="21"/>
                <w:highlight w:val="none"/>
              </w:rPr>
            </w:r>
            <w:r/>
          </w:p>
        </w:tc>
      </w:tr>
      <w:tr>
        <w:trPr/>
        <w:tc>
          <w:tcPr>
            <w:tcW w:w="2888" w:type="dxa"/>
            <w:vAlign w:val="center"/>
            <w:textDirection w:val="lrTb"/>
            <w:noWrap/>
          </w:tcPr>
          <w:p>
            <w:pPr>
              <w:pStyle w:val="733"/>
              <w:jc w:val="center"/>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5912" w:type="dxa"/>
            <w:vAlign w:val="center"/>
            <w:textDirection w:val="lrTb"/>
            <w:noWrap/>
          </w:tcPr>
          <w:p>
            <w:pPr>
              <w:pStyle w:val="733"/>
              <w:jc w:val="left"/>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满足招标文件全部实质性要求，且按照评审因素的量化指标评审得分最高的投标人为中标候选人。</w:t>
            </w:r>
            <w:r>
              <w:rPr>
                <w:rFonts w:hint="eastAsia" w:ascii="宋体" w:hAnsi="宋体" w:eastAsia="宋体" w:cs="宋体"/>
                <w:color w:val="000000"/>
                <w:szCs w:val="21"/>
                <w:highlight w:val="none"/>
              </w:rPr>
            </w:r>
            <w:r/>
          </w:p>
        </w:tc>
      </w:tr>
    </w:tbl>
    <w:p>
      <w:pPr>
        <w:pStyle w:val="733"/>
        <w:ind w:firstLine="413"/>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评标方法与评标标准</w:t>
      </w:r>
      <w:r>
        <w:rPr>
          <w:rFonts w:hint="eastAsia" w:ascii="宋体" w:hAnsi="宋体" w:eastAsia="宋体" w:cs="宋体"/>
          <w:b/>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一、</w:t>
      </w:r>
      <w:r>
        <w:rPr>
          <w:rFonts w:hint="eastAsia" w:ascii="宋体" w:hAnsi="宋体" w:eastAsia="宋体" w:cs="宋体"/>
          <w:b/>
          <w:color w:val="000000"/>
          <w:szCs w:val="21"/>
          <w:highlight w:val="none"/>
          <w:lang w:val="zh-CN"/>
        </w:rPr>
        <w:t xml:space="preserve">价格分</w:t>
      </w:r>
      <w:r>
        <w:rPr>
          <w:rFonts w:hint="eastAsia" w:ascii="宋体" w:hAnsi="宋体" w:eastAsia="宋体" w:cs="宋体"/>
          <w:b/>
          <w:color w:val="000000"/>
          <w:szCs w:val="21"/>
          <w:highlight w:val="none"/>
        </w:rPr>
        <w:t xml:space="preserve">：30</w:t>
      </w:r>
      <w:r>
        <w:rPr>
          <w:rFonts w:hint="eastAsia" w:ascii="宋体" w:hAnsi="宋体" w:eastAsia="宋体" w:cs="宋体"/>
          <w:b/>
          <w:color w:val="000000"/>
          <w:szCs w:val="21"/>
          <w:highlight w:val="none"/>
          <w:lang w:val="zh-CN"/>
        </w:rPr>
        <w:t xml:space="preserve">分</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1.本次项目最高限价：</w:t>
      </w:r>
      <w:r>
        <w:rPr>
          <w:rFonts w:hint="eastAsia" w:ascii="宋体" w:hAnsi="宋体" w:eastAsia="宋体" w:cs="宋体"/>
          <w:color w:val="000000"/>
          <w:szCs w:val="21"/>
          <w:highlight w:val="none"/>
          <w:lang w:eastAsia="zh-CN"/>
        </w:rPr>
        <w:t xml:space="preserve">198.3万元</w:t>
      </w:r>
      <w:r>
        <w:rPr>
          <w:rFonts w:hint="eastAsia" w:ascii="宋体" w:hAnsi="宋体" w:eastAsia="宋体" w:cs="宋体"/>
          <w:color w:val="000000"/>
          <w:szCs w:val="21"/>
          <w:highlight w:val="none"/>
        </w:rPr>
        <w:t xml:space="preserve">；超过限价作无效标处理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3"/>
        <w:ind w:firstLine="560"/>
        <w:spacing w:line="50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2.满足招标文件要求且投标报价最低的报价为评标基准价，其价格分为满分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3"/>
        <w:ind w:firstLine="560"/>
        <w:spacing w:line="5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3.其他投标供应商的价格分统一按照下列公式计算：</w:t>
      </w:r>
      <w:r>
        <w:rPr>
          <w:rFonts w:hint="eastAsia" w:ascii="宋体" w:hAnsi="宋体" w:eastAsia="宋体" w:cs="宋体"/>
          <w:color w:val="000000"/>
          <w:szCs w:val="21"/>
          <w:highlight w:val="none"/>
        </w:rPr>
      </w:r>
      <w:r/>
    </w:p>
    <w:p>
      <w:pPr>
        <w:pStyle w:val="733"/>
        <w:ind w:firstLine="560"/>
        <w:spacing w:line="50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投标报价得分=（评标基准价/投标报价）×价格权值×100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3"/>
        <w:ind w:firstLine="63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4.评审过程中出现下列情形之一的，评审小组应当启动异常低价响应审查程序：</w:t>
      </w:r>
      <w:r>
        <w:rPr>
          <w:rFonts w:hint="eastAsia" w:ascii="宋体" w:hAnsi="宋体" w:eastAsia="宋体" w:cs="宋体"/>
          <w:color w:val="000000"/>
          <w:szCs w:val="21"/>
          <w:highlight w:val="none"/>
        </w:rPr>
      </w:r>
      <w:r/>
    </w:p>
    <w:p>
      <w:pPr>
        <w:pStyle w:val="733"/>
        <w:ind w:firstLine="42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（1）报价低于采购项目预算50%的，即报价＜采购项目预算*50%；</w:t>
      </w:r>
      <w:r>
        <w:rPr>
          <w:rFonts w:hint="eastAsia" w:ascii="宋体" w:hAnsi="宋体" w:eastAsia="宋体" w:cs="宋体"/>
          <w:color w:val="000000"/>
          <w:szCs w:val="21"/>
          <w:highlight w:val="none"/>
        </w:rPr>
      </w:r>
      <w:r/>
    </w:p>
    <w:p>
      <w:pPr>
        <w:pStyle w:val="733"/>
        <w:ind w:firstLine="42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（2）报价低于采购项目最高限价45%的，即报价＜采购项目最高限价*45%；</w:t>
      </w:r>
      <w:r>
        <w:rPr>
          <w:rFonts w:hint="eastAsia" w:ascii="宋体" w:hAnsi="宋体" w:eastAsia="宋体" w:cs="宋体"/>
          <w:color w:val="000000"/>
          <w:szCs w:val="21"/>
          <w:highlight w:val="none"/>
        </w:rPr>
      </w:r>
      <w:r/>
    </w:p>
    <w:p>
      <w:pPr>
        <w:pStyle w:val="733"/>
        <w:ind w:firstLine="42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（3）评审小组认定的供应商报价过低、有可能影响产品质量或者不能诚信履约的其他情形。</w:t>
      </w:r>
      <w:r>
        <w:rPr>
          <w:rFonts w:hint="eastAsia" w:ascii="宋体" w:hAnsi="宋体" w:eastAsia="宋体" w:cs="宋体"/>
          <w:color w:val="000000"/>
          <w:szCs w:val="21"/>
          <w:highlight w:val="none"/>
        </w:rPr>
      </w:r>
      <w:r/>
    </w:p>
    <w:p>
      <w:pPr>
        <w:pStyle w:val="733"/>
        <w:ind w:firstLine="42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（4）启动异常低价响应审查后，评审小组应当要求相关供应商在</w:t>
      </w:r>
      <w:r>
        <w:rPr>
          <w:rFonts w:hint="eastAsia" w:ascii="宋体" w:hAnsi="宋体" w:eastAsia="宋体" w:cs="宋体"/>
          <w:b/>
          <w:bCs/>
          <w:color w:val="000000"/>
          <w:szCs w:val="21"/>
          <w:highlight w:val="none"/>
        </w:rPr>
        <w:t xml:space="preserve">30分钟内</w:t>
      </w:r>
      <w:r>
        <w:rPr>
          <w:rFonts w:hint="eastAsia" w:ascii="宋体" w:hAnsi="宋体" w:eastAsia="宋体" w:cs="宋体"/>
          <w:color w:val="000000"/>
          <w:szCs w:val="21"/>
          <w:highlight w:val="none"/>
        </w:rPr>
        <w:t xml:space="preserve">，提供项目具体成本测算等与报价合理性相关的书面说明及相关证明材料，对响应价格做出解释，由评审小组结合同类产品在主要电商平台的价格、该行业当地薪资水平等情况，依据专业经验对供应商报价合理性进行判断。</w:t>
      </w:r>
      <w:r>
        <w:rPr>
          <w:rFonts w:hint="eastAsia" w:ascii="宋体" w:hAnsi="宋体" w:eastAsia="宋体" w:cs="宋体"/>
          <w:b/>
          <w:bCs/>
          <w:color w:val="000000"/>
          <w:szCs w:val="21"/>
          <w:highlight w:val="none"/>
        </w:rPr>
        <w:t xml:space="preserve">投标供应商不提供书面说明、证明材料，或者提供的书面说明、证明材料不能证明其报价合理性的，评审小组应当将其作为无效标处理。</w:t>
      </w:r>
      <w:r>
        <w:rPr>
          <w:rFonts w:hint="eastAsia" w:ascii="宋体" w:hAnsi="宋体" w:eastAsia="宋体" w:cs="宋体"/>
          <w:color w:val="000000"/>
          <w:szCs w:val="21"/>
          <w:highlight w:val="none"/>
        </w:rPr>
        <w:t xml:space="preserve">审查情况应当在评审报告中进行记录。</w:t>
      </w:r>
      <w:r>
        <w:rPr>
          <w:rFonts w:hint="eastAsia" w:ascii="宋体" w:hAnsi="宋体" w:eastAsia="宋体" w:cs="宋体"/>
          <w:color w:val="000000"/>
          <w:szCs w:val="21"/>
          <w:highlight w:val="none"/>
        </w:rPr>
      </w:r>
      <w:r/>
    </w:p>
    <w:p>
      <w:pPr>
        <w:pStyle w:val="769"/>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numPr>
          <w:ilvl w:val="0"/>
          <w:numId w:val="3"/>
        </w:numPr>
        <w:ind w:firstLine="560"/>
        <w:spacing w:line="5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商务技术分：70分</w:t>
      </w:r>
      <w:r>
        <w:rPr>
          <w:rFonts w:hint="eastAsia" w:ascii="宋体" w:hAnsi="宋体" w:eastAsia="宋体" w:cs="宋体"/>
          <w:b/>
          <w:color w:val="000000"/>
          <w:szCs w:val="21"/>
          <w:highlight w:val="none"/>
        </w:rPr>
      </w:r>
      <w:r/>
    </w:p>
    <w:tbl>
      <w:tblPr>
        <w:tblW w:w="505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16"/>
        <w:gridCol w:w="5095"/>
        <w:gridCol w:w="575"/>
        <w:gridCol w:w="551"/>
        <w:gridCol w:w="887"/>
      </w:tblGrid>
      <w:tr>
        <w:trPr/>
        <w:tc>
          <w:tcPr>
            <w:tcW w:w="407" w:type="dxa"/>
            <w:vAlign w:val="center"/>
            <w:textDirection w:val="lrTb"/>
            <w:noWrap w:val="false"/>
          </w:tcPr>
          <w:p>
            <w:pPr>
              <w:pStyle w:val="733"/>
              <w:jc w:val="center"/>
              <w:widowControl/>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序号</w:t>
            </w:r>
            <w:r>
              <w:rPr>
                <w:rFonts w:hint="eastAsia" w:ascii="仿宋" w:hAnsi="仿宋" w:eastAsia="仿宋" w:cs="宋体"/>
                <w:b/>
                <w:bCs/>
                <w:color w:val="000000"/>
                <w:sz w:val="24"/>
                <w:szCs w:val="24"/>
                <w:highlight w:val="none"/>
              </w:rPr>
            </w:r>
            <w:r/>
          </w:p>
        </w:tc>
        <w:tc>
          <w:tcPr>
            <w:tcW w:w="763" w:type="dxa"/>
            <w:vAlign w:val="center"/>
            <w:textDirection w:val="lrTb"/>
            <w:noWrap w:val="false"/>
          </w:tcPr>
          <w:p>
            <w:pPr>
              <w:pStyle w:val="733"/>
              <w:jc w:val="center"/>
              <w:widowControl/>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评分点名称</w:t>
            </w:r>
            <w:r>
              <w:rPr>
                <w:rFonts w:hint="eastAsia" w:ascii="仿宋" w:hAnsi="仿宋" w:eastAsia="仿宋" w:cs="宋体"/>
                <w:b/>
                <w:bCs/>
                <w:color w:val="000000"/>
                <w:sz w:val="24"/>
                <w:szCs w:val="24"/>
                <w:highlight w:val="none"/>
              </w:rPr>
            </w:r>
            <w:r/>
          </w:p>
        </w:tc>
        <w:tc>
          <w:tcPr>
            <w:tcW w:w="2745" w:type="dxa"/>
            <w:vAlign w:val="center"/>
            <w:textDirection w:val="lrTb"/>
            <w:noWrap w:val="false"/>
          </w:tcPr>
          <w:p>
            <w:pPr>
              <w:pStyle w:val="733"/>
              <w:jc w:val="center"/>
              <w:widowControl/>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评审标准</w:t>
            </w:r>
            <w:r>
              <w:rPr>
                <w:rFonts w:hint="eastAsia" w:ascii="仿宋" w:hAnsi="仿宋" w:eastAsia="仿宋" w:cs="宋体"/>
                <w:b/>
                <w:bCs/>
                <w:color w:val="000000"/>
                <w:sz w:val="24"/>
                <w:szCs w:val="24"/>
                <w:highlight w:val="none"/>
              </w:rPr>
            </w:r>
            <w:r/>
          </w:p>
        </w:tc>
        <w:tc>
          <w:tcPr>
            <w:tcW w:w="310" w:type="dxa"/>
            <w:vAlign w:val="center"/>
            <w:textDirection w:val="lrTb"/>
            <w:noWrap w:val="false"/>
          </w:tcPr>
          <w:p>
            <w:pPr>
              <w:pStyle w:val="733"/>
              <w:jc w:val="center"/>
              <w:widowControl/>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最高分</w:t>
            </w:r>
            <w:r>
              <w:rPr>
                <w:rFonts w:hint="eastAsia" w:ascii="仿宋" w:hAnsi="仿宋" w:eastAsia="仿宋" w:cs="宋体"/>
                <w:b/>
                <w:bCs/>
                <w:color w:val="000000"/>
                <w:sz w:val="24"/>
                <w:szCs w:val="24"/>
                <w:highlight w:val="none"/>
              </w:rPr>
            </w:r>
            <w:r/>
          </w:p>
        </w:tc>
        <w:tc>
          <w:tcPr>
            <w:tcW w:w="297" w:type="dxa"/>
            <w:vAlign w:val="center"/>
            <w:textDirection w:val="lrTb"/>
            <w:noWrap w:val="false"/>
          </w:tcPr>
          <w:p>
            <w:pPr>
              <w:pStyle w:val="733"/>
              <w:jc w:val="center"/>
              <w:widowControl/>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最低分</w:t>
            </w:r>
            <w:r>
              <w:rPr>
                <w:rFonts w:hint="eastAsia" w:ascii="仿宋" w:hAnsi="仿宋" w:eastAsia="仿宋" w:cs="宋体"/>
                <w:b/>
                <w:bCs/>
                <w:color w:val="000000"/>
                <w:sz w:val="24"/>
                <w:szCs w:val="24"/>
                <w:highlight w:val="none"/>
              </w:rPr>
            </w:r>
            <w:r/>
          </w:p>
        </w:tc>
        <w:tc>
          <w:tcPr>
            <w:tcW w:w="478" w:type="dxa"/>
            <w:vAlign w:val="center"/>
            <w:textDirection w:val="lrTb"/>
            <w:noWrap w:val="false"/>
          </w:tcPr>
          <w:p>
            <w:pPr>
              <w:pStyle w:val="733"/>
              <w:jc w:val="center"/>
              <w:widowControl/>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主/客观分</w:t>
            </w:r>
            <w:r>
              <w:rPr>
                <w:rFonts w:hint="eastAsia" w:ascii="仿宋" w:hAnsi="仿宋" w:eastAsia="仿宋" w:cs="宋体"/>
                <w:b/>
                <w:bCs/>
                <w:color w:val="000000"/>
                <w:sz w:val="24"/>
                <w:szCs w:val="24"/>
                <w:highlight w:val="none"/>
              </w:rPr>
            </w:r>
            <w:r/>
          </w:p>
        </w:tc>
      </w:tr>
      <w:tr>
        <w:trPr/>
        <w:tc>
          <w:tcPr>
            <w:tcW w:w="407" w:type="dxa"/>
            <w:vAlign w:val="center"/>
            <w:textDirection w:val="lrTb"/>
            <w:noWrap/>
          </w:tcPr>
          <w:p>
            <w:pPr>
              <w:pStyle w:val="733"/>
              <w:jc w:val="center"/>
              <w:widowControl/>
              <w:rPr>
                <w:rFonts w:hint="eastAsia" w:ascii="仿宋" w:hAnsi="仿宋" w:eastAsia="仿宋" w:cs="宋体"/>
                <w:color w:val="000000"/>
                <w:szCs w:val="24"/>
                <w:highlight w:val="none"/>
              </w:rPr>
            </w:pPr>
            <w:r>
              <w:rPr>
                <w:rFonts w:hint="eastAsia" w:ascii="仿宋" w:hAnsi="仿宋" w:eastAsia="仿宋" w:cs="宋体"/>
                <w:color w:val="000000"/>
                <w:highlight w:val="none"/>
              </w:rPr>
              <w:t xml:space="preserve">1</w:t>
            </w:r>
            <w:r>
              <w:rPr>
                <w:rFonts w:hint="eastAsia" w:ascii="仿宋" w:hAnsi="仿宋" w:eastAsia="仿宋" w:cs="宋体"/>
                <w:color w:val="000000"/>
                <w:szCs w:val="24"/>
                <w:highlight w:val="none"/>
              </w:rPr>
            </w:r>
            <w:r/>
          </w:p>
        </w:tc>
        <w:tc>
          <w:tcPr>
            <w:tcW w:w="763" w:type="dxa"/>
            <w:vAlign w:val="center"/>
            <w:textDirection w:val="lrTb"/>
            <w:noWrap/>
          </w:tcPr>
          <w:p>
            <w:pPr>
              <w:pStyle w:val="733"/>
              <w:jc w:val="center"/>
              <w:widowControl/>
              <w:rPr>
                <w:rFonts w:hint="eastAsia" w:ascii="仿宋" w:hAnsi="仿宋" w:eastAsia="仿宋" w:cs="宋体"/>
                <w:b/>
                <w:bCs/>
                <w:color w:val="000000"/>
                <w:highlight w:val="none"/>
              </w:rPr>
            </w:pPr>
            <w:r>
              <w:rPr>
                <w:rFonts w:hint="eastAsia" w:ascii="仿宋" w:hAnsi="仿宋" w:eastAsia="仿宋" w:cs="宋体"/>
                <w:b/>
                <w:bCs/>
                <w:color w:val="000000"/>
                <w:highlight w:val="none"/>
              </w:rPr>
              <w:t xml:space="preserve">技术指标</w:t>
            </w:r>
            <w:r>
              <w:rPr>
                <w:rFonts w:hint="eastAsia" w:ascii="仿宋" w:hAnsi="仿宋" w:eastAsia="仿宋" w:cs="宋体"/>
                <w:b/>
                <w:bCs/>
                <w:color w:val="000000"/>
                <w:highlight w:val="none"/>
              </w:rPr>
            </w:r>
            <w:r/>
          </w:p>
          <w:p>
            <w:pPr>
              <w:pStyle w:val="733"/>
              <w:jc w:val="center"/>
              <w:widowControl/>
              <w:rPr>
                <w:rFonts w:hint="eastAsia" w:ascii="仿宋" w:hAnsi="仿宋" w:eastAsia="仿宋" w:cs="宋体"/>
                <w:color w:val="000000"/>
                <w:szCs w:val="24"/>
                <w:highlight w:val="none"/>
              </w:rPr>
            </w:pPr>
            <w:r>
              <w:rPr>
                <w:rFonts w:hint="eastAsia" w:ascii="仿宋" w:hAnsi="仿宋" w:eastAsia="仿宋" w:cs="宋体"/>
                <w:b/>
                <w:bCs/>
                <w:color w:val="000000"/>
                <w:highlight w:val="none"/>
              </w:rPr>
              <w:t xml:space="preserve">（15分）</w:t>
            </w:r>
            <w:r>
              <w:rPr>
                <w:rFonts w:hint="eastAsia" w:ascii="仿宋" w:hAnsi="仿宋" w:eastAsia="仿宋" w:cs="宋体"/>
                <w:color w:val="000000"/>
                <w:szCs w:val="24"/>
                <w:highlight w:val="none"/>
              </w:rPr>
            </w:r>
            <w:r/>
          </w:p>
        </w:tc>
        <w:tc>
          <w:tcPr>
            <w:tcW w:w="2745" w:type="dxa"/>
            <w:vAlign w:val="center"/>
            <w:textDirection w:val="lrTb"/>
            <w:noWrap w:val="false"/>
          </w:tcPr>
          <w:p>
            <w:pPr>
              <w:pStyle w:val="1069"/>
              <w:ind w:firstLine="0"/>
              <w:rPr>
                <w:rFonts w:hint="eastAsia" w:ascii="仿宋" w:hAnsi="仿宋" w:eastAsia="仿宋"/>
                <w:color w:val="000000"/>
                <w:highlight w:val="none"/>
              </w:rPr>
            </w:pPr>
            <w:r>
              <w:rPr>
                <w:rFonts w:hint="eastAsia" w:ascii="仿宋" w:hAnsi="仿宋" w:eastAsia="仿宋"/>
                <w:color w:val="000000"/>
                <w:highlight w:val="none"/>
              </w:rPr>
              <w:t xml:space="preserve">投标供应商根据招标文件技术参数要求进行逐条应答，并提供技术偏离表（未提供的，视为负偏离）。</w:t>
            </w:r>
            <w:r>
              <w:rPr>
                <w:rFonts w:hint="eastAsia" w:ascii="仿宋" w:hAnsi="仿宋" w:eastAsia="仿宋"/>
                <w:color w:val="000000"/>
                <w:highlight w:val="none"/>
              </w:rPr>
            </w:r>
            <w:r/>
          </w:p>
          <w:p>
            <w:pPr>
              <w:pStyle w:val="1069"/>
              <w:ind w:firstLine="0"/>
              <w:rPr>
                <w:rFonts w:hint="eastAsia" w:ascii="仿宋" w:hAnsi="仿宋" w:eastAsia="仿宋"/>
                <w:color w:val="000000"/>
                <w:highlight w:val="none"/>
              </w:rPr>
            </w:pPr>
            <w:r>
              <w:rPr>
                <w:rFonts w:hint="eastAsia" w:ascii="仿宋" w:hAnsi="仿宋" w:eastAsia="仿宋"/>
                <w:color w:val="000000"/>
                <w:highlight w:val="none"/>
              </w:rPr>
              <w:t xml:space="preserve">1.参数中带★项的技术参数不允许负偏离，否则按无效标处理，</w:t>
            </w:r>
            <w:r>
              <w:rPr>
                <w:rFonts w:hint="eastAsia" w:ascii="仿宋" w:hAnsi="仿宋" w:eastAsia="仿宋"/>
                <w:b/>
                <w:bCs/>
                <w:color w:val="000000"/>
                <w:highlight w:val="none"/>
              </w:rPr>
              <w:t xml:space="preserve">技术参数投标人须逐条响应，提供承诺函，并加盖投标人公章。</w:t>
            </w:r>
            <w:r>
              <w:rPr>
                <w:rFonts w:hint="eastAsia" w:ascii="仿宋" w:hAnsi="仿宋" w:eastAsia="仿宋"/>
                <w:color w:val="000000"/>
                <w:highlight w:val="none"/>
              </w:rPr>
            </w:r>
            <w:r/>
          </w:p>
          <w:p>
            <w:pPr>
              <w:pStyle w:val="1069"/>
              <w:ind w:firstLine="0"/>
              <w:rPr>
                <w:rFonts w:hint="eastAsia" w:ascii="仿宋" w:hAnsi="仿宋" w:eastAsia="仿宋"/>
                <w:b/>
                <w:bCs/>
                <w:color w:val="000000"/>
                <w:highlight w:val="none"/>
              </w:rPr>
            </w:pPr>
            <w:r>
              <w:rPr>
                <w:rFonts w:hint="eastAsia" w:ascii="仿宋" w:hAnsi="仿宋" w:eastAsia="仿宋"/>
                <w:color w:val="000000"/>
                <w:highlight w:val="none"/>
              </w:rPr>
              <w:t xml:space="preserve">2.标“▲”（共4个）项为重要技术参数，每满足有一项加1分，本项最多为4分；</w:t>
            </w:r>
            <w:r>
              <w:rPr>
                <w:rFonts w:hint="eastAsia" w:ascii="仿宋" w:hAnsi="仿宋" w:eastAsia="仿宋"/>
                <w:b/>
                <w:bCs/>
                <w:color w:val="000000"/>
                <w:highlight w:val="none"/>
              </w:rPr>
              <w:t xml:space="preserve">技术参数投标人须逐条响应，提供证明材料及技术偏离表，并加盖投标人公章。</w:t>
            </w:r>
            <w:r>
              <w:rPr>
                <w:rFonts w:hint="eastAsia" w:ascii="仿宋" w:hAnsi="仿宋" w:eastAsia="仿宋"/>
                <w:b/>
                <w:bCs/>
                <w:color w:val="000000"/>
                <w:highlight w:val="none"/>
              </w:rPr>
            </w:r>
            <w:r/>
          </w:p>
          <w:p>
            <w:pPr>
              <w:pStyle w:val="1069"/>
              <w:ind w:firstLine="0"/>
              <w:rPr>
                <w:rFonts w:hint="eastAsia" w:ascii="仿宋" w:hAnsi="仿宋" w:eastAsia="仿宋"/>
                <w:color w:val="000000"/>
                <w:highlight w:val="none"/>
              </w:rPr>
            </w:pPr>
            <w:r>
              <w:rPr>
                <w:rFonts w:hint="eastAsia" w:ascii="仿宋" w:hAnsi="仿宋" w:eastAsia="仿宋"/>
                <w:color w:val="000000"/>
                <w:highlight w:val="none"/>
              </w:rPr>
              <w:t xml:space="preserve">3.标“</w:t>
            </w:r>
            <w:r>
              <w:rPr>
                <w:rFonts w:hint="eastAsia" w:ascii="仿宋" w:hAnsi="仿宋" w:eastAsia="仿宋" w:cs="宋体"/>
                <w:color w:val="000000"/>
                <w:highlight w:val="none"/>
              </w:rPr>
              <w:t xml:space="preserve">△</w:t>
            </w:r>
            <w:r>
              <w:rPr>
                <w:rFonts w:hint="eastAsia" w:ascii="仿宋" w:hAnsi="仿宋" w:eastAsia="仿宋"/>
                <w:color w:val="000000"/>
                <w:highlight w:val="none"/>
              </w:rPr>
              <w:t xml:space="preserve">”项（共18个）指标每满足有一项加0.5分，本项最多为9分；</w:t>
            </w:r>
            <w:r>
              <w:rPr>
                <w:rFonts w:hint="eastAsia" w:ascii="仿宋" w:hAnsi="仿宋" w:eastAsia="仿宋"/>
                <w:b/>
                <w:bCs/>
                <w:color w:val="000000"/>
                <w:highlight w:val="none"/>
              </w:rPr>
              <w:t xml:space="preserve">技术参数投标人须逐条响应，提供技术偏离表，并加盖投标人公章。</w:t>
            </w:r>
            <w:r>
              <w:rPr>
                <w:rFonts w:hint="eastAsia" w:ascii="仿宋" w:hAnsi="仿宋" w:eastAsia="仿宋"/>
                <w:color w:val="000000"/>
                <w:highlight w:val="none"/>
              </w:rPr>
            </w:r>
            <w:r/>
          </w:p>
          <w:p>
            <w:pPr>
              <w:pStyle w:val="733"/>
              <w:widowControl/>
              <w:rPr>
                <w:rFonts w:hint="eastAsia" w:ascii="仿宋" w:hAnsi="仿宋" w:eastAsia="仿宋" w:cs="宋体"/>
                <w:color w:val="000000"/>
                <w:szCs w:val="24"/>
                <w:highlight w:val="none"/>
              </w:rPr>
            </w:pPr>
            <w:r>
              <w:rPr>
                <w:rFonts w:hint="eastAsia" w:ascii="仿宋" w:hAnsi="仿宋" w:eastAsia="仿宋" w:cs="宋体"/>
                <w:color w:val="000000"/>
                <w:highlight w:val="none"/>
              </w:rPr>
              <w:t xml:space="preserve">4.标★、▲和△号以外的技术参数为一般指标，</w:t>
            </w:r>
            <w:r>
              <w:rPr>
                <w:rFonts w:hint="eastAsia" w:ascii="仿宋" w:hAnsi="仿宋" w:eastAsia="仿宋" w:cs="宋体"/>
                <w:b/>
                <w:bCs/>
                <w:color w:val="000000"/>
                <w:highlight w:val="none"/>
              </w:rPr>
              <w:t xml:space="preserve">投标人提供一般指标全部响应承诺函及逐条响应的《技术要求响应及偏离表》，并加盖投标人公章，提供得2分，不提供不得分。</w:t>
            </w:r>
            <w:r>
              <w:rPr>
                <w:rFonts w:hint="eastAsia" w:ascii="仿宋" w:hAnsi="仿宋" w:eastAsia="仿宋" w:cs="宋体"/>
                <w:color w:val="000000"/>
                <w:szCs w:val="24"/>
                <w:highlight w:val="none"/>
              </w:rPr>
            </w:r>
            <w:r/>
          </w:p>
        </w:tc>
        <w:tc>
          <w:tcPr>
            <w:tcW w:w="310" w:type="dxa"/>
            <w:vAlign w:val="center"/>
            <w:textDirection w:val="lrTb"/>
            <w:noWrap/>
          </w:tcPr>
          <w:p>
            <w:pPr>
              <w:pStyle w:val="733"/>
              <w:jc w:val="center"/>
              <w:widowControl/>
              <w:rPr>
                <w:rFonts w:hint="eastAsia" w:ascii="仿宋" w:hAnsi="仿宋" w:eastAsia="仿宋" w:cs="宋体"/>
                <w:color w:val="000000"/>
                <w:szCs w:val="24"/>
                <w:highlight w:val="none"/>
              </w:rPr>
            </w:pPr>
            <w:r>
              <w:rPr>
                <w:rFonts w:hint="eastAsia" w:ascii="仿宋" w:hAnsi="仿宋" w:eastAsia="仿宋" w:cs="宋体"/>
                <w:color w:val="000000"/>
                <w:highlight w:val="none"/>
              </w:rPr>
              <w:t xml:space="preserve">15</w:t>
            </w:r>
            <w:r>
              <w:rPr>
                <w:rFonts w:hint="eastAsia" w:ascii="仿宋" w:hAnsi="仿宋" w:eastAsia="仿宋" w:cs="宋体"/>
                <w:color w:val="000000"/>
                <w:szCs w:val="24"/>
                <w:highlight w:val="none"/>
              </w:rPr>
            </w:r>
            <w:r/>
          </w:p>
        </w:tc>
        <w:tc>
          <w:tcPr>
            <w:tcW w:w="297" w:type="dxa"/>
            <w:vAlign w:val="center"/>
            <w:textDirection w:val="lrTb"/>
            <w:noWrap/>
          </w:tcPr>
          <w:p>
            <w:pPr>
              <w:pStyle w:val="733"/>
              <w:jc w:val="center"/>
              <w:rPr>
                <w:rFonts w:hint="eastAsia" w:ascii="仿宋" w:hAnsi="仿宋" w:eastAsia="仿宋" w:cs="宋体"/>
                <w:color w:val="000000"/>
                <w:szCs w:val="24"/>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szCs w:val="24"/>
                <w:highlight w:val="none"/>
              </w:rPr>
            </w:r>
            <w:r/>
          </w:p>
        </w:tc>
        <w:tc>
          <w:tcPr>
            <w:tcW w:w="478" w:type="dxa"/>
            <w:vAlign w:val="center"/>
            <w:textDirection w:val="lrTb"/>
            <w:noWrap/>
          </w:tcPr>
          <w:p>
            <w:pPr>
              <w:pStyle w:val="733"/>
              <w:jc w:val="center"/>
              <w:widowControl/>
              <w:rPr>
                <w:rFonts w:hint="eastAsia" w:ascii="仿宋" w:hAnsi="仿宋" w:eastAsia="仿宋" w:cs="宋体"/>
                <w:color w:val="000000"/>
                <w:szCs w:val="24"/>
                <w:highlight w:val="none"/>
              </w:rPr>
            </w:pPr>
            <w:r>
              <w:rPr>
                <w:rFonts w:hint="eastAsia" w:ascii="仿宋" w:hAnsi="仿宋" w:eastAsia="仿宋" w:cs="宋体"/>
                <w:color w:val="000000"/>
                <w:highlight w:val="none"/>
              </w:rPr>
              <w:t xml:space="preserve">客观分</w:t>
            </w:r>
            <w:r>
              <w:rPr>
                <w:rFonts w:hint="eastAsia" w:ascii="仿宋" w:hAnsi="仿宋" w:eastAsia="仿宋" w:cs="宋体"/>
                <w:color w:val="000000"/>
                <w:szCs w:val="24"/>
                <w:highlight w:val="none"/>
              </w:rPr>
            </w:r>
            <w:r/>
          </w:p>
        </w:tc>
      </w:tr>
      <w:tr>
        <w:trPr/>
        <w:tc>
          <w:tcPr>
            <w:tcW w:w="407"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2</w:t>
            </w:r>
            <w:r>
              <w:rPr>
                <w:rFonts w:hint="eastAsia" w:ascii="仿宋" w:hAnsi="仿宋" w:eastAsia="仿宋" w:cs="宋体"/>
                <w:color w:val="000000"/>
                <w:highlight w:val="none"/>
              </w:rPr>
            </w:r>
            <w:r/>
          </w:p>
        </w:tc>
        <w:tc>
          <w:tcPr>
            <w:tcW w:w="763" w:type="dxa"/>
            <w:vAlign w:val="center"/>
            <w:textDirection w:val="lrTb"/>
            <w:noWrap/>
          </w:tcPr>
          <w:p>
            <w:pPr>
              <w:pStyle w:val="733"/>
              <w:jc w:val="center"/>
              <w:widowControl/>
              <w:rPr>
                <w:rFonts w:hint="eastAsia" w:ascii="仿宋" w:hAnsi="仿宋" w:eastAsia="仿宋" w:cs="宋体"/>
                <w:b/>
                <w:bCs/>
                <w:color w:val="000000"/>
                <w:highlight w:val="none"/>
              </w:rPr>
            </w:pPr>
            <w:r>
              <w:rPr>
                <w:rFonts w:hint="eastAsia" w:ascii="仿宋" w:hAnsi="仿宋" w:eastAsia="仿宋" w:cs="宋体"/>
                <w:b/>
                <w:bCs/>
                <w:color w:val="000000"/>
                <w:highlight w:val="none"/>
              </w:rPr>
              <w:t xml:space="preserve">现状分析（8分）</w:t>
            </w:r>
            <w:r>
              <w:rPr>
                <w:rFonts w:hint="eastAsia" w:ascii="仿宋" w:hAnsi="仿宋" w:eastAsia="仿宋" w:cs="宋体"/>
                <w:b/>
                <w:bCs/>
                <w:color w:val="000000"/>
                <w:highlight w:val="none"/>
              </w:rPr>
            </w:r>
            <w:r/>
          </w:p>
        </w:tc>
        <w:tc>
          <w:tcPr>
            <w:tcW w:w="2745" w:type="dxa"/>
            <w:vAlign w:val="center"/>
            <w:textDirection w:val="lrTb"/>
            <w:noWrap w:val="false"/>
          </w:tcPr>
          <w:p>
            <w:pPr>
              <w:pStyle w:val="733"/>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根据本项目需求，投标供应商须对南通市政务云现状充分了解，需求分析合理、准确。提供的方案现状描述完整、架构清晰、完全满足需求的得8分；提供的方案现状描述较完整、架构较清晰、基本符合要求的，得5分；提供的方案现状描述不完整、架构较清晰、基本符合要求的得2分；完全不满足的得0分。</w:t>
            </w:r>
            <w:r>
              <w:rPr>
                <w:rFonts w:hint="eastAsia" w:ascii="仿宋" w:hAnsi="仿宋" w:eastAsia="仿宋" w:cs="宋体"/>
                <w:color w:val="000000"/>
                <w:highlight w:val="none"/>
              </w:rPr>
            </w:r>
            <w:r/>
          </w:p>
        </w:tc>
        <w:tc>
          <w:tcPr>
            <w:tcW w:w="310"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8</w:t>
            </w:r>
            <w:r>
              <w:rPr>
                <w:rFonts w:hint="eastAsia" w:ascii="仿宋" w:hAnsi="仿宋" w:eastAsia="仿宋" w:cs="宋体"/>
                <w:color w:val="000000"/>
                <w:highlight w:val="none"/>
              </w:rPr>
            </w:r>
            <w:r/>
          </w:p>
        </w:tc>
        <w:tc>
          <w:tcPr>
            <w:tcW w:w="297" w:type="dxa"/>
            <w:vAlign w:val="center"/>
            <w:textDirection w:val="lrTb"/>
            <w:noWrap/>
          </w:tcPr>
          <w:p>
            <w:pPr>
              <w:pStyle w:val="733"/>
              <w:jc w:val="center"/>
              <w:rPr>
                <w:rFonts w:hint="eastAsia" w:ascii="仿宋" w:hAnsi="仿宋" w:eastAsia="仿宋" w:cs="宋体"/>
                <w:color w:val="000000"/>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highlight w:val="none"/>
              </w:rPr>
            </w:r>
            <w:r/>
          </w:p>
        </w:tc>
        <w:tc>
          <w:tcPr>
            <w:tcW w:w="478"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主观分</w:t>
            </w:r>
            <w:r>
              <w:rPr>
                <w:rFonts w:hint="eastAsia" w:ascii="仿宋" w:hAnsi="仿宋" w:eastAsia="仿宋" w:cs="宋体"/>
                <w:color w:val="000000"/>
                <w:highlight w:val="none"/>
              </w:rPr>
            </w:r>
            <w:r/>
          </w:p>
        </w:tc>
      </w:tr>
      <w:tr>
        <w:trPr>
          <w:trHeight w:val="1854"/>
        </w:trPr>
        <w:tc>
          <w:tcPr>
            <w:tcW w:w="407" w:type="dxa"/>
            <w:vAlign w:val="center"/>
            <w:textDirection w:val="lrTb"/>
            <w:noWrap w:val="false"/>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3</w:t>
            </w:r>
            <w:r>
              <w:rPr>
                <w:rFonts w:hint="eastAsia" w:ascii="仿宋" w:hAnsi="仿宋" w:eastAsia="仿宋" w:cs="宋体"/>
                <w:color w:val="000000"/>
                <w:highlight w:val="none"/>
              </w:rPr>
            </w:r>
            <w:r/>
          </w:p>
        </w:tc>
        <w:tc>
          <w:tcPr>
            <w:tcW w:w="763" w:type="dxa"/>
            <w:vAlign w:val="center"/>
            <w:textDirection w:val="lrTb"/>
            <w:noWrap w:val="false"/>
          </w:tcPr>
          <w:p>
            <w:pPr>
              <w:pStyle w:val="733"/>
              <w:jc w:val="center"/>
              <w:widowControl/>
              <w:rPr>
                <w:rFonts w:hint="eastAsia" w:ascii="仿宋" w:hAnsi="仿宋" w:eastAsia="仿宋" w:cs="宋体"/>
                <w:b/>
                <w:bCs/>
                <w:color w:val="000000"/>
                <w:highlight w:val="none"/>
              </w:rPr>
            </w:pPr>
            <w:r>
              <w:rPr>
                <w:rFonts w:hint="eastAsia" w:ascii="仿宋" w:hAnsi="仿宋" w:eastAsia="仿宋" w:cs="宋体"/>
                <w:b/>
                <w:bCs/>
                <w:color w:val="000000"/>
                <w:highlight w:val="none"/>
              </w:rPr>
              <w:t xml:space="preserve">建设方案</w:t>
            </w:r>
            <w:r>
              <w:rPr>
                <w:rFonts w:hint="eastAsia" w:ascii="仿宋" w:hAnsi="仿宋" w:eastAsia="仿宋" w:cs="宋体"/>
                <w:b/>
                <w:bCs/>
                <w:color w:val="000000"/>
                <w:highlight w:val="none"/>
              </w:rPr>
            </w:r>
            <w:r/>
          </w:p>
          <w:p>
            <w:pPr>
              <w:pStyle w:val="733"/>
              <w:jc w:val="center"/>
              <w:widowControl/>
              <w:rPr>
                <w:rFonts w:hint="eastAsia" w:ascii="仿宋" w:hAnsi="仿宋" w:eastAsia="仿宋" w:cs="宋体"/>
                <w:b/>
                <w:bCs/>
                <w:color w:val="000000"/>
                <w:highlight w:val="none"/>
              </w:rPr>
            </w:pPr>
            <w:r>
              <w:rPr>
                <w:rFonts w:hint="eastAsia" w:ascii="仿宋" w:hAnsi="仿宋" w:eastAsia="仿宋" w:cs="宋体"/>
                <w:b/>
                <w:bCs/>
                <w:color w:val="000000"/>
                <w:highlight w:val="none"/>
              </w:rPr>
              <w:t xml:space="preserve">（9分）</w:t>
            </w:r>
            <w:r>
              <w:rPr>
                <w:rFonts w:hint="eastAsia" w:ascii="仿宋" w:hAnsi="仿宋" w:eastAsia="仿宋" w:cs="宋体"/>
                <w:b/>
                <w:bCs/>
                <w:color w:val="000000"/>
                <w:highlight w:val="none"/>
              </w:rPr>
            </w:r>
            <w:r/>
          </w:p>
        </w:tc>
        <w:tc>
          <w:tcPr>
            <w:tcW w:w="2745" w:type="dxa"/>
            <w:vAlign w:val="center"/>
            <w:textDirection w:val="lrTb"/>
            <w:noWrap w:val="false"/>
          </w:tcPr>
          <w:p>
            <w:pPr>
              <w:pStyle w:val="733"/>
              <w:rPr>
                <w:rFonts w:hint="eastAsia" w:ascii="仿宋" w:hAnsi="仿宋" w:eastAsia="仿宋" w:cs="宋体"/>
                <w:color w:val="000000"/>
                <w:highlight w:val="none"/>
              </w:rPr>
            </w:pPr>
            <w:r>
              <w:rPr>
                <w:rFonts w:hint="eastAsia" w:ascii="仿宋" w:hAnsi="仿宋" w:eastAsia="仿宋" w:cs="宋体"/>
                <w:color w:val="000000"/>
                <w:highlight w:val="none"/>
              </w:rPr>
              <w:t xml:space="preserve">根据本项目需求，投标人提供建设方案合理可行、架构清晰、方案完整、完全满足需求的得9分；提供的方案较合理可行，架构较清晰、方案较完整、基本符合要求的，得</w:t>
            </w:r>
            <w:r>
              <w:rPr>
                <w:rFonts w:hint="eastAsia" w:ascii="仿宋" w:hAnsi="仿宋" w:eastAsia="仿宋" w:cs="宋体"/>
                <w:color w:val="000000"/>
                <w:highlight w:val="none"/>
                <w:lang w:val="en-US" w:eastAsia="zh-CN"/>
              </w:rPr>
              <w:t xml:space="preserve">7</w:t>
            </w:r>
            <w:r>
              <w:rPr>
                <w:rFonts w:hint="eastAsia" w:ascii="仿宋" w:hAnsi="仿宋" w:eastAsia="仿宋" w:cs="宋体"/>
                <w:color w:val="000000"/>
                <w:highlight w:val="none"/>
              </w:rPr>
              <w:t xml:space="preserve">分；提供的方案可行性较差、架构不清晰、方案简单的，得</w:t>
            </w:r>
            <w:r>
              <w:rPr>
                <w:rFonts w:hint="eastAsia" w:ascii="仿宋" w:hAnsi="仿宋" w:eastAsia="仿宋" w:cs="宋体"/>
                <w:color w:val="000000"/>
                <w:highlight w:val="none"/>
                <w:lang w:val="en-US" w:eastAsia="zh-CN"/>
              </w:rPr>
              <w:t xml:space="preserve">5</w:t>
            </w:r>
            <w:r>
              <w:rPr>
                <w:rFonts w:hint="eastAsia" w:ascii="仿宋" w:hAnsi="仿宋" w:eastAsia="仿宋" w:cs="宋体"/>
                <w:color w:val="000000"/>
                <w:highlight w:val="none"/>
              </w:rPr>
              <w:t xml:space="preserve">分；提供的方案可行性无、架构无、方案简单的，得</w:t>
            </w:r>
            <w:r>
              <w:rPr>
                <w:rFonts w:hint="eastAsia" w:ascii="仿宋" w:hAnsi="仿宋" w:eastAsia="仿宋" w:cs="宋体"/>
                <w:color w:val="000000"/>
                <w:highlight w:val="none"/>
                <w:lang w:val="en-US" w:eastAsia="zh-CN"/>
              </w:rPr>
              <w:t xml:space="preserve">3</w:t>
            </w:r>
            <w:r>
              <w:rPr>
                <w:rFonts w:hint="eastAsia" w:ascii="仿宋" w:hAnsi="仿宋" w:eastAsia="仿宋" w:cs="宋体"/>
                <w:color w:val="000000"/>
                <w:highlight w:val="none"/>
              </w:rPr>
              <w:t xml:space="preserve">分；完全无提供的，得0分。</w:t>
            </w:r>
            <w:r>
              <w:rPr>
                <w:rFonts w:hint="eastAsia" w:ascii="仿宋" w:hAnsi="仿宋" w:eastAsia="仿宋" w:cs="宋体"/>
                <w:color w:val="000000"/>
                <w:highlight w:val="none"/>
              </w:rPr>
            </w:r>
            <w:r/>
          </w:p>
        </w:tc>
        <w:tc>
          <w:tcPr>
            <w:tcW w:w="310"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9</w:t>
            </w:r>
            <w:r>
              <w:rPr>
                <w:rFonts w:hint="eastAsia" w:ascii="仿宋" w:hAnsi="仿宋" w:eastAsia="仿宋" w:cs="宋体"/>
                <w:color w:val="000000"/>
                <w:highlight w:val="none"/>
              </w:rPr>
            </w:r>
            <w:r/>
          </w:p>
        </w:tc>
        <w:tc>
          <w:tcPr>
            <w:tcW w:w="297" w:type="dxa"/>
            <w:vAlign w:val="center"/>
            <w:textDirection w:val="lrTb"/>
            <w:noWrap/>
          </w:tcPr>
          <w:p>
            <w:pPr>
              <w:pStyle w:val="733"/>
              <w:jc w:val="center"/>
              <w:rPr>
                <w:rFonts w:hint="eastAsia" w:ascii="仿宋" w:hAnsi="仿宋" w:eastAsia="仿宋" w:cs="宋体"/>
                <w:color w:val="000000"/>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highlight w:val="none"/>
              </w:rPr>
            </w:r>
            <w:r/>
          </w:p>
        </w:tc>
        <w:tc>
          <w:tcPr>
            <w:tcW w:w="478"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主观分</w:t>
            </w:r>
            <w:r>
              <w:rPr>
                <w:rFonts w:hint="eastAsia" w:ascii="仿宋" w:hAnsi="仿宋" w:eastAsia="仿宋" w:cs="宋体"/>
                <w:color w:val="000000"/>
                <w:highlight w:val="none"/>
              </w:rPr>
            </w:r>
            <w:r/>
          </w:p>
        </w:tc>
      </w:tr>
      <w:tr>
        <w:trPr/>
        <w:tc>
          <w:tcPr>
            <w:tcW w:w="407" w:type="dxa"/>
            <w:vAlign w:val="center"/>
            <w:textDirection w:val="lrTb"/>
            <w:noWrap w:val="false"/>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4</w:t>
            </w:r>
            <w:r>
              <w:rPr>
                <w:rFonts w:hint="eastAsia" w:ascii="仿宋" w:hAnsi="仿宋" w:eastAsia="仿宋" w:cs="宋体"/>
                <w:color w:val="000000"/>
                <w:highlight w:val="none"/>
              </w:rPr>
            </w:r>
            <w:r/>
          </w:p>
        </w:tc>
        <w:tc>
          <w:tcPr>
            <w:tcW w:w="763" w:type="dxa"/>
            <w:vAlign w:val="center"/>
            <w:textDirection w:val="lrTb"/>
            <w:noWrap/>
          </w:tcPr>
          <w:p>
            <w:pPr>
              <w:pStyle w:val="733"/>
              <w:jc w:val="center"/>
              <w:widowControl/>
              <w:rPr>
                <w:rFonts w:hint="eastAsia" w:ascii="仿宋" w:hAnsi="仿宋" w:eastAsia="仿宋" w:cs="宋体"/>
                <w:b/>
                <w:bCs/>
                <w:color w:val="000000"/>
                <w:highlight w:val="none"/>
              </w:rPr>
            </w:pPr>
            <w:r>
              <w:rPr>
                <w:rFonts w:hint="eastAsia" w:ascii="仿宋" w:hAnsi="仿宋" w:eastAsia="仿宋" w:cs="宋体"/>
                <w:b/>
                <w:bCs/>
                <w:color w:val="000000"/>
                <w:highlight w:val="none"/>
              </w:rPr>
              <w:t xml:space="preserve">实施计划安排</w:t>
            </w:r>
            <w:r>
              <w:rPr>
                <w:rFonts w:hint="eastAsia" w:ascii="仿宋" w:hAnsi="仿宋" w:eastAsia="仿宋" w:cs="宋体"/>
                <w:b/>
                <w:bCs/>
                <w:color w:val="000000"/>
                <w:highlight w:val="none"/>
              </w:rPr>
            </w:r>
            <w:r/>
          </w:p>
          <w:p>
            <w:pPr>
              <w:pStyle w:val="733"/>
              <w:jc w:val="center"/>
              <w:widowControl/>
              <w:rPr>
                <w:rFonts w:hint="eastAsia" w:ascii="仿宋" w:hAnsi="仿宋" w:eastAsia="仿宋" w:cs="宋体"/>
                <w:color w:val="000000"/>
                <w:highlight w:val="none"/>
              </w:rPr>
            </w:pPr>
            <w:r>
              <w:rPr>
                <w:rFonts w:hint="eastAsia" w:ascii="仿宋" w:hAnsi="仿宋" w:eastAsia="仿宋" w:cs="宋体"/>
                <w:b/>
                <w:bCs/>
                <w:color w:val="000000"/>
                <w:highlight w:val="none"/>
              </w:rPr>
              <w:t xml:space="preserve">（6分）</w:t>
            </w:r>
            <w:r>
              <w:rPr>
                <w:rFonts w:hint="eastAsia" w:ascii="仿宋" w:hAnsi="仿宋" w:eastAsia="仿宋" w:cs="宋体"/>
                <w:color w:val="000000"/>
                <w:highlight w:val="none"/>
              </w:rPr>
            </w:r>
            <w:r/>
          </w:p>
        </w:tc>
        <w:tc>
          <w:tcPr>
            <w:tcW w:w="2745" w:type="dxa"/>
            <w:vAlign w:val="center"/>
            <w:textDirection w:val="lrTb"/>
            <w:noWrap w:val="false"/>
          </w:tcPr>
          <w:p>
            <w:pPr>
              <w:pStyle w:val="733"/>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投标供应商提供的实施计划制订详细、周密、完善，设备供货、人员安排合理，施工过程中，保障措施切实可行，能确保在规定时间内完成，能确保所有业务正常运行。完全符合要求的得6分，方案比较完善、较为合理可行的得4分，方案一般得2分，方案不合理，不符合要求的，得0分。</w:t>
            </w:r>
            <w:r>
              <w:rPr>
                <w:rFonts w:hint="eastAsia" w:ascii="仿宋" w:hAnsi="仿宋" w:eastAsia="仿宋" w:cs="宋体"/>
                <w:color w:val="000000"/>
                <w:highlight w:val="none"/>
              </w:rPr>
            </w:r>
            <w:r/>
          </w:p>
        </w:tc>
        <w:tc>
          <w:tcPr>
            <w:tcW w:w="310"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6</w:t>
            </w:r>
            <w:r>
              <w:rPr>
                <w:rFonts w:hint="eastAsia" w:ascii="仿宋" w:hAnsi="仿宋" w:eastAsia="仿宋" w:cs="宋体"/>
                <w:color w:val="000000"/>
                <w:highlight w:val="none"/>
              </w:rPr>
            </w:r>
            <w:r/>
          </w:p>
        </w:tc>
        <w:tc>
          <w:tcPr>
            <w:tcW w:w="297" w:type="dxa"/>
            <w:vAlign w:val="center"/>
            <w:textDirection w:val="lrTb"/>
            <w:noWrap/>
          </w:tcPr>
          <w:p>
            <w:pPr>
              <w:pStyle w:val="733"/>
              <w:jc w:val="center"/>
              <w:rPr>
                <w:rFonts w:hint="eastAsia" w:ascii="仿宋" w:hAnsi="仿宋" w:eastAsia="仿宋" w:cs="宋体"/>
                <w:color w:val="000000"/>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highlight w:val="none"/>
              </w:rPr>
            </w:r>
            <w:r/>
          </w:p>
        </w:tc>
        <w:tc>
          <w:tcPr>
            <w:tcW w:w="478"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主观分</w:t>
            </w:r>
            <w:r>
              <w:rPr>
                <w:rFonts w:hint="eastAsia" w:ascii="仿宋" w:hAnsi="仿宋" w:eastAsia="仿宋" w:cs="宋体"/>
                <w:color w:val="000000"/>
                <w:highlight w:val="none"/>
              </w:rPr>
            </w:r>
            <w:r/>
          </w:p>
        </w:tc>
      </w:tr>
      <w:tr>
        <w:trPr/>
        <w:tc>
          <w:tcPr>
            <w:tcW w:w="407"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5</w:t>
            </w:r>
            <w:r>
              <w:rPr>
                <w:rFonts w:hint="eastAsia" w:ascii="仿宋" w:hAnsi="仿宋" w:eastAsia="仿宋" w:cs="宋体"/>
                <w:color w:val="000000"/>
                <w:highlight w:val="none"/>
              </w:rPr>
            </w:r>
            <w:r/>
          </w:p>
        </w:tc>
        <w:tc>
          <w:tcPr>
            <w:tcW w:w="763" w:type="dxa"/>
            <w:vAlign w:val="center"/>
            <w:textDirection w:val="lrTb"/>
            <w:noWrap/>
          </w:tcPr>
          <w:p>
            <w:pPr>
              <w:pStyle w:val="733"/>
              <w:jc w:val="center"/>
              <w:rPr>
                <w:rFonts w:hint="eastAsia" w:ascii="仿宋" w:hAnsi="仿宋" w:eastAsia="仿宋" w:cs="宋体"/>
                <w:b/>
                <w:bCs/>
                <w:color w:val="000000"/>
                <w:highlight w:val="none"/>
              </w:rPr>
            </w:pPr>
            <w:r>
              <w:rPr>
                <w:rFonts w:hint="eastAsia" w:ascii="仿宋" w:hAnsi="仿宋" w:eastAsia="仿宋" w:cs="宋体"/>
                <w:b/>
                <w:bCs/>
                <w:color w:val="000000"/>
                <w:highlight w:val="none"/>
              </w:rPr>
              <w:t xml:space="preserve">售后服务方案</w:t>
            </w:r>
            <w:r>
              <w:rPr>
                <w:rFonts w:hint="eastAsia" w:ascii="仿宋" w:hAnsi="仿宋" w:eastAsia="仿宋" w:cs="宋体"/>
                <w:b/>
                <w:bCs/>
                <w:color w:val="000000"/>
                <w:highlight w:val="none"/>
              </w:rPr>
            </w:r>
            <w:r/>
          </w:p>
          <w:p>
            <w:pPr>
              <w:pStyle w:val="1074"/>
              <w:ind w:firstLine="0"/>
              <w:jc w:val="center"/>
              <w:spacing w:line="240" w:lineRule="auto"/>
              <w:rPr>
                <w:rFonts w:hint="eastAsia" w:ascii="仿宋" w:hAnsi="仿宋" w:eastAsia="仿宋"/>
                <w:b/>
                <w:bCs/>
                <w:color w:val="000000"/>
                <w:sz w:val="21"/>
                <w:szCs w:val="21"/>
                <w:highlight w:val="none"/>
              </w:rPr>
            </w:pPr>
            <w:r>
              <w:rPr>
                <w:rFonts w:hint="eastAsia" w:ascii="仿宋" w:hAnsi="仿宋" w:eastAsia="仿宋"/>
                <w:b/>
                <w:bCs/>
                <w:color w:val="000000"/>
                <w:sz w:val="21"/>
                <w:szCs w:val="21"/>
                <w:highlight w:val="none"/>
              </w:rPr>
              <w:t xml:space="preserve">（5分）</w:t>
            </w:r>
            <w:r>
              <w:rPr>
                <w:rFonts w:hint="eastAsia" w:ascii="仿宋" w:hAnsi="仿宋" w:eastAsia="仿宋"/>
                <w:b/>
                <w:bCs/>
                <w:color w:val="000000"/>
                <w:sz w:val="21"/>
                <w:szCs w:val="21"/>
                <w:highlight w:val="none"/>
              </w:rPr>
            </w:r>
            <w:r/>
          </w:p>
        </w:tc>
        <w:tc>
          <w:tcPr>
            <w:tcW w:w="2745" w:type="dxa"/>
            <w:vAlign w:val="center"/>
            <w:textDirection w:val="lrTb"/>
            <w:noWrap w:val="false"/>
          </w:tcPr>
          <w:p>
            <w:pPr>
              <w:pStyle w:val="733"/>
              <w:widowControl/>
              <w:rPr>
                <w:rFonts w:hint="eastAsia" w:ascii="仿宋" w:hAnsi="仿宋" w:eastAsia="仿宋" w:cs="宋体"/>
                <w:color w:val="000000"/>
                <w:szCs w:val="20"/>
                <w:highlight w:val="none"/>
                <w:lang w:bidi="ar"/>
              </w:rPr>
            </w:pPr>
            <w:r>
              <w:rPr>
                <w:rFonts w:hint="eastAsia" w:ascii="仿宋" w:hAnsi="仿宋" w:eastAsia="仿宋" w:cs="宋体"/>
                <w:color w:val="000000"/>
                <w:highlight w:val="none"/>
              </w:rPr>
              <w:t xml:space="preserve">投标供应商针对本项目提供详细的五年售后服务方案，由专家评审。整体方案说明完整可行、可操作性强、完全满足项目建设后的运维需求的得5分；提供的售后服务方案说明较完整可行、可操作性较强、基本满足项目建设后的运维需求的得3分；提供的售后服务方案说明可行性较差、可操作性较差的得1分；未提供或完全不符合项目建设后的运维要求的得0分。</w:t>
            </w:r>
            <w:r>
              <w:rPr>
                <w:rFonts w:hint="eastAsia" w:ascii="仿宋" w:hAnsi="仿宋" w:eastAsia="仿宋" w:cs="宋体"/>
                <w:color w:val="000000"/>
                <w:szCs w:val="20"/>
                <w:highlight w:val="none"/>
                <w:lang w:bidi="ar"/>
              </w:rPr>
            </w:r>
            <w:r/>
          </w:p>
        </w:tc>
        <w:tc>
          <w:tcPr>
            <w:tcW w:w="310"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5</w:t>
            </w:r>
            <w:r>
              <w:rPr>
                <w:rFonts w:hint="eastAsia" w:ascii="仿宋" w:hAnsi="仿宋" w:eastAsia="仿宋" w:cs="宋体"/>
                <w:color w:val="000000"/>
                <w:highlight w:val="none"/>
              </w:rPr>
            </w:r>
            <w:r/>
          </w:p>
        </w:tc>
        <w:tc>
          <w:tcPr>
            <w:tcW w:w="297" w:type="dxa"/>
            <w:vAlign w:val="center"/>
            <w:textDirection w:val="lrTb"/>
            <w:noWrap/>
          </w:tcPr>
          <w:p>
            <w:pPr>
              <w:pStyle w:val="733"/>
              <w:jc w:val="center"/>
              <w:rPr>
                <w:rFonts w:hint="eastAsia" w:ascii="仿宋" w:hAnsi="仿宋" w:eastAsia="仿宋" w:cs="宋体"/>
                <w:color w:val="000000"/>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highlight w:val="none"/>
              </w:rPr>
            </w:r>
            <w:r/>
          </w:p>
        </w:tc>
        <w:tc>
          <w:tcPr>
            <w:tcW w:w="478"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主观分</w:t>
            </w:r>
            <w:r>
              <w:rPr>
                <w:rFonts w:hint="eastAsia" w:ascii="仿宋" w:hAnsi="仿宋" w:eastAsia="仿宋" w:cs="宋体"/>
                <w:color w:val="000000"/>
                <w:highlight w:val="none"/>
              </w:rPr>
            </w:r>
            <w:r/>
          </w:p>
        </w:tc>
      </w:tr>
      <w:tr>
        <w:trPr/>
        <w:tc>
          <w:tcPr>
            <w:tcW w:w="407"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6</w:t>
            </w:r>
            <w:r>
              <w:rPr>
                <w:rFonts w:hint="eastAsia" w:ascii="仿宋" w:hAnsi="仿宋" w:eastAsia="仿宋" w:cs="宋体"/>
                <w:color w:val="000000"/>
                <w:highlight w:val="none"/>
              </w:rPr>
            </w:r>
            <w:r/>
          </w:p>
        </w:tc>
        <w:tc>
          <w:tcPr>
            <w:tcW w:w="763" w:type="dxa"/>
            <w:vAlign w:val="center"/>
            <w:textDirection w:val="lrTb"/>
            <w:noWrap/>
          </w:tcPr>
          <w:p>
            <w:pPr>
              <w:pStyle w:val="733"/>
              <w:jc w:val="center"/>
              <w:widowControl/>
              <w:rPr>
                <w:rFonts w:hint="eastAsia" w:ascii="仿宋" w:hAnsi="仿宋" w:eastAsia="仿宋" w:cs="宋体"/>
                <w:b/>
                <w:bCs/>
                <w:color w:val="000000"/>
                <w:highlight w:val="none"/>
              </w:rPr>
            </w:pPr>
            <w:r>
              <w:rPr>
                <w:rFonts w:hint="eastAsia" w:ascii="仿宋" w:hAnsi="仿宋" w:eastAsia="仿宋" w:cs="宋体"/>
                <w:b/>
                <w:bCs/>
                <w:color w:val="000000"/>
                <w:szCs w:val="20"/>
                <w:highlight w:val="none"/>
                <w:lang w:bidi="ar"/>
              </w:rPr>
              <w:t xml:space="preserve">企业资质</w:t>
            </w:r>
            <w:r>
              <w:rPr>
                <w:rFonts w:hint="eastAsia" w:ascii="仿宋" w:hAnsi="仿宋" w:eastAsia="仿宋" w:cs="宋体"/>
                <w:b/>
                <w:bCs/>
                <w:color w:val="000000"/>
                <w:highlight w:val="none"/>
              </w:rPr>
            </w:r>
            <w:r/>
          </w:p>
          <w:p>
            <w:pPr>
              <w:pStyle w:val="1074"/>
              <w:ind w:firstLine="0"/>
              <w:jc w:val="center"/>
              <w:spacing w:line="240" w:lineRule="auto"/>
              <w:widowControl/>
              <w:rPr>
                <w:rFonts w:hint="eastAsia" w:ascii="仿宋" w:hAnsi="仿宋" w:eastAsia="仿宋"/>
                <w:color w:val="000000"/>
                <w:highlight w:val="none"/>
              </w:rPr>
            </w:pPr>
            <w:r>
              <w:rPr>
                <w:rFonts w:hint="eastAsia" w:ascii="仿宋" w:hAnsi="仿宋" w:eastAsia="仿宋"/>
                <w:b/>
                <w:bCs/>
                <w:color w:val="000000"/>
                <w:sz w:val="21"/>
                <w:szCs w:val="21"/>
                <w:highlight w:val="none"/>
              </w:rPr>
              <w:t xml:space="preserve">（10分）</w:t>
            </w:r>
            <w:r>
              <w:rPr>
                <w:rFonts w:hint="eastAsia" w:ascii="仿宋" w:hAnsi="仿宋" w:eastAsia="仿宋"/>
                <w:color w:val="000000"/>
                <w:highlight w:val="none"/>
              </w:rPr>
            </w:r>
            <w:r/>
          </w:p>
        </w:tc>
        <w:tc>
          <w:tcPr>
            <w:tcW w:w="2745" w:type="dxa"/>
            <w:vAlign w:val="center"/>
            <w:textDirection w:val="lrTb"/>
            <w:noWrap w:val="false"/>
          </w:tcPr>
          <w:p>
            <w:pPr>
              <w:pStyle w:val="733"/>
              <w:jc w:val="left"/>
              <w:widowControl/>
              <w:rPr>
                <w:rFonts w:hint="eastAsia" w:ascii="仿宋" w:hAnsi="仿宋" w:eastAsia="仿宋" w:cs="宋体"/>
                <w:color w:val="000000"/>
                <w:highlight w:val="none"/>
              </w:rPr>
            </w:pPr>
            <w:r>
              <w:rPr>
                <w:rFonts w:hint="eastAsia" w:ascii="仿宋" w:hAnsi="仿宋" w:eastAsia="仿宋" w:cs="宋体"/>
                <w:color w:val="000000"/>
                <w:szCs w:val="20"/>
                <w:highlight w:val="none"/>
                <w:lang w:bidi="ar"/>
              </w:rPr>
              <w:t xml:space="preserve">1.</w:t>
            </w:r>
            <w:r>
              <w:rPr>
                <w:rFonts w:hint="eastAsia"/>
                <w:color w:val="000000"/>
                <w:highlight w:val="none"/>
              </w:rPr>
              <w:t xml:space="preserve"> </w:t>
            </w:r>
            <w:r>
              <w:rPr>
                <w:rFonts w:hint="eastAsia" w:ascii="仿宋" w:hAnsi="仿宋" w:eastAsia="仿宋" w:cs="宋体"/>
                <w:color w:val="000000"/>
                <w:szCs w:val="20"/>
                <w:highlight w:val="none"/>
                <w:lang w:bidi="ar"/>
              </w:rPr>
              <w:t xml:space="preserve">具有CCRC信息安全服务资质（安全集成）得2分，不提供得0分。</w:t>
            </w:r>
            <w:r>
              <w:rPr>
                <w:rFonts w:hint="eastAsia" w:ascii="仿宋" w:hAnsi="仿宋" w:eastAsia="仿宋" w:cs="宋体"/>
                <w:color w:val="000000"/>
                <w:highlight w:val="none"/>
              </w:rPr>
            </w:r>
            <w:r/>
          </w:p>
          <w:p>
            <w:pPr>
              <w:pStyle w:val="733"/>
              <w:jc w:val="left"/>
              <w:widowControl/>
              <w:rPr>
                <w:rFonts w:hint="eastAsia" w:ascii="仿宋" w:hAnsi="仿宋" w:eastAsia="仿宋" w:cs="宋体"/>
                <w:color w:val="000000"/>
                <w:szCs w:val="20"/>
                <w:highlight w:val="none"/>
                <w:lang w:bidi="ar"/>
              </w:rPr>
            </w:pPr>
            <w:r>
              <w:rPr>
                <w:rFonts w:hint="eastAsia" w:ascii="仿宋" w:hAnsi="仿宋" w:eastAsia="仿宋" w:cs="宋体"/>
                <w:color w:val="000000"/>
                <w:szCs w:val="20"/>
                <w:highlight w:val="none"/>
                <w:lang w:bidi="ar"/>
              </w:rPr>
              <w:t xml:space="preserve">2.具有国家认监委认可的认证机构颁发的有效的ISO20000信息技术服务管理体系认证证书得2分，不提供得0分。</w:t>
            </w:r>
            <w:r>
              <w:rPr>
                <w:rFonts w:hint="eastAsia" w:ascii="仿宋" w:hAnsi="仿宋" w:eastAsia="仿宋" w:cs="宋体"/>
                <w:color w:val="000000"/>
                <w:szCs w:val="20"/>
                <w:highlight w:val="none"/>
                <w:lang w:bidi="ar"/>
              </w:rPr>
            </w:r>
            <w:r/>
          </w:p>
          <w:p>
            <w:pPr>
              <w:pStyle w:val="733"/>
              <w:jc w:val="left"/>
              <w:widowControl/>
              <w:rPr>
                <w:rFonts w:ascii="仿宋" w:hAnsi="仿宋" w:eastAsia="仿宋" w:cs="宋体"/>
                <w:color w:val="000000"/>
                <w:szCs w:val="20"/>
                <w:highlight w:val="none"/>
                <w:lang w:bidi="ar"/>
              </w:rPr>
            </w:pPr>
            <w:r>
              <w:rPr>
                <w:rFonts w:hint="eastAsia" w:ascii="仿宋" w:hAnsi="仿宋" w:eastAsia="仿宋" w:cs="宋体"/>
                <w:color w:val="000000"/>
                <w:szCs w:val="20"/>
                <w:highlight w:val="none"/>
                <w:lang w:bidi="ar"/>
              </w:rPr>
              <w:t xml:space="preserve">3.具有国家认监委认可的认证机构颁发的有效的ISO27032网络空间安全管理体系认证证书得2分，不提供得0分。</w:t>
            </w:r>
            <w:r>
              <w:rPr>
                <w:rFonts w:ascii="仿宋" w:hAnsi="仿宋" w:eastAsia="仿宋" w:cs="宋体"/>
                <w:color w:val="000000"/>
                <w:szCs w:val="20"/>
                <w:highlight w:val="none"/>
                <w:lang w:bidi="ar"/>
              </w:rPr>
            </w:r>
            <w:r/>
          </w:p>
          <w:p>
            <w:pPr>
              <w:pStyle w:val="733"/>
              <w:jc w:val="left"/>
              <w:widowControl/>
              <w:rPr>
                <w:rFonts w:hint="eastAsia" w:ascii="仿宋" w:hAnsi="仿宋" w:eastAsia="仿宋" w:cs="宋体"/>
                <w:color w:val="000000"/>
                <w:highlight w:val="none"/>
              </w:rPr>
            </w:pPr>
            <w:r>
              <w:rPr>
                <w:rFonts w:hint="eastAsia" w:ascii="仿宋" w:hAnsi="仿宋" w:eastAsia="仿宋" w:cs="宋体"/>
                <w:color w:val="000000"/>
                <w:szCs w:val="20"/>
                <w:highlight w:val="none"/>
                <w:lang w:bidi="ar"/>
              </w:rPr>
              <w:t xml:space="preserve">4.数据安全服务能力评定资格证书(数据安全建设)二级得2分，一级得1分，不提供得0分。</w:t>
            </w:r>
            <w:r>
              <w:rPr>
                <w:rFonts w:hint="eastAsia" w:ascii="仿宋" w:hAnsi="仿宋" w:eastAsia="仿宋" w:cs="宋体"/>
                <w:color w:val="000000"/>
                <w:highlight w:val="none"/>
              </w:rPr>
            </w:r>
            <w:r/>
          </w:p>
          <w:p>
            <w:pPr>
              <w:pStyle w:val="733"/>
              <w:jc w:val="left"/>
              <w:widowControl/>
              <w:rPr>
                <w:rFonts w:hint="eastAsia" w:ascii="仿宋" w:hAnsi="仿宋" w:eastAsia="仿宋" w:cs="宋体"/>
                <w:color w:val="000000"/>
                <w:highlight w:val="none"/>
              </w:rPr>
            </w:pPr>
            <w:r>
              <w:rPr>
                <w:rFonts w:hint="eastAsia" w:ascii="仿宋" w:hAnsi="仿宋" w:eastAsia="仿宋" w:cs="宋体"/>
                <w:color w:val="000000"/>
                <w:szCs w:val="20"/>
                <w:highlight w:val="none"/>
                <w:lang w:bidi="ar"/>
              </w:rPr>
              <w:t xml:space="preserve">5.</w:t>
            </w:r>
            <w:r>
              <w:rPr>
                <w:rFonts w:hint="eastAsia"/>
                <w:color w:val="000000"/>
                <w:highlight w:val="none"/>
              </w:rPr>
              <w:t xml:space="preserve"> </w:t>
            </w:r>
            <w:r>
              <w:rPr>
                <w:rFonts w:hint="eastAsia" w:ascii="仿宋" w:hAnsi="仿宋" w:eastAsia="仿宋" w:cs="宋体"/>
                <w:color w:val="000000"/>
                <w:szCs w:val="20"/>
                <w:highlight w:val="none"/>
                <w:lang w:bidi="ar"/>
              </w:rPr>
              <w:t xml:space="preserve">投标人具备ISO9001质量管理体系认证证书、ISO27001信息安全管理体系认证证书的，每有1个得</w:t>
            </w:r>
            <w:r>
              <w:rPr>
                <w:rFonts w:hint="eastAsia" w:ascii="仿宋" w:hAnsi="仿宋" w:eastAsia="仿宋" w:cs="宋体"/>
                <w:color w:val="000000"/>
                <w:szCs w:val="20"/>
                <w:highlight w:val="none"/>
                <w:lang w:val="en-US" w:eastAsia="zh-CN" w:bidi="ar"/>
              </w:rPr>
              <w:t xml:space="preserve">1</w:t>
            </w:r>
            <w:r>
              <w:rPr>
                <w:rFonts w:hint="eastAsia" w:ascii="仿宋" w:hAnsi="仿宋" w:eastAsia="仿宋" w:cs="宋体"/>
                <w:color w:val="000000"/>
                <w:szCs w:val="20"/>
                <w:highlight w:val="none"/>
                <w:lang w:bidi="ar"/>
              </w:rPr>
              <w:t xml:space="preserve">分，总分2分，没有不得分。</w:t>
            </w:r>
            <w:r>
              <w:rPr>
                <w:rFonts w:hint="eastAsia" w:ascii="仿宋" w:hAnsi="仿宋" w:eastAsia="仿宋" w:cs="宋体"/>
                <w:color w:val="000000"/>
                <w:highlight w:val="none"/>
              </w:rPr>
            </w:r>
            <w:r/>
          </w:p>
          <w:p>
            <w:pPr>
              <w:pStyle w:val="733"/>
              <w:jc w:val="left"/>
              <w:widowControl/>
              <w:rPr>
                <w:rFonts w:hint="eastAsia" w:ascii="仿宋" w:hAnsi="仿宋" w:eastAsia="仿宋" w:cs="宋体"/>
                <w:color w:val="000000"/>
                <w:highlight w:val="none"/>
              </w:rPr>
            </w:pPr>
            <w:r>
              <w:rPr>
                <w:rFonts w:hint="eastAsia" w:ascii="仿宋" w:hAnsi="仿宋" w:eastAsia="仿宋" w:cs="宋体"/>
                <w:color w:val="000000"/>
                <w:szCs w:val="20"/>
                <w:highlight w:val="none"/>
                <w:lang w:bidi="ar"/>
              </w:rPr>
              <w:t xml:space="preserve">注：提供相关证书复印件并加盖供应商公章，证书需在有效期内。</w:t>
            </w:r>
            <w:r>
              <w:rPr>
                <w:rFonts w:hint="eastAsia" w:ascii="仿宋" w:hAnsi="仿宋" w:eastAsia="仿宋" w:cs="宋体"/>
                <w:color w:val="000000"/>
                <w:highlight w:val="none"/>
              </w:rPr>
            </w:r>
            <w:r/>
          </w:p>
        </w:tc>
        <w:tc>
          <w:tcPr>
            <w:tcW w:w="310"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10</w:t>
            </w:r>
            <w:r>
              <w:rPr>
                <w:rFonts w:hint="eastAsia" w:ascii="仿宋" w:hAnsi="仿宋" w:eastAsia="仿宋" w:cs="宋体"/>
                <w:color w:val="000000"/>
                <w:highlight w:val="none"/>
              </w:rPr>
            </w:r>
            <w:r/>
          </w:p>
        </w:tc>
        <w:tc>
          <w:tcPr>
            <w:tcW w:w="297" w:type="dxa"/>
            <w:vAlign w:val="center"/>
            <w:textDirection w:val="lrTb"/>
            <w:noWrap/>
          </w:tcPr>
          <w:p>
            <w:pPr>
              <w:pStyle w:val="733"/>
              <w:jc w:val="center"/>
              <w:rPr>
                <w:rFonts w:hint="eastAsia" w:ascii="仿宋" w:hAnsi="仿宋" w:eastAsia="仿宋" w:cs="宋体"/>
                <w:color w:val="000000"/>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highlight w:val="none"/>
              </w:rPr>
            </w:r>
            <w:r/>
          </w:p>
        </w:tc>
        <w:tc>
          <w:tcPr>
            <w:tcW w:w="478"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客观分</w:t>
            </w:r>
            <w:r>
              <w:rPr>
                <w:rFonts w:hint="eastAsia" w:ascii="仿宋" w:hAnsi="仿宋" w:eastAsia="仿宋" w:cs="宋体"/>
                <w:color w:val="000000"/>
                <w:highlight w:val="none"/>
              </w:rPr>
            </w:r>
            <w:r/>
          </w:p>
        </w:tc>
      </w:tr>
      <w:tr>
        <w:trPr/>
        <w:tc>
          <w:tcPr>
            <w:tcW w:w="407"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7</w:t>
            </w:r>
            <w:r>
              <w:rPr>
                <w:rFonts w:hint="eastAsia" w:ascii="仿宋" w:hAnsi="仿宋" w:eastAsia="仿宋" w:cs="宋体"/>
                <w:color w:val="000000"/>
                <w:highlight w:val="none"/>
              </w:rPr>
            </w:r>
            <w:r/>
          </w:p>
        </w:tc>
        <w:tc>
          <w:tcPr>
            <w:tcW w:w="763" w:type="dxa"/>
            <w:vAlign w:val="center"/>
            <w:textDirection w:val="lrTb"/>
            <w:noWrap/>
          </w:tcPr>
          <w:p>
            <w:pPr>
              <w:pStyle w:val="733"/>
              <w:jc w:val="center"/>
              <w:widowControl/>
              <w:rPr>
                <w:rFonts w:hint="eastAsia" w:ascii="仿宋" w:hAnsi="仿宋" w:eastAsia="仿宋" w:cs="宋体"/>
                <w:b/>
                <w:bCs/>
                <w:color w:val="000000"/>
                <w:highlight w:val="none"/>
              </w:rPr>
            </w:pPr>
            <w:r>
              <w:rPr>
                <w:rFonts w:hint="eastAsia" w:ascii="仿宋" w:hAnsi="仿宋" w:eastAsia="仿宋" w:cs="宋体"/>
                <w:b/>
                <w:bCs/>
                <w:color w:val="000000"/>
                <w:szCs w:val="20"/>
                <w:highlight w:val="none"/>
                <w:lang w:bidi="ar"/>
              </w:rPr>
              <w:t xml:space="preserve">团队实力</w:t>
            </w:r>
            <w:r>
              <w:rPr>
                <w:rFonts w:hint="eastAsia" w:ascii="仿宋" w:hAnsi="仿宋" w:eastAsia="仿宋" w:cs="宋体"/>
                <w:b/>
                <w:bCs/>
                <w:color w:val="000000"/>
                <w:highlight w:val="none"/>
              </w:rPr>
            </w:r>
            <w:r/>
          </w:p>
          <w:p>
            <w:pPr>
              <w:pStyle w:val="1074"/>
              <w:ind w:firstLine="0"/>
              <w:jc w:val="center"/>
              <w:spacing w:line="240" w:lineRule="auto"/>
              <w:widowControl/>
              <w:rPr>
                <w:rFonts w:hint="eastAsia" w:ascii="仿宋" w:hAnsi="仿宋" w:eastAsia="仿宋"/>
                <w:color w:val="000000"/>
                <w:highlight w:val="none"/>
              </w:rPr>
            </w:pPr>
            <w:r>
              <w:rPr>
                <w:rFonts w:hint="eastAsia" w:ascii="仿宋" w:hAnsi="仿宋" w:eastAsia="仿宋"/>
                <w:b/>
                <w:bCs/>
                <w:color w:val="000000"/>
                <w:sz w:val="21"/>
                <w:szCs w:val="21"/>
                <w:highlight w:val="none"/>
              </w:rPr>
              <w:t xml:space="preserve">(</w:t>
            </w:r>
            <w:r>
              <w:rPr>
                <w:rFonts w:hint="eastAsia" w:ascii="仿宋" w:hAnsi="仿宋" w:eastAsia="仿宋"/>
                <w:b/>
                <w:bCs/>
                <w:color w:val="000000"/>
                <w:sz w:val="21"/>
                <w:szCs w:val="21"/>
                <w:highlight w:val="none"/>
                <w:lang w:val="en-US" w:eastAsia="zh-CN"/>
              </w:rPr>
              <w:t xml:space="preserve">11</w:t>
            </w:r>
            <w:r>
              <w:rPr>
                <w:rFonts w:hint="eastAsia" w:ascii="仿宋" w:hAnsi="仿宋" w:eastAsia="仿宋"/>
                <w:b/>
                <w:bCs/>
                <w:color w:val="000000"/>
                <w:sz w:val="21"/>
                <w:szCs w:val="21"/>
                <w:highlight w:val="none"/>
              </w:rPr>
              <w:t xml:space="preserve">分)</w:t>
            </w:r>
            <w:r>
              <w:rPr>
                <w:rFonts w:hint="eastAsia" w:ascii="仿宋" w:hAnsi="仿宋" w:eastAsia="仿宋"/>
                <w:color w:val="000000"/>
                <w:highlight w:val="none"/>
              </w:rPr>
            </w:r>
            <w:r/>
          </w:p>
        </w:tc>
        <w:tc>
          <w:tcPr>
            <w:tcW w:w="2745" w:type="dxa"/>
            <w:vAlign w:val="center"/>
            <w:textDirection w:val="lrTb"/>
            <w:noWrap w:val="false"/>
          </w:tcPr>
          <w:p>
            <w:pPr>
              <w:pStyle w:val="733"/>
              <w:widowControl/>
              <w:rPr>
                <w:rFonts w:hint="eastAsia" w:ascii="仿宋" w:hAnsi="仿宋" w:eastAsia="仿宋" w:cs="宋体"/>
                <w:color w:val="000000"/>
                <w:highlight w:val="none"/>
              </w:rPr>
            </w:pPr>
            <w:r>
              <w:rPr>
                <w:rFonts w:hint="eastAsia" w:ascii="仿宋" w:hAnsi="仿宋" w:eastAsia="仿宋" w:cs="宋体"/>
                <w:color w:val="000000"/>
                <w:szCs w:val="20"/>
                <w:highlight w:val="none"/>
                <w:lang w:bidi="ar"/>
              </w:rPr>
              <w:t xml:space="preserve">供应商具备专业的实施队伍，配置1个项目负责人、1个技术负责人和不少于4人项目团队人员。</w:t>
            </w:r>
            <w:r>
              <w:rPr>
                <w:rFonts w:hint="eastAsia" w:ascii="仿宋" w:hAnsi="仿宋" w:eastAsia="仿宋" w:cs="宋体"/>
                <w:color w:val="000000"/>
                <w:highlight w:val="none"/>
              </w:rPr>
            </w:r>
            <w:r/>
          </w:p>
          <w:p>
            <w:pPr>
              <w:pStyle w:val="733"/>
              <w:widowControl/>
              <w:rPr>
                <w:rFonts w:hint="eastAsia" w:ascii="仿宋" w:hAnsi="仿宋" w:eastAsia="仿宋" w:cs="宋体"/>
                <w:color w:val="000000"/>
                <w:szCs w:val="20"/>
                <w:highlight w:val="none"/>
                <w:lang w:bidi="ar"/>
              </w:rPr>
            </w:pPr>
            <w:r>
              <w:rPr>
                <w:rFonts w:hint="eastAsia" w:ascii="仿宋" w:hAnsi="仿宋" w:eastAsia="仿宋" w:cs="宋体"/>
                <w:color w:val="000000"/>
                <w:szCs w:val="20"/>
                <w:highlight w:val="none"/>
                <w:lang w:bidi="ar"/>
              </w:rPr>
              <w:t xml:space="preserve">1.项目负责人具有有效的“网络工程师-高级、IT服务工程师、信息技术应用创新服务工程师、信息安全保障人员认证证书、信息系统项目管理师-高级”证书的，每具备一个得1分，满分5分。</w:t>
            </w:r>
            <w:r>
              <w:rPr>
                <w:rFonts w:hint="eastAsia" w:ascii="仿宋" w:hAnsi="仿宋" w:eastAsia="仿宋" w:cs="宋体"/>
                <w:color w:val="000000"/>
                <w:szCs w:val="20"/>
                <w:highlight w:val="none"/>
                <w:lang w:bidi="ar"/>
              </w:rPr>
            </w:r>
            <w:r/>
          </w:p>
          <w:p>
            <w:pPr>
              <w:pStyle w:val="769"/>
              <w:ind w:left="0"/>
              <w:widowControl/>
              <w:rPr>
                <w:rFonts w:ascii="仿宋" w:hAnsi="仿宋" w:eastAsia="仿宋" w:cs="宋体"/>
                <w:color w:val="000000"/>
                <w:highlight w:val="none"/>
                <w:lang w:bidi="ar"/>
              </w:rPr>
            </w:pPr>
            <w:r>
              <w:rPr>
                <w:rFonts w:hint="eastAsia" w:ascii="仿宋" w:hAnsi="仿宋" w:eastAsia="仿宋" w:cs="宋体"/>
                <w:color w:val="000000"/>
                <w:highlight w:val="none"/>
                <w:lang w:bidi="ar"/>
              </w:rPr>
              <w:t xml:space="preserve">2.项目技术负责人具有有效的“网络工程师-中级、信息安全保障人员认证证书、设备安装施工员、IT服务工程师”证书的，每具备一个得1分，满分4分。</w:t>
            </w:r>
            <w:r>
              <w:rPr>
                <w:rFonts w:ascii="仿宋" w:hAnsi="仿宋" w:eastAsia="仿宋" w:cs="宋体"/>
                <w:color w:val="000000"/>
                <w:highlight w:val="none"/>
                <w:lang w:bidi="ar"/>
              </w:rPr>
            </w:r>
            <w:r/>
          </w:p>
          <w:p>
            <w:pPr>
              <w:pStyle w:val="769"/>
              <w:ind w:left="0"/>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3.项目组成员具有信息系统项目管理师证书、企业培训师专项技能证书、信息安全保障人员认证证书（安全集成方向）、注册信息安全专业人员（CISP）证书、网络工程师、网络通信安全管理员证书，每提供一类证书得 0.5 分，本项最高得 2 分。</w:t>
            </w:r>
            <w:r>
              <w:rPr>
                <w:rFonts w:hint="eastAsia" w:ascii="仿宋" w:hAnsi="仿宋" w:eastAsia="仿宋" w:cs="宋体"/>
                <w:color w:val="000000"/>
                <w:highlight w:val="none"/>
              </w:rPr>
            </w:r>
            <w:r/>
          </w:p>
          <w:p>
            <w:pPr>
              <w:pStyle w:val="769"/>
              <w:ind w:left="0"/>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注</w:t>
            </w:r>
            <w:r>
              <w:rPr>
                <w:rFonts w:hint="eastAsia" w:ascii="仿宋" w:hAnsi="仿宋" w:eastAsia="仿宋"/>
                <w:color w:val="000000"/>
                <w:highlight w:val="none"/>
              </w:rPr>
              <w:t xml:space="preserve">：投标人须提供团队成员有效期内的证书，以及投标人为其缴纳近六个月中任意1个月社保缴费证明。</w:t>
            </w:r>
            <w:r>
              <w:rPr>
                <w:rFonts w:hint="eastAsia" w:ascii="仿宋" w:hAnsi="仿宋" w:eastAsia="仿宋" w:cs="宋体"/>
                <w:color w:val="000000"/>
                <w:highlight w:val="none"/>
              </w:rPr>
            </w:r>
            <w:r/>
          </w:p>
        </w:tc>
        <w:tc>
          <w:tcPr>
            <w:tcW w:w="310"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11</w:t>
            </w:r>
            <w:r>
              <w:rPr>
                <w:rFonts w:hint="eastAsia" w:ascii="仿宋" w:hAnsi="仿宋" w:eastAsia="仿宋" w:cs="宋体"/>
                <w:color w:val="000000"/>
                <w:highlight w:val="none"/>
              </w:rPr>
            </w:r>
            <w:r/>
          </w:p>
        </w:tc>
        <w:tc>
          <w:tcPr>
            <w:tcW w:w="297" w:type="dxa"/>
            <w:vAlign w:val="center"/>
            <w:textDirection w:val="lrTb"/>
            <w:noWrap/>
          </w:tcPr>
          <w:p>
            <w:pPr>
              <w:pStyle w:val="733"/>
              <w:jc w:val="center"/>
              <w:rPr>
                <w:rFonts w:hint="eastAsia" w:ascii="仿宋" w:hAnsi="仿宋" w:eastAsia="仿宋" w:cs="宋体"/>
                <w:color w:val="000000"/>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highlight w:val="none"/>
              </w:rPr>
            </w:r>
            <w:r/>
          </w:p>
        </w:tc>
        <w:tc>
          <w:tcPr>
            <w:tcW w:w="478"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客观分</w:t>
            </w:r>
            <w:r>
              <w:rPr>
                <w:rFonts w:hint="eastAsia" w:ascii="仿宋" w:hAnsi="仿宋" w:eastAsia="仿宋" w:cs="宋体"/>
                <w:color w:val="000000"/>
                <w:highlight w:val="none"/>
              </w:rPr>
            </w:r>
            <w:r/>
          </w:p>
        </w:tc>
      </w:tr>
      <w:tr>
        <w:trPr/>
        <w:tc>
          <w:tcPr>
            <w:tcW w:w="407"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8</w:t>
            </w:r>
            <w:r>
              <w:rPr>
                <w:rFonts w:hint="eastAsia" w:ascii="仿宋" w:hAnsi="仿宋" w:eastAsia="仿宋" w:cs="宋体"/>
                <w:color w:val="000000"/>
                <w:highlight w:val="none"/>
              </w:rPr>
            </w:r>
            <w:r/>
          </w:p>
        </w:tc>
        <w:tc>
          <w:tcPr>
            <w:tcW w:w="763" w:type="dxa"/>
            <w:vAlign w:val="center"/>
            <w:textDirection w:val="lrTb"/>
            <w:noWrap w:val="false"/>
          </w:tcPr>
          <w:p>
            <w:pPr>
              <w:pStyle w:val="733"/>
              <w:jc w:val="center"/>
              <w:widowControl/>
              <w:rPr>
                <w:rFonts w:hint="eastAsia" w:ascii="仿宋" w:hAnsi="仿宋" w:eastAsia="仿宋" w:cs="宋体"/>
                <w:b/>
                <w:bCs/>
                <w:color w:val="000000"/>
                <w:highlight w:val="none"/>
              </w:rPr>
            </w:pPr>
            <w:r>
              <w:rPr>
                <w:rFonts w:hint="eastAsia" w:ascii="仿宋" w:hAnsi="仿宋" w:eastAsia="仿宋" w:cs="宋体"/>
                <w:b/>
                <w:bCs/>
                <w:color w:val="000000"/>
                <w:szCs w:val="20"/>
                <w:highlight w:val="none"/>
                <w:lang w:bidi="ar"/>
              </w:rPr>
              <w:t xml:space="preserve">企业业绩</w:t>
            </w:r>
            <w:r>
              <w:rPr>
                <w:rFonts w:hint="eastAsia" w:ascii="仿宋" w:hAnsi="仿宋" w:eastAsia="仿宋" w:cs="宋体"/>
                <w:b/>
                <w:bCs/>
                <w:color w:val="000000"/>
                <w:highlight w:val="none"/>
              </w:rPr>
            </w:r>
            <w:r/>
          </w:p>
          <w:p>
            <w:pPr>
              <w:pStyle w:val="1074"/>
              <w:ind w:firstLine="211"/>
              <w:jc w:val="both"/>
              <w:spacing w:line="240" w:lineRule="auto"/>
              <w:widowControl/>
              <w:rPr>
                <w:rFonts w:hint="eastAsia" w:ascii="仿宋" w:hAnsi="仿宋" w:eastAsia="仿宋"/>
                <w:color w:val="000000"/>
                <w:highlight w:val="none"/>
              </w:rPr>
            </w:pPr>
            <w:r>
              <w:rPr>
                <w:rFonts w:hint="eastAsia" w:ascii="仿宋" w:hAnsi="仿宋" w:eastAsia="仿宋"/>
                <w:b/>
                <w:bCs/>
                <w:color w:val="000000"/>
                <w:sz w:val="21"/>
                <w:szCs w:val="21"/>
                <w:highlight w:val="none"/>
              </w:rPr>
              <w:t xml:space="preserve">（4分）</w:t>
            </w:r>
            <w:r>
              <w:rPr>
                <w:rFonts w:hint="eastAsia" w:ascii="仿宋" w:hAnsi="仿宋" w:eastAsia="仿宋"/>
                <w:color w:val="000000"/>
                <w:highlight w:val="none"/>
              </w:rPr>
            </w:r>
            <w:r/>
          </w:p>
        </w:tc>
        <w:tc>
          <w:tcPr>
            <w:tcW w:w="2745" w:type="dxa"/>
            <w:vAlign w:val="center"/>
            <w:textDirection w:val="lrTb"/>
            <w:noWrap w:val="false"/>
          </w:tcPr>
          <w:p>
            <w:pPr>
              <w:pStyle w:val="733"/>
              <w:widowControl/>
              <w:rPr>
                <w:rFonts w:hint="eastAsia" w:ascii="仿宋" w:hAnsi="仿宋" w:eastAsia="仿宋" w:cs="宋体"/>
                <w:color w:val="000000"/>
                <w:highlight w:val="none"/>
              </w:rPr>
            </w:pPr>
            <w:r>
              <w:rPr>
                <w:rFonts w:hint="eastAsia" w:ascii="仿宋" w:hAnsi="仿宋" w:eastAsia="仿宋" w:cs="宋体"/>
                <w:color w:val="000000"/>
                <w:szCs w:val="20"/>
                <w:highlight w:val="none"/>
                <w:lang w:bidi="ar"/>
              </w:rPr>
              <w:t xml:space="preserve">自2022年7月1日以来（以合同签订日期为准）承接过类似项目的（如政务网建设、改造等），每提供一个得2分，最高得4分。注：需提供合同复印件，如合同中无法体现业绩内容，须提供加盖业主单位公章的证明材料，否则不予认可。</w:t>
            </w:r>
            <w:r>
              <w:rPr>
                <w:rFonts w:hint="eastAsia" w:ascii="仿宋" w:hAnsi="仿宋" w:eastAsia="仿宋" w:cs="宋体"/>
                <w:color w:val="000000"/>
                <w:highlight w:val="none"/>
              </w:rPr>
            </w:r>
            <w:r/>
          </w:p>
          <w:p>
            <w:pPr>
              <w:pStyle w:val="733"/>
              <w:widowControl/>
              <w:rPr>
                <w:rFonts w:hint="eastAsia" w:ascii="仿宋" w:hAnsi="仿宋" w:eastAsia="仿宋" w:cs="宋体"/>
                <w:color w:val="000000"/>
                <w:highlight w:val="none"/>
              </w:rPr>
            </w:pPr>
            <w:r>
              <w:rPr>
                <w:rFonts w:hint="eastAsia" w:ascii="仿宋" w:hAnsi="仿宋" w:eastAsia="仿宋" w:cs="宋体"/>
                <w:color w:val="000000"/>
                <w:szCs w:val="20"/>
                <w:highlight w:val="none"/>
                <w:lang w:bidi="ar"/>
              </w:rPr>
              <w:t xml:space="preserve">（注：响应文件中须提供有效的业绩合同及验收证明文件扫描件或复印件并加盖公章，不提供不得分）</w:t>
            </w:r>
            <w:r>
              <w:rPr>
                <w:rFonts w:hint="eastAsia" w:ascii="仿宋" w:hAnsi="仿宋" w:eastAsia="仿宋" w:cs="宋体"/>
                <w:color w:val="000000"/>
                <w:highlight w:val="none"/>
              </w:rPr>
            </w:r>
            <w:r/>
          </w:p>
        </w:tc>
        <w:tc>
          <w:tcPr>
            <w:tcW w:w="310"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4</w:t>
            </w:r>
            <w:r>
              <w:rPr>
                <w:rFonts w:hint="eastAsia" w:ascii="仿宋" w:hAnsi="仿宋" w:eastAsia="仿宋" w:cs="宋体"/>
                <w:color w:val="000000"/>
                <w:highlight w:val="none"/>
              </w:rPr>
            </w:r>
            <w:r/>
          </w:p>
        </w:tc>
        <w:tc>
          <w:tcPr>
            <w:tcW w:w="297" w:type="dxa"/>
            <w:vAlign w:val="center"/>
            <w:textDirection w:val="lrTb"/>
            <w:noWrap/>
          </w:tcPr>
          <w:p>
            <w:pPr>
              <w:pStyle w:val="733"/>
              <w:jc w:val="center"/>
              <w:rPr>
                <w:rFonts w:hint="eastAsia" w:ascii="仿宋" w:hAnsi="仿宋" w:eastAsia="仿宋" w:cs="宋体"/>
                <w:color w:val="000000"/>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highlight w:val="none"/>
              </w:rPr>
            </w:r>
            <w:r/>
          </w:p>
        </w:tc>
        <w:tc>
          <w:tcPr>
            <w:tcW w:w="478"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客观分</w:t>
            </w:r>
            <w:r>
              <w:rPr>
                <w:rFonts w:hint="eastAsia" w:ascii="仿宋" w:hAnsi="仿宋" w:eastAsia="仿宋" w:cs="宋体"/>
                <w:color w:val="000000"/>
                <w:highlight w:val="none"/>
              </w:rPr>
            </w:r>
            <w:r/>
          </w:p>
        </w:tc>
      </w:tr>
      <w:tr>
        <w:trPr/>
        <w:tc>
          <w:tcPr>
            <w:tcW w:w="407"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s="宋体"/>
                <w:color w:val="000000"/>
                <w:highlight w:val="none"/>
              </w:rPr>
              <w:t xml:space="preserve">9</w:t>
            </w:r>
            <w:r>
              <w:rPr>
                <w:rFonts w:hint="eastAsia" w:ascii="仿宋" w:hAnsi="仿宋" w:eastAsia="仿宋" w:cs="宋体"/>
                <w:color w:val="000000"/>
                <w:highlight w:val="none"/>
              </w:rPr>
            </w:r>
            <w:r/>
          </w:p>
        </w:tc>
        <w:tc>
          <w:tcPr>
            <w:tcW w:w="763" w:type="dxa"/>
            <w:vAlign w:val="center"/>
            <w:textDirection w:val="lrTb"/>
            <w:noWrap w:val="false"/>
          </w:tcPr>
          <w:p>
            <w:pPr>
              <w:pStyle w:val="733"/>
              <w:jc w:val="center"/>
              <w:widowControl/>
              <w:rPr>
                <w:rFonts w:ascii="仿宋" w:hAnsi="仿宋" w:eastAsia="仿宋"/>
                <w:b/>
                <w:bCs/>
                <w:color w:val="000000"/>
                <w:highlight w:val="none"/>
              </w:rPr>
            </w:pPr>
            <w:r>
              <w:rPr>
                <w:rFonts w:hint="eastAsia" w:ascii="仿宋" w:hAnsi="仿宋" w:eastAsia="仿宋"/>
                <w:b/>
                <w:bCs/>
                <w:color w:val="000000"/>
                <w:highlight w:val="none"/>
              </w:rPr>
              <w:t xml:space="preserve">节能环保</w:t>
            </w:r>
            <w:r>
              <w:rPr>
                <w:rFonts w:ascii="仿宋" w:hAnsi="仿宋" w:eastAsia="仿宋"/>
                <w:b/>
                <w:bCs/>
                <w:color w:val="000000"/>
                <w:highlight w:val="none"/>
              </w:rPr>
            </w:r>
            <w:r/>
          </w:p>
          <w:p>
            <w:pPr>
              <w:pStyle w:val="733"/>
              <w:jc w:val="center"/>
              <w:widowControl/>
              <w:rPr>
                <w:rFonts w:hint="eastAsia" w:ascii="仿宋" w:hAnsi="仿宋" w:eastAsia="仿宋" w:cs="宋体"/>
                <w:b/>
                <w:bCs/>
                <w:color w:val="000000"/>
                <w:szCs w:val="20"/>
                <w:highlight w:val="none"/>
                <w:lang w:bidi="ar"/>
              </w:rPr>
            </w:pPr>
            <w:r>
              <w:rPr>
                <w:rFonts w:hint="eastAsia" w:ascii="仿宋" w:hAnsi="仿宋" w:eastAsia="仿宋"/>
                <w:b/>
                <w:bCs/>
                <w:color w:val="000000"/>
                <w:highlight w:val="none"/>
                <w:lang w:bidi="ar"/>
              </w:rPr>
              <w:t xml:space="preserve">（2分）</w:t>
            </w:r>
            <w:r>
              <w:rPr>
                <w:rFonts w:hint="eastAsia" w:ascii="仿宋" w:hAnsi="仿宋" w:eastAsia="仿宋" w:cs="宋体"/>
                <w:b/>
                <w:bCs/>
                <w:color w:val="000000"/>
                <w:szCs w:val="20"/>
                <w:highlight w:val="none"/>
                <w:lang w:bidi="ar"/>
              </w:rPr>
            </w:r>
            <w:r/>
          </w:p>
        </w:tc>
        <w:tc>
          <w:tcPr>
            <w:tcW w:w="2745" w:type="dxa"/>
            <w:vAlign w:val="center"/>
            <w:textDirection w:val="lrTb"/>
            <w:noWrap w:val="false"/>
          </w:tcPr>
          <w:p>
            <w:pPr>
              <w:pStyle w:val="996"/>
              <w:ind w:firstLine="0"/>
              <w:spacing w:before="0" w:after="0" w:line="240" w:lineRule="auto"/>
              <w:rPr>
                <w:rFonts w:hint="eastAsia" w:ascii="仿宋" w:hAnsi="仿宋" w:eastAsia="仿宋" w:cs="宋体"/>
                <w:color w:val="000000"/>
                <w:sz w:val="21"/>
                <w:szCs w:val="20"/>
                <w:highlight w:val="none"/>
                <w:lang w:bidi="ar"/>
              </w:rPr>
            </w:pPr>
            <w:r>
              <w:rPr>
                <w:rFonts w:hint="eastAsia" w:ascii="仿宋" w:hAnsi="仿宋" w:eastAsia="仿宋" w:cs="宋体"/>
                <w:color w:val="000000"/>
                <w:sz w:val="21"/>
                <w:szCs w:val="20"/>
                <w:highlight w:val="none"/>
                <w:lang w:bidi="ar"/>
              </w:rPr>
              <w:t xml:space="preserve">1.投标产品属于财政部、国家发改委公布的“节能产品品目清单”范围内的，投标人提供国家确定的认证机构出具的、处于有效期之内的该节能产品认证证书复印件的，有1个得0.5分，最多得1分。</w:t>
            </w:r>
            <w:r>
              <w:rPr>
                <w:rFonts w:hint="eastAsia" w:ascii="仿宋" w:hAnsi="仿宋" w:eastAsia="仿宋" w:cs="宋体"/>
                <w:color w:val="000000"/>
                <w:sz w:val="21"/>
                <w:szCs w:val="20"/>
                <w:highlight w:val="none"/>
                <w:lang w:bidi="ar"/>
              </w:rPr>
            </w:r>
            <w:r/>
          </w:p>
          <w:p>
            <w:pPr>
              <w:pStyle w:val="733"/>
              <w:widowControl/>
              <w:rPr>
                <w:rFonts w:hint="eastAsia" w:ascii="仿宋" w:hAnsi="仿宋" w:eastAsia="仿宋" w:cs="宋体"/>
                <w:color w:val="000000"/>
                <w:szCs w:val="20"/>
                <w:highlight w:val="none"/>
                <w:lang w:eastAsia="zh-CN" w:bidi="ar"/>
              </w:rPr>
            </w:pPr>
            <w:r>
              <w:rPr>
                <w:rFonts w:hint="eastAsia" w:ascii="仿宋" w:hAnsi="仿宋" w:eastAsia="仿宋" w:cs="宋体"/>
                <w:color w:val="000000"/>
                <w:szCs w:val="20"/>
                <w:highlight w:val="none"/>
                <w:lang w:bidi="ar"/>
              </w:rPr>
              <w:t xml:space="preserve">2. 投标产品属于财政部、生态环境部公布的“环境标志产品品目清单”范围内的，投标人提供国家确定的认证机构出具的、处于有效期内的该环保产品认证证书复印件的，有1个得0.5分，最多得1分</w:t>
            </w:r>
            <w:r>
              <w:rPr>
                <w:rFonts w:hint="eastAsia" w:ascii="仿宋" w:hAnsi="仿宋" w:eastAsia="仿宋" w:cs="宋体"/>
                <w:color w:val="000000"/>
                <w:szCs w:val="20"/>
                <w:highlight w:val="none"/>
                <w:lang w:eastAsia="zh-CN" w:bidi="ar"/>
              </w:rPr>
              <w:t xml:space="preserve">。</w:t>
            </w:r>
            <w:r>
              <w:rPr>
                <w:rFonts w:hint="eastAsia" w:ascii="仿宋" w:hAnsi="仿宋" w:eastAsia="仿宋" w:cs="宋体"/>
                <w:color w:val="000000"/>
                <w:szCs w:val="20"/>
                <w:highlight w:val="none"/>
                <w:lang w:eastAsia="zh-CN" w:bidi="ar"/>
              </w:rPr>
            </w:r>
            <w:r/>
          </w:p>
        </w:tc>
        <w:tc>
          <w:tcPr>
            <w:tcW w:w="310"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olor w:val="000000"/>
                <w:highlight w:val="none"/>
              </w:rPr>
              <w:t xml:space="preserve">2</w:t>
            </w:r>
            <w:r>
              <w:rPr>
                <w:rFonts w:hint="eastAsia" w:ascii="仿宋" w:hAnsi="仿宋" w:eastAsia="仿宋" w:cs="宋体"/>
                <w:color w:val="000000"/>
                <w:highlight w:val="none"/>
              </w:rPr>
            </w:r>
            <w:r/>
          </w:p>
        </w:tc>
        <w:tc>
          <w:tcPr>
            <w:tcW w:w="297" w:type="dxa"/>
            <w:vAlign w:val="center"/>
            <w:textDirection w:val="lrTb"/>
            <w:noWrap/>
          </w:tcPr>
          <w:p>
            <w:pPr>
              <w:pStyle w:val="733"/>
              <w:jc w:val="center"/>
              <w:rPr>
                <w:rFonts w:hint="eastAsia" w:ascii="仿宋" w:hAnsi="仿宋" w:eastAsia="仿宋" w:cs="宋体"/>
                <w:color w:val="000000"/>
                <w:highlight w:val="none"/>
              </w:rPr>
            </w:pPr>
            <w:r>
              <w:rPr>
                <w:rFonts w:hint="eastAsia" w:ascii="仿宋" w:hAnsi="仿宋" w:eastAsia="仿宋" w:cs="宋体"/>
                <w:color w:val="000000"/>
                <w:highlight w:val="none"/>
              </w:rPr>
              <w:t xml:space="preserve">0</w:t>
            </w:r>
            <w:r>
              <w:rPr>
                <w:rFonts w:hint="eastAsia" w:ascii="仿宋" w:hAnsi="仿宋" w:eastAsia="仿宋" w:cs="宋体"/>
                <w:color w:val="000000"/>
                <w:highlight w:val="none"/>
              </w:rPr>
            </w:r>
            <w:r/>
          </w:p>
        </w:tc>
        <w:tc>
          <w:tcPr>
            <w:tcW w:w="478" w:type="dxa"/>
            <w:vAlign w:val="center"/>
            <w:textDirection w:val="lrTb"/>
            <w:noWrap/>
          </w:tcPr>
          <w:p>
            <w:pPr>
              <w:pStyle w:val="733"/>
              <w:jc w:val="center"/>
              <w:widowControl/>
              <w:rPr>
                <w:rFonts w:hint="eastAsia" w:ascii="仿宋" w:hAnsi="仿宋" w:eastAsia="仿宋" w:cs="宋体"/>
                <w:color w:val="000000"/>
                <w:highlight w:val="none"/>
              </w:rPr>
            </w:pPr>
            <w:r>
              <w:rPr>
                <w:rFonts w:hint="eastAsia" w:ascii="仿宋" w:hAnsi="仿宋" w:eastAsia="仿宋"/>
                <w:color w:val="000000"/>
                <w:highlight w:val="none"/>
              </w:rPr>
              <w:t xml:space="preserve">客观分</w:t>
            </w:r>
            <w:r>
              <w:rPr>
                <w:rFonts w:hint="eastAsia" w:ascii="仿宋" w:hAnsi="仿宋" w:eastAsia="仿宋" w:cs="宋体"/>
                <w:color w:val="000000"/>
                <w:highlight w:val="none"/>
              </w:rPr>
            </w:r>
            <w:r/>
          </w:p>
        </w:tc>
      </w:tr>
    </w:tbl>
    <w:p>
      <w:pPr>
        <w:pStyle w:val="733"/>
        <w:numPr>
          <w:ilvl w:val="0"/>
          <w:numId w:val="0"/>
        </w:numPr>
        <w:ind w:firstLine="422"/>
        <w:spacing w:line="500" w:lineRule="exact"/>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政府采购政策功能落实</w:t>
      </w:r>
      <w:r>
        <w:rPr>
          <w:rFonts w:hint="eastAsia" w:ascii="宋体" w:hAnsi="宋体" w:eastAsia="宋体" w:cs="宋体"/>
          <w:b/>
          <w:color w:val="000000"/>
          <w:sz w:val="21"/>
          <w:szCs w:val="21"/>
          <w:highlight w:val="none"/>
        </w:rPr>
      </w:r>
      <w:r/>
    </w:p>
    <w:p>
      <w:pPr>
        <w:pStyle w:val="733"/>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1、小微型企业价格扣除</w:t>
      </w:r>
      <w:r>
        <w:rPr>
          <w:rFonts w:hint="eastAsia" w:ascii="宋体" w:hAnsi="宋体" w:eastAsia="宋体" w:cs="宋体"/>
          <w:color w:val="000000"/>
          <w:sz w:val="21"/>
          <w:szCs w:val="21"/>
          <w:highlight w:val="none"/>
        </w:rPr>
      </w:r>
      <w:r/>
    </w:p>
    <w:p>
      <w:pPr>
        <w:pStyle w:val="996"/>
        <w:ind w:firstLine="3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w:t>
      </w:r>
      <w:r>
        <w:rPr>
          <w:rFonts w:hint="eastAsia" w:ascii="宋体" w:hAnsi="宋体" w:eastAsia="宋体" w:cs="宋体"/>
          <w:b/>
          <w:bCs/>
          <w:color w:val="000000"/>
          <w:sz w:val="21"/>
          <w:szCs w:val="21"/>
          <w:highlight w:val="none"/>
        </w:rPr>
        <w:t xml:space="preserve">小型和微型企业</w:t>
      </w:r>
      <w:r>
        <w:rPr>
          <w:rFonts w:hint="eastAsia" w:ascii="宋体" w:hAnsi="宋体" w:eastAsia="宋体" w:cs="宋体"/>
          <w:color w:val="000000"/>
          <w:sz w:val="21"/>
          <w:szCs w:val="21"/>
          <w:highlight w:val="none"/>
        </w:rPr>
        <w:t xml:space="preserve">提供的服务给予</w:t>
      </w: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rPr>
        <w:t xml:space="preserve">的扣除价格，用扣除后的价格参与评审。</w:t>
      </w:r>
      <w:r>
        <w:rPr>
          <w:rFonts w:hint="eastAsia" w:ascii="宋体" w:hAnsi="宋体" w:eastAsia="宋体" w:cs="宋体"/>
          <w:color w:val="000000"/>
          <w:sz w:val="21"/>
          <w:szCs w:val="21"/>
          <w:highlight w:val="none"/>
        </w:rPr>
      </w:r>
      <w:r/>
    </w:p>
    <w:p>
      <w:pPr>
        <w:pStyle w:val="996"/>
        <w:ind w:firstLine="3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（2）供应商需按照采购文件的要求提供相应的《小微企业声明函》。</w:t>
      </w:r>
      <w:r>
        <w:rPr>
          <w:rFonts w:hint="eastAsia" w:ascii="宋体" w:hAnsi="宋体" w:eastAsia="宋体" w:cs="宋体"/>
          <w:color w:val="000000"/>
          <w:sz w:val="21"/>
          <w:szCs w:val="21"/>
          <w:highlight w:val="none"/>
        </w:rPr>
      </w:r>
      <w:r/>
    </w:p>
    <w:p>
      <w:pPr>
        <w:pStyle w:val="996"/>
        <w:ind w:firstLine="3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highlight w:val="none"/>
        </w:rPr>
      </w:r>
      <w:r/>
    </w:p>
    <w:p>
      <w:pPr>
        <w:pStyle w:val="99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2、残疾人福利单位价格扣除</w:t>
      </w:r>
      <w:r>
        <w:rPr>
          <w:rFonts w:hint="eastAsia" w:ascii="宋体" w:hAnsi="宋体" w:eastAsia="宋体" w:cs="宋体"/>
          <w:color w:val="000000"/>
          <w:sz w:val="21"/>
          <w:szCs w:val="21"/>
          <w:highlight w:val="none"/>
        </w:rPr>
      </w:r>
      <w:r/>
    </w:p>
    <w:p>
      <w:pPr>
        <w:pStyle w:val="996"/>
        <w:ind w:left="120" w:firstLine="3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（1）本项目对残疾人福利性单位视同小型、微型企业，给予</w:t>
      </w: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996"/>
        <w:ind w:left="120" w:firstLine="3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rPr>
          <w:rFonts w:hint="eastAsia" w:ascii="宋体" w:hAnsi="宋体" w:eastAsia="宋体" w:cs="宋体"/>
          <w:color w:val="000000"/>
          <w:sz w:val="21"/>
          <w:szCs w:val="21"/>
          <w:highlight w:val="none"/>
        </w:rPr>
      </w:r>
      <w:r/>
    </w:p>
    <w:p>
      <w:pPr>
        <w:pStyle w:val="996"/>
        <w:ind w:left="120" w:firstLine="3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rPr>
      </w:r>
      <w:r/>
    </w:p>
    <w:p>
      <w:pPr>
        <w:pStyle w:val="99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rPr>
          <w:rFonts w:hint="eastAsia" w:ascii="宋体" w:hAnsi="宋体" w:eastAsia="宋体" w:cs="宋体"/>
          <w:color w:val="000000"/>
          <w:sz w:val="21"/>
          <w:szCs w:val="21"/>
          <w:highlight w:val="none"/>
        </w:rPr>
      </w:r>
      <w:r/>
    </w:p>
    <w:p>
      <w:pPr>
        <w:pStyle w:val="99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（1）本项目对监狱和戒毒企业（简称监狱企业）视同小型、微型企业，给予</w:t>
      </w: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99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rPr>
      </w:r>
      <w:r/>
    </w:p>
    <w:p>
      <w:pPr>
        <w:pStyle w:val="99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99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rPr>
          <w:rFonts w:hint="eastAsia" w:ascii="宋体" w:hAnsi="宋体" w:eastAsia="宋体" w:cs="宋体"/>
          <w:color w:val="000000"/>
          <w:sz w:val="21"/>
          <w:szCs w:val="21"/>
          <w:highlight w:val="none"/>
        </w:rPr>
      </w:r>
      <w:r/>
    </w:p>
    <w:p>
      <w:pPr>
        <w:pStyle w:val="996"/>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jc w:val="center"/>
        <w:spacing w:line="500" w:lineRule="exact"/>
        <w:shd w:val="clear" w:color="auto" w:fill="auto"/>
        <w:rPr>
          <w:rFonts w:hint="eastAsia" w:ascii="宋体" w:hAnsi="宋体" w:eastAsia="宋体" w:cs="宋体"/>
          <w:b/>
          <w:bCs w:val="0"/>
          <w:i w:val="0"/>
          <w:iCs w:val="0"/>
          <w:color w:val="000000"/>
          <w:sz w:val="36"/>
          <w:szCs w:val="36"/>
          <w:highlight w:val="none"/>
        </w:rPr>
        <w:outlineLvl w:val="0"/>
      </w:pPr>
      <w:r>
        <w:rPr>
          <w:rFonts w:hint="eastAsia" w:ascii="宋体" w:hAnsi="宋体" w:eastAsia="宋体" w:cs="宋体"/>
          <w:color w:val="000000"/>
          <w:sz w:val="36"/>
          <w:szCs w:val="36"/>
          <w:highlight w:val="none"/>
        </w:rPr>
        <w:br w:type="page" w:clear="all"/>
      </w:r>
      <w:r>
        <w:rPr>
          <w:rFonts w:hint="eastAsia" w:ascii="宋体" w:hAnsi="宋体" w:eastAsia="宋体" w:cs="宋体"/>
          <w:b/>
          <w:bCs w:val="0"/>
          <w:i w:val="0"/>
          <w:iCs w:val="0"/>
          <w:color w:val="000000"/>
          <w:sz w:val="36"/>
          <w:szCs w:val="36"/>
          <w:highlight w:val="none"/>
        </w:rPr>
        <w:t xml:space="preserve">第五部分  合同格式</w:t>
      </w:r>
      <w:r>
        <w:rPr>
          <w:rFonts w:hint="eastAsia" w:ascii="宋体" w:hAnsi="宋体" w:eastAsia="宋体" w:cs="宋体"/>
          <w:b/>
          <w:bCs w:val="0"/>
          <w:i w:val="0"/>
          <w:iCs w:val="0"/>
          <w:color w:val="000000"/>
          <w:sz w:val="36"/>
          <w:szCs w:val="36"/>
          <w:highlight w:val="none"/>
        </w:rPr>
      </w:r>
      <w:r/>
    </w:p>
    <w:p>
      <w:pPr>
        <w:pStyle w:val="733"/>
        <w:spacing w:after="60" w:line="360" w:lineRule="auto"/>
        <w:shd w:val="clear" w:color="auto" w:fill="auto"/>
        <w:rPr>
          <w:rFonts w:hint="eastAsia" w:ascii="宋体" w:hAnsi="宋体" w:eastAsia="宋体" w:cs="宋体"/>
          <w:color w:val="000000"/>
          <w:szCs w:val="21"/>
          <w:highlight w:val="none"/>
        </w:rPr>
      </w:pPr>
      <w:r/>
      <w:bookmarkStart w:id="131" w:name="_Toc14707"/>
      <w:r/>
      <w:bookmarkStart w:id="132" w:name="_Toc5321_WPSOffice_Level2"/>
      <w:r>
        <w:rPr>
          <w:rFonts w:hint="eastAsia" w:ascii="宋体" w:hAnsi="宋体" w:eastAsia="宋体" w:cs="宋体"/>
          <w:color w:val="000000"/>
          <w:szCs w:val="21"/>
          <w:highlight w:val="none"/>
        </w:rPr>
      </w:r>
      <w:r/>
    </w:p>
    <w:p>
      <w:pPr>
        <w:pStyle w:val="1075"/>
        <w:numPr>
          <w:ilvl w:val="0"/>
          <w:numId w:val="4"/>
        </w:numPr>
        <w:pageBreakBefore w:val="0"/>
        <w:spacing w:line="360" w:lineRule="auto"/>
        <w:rPr>
          <w:rFonts w:hint="eastAsia" w:ascii="宋体" w:hAnsi="宋体" w:eastAsia="宋体" w:cs="宋体"/>
          <w:b w:val="0"/>
          <w:bCs w:val="0"/>
          <w:color w:val="000000"/>
          <w:sz w:val="21"/>
          <w:szCs w:val="21"/>
          <w:highlight w:val="none"/>
        </w:rPr>
      </w:pPr>
      <w:r/>
      <w:bookmarkEnd w:id="131"/>
      <w:r/>
      <w:bookmarkEnd w:id="132"/>
      <w:r>
        <w:rPr>
          <w:rFonts w:hint="eastAsia" w:ascii="宋体" w:hAnsi="宋体" w:eastAsia="宋体" w:cs="宋体"/>
          <w:b w:val="0"/>
          <w:bCs w:val="0"/>
          <w:color w:val="000000"/>
          <w:sz w:val="21"/>
          <w:szCs w:val="21"/>
          <w:highlight w:val="none"/>
        </w:rPr>
        <w:t xml:space="preserve"> 政府采购合同模板</w:t>
      </w:r>
      <w:r>
        <w:rPr>
          <w:rFonts w:hint="eastAsia" w:ascii="宋体" w:hAnsi="宋体" w:eastAsia="宋体" w:cs="宋体"/>
          <w:b w:val="0"/>
          <w:bCs w:val="0"/>
          <w:color w:val="000000"/>
          <w:sz w:val="21"/>
          <w:szCs w:val="21"/>
          <w:highlight w:val="none"/>
        </w:rPr>
      </w:r>
      <w:r/>
    </w:p>
    <w:p>
      <w:pPr>
        <w:pStyle w:val="1069"/>
        <w:ind w:firstLine="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南通市大数据管理中心XXX项目采购合同</w:t>
      </w:r>
      <w:r>
        <w:rPr>
          <w:rFonts w:hint="eastAsia" w:ascii="宋体" w:hAnsi="宋体" w:eastAsia="宋体" w:cs="宋体"/>
          <w:color w:val="000000"/>
          <w:sz w:val="21"/>
          <w:szCs w:val="21"/>
          <w:highlight w:val="none"/>
        </w:rPr>
      </w:r>
      <w:r/>
    </w:p>
    <w:tbl>
      <w:tblPr>
        <w:tblW w:w="0" w:type="auto"/>
        <w:tblInd w:w="4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51"/>
        <w:gridCol w:w="3827"/>
      </w:tblGrid>
      <w:tr>
        <w:trPr>
          <w:trHeight w:val="275"/>
        </w:trPr>
        <w:tc>
          <w:tcPr>
            <w:tcW w:w="1751" w:type="dxa"/>
            <w:vAlign w:val="top"/>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rPr>
            </w:r>
            <w:r/>
          </w:p>
        </w:tc>
        <w:tc>
          <w:tcPr>
            <w:tcW w:w="3827" w:type="dxa"/>
            <w:vAlign w:val="top"/>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南通市大数据管理中心</w:t>
            </w:r>
            <w:r>
              <w:rPr>
                <w:rFonts w:hint="eastAsia" w:ascii="宋体" w:hAnsi="宋体" w:eastAsia="宋体" w:cs="宋体"/>
                <w:color w:val="000000"/>
                <w:sz w:val="21"/>
                <w:szCs w:val="21"/>
                <w:highlight w:val="none"/>
              </w:rPr>
            </w:r>
            <w:r/>
          </w:p>
        </w:tc>
      </w:tr>
      <w:tr>
        <w:trPr>
          <w:trHeight w:val="269"/>
        </w:trPr>
        <w:tc>
          <w:tcPr>
            <w:tcW w:w="1751" w:type="dxa"/>
            <w:vAlign w:val="top"/>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tc>
        <w:tc>
          <w:tcPr>
            <w:tcW w:w="3827" w:type="dxa"/>
            <w:vAlign w:val="top"/>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项目采购结果，签署本合同。</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一、合同内容</w:t>
      </w:r>
      <w:r>
        <w:rPr>
          <w:rFonts w:hint="eastAsia" w:ascii="宋体" w:hAnsi="宋体" w:eastAsia="宋体" w:cs="宋体"/>
          <w:color w:val="000000"/>
          <w:sz w:val="21"/>
          <w:szCs w:val="21"/>
          <w:highlight w:val="none"/>
        </w:rPr>
      </w:r>
      <w:r/>
    </w:p>
    <w:p>
      <w:pPr>
        <w:pStyle w:val="1076"/>
        <w:ind w:firstLine="64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1.1标的名称：</w:t>
      </w:r>
      <w:r>
        <w:rPr>
          <w:rFonts w:hint="eastAsia" w:ascii="宋体" w:hAnsi="宋体" w:eastAsia="宋体" w:cs="宋体"/>
          <w:color w:val="000000"/>
          <w:sz w:val="21"/>
          <w:szCs w:val="21"/>
          <w:highlight w:val="none"/>
        </w:rPr>
      </w:r>
      <w:r/>
    </w:p>
    <w:p>
      <w:pPr>
        <w:pStyle w:val="1076"/>
        <w:ind w:firstLine="643"/>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1.2标的质量：</w:t>
      </w:r>
      <w:r>
        <w:rPr>
          <w:rFonts w:hint="eastAsia" w:ascii="宋体" w:hAnsi="宋体" w:eastAsia="宋体" w:cs="宋体"/>
          <w:b/>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本项目标的质量要求沿用项目招标文件中的相关质量要求以及乙方在投标文件中做出的质量保证承诺。</w:t>
      </w:r>
      <w:r>
        <w:rPr>
          <w:rFonts w:hint="eastAsia" w:ascii="宋体" w:hAnsi="宋体" w:eastAsia="宋体" w:cs="宋体"/>
          <w:color w:val="000000"/>
          <w:sz w:val="21"/>
          <w:szCs w:val="21"/>
          <w:highlight w:val="none"/>
        </w:rPr>
      </w:r>
      <w:r/>
    </w:p>
    <w:p>
      <w:pPr>
        <w:pStyle w:val="1076"/>
        <w:ind w:firstLine="643"/>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1.3标的数量（规格）：</w:t>
      </w:r>
      <w:r>
        <w:rPr>
          <w:rFonts w:hint="eastAsia" w:ascii="宋体" w:hAnsi="宋体" w:eastAsia="宋体" w:cs="宋体"/>
          <w:b/>
          <w:color w:val="000000"/>
          <w:sz w:val="21"/>
          <w:szCs w:val="21"/>
          <w:highlight w:val="none"/>
        </w:rPr>
      </w:r>
      <w:r/>
    </w:p>
    <w:tbl>
      <w:tblPr>
        <w:tblW w:w="4862"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04"/>
        <w:gridCol w:w="728"/>
        <w:gridCol w:w="1907"/>
        <w:gridCol w:w="679"/>
        <w:gridCol w:w="4344"/>
        <w:gridCol w:w="759"/>
      </w:tblGrid>
      <w:tr>
        <w:trPr>
          <w:trHeight w:val="585"/>
          <w:tblHeader/>
        </w:trPr>
        <w:tc>
          <w:tcPr>
            <w:tcMar>
              <w:left w:w="108" w:type="dxa"/>
              <w:right w:w="108" w:type="dxa"/>
            </w:tcMar>
            <w:tcW w:w="473"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682"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rPr>
            </w:r>
            <w:r/>
          </w:p>
        </w:tc>
        <w:tc>
          <w:tcPr>
            <w:tcMar>
              <w:left w:w="108" w:type="dxa"/>
              <w:right w:w="108" w:type="dxa"/>
            </w:tcMar>
            <w:tcW w:w="1787"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参数、描述</w:t>
            </w:r>
            <w:r>
              <w:rPr>
                <w:rFonts w:hint="eastAsia" w:ascii="宋体" w:hAnsi="宋体" w:eastAsia="宋体" w:cs="宋体"/>
                <w:color w:val="000000"/>
                <w:sz w:val="21"/>
                <w:szCs w:val="21"/>
                <w:highlight w:val="none"/>
              </w:rPr>
            </w:r>
            <w:r/>
          </w:p>
        </w:tc>
        <w:tc>
          <w:tcPr>
            <w:tcMar>
              <w:left w:w="108" w:type="dxa"/>
              <w:right w:w="108" w:type="dxa"/>
            </w:tcMar>
            <w:tcW w:w="636"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rPr>
            </w:r>
            <w:r/>
          </w:p>
        </w:tc>
      </w:tr>
      <w:tr>
        <w:trPr>
          <w:trHeight w:val="394"/>
        </w:trPr>
        <w:tc>
          <w:tcPr>
            <w:tcMar>
              <w:left w:w="108" w:type="dxa"/>
              <w:right w:w="108" w:type="dxa"/>
            </w:tcMar>
            <w:tcW w:w="473"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682"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787" w:type="dxa"/>
            <w:vAlign w:val="center"/>
            <w:textDirection w:val="lrTb"/>
            <w:noWrap w:val="false"/>
          </w:tcPr>
          <w:p>
            <w:pPr>
              <w:pStyle w:val="1077"/>
              <w:jc w:val="both"/>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636"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Mar>
              <w:left w:w="108" w:type="dxa"/>
              <w:right w:w="108" w:type="dxa"/>
            </w:tcMar>
            <w:tcW w:w="473"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682"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787" w:type="dxa"/>
            <w:vAlign w:val="center"/>
            <w:textDirection w:val="lrTb"/>
            <w:noWrap w:val="false"/>
          </w:tcPr>
          <w:p>
            <w:pPr>
              <w:pStyle w:val="1077"/>
              <w:jc w:val="both"/>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636"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2"/>
        </w:trPr>
        <w:tc>
          <w:tcPr>
            <w:tcMar>
              <w:left w:w="108" w:type="dxa"/>
              <w:right w:w="108" w:type="dxa"/>
            </w:tcMar>
            <w:tcW w:w="473"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682"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787" w:type="dxa"/>
            <w:vAlign w:val="center"/>
            <w:textDirection w:val="lrTb"/>
            <w:noWrap w:val="false"/>
          </w:tcPr>
          <w:p>
            <w:pPr>
              <w:pStyle w:val="1077"/>
              <w:jc w:val="both"/>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636"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08"/>
        </w:trPr>
        <w:tc>
          <w:tcPr>
            <w:gridSpan w:val="5"/>
            <w:tcMar>
              <w:left w:w="108" w:type="dxa"/>
              <w:right w:w="108" w:type="dxa"/>
            </w:tcMar>
            <w:tcW w:w="8162"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rPr>
            </w:r>
            <w:r/>
          </w:p>
        </w:tc>
        <w:tc>
          <w:tcPr>
            <w:tcMar>
              <w:left w:w="108" w:type="dxa"/>
              <w:right w:w="108" w:type="dxa"/>
            </w:tcMar>
            <w:tcW w:w="711" w:type="dxa"/>
            <w:vAlign w:val="center"/>
            <w:textDirection w:val="lrTb"/>
            <w:noWrap w:val="false"/>
          </w:tcPr>
          <w:p>
            <w:pPr>
              <w:pStyle w:val="1077"/>
              <w:jc w:val="center"/>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vanish/>
          <w:color w:val="000000"/>
          <w:sz w:val="21"/>
          <w:szCs w:val="21"/>
          <w:highlight w:val="none"/>
        </w:rPr>
        <w:br w:type="textWrapping" w:clear="all"/>
      </w:r>
      <w:r>
        <w:rPr>
          <w:rFonts w:hint="eastAsia" w:ascii="宋体" w:hAnsi="宋体" w:eastAsia="宋体" w:cs="宋体"/>
          <w:b/>
          <w:color w:val="000000"/>
          <w:sz w:val="21"/>
          <w:szCs w:val="21"/>
          <w:highlight w:val="none"/>
        </w:rPr>
        <w:t xml:space="preserve">1.4履行时间（期限）：</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（1）本合同签订之日起</w:t>
      </w:r>
      <w:r>
        <w:rPr>
          <w:rFonts w:hint="eastAsia" w:ascii="宋体" w:hAnsi="宋体" w:eastAsia="宋体" w:cs="宋体"/>
          <w:color w:val="000000"/>
          <w:sz w:val="21"/>
          <w:szCs w:val="21"/>
          <w:highlight w:val="none"/>
          <w:u w:val="single"/>
        </w:rPr>
        <w:t xml:space="preserve">    内</w:t>
      </w:r>
      <w:r>
        <w:rPr>
          <w:rFonts w:hint="eastAsia" w:ascii="宋体" w:hAnsi="宋体" w:eastAsia="宋体" w:cs="宋体"/>
          <w:color w:val="000000"/>
          <w:sz w:val="21"/>
          <w:szCs w:val="21"/>
          <w:highlight w:val="none"/>
        </w:rPr>
        <w:t xml:space="preserve">实施交付完毕。</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（2）本合同履约过程中，因为变更设计所影响的工期或甲方责任、不可抗力等造成工期延期的，经甲、乙双方协商认可后作出履行时间调整，并通过书面形式确定新的履行时间。</w:t>
      </w:r>
      <w:r>
        <w:rPr>
          <w:rFonts w:hint="eastAsia" w:ascii="宋体" w:hAnsi="宋体" w:eastAsia="宋体" w:cs="宋体"/>
          <w:color w:val="000000"/>
          <w:sz w:val="21"/>
          <w:szCs w:val="21"/>
          <w:highlight w:val="none"/>
        </w:rPr>
      </w:r>
      <w:r/>
    </w:p>
    <w:p>
      <w:pPr>
        <w:pStyle w:val="1076"/>
        <w:ind w:firstLine="643"/>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1.5履行地点：</w:t>
      </w:r>
      <w:r>
        <w:rPr>
          <w:rFonts w:hint="eastAsia" w:ascii="宋体" w:hAnsi="宋体" w:eastAsia="宋体" w:cs="宋体"/>
          <w:b/>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南通市行政中心</w:t>
      </w:r>
      <w:r>
        <w:rPr>
          <w:rFonts w:hint="eastAsia" w:ascii="宋体" w:hAnsi="宋体" w:eastAsia="宋体" w:cs="宋体"/>
          <w:color w:val="000000"/>
          <w:sz w:val="21"/>
          <w:szCs w:val="21"/>
          <w:highlight w:val="none"/>
        </w:rPr>
      </w:r>
      <w:r/>
    </w:p>
    <w:p>
      <w:pPr>
        <w:pStyle w:val="1076"/>
        <w:ind w:firstLine="643"/>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1.6履行方式：</w:t>
      </w:r>
      <w:r>
        <w:rPr>
          <w:rFonts w:hint="eastAsia" w:ascii="宋体" w:hAnsi="宋体" w:eastAsia="宋体" w:cs="宋体"/>
          <w:b/>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乙方完成本合同第一条中涉及的</w:t>
      </w:r>
      <w:r>
        <w:rPr>
          <w:rFonts w:hint="eastAsia" w:ascii="宋体" w:hAnsi="宋体" w:eastAsia="宋体" w:cs="宋体"/>
          <w:color w:val="000000"/>
          <w:sz w:val="21"/>
          <w:szCs w:val="21"/>
          <w:highlight w:val="none"/>
          <w:u w:val="single"/>
        </w:rPr>
        <w:t xml:space="preserve">相关设备的采购、安装（系统的开发部署、测试、试运行）及使用培训</w:t>
      </w:r>
      <w:r>
        <w:rPr>
          <w:rFonts w:hint="eastAsia" w:ascii="宋体" w:hAnsi="宋体" w:eastAsia="宋体" w:cs="宋体"/>
          <w:color w:val="000000"/>
          <w:sz w:val="21"/>
          <w:szCs w:val="21"/>
          <w:highlight w:val="none"/>
        </w:rPr>
        <w:t xml:space="preserve">等全部内容。</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二、合同金额</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2.1本合同总金额为人民币（大写）：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圆整（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元），以上价格为含税价。</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2.2合同款项的支付方式及进度安排</w:t>
      </w:r>
      <w:r>
        <w:rPr>
          <w:rFonts w:hint="eastAsia" w:ascii="宋体" w:hAnsi="宋体" w:eastAsia="宋体" w:cs="宋体"/>
          <w:color w:val="000000"/>
          <w:sz w:val="21"/>
          <w:szCs w:val="21"/>
          <w:highlight w:val="none"/>
        </w:rPr>
      </w:r>
      <w:r/>
    </w:p>
    <w:p>
      <w:pPr>
        <w:pStyle w:val="733"/>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（1）本合同签订后30日内，甲方支付本合同总金额的</w:t>
      </w:r>
      <w:r>
        <w:rPr>
          <w:rFonts w:hint="eastAsia" w:ascii="宋体" w:hAnsi="宋体" w:eastAsia="宋体" w:cs="宋体"/>
          <w:color w:val="000000"/>
          <w:sz w:val="21"/>
          <w:szCs w:val="21"/>
          <w:highlight w:val="none"/>
          <w:u w:val="single"/>
        </w:rPr>
        <w:t xml:space="preserve">50%</w:t>
      </w:r>
      <w:r>
        <w:rPr>
          <w:rFonts w:hint="eastAsia" w:ascii="宋体" w:hAnsi="宋体" w:eastAsia="宋体" w:cs="宋体"/>
          <w:color w:val="000000"/>
          <w:sz w:val="21"/>
          <w:szCs w:val="21"/>
          <w:highlight w:val="none"/>
        </w:rPr>
        <w:t xml:space="preserve">，即人民币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圆整（¥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3"/>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（2）设备安装调试完成通过甲方验收后30日内，甲方支付合同金额的</w:t>
      </w:r>
      <w:r>
        <w:rPr>
          <w:rFonts w:hint="eastAsia" w:ascii="宋体" w:hAnsi="宋体" w:eastAsia="宋体" w:cs="宋体"/>
          <w:color w:val="000000"/>
          <w:sz w:val="21"/>
          <w:szCs w:val="21"/>
          <w:highlight w:val="none"/>
          <w:u w:val="single"/>
        </w:rPr>
        <w:t xml:space="preserve"> 50 </w:t>
      </w:r>
      <w:r>
        <w:rPr>
          <w:rFonts w:hint="eastAsia" w:ascii="宋体" w:hAnsi="宋体" w:eastAsia="宋体" w:cs="宋体"/>
          <w:color w:val="000000"/>
          <w:sz w:val="21"/>
          <w:szCs w:val="21"/>
          <w:highlight w:val="none"/>
        </w:rPr>
        <w:t xml:space="preserve">%，即人民币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圆整（¥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3"/>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每笔款项支付前，乙方应向甲方提供以甲方单位为抬头的相应金额的增值税普通发票或专用发票，否则甲方有权拒绝支付相应款项且不承担逾期付款违约责任。</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三、技术资料</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3.1乙方在申请甲方验收前应当向甲方提供服务（包含与服务相关的货物）的所有有关技术资料。</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四、知识产权</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乙方应保证甲方在使用、接受本合同服务（包含与服务相关的货物）或其任何一部分时不受第三方提出侵犯其专利权、版权、商标权或工业设计权等知识产权的起诉。一旦出现侵权，由乙方负全部责任。</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五、产权担保</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5.1乙方保证对所交付的服务（包含与服务相关的货物）享有完整的权利，无任何抵押、查封等产权瑕疵，乙方保证甲方使用时无任何权利上的障碍。</w:t>
      </w:r>
      <w:r>
        <w:rPr>
          <w:rFonts w:hint="eastAsia" w:ascii="宋体" w:hAnsi="宋体" w:eastAsia="宋体" w:cs="宋体"/>
          <w:color w:val="000000"/>
          <w:sz w:val="21"/>
          <w:szCs w:val="21"/>
          <w:highlight w:val="none"/>
          <w:u w:val="singl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六、合同转包或分包</w:t>
      </w:r>
      <w:r>
        <w:rPr>
          <w:rFonts w:hint="eastAsia" w:ascii="宋体" w:hAnsi="宋体" w:eastAsia="宋体" w:cs="宋体"/>
          <w:color w:val="000000"/>
          <w:sz w:val="21"/>
          <w:szCs w:val="21"/>
          <w:highlight w:val="none"/>
        </w:rPr>
      </w:r>
      <w:r/>
    </w:p>
    <w:p>
      <w:pPr>
        <w:pStyle w:val="733"/>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6.1乙方不得将合同标的转包给他人履行。</w:t>
      </w:r>
      <w:r>
        <w:rPr>
          <w:rFonts w:hint="eastAsia" w:ascii="宋体" w:hAnsi="宋体" w:eastAsia="宋体" w:cs="宋体"/>
          <w:color w:val="000000"/>
          <w:sz w:val="21"/>
          <w:szCs w:val="21"/>
          <w:highlight w:val="none"/>
        </w:rPr>
      </w:r>
      <w:r/>
    </w:p>
    <w:p>
      <w:pPr>
        <w:pStyle w:val="733"/>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6.2乙方</w:t>
      </w:r>
      <w:r>
        <w:rPr>
          <w:rFonts w:hint="eastAsia" w:ascii="宋体" w:hAnsi="宋体" w:eastAsia="宋体" w:cs="宋体"/>
          <w:color w:val="000000"/>
          <w:sz w:val="21"/>
          <w:szCs w:val="21"/>
          <w:highlight w:val="none"/>
          <w:u w:val="single"/>
        </w:rPr>
        <w:t xml:space="preserve">允许/不得</w:t>
      </w:r>
      <w:r>
        <w:rPr>
          <w:rFonts w:hint="eastAsia" w:ascii="宋体" w:hAnsi="宋体" w:eastAsia="宋体" w:cs="宋体"/>
          <w:color w:val="000000"/>
          <w:sz w:val="21"/>
          <w:szCs w:val="21"/>
          <w:highlight w:val="none"/>
        </w:rPr>
        <w:t xml:space="preserve">将合同标的分包给他人履行。</w:t>
      </w:r>
      <w:r>
        <w:rPr>
          <w:rFonts w:hint="eastAsia" w:ascii="宋体" w:hAnsi="宋体" w:eastAsia="宋体" w:cs="宋体"/>
          <w:color w:val="000000"/>
          <w:sz w:val="21"/>
          <w:szCs w:val="21"/>
          <w:highlight w:val="none"/>
        </w:rPr>
      </w:r>
      <w:r/>
    </w:p>
    <w:p>
      <w:pPr>
        <w:pStyle w:val="733"/>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乙方如有未经甲方同意的转包或分包行为，甲方有权解除本合同，并要求乙方赔偿相应的损失，包括但不限于甲方因此遭受的直接损失、间接损失、诉讼费、保全费、鉴定审计费、保全担保（保险）费、律师费、交通费等费用。</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七、项目验收</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7.1甲方按照市级政府采购政策组织履约验收工作。</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7.2如有必要，甲方邀请参加本项目的其他供应商或第三方专业机构及专家参与验收，相关意见将作为验收报告的参考资料。</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7.3验收合格的项目,甲方根据采购合同的约定及时向乙方支付合同款项。验收不合格的项目，对照本合同违约条款处理。 </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八、违约责任</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8.1乙方逾期提供服务的，乙方应按本合同总额</w:t>
      </w:r>
      <w:r>
        <w:rPr>
          <w:rFonts w:hint="eastAsia" w:ascii="宋体" w:hAnsi="宋体" w:eastAsia="宋体" w:cs="宋体"/>
          <w:color w:val="000000"/>
          <w:sz w:val="21"/>
          <w:szCs w:val="21"/>
          <w:highlight w:val="none"/>
          <w:u w:val="single"/>
        </w:rPr>
        <w:t xml:space="preserve">每日千分之六</w:t>
      </w:r>
      <w:r>
        <w:rPr>
          <w:rFonts w:hint="eastAsia" w:ascii="宋体" w:hAnsi="宋体" w:eastAsia="宋体" w:cs="宋体"/>
          <w:color w:val="000000"/>
          <w:sz w:val="21"/>
          <w:szCs w:val="21"/>
          <w:highlight w:val="none"/>
        </w:rPr>
        <w:t xml:space="preserve">向甲方支付违约金，由甲方首先从待付合同款项中扣除，待付款金额不足的，由乙方支付差额。乙方逾期提供服务或存在其他严重违约行为的，甲方有权单方面解除本合同，乙方应向甲方支付本合同价款总额</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rPr>
        <w:t xml:space="preserve">的违约金，如造成甲方损失超过违约金的，超出部分由乙方继续承担赔偿责任，乙方赔偿损失的范围包括但不限于甲方因此遭受的直接损失、间接损失、诉讼费、保全费、鉴定审计费、保全担保（保险）费、律师费、交通费等费用。</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乙方所提供服务的标准不符合合同规定及招标文件规定标准的，甲方有权拒绝接受服务，并可单方面解除本合同，甲方有权同时要求乙方赔偿相应的损失，包括但不限于甲方因此遭受的直接损失、间接损失、诉讼费、保全费、鉴定审计费、保全担保（保险）费、律师费、交通费等费用。</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九、不可抗力事件处理</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9.1在本合同有效期内（本项目通过验收之日起算</w:t>
      </w:r>
      <w:bookmarkStart w:id="133" w:name="_Hlk152080728"/>
      <w:r>
        <w:rPr>
          <w:rFonts w:hint="eastAsia" w:ascii="宋体" w:hAnsi="宋体" w:eastAsia="宋体" w:cs="宋体"/>
          <w:color w:val="000000"/>
          <w:sz w:val="21"/>
          <w:szCs w:val="21"/>
          <w:highlight w:val="none"/>
        </w:rPr>
        <w:t xml:space="preserve">免费维护期</w:t>
      </w:r>
      <w:bookmarkEnd w:id="133"/>
      <w:r>
        <w:rPr>
          <w:rFonts w:hint="eastAsia" w:ascii="宋体" w:hAnsi="宋体" w:eastAsia="宋体" w:cs="宋体"/>
          <w:color w:val="000000"/>
          <w:sz w:val="21"/>
          <w:szCs w:val="21"/>
          <w:highlight w:val="none"/>
        </w:rPr>
        <w:t xml:space="preserve">，免费维护期为</w:t>
      </w:r>
      <w:r>
        <w:rPr>
          <w:rFonts w:hint="eastAsia" w:ascii="宋体" w:hAnsi="宋体" w:eastAsia="宋体" w:cs="宋体"/>
          <w:color w:val="000000"/>
          <w:sz w:val="21"/>
          <w:szCs w:val="21"/>
          <w:highlight w:val="none"/>
          <w:u w:val="single"/>
        </w:rPr>
        <w:t xml:space="preserve">  年</w:t>
      </w:r>
      <w:r>
        <w:rPr>
          <w:rFonts w:hint="eastAsia" w:ascii="宋体" w:hAnsi="宋体" w:eastAsia="宋体" w:cs="宋体"/>
          <w:color w:val="000000"/>
          <w:sz w:val="21"/>
          <w:szCs w:val="21"/>
          <w:highlight w:val="none"/>
        </w:rPr>
        <w:t xml:space="preserve">，免费维护期也在本合同有效期内），任何一方因不可抗力事件导致不能履行合同，则合同履行期可相应延长，其延长期与不可抗力影响期相同。</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9.2不可抗力事件发生后，应立即通知对方，并寄送有关权威机构出具的证明。</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9.3不可抗力事件延续120天以上，双方应通过友好协商，确定是否继续履行合同。</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十、解决争议的方法</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双方在签订、履行合同中所发生的一切争议，应通过友好协商解决。如协商不成，由甲方住所地（南通市崇川区）有管辖权的人民法院管辖。</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十一、合同生效及其它</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11.1本合同经双方法定代表人或授权代表人签字并加盖单位公章后生效。</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11.2本合同未尽事宜，由双方协商解决，并形成书面的补充协议，遵照中华人民共和国现行法律法规有关条文执行 。</w:t>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本合同正本一式四份，具有同等法律效力，甲、乙方各执两份。</w:t>
      </w:r>
      <w:r>
        <w:rPr>
          <w:rFonts w:hint="eastAsia" w:ascii="宋体" w:hAnsi="宋体" w:eastAsia="宋体" w:cs="宋体"/>
          <w:vanish/>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9279"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4"/>
        <w:gridCol w:w="1979"/>
        <w:gridCol w:w="2662"/>
      </w:tblGrid>
      <w:tr>
        <w:trPr>
          <w:trHeight w:val="635"/>
        </w:trPr>
        <w:tc>
          <w:tcPr>
            <w:tcW w:w="2014" w:type="dxa"/>
            <w:vAlign w:val="center"/>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w:t>
            </w:r>
            <w:r>
              <w:rPr>
                <w:rFonts w:hint="eastAsia" w:ascii="宋体" w:hAnsi="宋体" w:eastAsia="宋体" w:cs="宋体"/>
                <w:color w:val="000000"/>
                <w:sz w:val="21"/>
                <w:szCs w:val="21"/>
                <w:highlight w:val="none"/>
              </w:rPr>
            </w:r>
            <w:r/>
          </w:p>
        </w:tc>
        <w:tc>
          <w:tcPr>
            <w:tcW w:w="2624" w:type="dxa"/>
            <w:vAlign w:val="center"/>
            <w:textDirection w:val="lrTb"/>
            <w:noWrap w:val="false"/>
          </w:tcPr>
          <w:p>
            <w:pPr>
              <w:pStyle w:val="10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南通市大数据管理中心</w:t>
            </w:r>
            <w:r>
              <w:rPr>
                <w:rFonts w:hint="eastAsia" w:ascii="宋体" w:hAnsi="宋体" w:eastAsia="宋体" w:cs="宋体"/>
                <w:color w:val="000000"/>
                <w:sz w:val="21"/>
                <w:szCs w:val="21"/>
                <w:highlight w:val="none"/>
              </w:rPr>
            </w:r>
            <w:r/>
          </w:p>
        </w:tc>
        <w:tc>
          <w:tcPr>
            <w:tcW w:w="1979" w:type="dxa"/>
            <w:vAlign w:val="center"/>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乙方（盖章）：</w:t>
            </w:r>
            <w:r>
              <w:rPr>
                <w:rFonts w:hint="eastAsia" w:ascii="宋体" w:hAnsi="宋体" w:eastAsia="宋体" w:cs="宋体"/>
                <w:color w:val="000000"/>
                <w:sz w:val="21"/>
                <w:szCs w:val="21"/>
                <w:highlight w:val="none"/>
              </w:rPr>
            </w:r>
            <w:r/>
          </w:p>
        </w:tc>
        <w:tc>
          <w:tcPr>
            <w:tcW w:w="2662" w:type="dxa"/>
            <w:vAlign w:val="center"/>
            <w:textDirection w:val="lrTb"/>
            <w:noWrap w:val="false"/>
          </w:tcPr>
          <w:p>
            <w:pPr>
              <w:pStyle w:val="10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trPr>
        <w:tc>
          <w:tcPr>
            <w:tcW w:w="2014" w:type="dxa"/>
            <w:vAlign w:val="center"/>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rPr>
            </w:r>
            <w:r/>
          </w:p>
        </w:tc>
        <w:tc>
          <w:tcPr>
            <w:tcW w:w="2624" w:type="dxa"/>
            <w:vAlign w:val="center"/>
            <w:textDirection w:val="lrTb"/>
            <w:noWrap w:val="false"/>
          </w:tcPr>
          <w:p>
            <w:pPr>
              <w:pStyle w:val="10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9" w:type="dxa"/>
            <w:vAlign w:val="center"/>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rPr>
            </w:r>
            <w:r/>
          </w:p>
        </w:tc>
        <w:tc>
          <w:tcPr>
            <w:tcW w:w="2662" w:type="dxa"/>
            <w:vAlign w:val="center"/>
            <w:textDirection w:val="lrTb"/>
            <w:noWrap w:val="false"/>
          </w:tcPr>
          <w:p>
            <w:pPr>
              <w:pStyle w:val="10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5"/>
        </w:trPr>
        <w:tc>
          <w:tcPr>
            <w:tcW w:w="2014" w:type="dxa"/>
            <w:vAlign w:val="center"/>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tcW w:w="2624" w:type="dxa"/>
            <w:vAlign w:val="center"/>
            <w:textDirection w:val="lrTb"/>
            <w:noWrap w:val="false"/>
          </w:tcPr>
          <w:p>
            <w:pPr>
              <w:pStyle w:val="10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tc>
        <w:tc>
          <w:tcPr>
            <w:tcW w:w="1979" w:type="dxa"/>
            <w:vAlign w:val="center"/>
            <w:textDirection w:val="lrTb"/>
            <w:noWrap w:val="false"/>
          </w:tcPr>
          <w:p>
            <w:pPr>
              <w:pStyle w:val="107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tcW w:w="2662" w:type="dxa"/>
            <w:vAlign w:val="center"/>
            <w:textDirection w:val="lrTb"/>
            <w:noWrap w:val="false"/>
          </w:tcPr>
          <w:p>
            <w:pPr>
              <w:pStyle w:val="107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tc>
      </w:tr>
    </w:tbl>
    <w:p>
      <w:pPr>
        <w:pStyle w:val="1076"/>
        <w:ind w:firstLine="64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1075"/>
        <w:pageBreakBefore w:val="0"/>
        <w:spacing w:before="156" w:line="36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第二节 政府采购合同通用条款</w:t>
      </w:r>
      <w:r>
        <w:rPr>
          <w:rFonts w:hint="eastAsia" w:ascii="宋体" w:hAnsi="宋体" w:eastAsia="宋体" w:cs="宋体"/>
          <w:color w:val="000000"/>
          <w:sz w:val="21"/>
          <w:szCs w:val="21"/>
          <w:highlight w:val="none"/>
        </w:rPr>
      </w:r>
      <w:r/>
    </w:p>
    <w:p>
      <w:pPr>
        <w:pStyle w:val="733"/>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1. </w:t>
      </w:r>
      <w:r>
        <w:rPr>
          <w:rFonts w:hint="eastAsia" w:ascii="宋体" w:hAnsi="宋体" w:eastAsia="宋体" w:cs="宋体"/>
          <w:b/>
          <w:bCs/>
          <w:color w:val="000000"/>
          <w:sz w:val="21"/>
          <w:szCs w:val="21"/>
          <w:highlight w:val="none"/>
        </w:rPr>
        <w:t xml:space="preserve">定义</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1.1合同当事人</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（3）其他合同主体是指除采购人和供应商以外，</w:t>
      </w:r>
      <w:r>
        <w:rPr>
          <w:rFonts w:hint="eastAsia" w:ascii="宋体" w:hAnsi="宋体" w:eastAsia="宋体" w:cs="宋体"/>
          <w:bCs/>
          <w:color w:val="000000"/>
          <w:sz w:val="21"/>
          <w:szCs w:val="21"/>
          <w:highlight w:val="none"/>
        </w:rPr>
        <w:t xml:space="preserve">依法参与合同缔结或履行，享有权利、承担义务的合同当事人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3"/>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1.2本合同下列术语应解释为：</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（1）“合同”系指</w:t>
      </w:r>
      <w:r>
        <w:rPr>
          <w:rFonts w:hint="eastAsia" w:ascii="宋体" w:hAnsi="宋体" w:eastAsia="宋体" w:cs="宋体"/>
          <w:bCs/>
          <w:color w:val="000000"/>
          <w:sz w:val="21"/>
          <w:szCs w:val="21"/>
          <w:highlight w:val="none"/>
        </w:rPr>
        <w:t xml:space="preserve">合同当事人意思表示达成一致的任何协议，包括签署的</w:t>
      </w:r>
      <w:r>
        <w:rPr>
          <w:rFonts w:hint="eastAsia" w:ascii="宋体" w:hAnsi="宋体" w:eastAsia="宋体" w:cs="宋体"/>
          <w:color w:val="000000"/>
          <w:sz w:val="21"/>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eastAsia="宋体" w:cs="宋体"/>
          <w:color w:val="000000"/>
          <w:sz w:val="21"/>
          <w:szCs w:val="21"/>
          <w:highlight w:val="none"/>
        </w:rPr>
      </w:r>
      <w:r/>
    </w:p>
    <w:p>
      <w:pPr>
        <w:pStyle w:val="733"/>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（2）“合同价款”系指根据本合同规定乙方在全面履行合同义务后甲方应支付给乙方的价款。</w:t>
      </w:r>
      <w:r>
        <w:rPr>
          <w:rFonts w:hint="eastAsia" w:ascii="宋体" w:hAnsi="宋体" w:eastAsia="宋体" w:cs="宋体"/>
          <w:color w:val="000000"/>
          <w:sz w:val="21"/>
          <w:szCs w:val="21"/>
          <w:highlight w:val="none"/>
        </w:rPr>
      </w:r>
      <w:r/>
    </w:p>
    <w:p>
      <w:pPr>
        <w:pStyle w:val="733"/>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技术资料和材料等。</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（4）“相关服务”系指根据合同规定，乙方应提供的与货物有关的技术、管理和</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义务。</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none"/>
        </w:rPr>
      </w:r>
      <w:r/>
    </w:p>
    <w:p>
      <w:pPr>
        <w:pStyle w:val="733"/>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3"/>
        <w:ind w:firstLine="420"/>
        <w:jc w:val="left"/>
        <w:pageBreakBefore w:val="0"/>
        <w:spacing w:line="360" w:lineRule="auto"/>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（7）其他术语解释，见【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3"/>
        <w:numPr>
          <w:ilvl w:val="0"/>
          <w:numId w:val="5"/>
        </w:numPr>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合同标的及金额</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b/>
          <w:bCs/>
          <w:i/>
          <w:iCs/>
          <w:color w:val="000000"/>
          <w:sz w:val="21"/>
          <w:szCs w:val="21"/>
          <w:highlight w:val="none"/>
        </w:rPr>
      </w:pPr>
      <w:r>
        <w:rPr>
          <w:rFonts w:hint="eastAsia" w:ascii="宋体" w:hAnsi="宋体" w:eastAsia="宋体" w:cs="宋体"/>
          <w:color w:val="000000"/>
          <w:sz w:val="21"/>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任何费用。</w:t>
      </w:r>
      <w:r>
        <w:rPr>
          <w:rFonts w:hint="eastAsia" w:ascii="宋体" w:hAnsi="宋体" w:eastAsia="宋体" w:cs="宋体"/>
          <w:b/>
          <w:bCs/>
          <w:i/>
          <w:iCs/>
          <w:color w:val="000000"/>
          <w:sz w:val="21"/>
          <w:szCs w:val="21"/>
          <w:highlight w:val="none"/>
        </w:rPr>
      </w:r>
      <w:r/>
    </w:p>
    <w:p>
      <w:pPr>
        <w:pStyle w:val="733"/>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 履行合同的时间、地点和方式</w:t>
      </w:r>
      <w:r>
        <w:rPr>
          <w:rFonts w:hint="eastAsia" w:ascii="宋体" w:hAnsi="宋体" w:eastAsia="宋体" w:cs="宋体"/>
          <w:b/>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乙方应当在约定的时间、地点，按照约定方式履行合同。</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 甲方的权利和义务</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甲方有权要求乙方对缺陷部分予以修复，并按合同约定享有货物保修及其他合同约定的权利。</w:t>
      </w:r>
      <w:r>
        <w:rPr>
          <w:rFonts w:hint="eastAsia" w:ascii="宋体" w:hAnsi="宋体" w:eastAsia="宋体" w:cs="宋体"/>
          <w:color w:val="000000"/>
          <w:sz w:val="21"/>
          <w:szCs w:val="21"/>
          <w:highlight w:val="none"/>
        </w:rPr>
      </w:r>
      <w:r/>
    </w:p>
    <w:p>
      <w:pPr>
        <w:pStyle w:val="733"/>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甲方应当按照合同约定及时对交付的货物进行验收，未在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约定的期限内对乙方履约提出任何异议或者向乙方作出任何说明的，视为验收通过。</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 国家法律法规规定及</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约定应由甲方承担的其他义务和责任。</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 乙方的权利和义务</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签署合同后，乙方应确定项目负责人（或项目联系人），负责与本合同有关的事务。</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5.3乙方有权根据合同约定向甲方收取合同价款。</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5.4国家法律法规规定及</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约定应由乙方承担的其他义务和责任。</w:t>
      </w:r>
      <w:r>
        <w:rPr>
          <w:rFonts w:hint="eastAsia" w:ascii="宋体" w:hAnsi="宋体" w:eastAsia="宋体" w:cs="宋体"/>
          <w:color w:val="000000"/>
          <w:sz w:val="21"/>
          <w:szCs w:val="21"/>
          <w:highlight w:val="none"/>
        </w:rPr>
      </w:r>
      <w:r/>
    </w:p>
    <w:p>
      <w:pPr>
        <w:pStyle w:val="733"/>
        <w:numPr>
          <w:ilvl w:val="0"/>
          <w:numId w:val="6"/>
        </w:numPr>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合同履行</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甲乙双方应当按照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约定顺序履行合同义务；如果没有先后顺序的，应当同时履行。</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 货物包装、运输、保险和交付要求</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本合同</w:t>
      </w:r>
      <w:r>
        <w:rPr>
          <w:rFonts w:hint="eastAsia" w:ascii="宋体" w:hAnsi="宋体" w:eastAsia="宋体" w:cs="宋体"/>
          <w:bCs/>
          <w:color w:val="000000"/>
          <w:sz w:val="21"/>
          <w:szCs w:val="21"/>
          <w:highlight w:val="none"/>
        </w:rPr>
        <w:t xml:space="preserve">涉及商品包装、快递包装的，</w:t>
      </w:r>
      <w:r>
        <w:rPr>
          <w:rFonts w:hint="eastAsia" w:ascii="宋体" w:hAnsi="宋体" w:eastAsia="宋体" w:cs="宋体"/>
          <w:color w:val="000000"/>
          <w:sz w:val="21"/>
          <w:szCs w:val="21"/>
          <w:highlight w:val="none"/>
        </w:rPr>
        <w:t xml:space="preserve">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另有约定外，</w:t>
      </w:r>
      <w:r>
        <w:rPr>
          <w:rFonts w:hint="eastAsia" w:ascii="宋体" w:hAnsi="宋体" w:eastAsia="宋体" w:cs="宋体"/>
          <w:color w:val="000000"/>
          <w:sz w:val="21"/>
          <w:szCs w:val="21"/>
          <w:highlight w:val="none"/>
        </w:rPr>
        <w:t xml:space="preserve">包装应适应远距离运输、防潮、防震、防锈和防野蛮装卸等要求，确保货物安全无损地运抵</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约定的</w:t>
      </w:r>
      <w:r>
        <w:rPr>
          <w:rFonts w:hint="eastAsia" w:ascii="宋体" w:hAnsi="宋体" w:eastAsia="宋体" w:cs="宋体"/>
          <w:color w:val="000000"/>
          <w:sz w:val="21"/>
          <w:szCs w:val="21"/>
          <w:highlight w:val="none"/>
        </w:rPr>
        <w:t xml:space="preserve">指定现场。</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另有约定外，</w:t>
      </w:r>
      <w:r>
        <w:rPr>
          <w:rFonts w:hint="eastAsia" w:ascii="宋体" w:hAnsi="宋体" w:eastAsia="宋体" w:cs="宋体"/>
          <w:color w:val="000000"/>
          <w:sz w:val="21"/>
          <w:szCs w:val="21"/>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货物保险要求按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highlight w:val="none"/>
        </w:rPr>
      </w:r>
      <w:r/>
    </w:p>
    <w:p>
      <w:pPr>
        <w:pStyle w:val="1078"/>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8. 质量标准和保证</w:t>
      </w:r>
      <w:r>
        <w:rPr>
          <w:rFonts w:hint="eastAsia" w:ascii="宋体" w:hAnsi="宋体" w:eastAsia="宋体" w:cs="宋体"/>
          <w:b/>
          <w:color w:val="000000"/>
          <w:sz w:val="21"/>
          <w:szCs w:val="21"/>
          <w:highlight w:val="none"/>
        </w:rPr>
      </w:r>
      <w:r/>
    </w:p>
    <w:p>
      <w:pPr>
        <w:pStyle w:val="1076"/>
        <w:ind w:firstLine="42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8.1 质量标准</w:t>
      </w:r>
      <w:r>
        <w:rPr>
          <w:rFonts w:hint="eastAsia" w:ascii="宋体" w:hAnsi="宋体" w:eastAsia="宋体" w:cs="宋体"/>
          <w:b/>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1"/>
          <w:szCs w:val="21"/>
          <w:highlight w:val="none"/>
        </w:rPr>
      </w:r>
      <w:r/>
    </w:p>
    <w:p>
      <w:pPr>
        <w:pStyle w:val="107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（2）采用中华人民共和国法定计量单位。</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（3）乙方所提供的货物应符合国家有关安全、环保、卫生的规定。</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保证</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规定或乙方书面承诺（两者以较长的为准）的质量保证期内，本保证保持有效。</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（2）在质量保证期内所发现的缺陷，甲方应尽快以书面形式通知乙方。</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（3）乙方收到通知后，应在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规定的响应时间内以合理的速度免费维修或更换有缺陷的货物或部件。</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9. 权利瑕疵担保</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乙方保证对其出售的货物享有合法的权利。</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乙方保证在交付的货物上不存在抵押权等担保物权。</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 如甲方使用上述货物构成对第三人侵权的，则由乙方承担全部责任。</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 知识产权保护</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 保密义务</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中约定。</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 合同价款支付</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合同价款支付按照国库集中支付制度及财政管理相关规定执行。</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】中约定。</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13. 履约保证金</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乙方应当以支票、汇票、本票或者金融机构、担保机构出具的保函等非现金形式提交。</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如果乙方出现</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 w:val="21"/>
          <w:szCs w:val="21"/>
          <w:highlight w:val="none"/>
        </w:rPr>
      </w:r>
      <w:r/>
    </w:p>
    <w:p>
      <w:pPr>
        <w:pStyle w:val="733"/>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甲方在项目通过验收后按照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规定支付。</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14. </w:t>
      </w:r>
      <w:r>
        <w:rPr>
          <w:rFonts w:hint="eastAsia" w:ascii="宋体" w:hAnsi="宋体" w:eastAsia="宋体" w:cs="宋体"/>
          <w:b/>
          <w:color w:val="000000"/>
          <w:sz w:val="21"/>
          <w:szCs w:val="21"/>
          <w:highlight w:val="none"/>
        </w:rPr>
        <w:t xml:space="preserve">售后服务</w:t>
      </w:r>
      <w:r>
        <w:rPr>
          <w:rFonts w:hint="eastAsia" w:ascii="宋体" w:hAnsi="宋体" w:eastAsia="宋体" w:cs="宋体"/>
          <w:b/>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除项目不涉及或采购活动中明确约定无须承担外，乙方还应提供下列服务：</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（1）货物的现场移动、安装、调试、启动监督及技术支持；</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（2）提供货物组装和维修所需的专用工具和辅助材料；</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（4）在制造商所在地或指定现场就货物的安装、启动、运营、维护、废弃处置等对甲方操作人员进行培训；</w:t>
      </w:r>
      <w:r>
        <w:rPr>
          <w:rFonts w:hint="eastAsia" w:ascii="宋体" w:hAnsi="宋体" w:eastAsia="宋体" w:cs="宋体"/>
          <w:color w:val="000000"/>
          <w:sz w:val="21"/>
          <w:szCs w:val="21"/>
          <w:highlight w:val="none"/>
        </w:rPr>
      </w:r>
      <w:r/>
    </w:p>
    <w:p>
      <w:pPr>
        <w:pStyle w:val="1078"/>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（5）依照法律、行政法规的规定或者按照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规定由乙方提供的其他服务。</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乙方提供的售后服务的费用已包含在合同价款中，甲方不再另行支付。</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 违约责任</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15.1质量瑕疵的违约责任</w:t>
      </w:r>
      <w:r>
        <w:rPr>
          <w:rFonts w:hint="eastAsia" w:ascii="宋体" w:hAnsi="宋体" w:eastAsia="宋体" w:cs="宋体"/>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乙方提供的产品不符合合同约定的质量标准或存在产品质量缺陷，甲方有权要求乙方根据</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要求</w:t>
      </w:r>
      <w:r>
        <w:rPr>
          <w:rFonts w:hint="eastAsia" w:ascii="宋体" w:hAnsi="宋体" w:eastAsia="宋体" w:cs="宋体"/>
          <w:color w:val="000000"/>
          <w:sz w:val="21"/>
          <w:szCs w:val="21"/>
          <w:highlight w:val="none"/>
        </w:rPr>
        <w:t xml:space="preserve">及时修理、重作、更换，并承担由此给甲方造成的损失。</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15.2 迟延交货的违约责任</w:t>
      </w:r>
      <w:r>
        <w:rPr>
          <w:rFonts w:hint="eastAsia" w:ascii="宋体" w:hAnsi="宋体" w:eastAsia="宋体" w:cs="宋体"/>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规定执行。如果涉及公共利益，且赔偿金额无法弥补公共利益损失，甲方可要求继续履行或者采取其他补救措施。</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迟延支付的违约责任</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甲方存在迟延支付乙方合同款项的，应当承担</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规定的逾期付款利息。</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15.4其他违约责任根据项目实际需要按</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rPr>
      </w:r>
      <w:r/>
    </w:p>
    <w:p>
      <w:pPr>
        <w:pStyle w:val="733"/>
        <w:numPr>
          <w:ilvl w:val="0"/>
          <w:numId w:val="7"/>
        </w:numPr>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合同变更、中止与终止</w:t>
      </w:r>
      <w:r>
        <w:rPr>
          <w:rFonts w:hint="eastAsia" w:ascii="宋体" w:hAnsi="宋体" w:eastAsia="宋体" w:cs="宋体"/>
          <w:b/>
          <w:color w:val="000000"/>
          <w:sz w:val="21"/>
          <w:szCs w:val="21"/>
          <w:highlight w:val="none"/>
        </w:rPr>
      </w:r>
      <w:r/>
    </w:p>
    <w:p>
      <w:pPr>
        <w:pStyle w:val="733"/>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16.1合同的变更</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16.2合同的中止</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1"/>
          <w:szCs w:val="21"/>
          <w:highlight w:val="none"/>
        </w:rPr>
      </w:r>
      <w:r/>
    </w:p>
    <w:p>
      <w:pPr>
        <w:pStyle w:val="1078"/>
        <w:ind w:firstLine="42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（4）甲方不得以行政区划调整、政府换届、机构或者职能调整以及相关责任人更替为由中止合同。</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16.3合同的终止</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（1）合同因有效期限届满而终止；</w:t>
      </w:r>
      <w:r>
        <w:rPr>
          <w:rFonts w:hint="eastAsia" w:ascii="宋体" w:hAnsi="宋体" w:eastAsia="宋体" w:cs="宋体"/>
          <w:color w:val="000000"/>
          <w:sz w:val="21"/>
          <w:szCs w:val="21"/>
          <w:highlight w:val="none"/>
        </w:rPr>
      </w:r>
      <w:r/>
    </w:p>
    <w:p>
      <w:pPr>
        <w:pStyle w:val="733"/>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（2）乙方未按合同约定履行，构成根本性违约的，甲方有权终止合同，并追究乙方的违约责任。</w:t>
      </w:r>
      <w:r>
        <w:rPr>
          <w:rFonts w:hint="eastAsia" w:ascii="宋体" w:hAnsi="宋体" w:eastAsia="宋体" w:cs="宋体"/>
          <w:color w:val="000000"/>
          <w:sz w:val="21"/>
          <w:szCs w:val="21"/>
          <w:highlight w:val="none"/>
        </w:rPr>
      </w:r>
      <w:r/>
    </w:p>
    <w:p>
      <w:pPr>
        <w:pStyle w:val="1078"/>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涉及国家利益、社会公共利益的情形</w:t>
      </w:r>
      <w:r>
        <w:rPr>
          <w:rFonts w:hint="eastAsia" w:ascii="宋体" w:hAnsi="宋体" w:eastAsia="宋体" w:cs="宋体"/>
          <w:color w:val="000000"/>
          <w:sz w:val="21"/>
          <w:szCs w:val="21"/>
          <w:highlight w:val="none"/>
        </w:rPr>
      </w:r>
      <w:r/>
    </w:p>
    <w:p>
      <w:pPr>
        <w:pStyle w:val="1078"/>
        <w:ind w:firstLine="42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17. 合同分包</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乙方不得将合同转包给其他供应商。涉及合同分包的，乙方应根据采购文件和投标（响应）文件规定进行合同分包。</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18. 不可抗力</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 不可抗力是指合同双方不能预见、不能避免且不能克服的客观情况。</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19. 解决争议的方法</w:t>
      </w:r>
      <w:r>
        <w:rPr>
          <w:rFonts w:hint="eastAsia" w:ascii="宋体" w:hAnsi="宋体" w:eastAsia="宋体" w:cs="宋体"/>
          <w:b/>
          <w:bCs/>
          <w:color w:val="000000"/>
          <w:sz w:val="21"/>
          <w:szCs w:val="21"/>
          <w:highlight w:val="none"/>
        </w:rPr>
      </w:r>
      <w:r/>
    </w:p>
    <w:p>
      <w:pPr>
        <w:pStyle w:val="1078"/>
        <w:ind w:firstLine="42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szCs w:val="21"/>
          <w:highlight w:val="none"/>
        </w:rPr>
      </w:r>
      <w:r/>
    </w:p>
    <w:p>
      <w:pPr>
        <w:pStyle w:val="1078"/>
        <w:ind w:firstLine="42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szCs w:val="21"/>
          <w:highlight w:val="none"/>
        </w:rPr>
      </w:r>
      <w:r/>
    </w:p>
    <w:p>
      <w:pPr>
        <w:pStyle w:val="1078"/>
        <w:ind w:firstLine="42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 政府采购政策</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 </w:t>
      </w:r>
      <w:r>
        <w:rPr>
          <w:rFonts w:hint="eastAsia" w:ascii="宋体" w:hAnsi="宋体" w:eastAsia="宋体" w:cs="宋体"/>
          <w:color w:val="000000"/>
          <w:sz w:val="21"/>
          <w:szCs w:val="21"/>
          <w:highlight w:val="none"/>
          <w:lang w:val="en-GB"/>
        </w:rPr>
        <w:t xml:space="preserve">本合同应当按照规定执行政府采购政策。</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 本合同依法执行政府采购政策的方式和内容，属于合同履约验收的范围。甲乙双方</w:t>
      </w:r>
      <w:r>
        <w:rPr>
          <w:rFonts w:hint="eastAsia" w:ascii="宋体" w:hAnsi="宋体" w:eastAsia="宋体" w:cs="宋体"/>
          <w:color w:val="000000"/>
          <w:sz w:val="21"/>
          <w:szCs w:val="21"/>
          <w:highlight w:val="none"/>
          <w:lang w:val="en-GB"/>
        </w:rPr>
        <w:t xml:space="preserve">未按规定要求执行政府采购政策造成损失的</w:t>
      </w:r>
      <w:r>
        <w:rPr>
          <w:rFonts w:hint="eastAsia" w:ascii="宋体" w:hAnsi="宋体" w:eastAsia="宋体" w:cs="宋体"/>
          <w:color w:val="000000"/>
          <w:sz w:val="21"/>
          <w:szCs w:val="21"/>
          <w:highlight w:val="none"/>
        </w:rPr>
        <w:t xml:space="preserve">，有过错的一方应当承担赔偿责任，双方都有过错的，各自承担相应的责任。</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21. 法律适用</w:t>
      </w:r>
      <w:r>
        <w:rPr>
          <w:rFonts w:hint="eastAsia" w:ascii="宋体" w:hAnsi="宋体" w:eastAsia="宋体" w:cs="宋体"/>
          <w:b/>
          <w:color w:val="000000"/>
          <w:sz w:val="21"/>
          <w:szCs w:val="21"/>
          <w:highlight w:val="none"/>
        </w:rPr>
      </w:r>
      <w:r/>
    </w:p>
    <w:p>
      <w:pPr>
        <w:pStyle w:val="1078"/>
        <w:ind w:firstLine="42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 本合同的订立、生效、解释、履行及与本合同有关的争议解决，均适用法律、行政法规。</w:t>
      </w:r>
      <w:r>
        <w:rPr>
          <w:rFonts w:hint="eastAsia" w:ascii="宋体" w:hAnsi="宋体" w:eastAsia="宋体" w:cs="宋体"/>
          <w:color w:val="000000"/>
          <w:sz w:val="21"/>
          <w:szCs w:val="21"/>
          <w:highlight w:val="none"/>
        </w:rPr>
      </w:r>
      <w:r/>
    </w:p>
    <w:p>
      <w:pPr>
        <w:pStyle w:val="1078"/>
        <w:ind w:firstLine="42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szCs w:val="21"/>
          <w:highlight w:val="none"/>
        </w:rPr>
      </w:r>
      <w:r/>
    </w:p>
    <w:p>
      <w:pPr>
        <w:pStyle w:val="733"/>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22. 通知</w:t>
      </w:r>
      <w:r>
        <w:rPr>
          <w:rFonts w:hint="eastAsia" w:ascii="宋体" w:hAnsi="宋体" w:eastAsia="宋体" w:cs="宋体"/>
          <w:b/>
          <w:color w:val="000000"/>
          <w:sz w:val="21"/>
          <w:szCs w:val="21"/>
          <w:highlight w:val="none"/>
        </w:rPr>
      </w:r>
      <w:r/>
    </w:p>
    <w:p>
      <w:pPr>
        <w:pStyle w:val="1078"/>
        <w:ind w:firstLine="42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szCs w:val="21"/>
          <w:highlight w:val="none"/>
        </w:rPr>
      </w:r>
      <w:r/>
    </w:p>
    <w:p>
      <w:pPr>
        <w:pStyle w:val="1078"/>
        <w:ind w:firstLine="0"/>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22.3本合同一方给另一方的通知均应采用书面形式，传真或快递送到本合同中规定的对方的地址和办理签收手续。</w:t>
      </w:r>
      <w:r>
        <w:rPr>
          <w:rFonts w:hint="eastAsia" w:ascii="宋体" w:hAnsi="宋体" w:eastAsia="宋体" w:cs="宋体"/>
          <w:color w:val="000000"/>
          <w:sz w:val="21"/>
          <w:szCs w:val="21"/>
          <w:highlight w:val="none"/>
        </w:rPr>
      </w:r>
      <w:r/>
    </w:p>
    <w:p>
      <w:pPr>
        <w:pStyle w:val="733"/>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22.4通知以送达之日或通知书中规定的生效之日起生效，两者中以较迟之日为准。</w:t>
      </w:r>
      <w:r>
        <w:rPr>
          <w:rFonts w:hint="eastAsia" w:ascii="宋体" w:hAnsi="宋体" w:eastAsia="宋体" w:cs="宋体"/>
          <w:color w:val="000000"/>
          <w:sz w:val="21"/>
          <w:szCs w:val="21"/>
          <w:highlight w:val="none"/>
        </w:rPr>
      </w:r>
      <w:r/>
    </w:p>
    <w:p>
      <w:pPr>
        <w:pStyle w:val="733"/>
        <w:numPr>
          <w:ilvl w:val="0"/>
          <w:numId w:val="8"/>
        </w:numPr>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合同未尽事项</w:t>
      </w:r>
      <w:r>
        <w:rPr>
          <w:rFonts w:hint="eastAsia" w:ascii="宋体" w:hAnsi="宋体" w:eastAsia="宋体" w:cs="宋体"/>
          <w:b/>
          <w:bCs/>
          <w:color w:val="000000"/>
          <w:sz w:val="21"/>
          <w:szCs w:val="21"/>
          <w:highlight w:val="none"/>
        </w:rPr>
      </w:r>
      <w:r/>
    </w:p>
    <w:p>
      <w:pPr>
        <w:pStyle w:val="733"/>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23.1合同未尽事项见</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33"/>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    23.2 合同附件与合同正文具有同等的法律效力。</w:t>
      </w:r>
      <w:r>
        <w:rPr>
          <w:rFonts w:hint="eastAsia" w:ascii="宋体" w:hAnsi="宋体" w:eastAsia="宋体" w:cs="宋体"/>
          <w:color w:val="000000"/>
          <w:sz w:val="21"/>
          <w:szCs w:val="21"/>
          <w:highlight w:val="none"/>
        </w:rPr>
      </w:r>
      <w:r/>
    </w:p>
    <w:p>
      <w:pPr>
        <w:pStyle w:val="733"/>
        <w:shd w:val="clear" w:color="auto" w:fill="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33"/>
        <w:jc w:val="center"/>
        <w:spacing w:line="360" w:lineRule="auto"/>
        <w:shd w:val="clear" w:color="auto" w:fill="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第六部分  投标文件组成</w:t>
      </w:r>
      <w:r>
        <w:rPr>
          <w:rFonts w:hint="eastAsia" w:ascii="宋体" w:hAnsi="宋体" w:eastAsia="宋体" w:cs="宋体"/>
          <w:bCs/>
          <w:color w:val="000000"/>
          <w:sz w:val="36"/>
          <w:szCs w:val="36"/>
          <w:highlight w:val="none"/>
        </w:rPr>
      </w:r>
      <w:r/>
    </w:p>
    <w:p>
      <w:pPr>
        <w:pStyle w:val="733"/>
        <w:spacing w:line="500" w:lineRule="exact"/>
        <w:shd w:val="clear" w:color="auto" w:fill="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r>
      <w:r/>
    </w:p>
    <w:p>
      <w:pPr>
        <w:pStyle w:val="733"/>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一、基本目录</w:t>
      </w:r>
      <w:r>
        <w:rPr>
          <w:rFonts w:hint="eastAsia" w:ascii="宋体" w:hAnsi="宋体" w:eastAsia="宋体" w:cs="宋体"/>
          <w:b/>
          <w:bCs/>
          <w:color w:val="000000"/>
          <w:highlight w:val="none"/>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.开标一览表</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.投标分项报价表</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.法人授权书</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lang w:val="zh-CN"/>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bookmarkStart w:id="134" w:name="OLE_LINK2"/>
      <w:r>
        <w:rPr>
          <w:rFonts w:hint="eastAsia" w:ascii="宋体" w:hAnsi="宋体" w:eastAsia="宋体" w:cs="宋体"/>
          <w:color w:val="000000"/>
          <w:highlight w:val="none"/>
        </w:rPr>
        <w:t xml:space="preserve">其他材料</w:t>
      </w:r>
      <w:bookmarkEnd w:id="134"/>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二、</w:t>
      </w:r>
      <w:r>
        <w:rPr>
          <w:rFonts w:hint="eastAsia" w:ascii="宋体" w:hAnsi="宋体" w:eastAsia="宋体" w:cs="宋体"/>
          <w:b/>
          <w:bCs/>
          <w:color w:val="000000"/>
          <w:highlight w:val="none"/>
          <w:lang w:val="zh-CN"/>
        </w:rPr>
        <w:t xml:space="preserve">资格</w:t>
      </w:r>
      <w:r>
        <w:rPr>
          <w:rFonts w:hint="eastAsia" w:ascii="宋体" w:hAnsi="宋体" w:eastAsia="宋体" w:cs="宋体"/>
          <w:b/>
          <w:bCs/>
          <w:color w:val="000000"/>
          <w:highlight w:val="none"/>
        </w:rPr>
        <w:t xml:space="preserve">条件</w:t>
      </w:r>
      <w:r>
        <w:rPr>
          <w:rFonts w:hint="eastAsia" w:ascii="宋体" w:hAnsi="宋体" w:eastAsia="宋体" w:cs="宋体"/>
          <w:b/>
          <w:bCs/>
          <w:color w:val="000000"/>
          <w:highlight w:val="none"/>
          <w:lang w:val="zh-CN"/>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1.具有独立承担民事责任的能力（提供有效的法人或其他组织营业执照复印件等具有独立承担民事责任能力的证明材料复印件加盖公章）；</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 w:val="21"/>
          <w:szCs w:val="21"/>
          <w:highlight w:val="none"/>
          <w:lang w:val="en-US" w:eastAsia="zh-CN"/>
        </w:rPr>
        <w:t xml:space="preserve">具有良好的商业信誉和健全的财务会计制度[提供</w:t>
      </w:r>
      <w:r>
        <w:rPr>
          <w:rFonts w:hint="eastAsia" w:ascii="宋体" w:hAnsi="宋体" w:eastAsia="宋体" w:cs="宋体"/>
          <w:color w:val="000000"/>
          <w:szCs w:val="21"/>
          <w:highlight w:val="none"/>
        </w:rPr>
        <w:t xml:space="preserve">上一年度的财务状况报告(必须含资产负债表、利润表等证明材料)（成立不满一年不需提供）</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3"/>
        <w:ind w:firstLine="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szCs w:val="21"/>
          <w:highlight w:val="none"/>
        </w:rPr>
        <w:t xml:space="preserve">具备履行合同所必需的设备和专业技术能力的证明材料（提供承诺书，格式见附件）；</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lang w:val="en-US"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5.参加政府采购活动前3年内在经营活动中没有重大违法记录的书面声明（提供无重大违法记录声明函，格式见附件）。</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三、符合条件</w:t>
      </w:r>
      <w:r>
        <w:rPr>
          <w:rFonts w:hint="eastAsia" w:ascii="宋体" w:hAnsi="宋体" w:eastAsia="宋体" w:cs="宋体"/>
          <w:b/>
          <w:bCs/>
          <w:color w:val="000000"/>
          <w:highlight w:val="none"/>
          <w:lang w:val="zh-CN"/>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1.报价承诺函，格式自拟；</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2.投标函</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lang w:val="zh-CN"/>
        </w:rPr>
      </w:r>
      <w:r/>
    </w:p>
    <w:p>
      <w:pPr>
        <w:pStyle w:val="733"/>
        <w:spacing w:line="360" w:lineRule="auto"/>
        <w:shd w:val="clear" w:color="auto" w:fill="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3.实质性响应承诺函（格式自拟）；</w:t>
      </w:r>
      <w:r>
        <w:rPr>
          <w:rFonts w:hint="eastAsia" w:ascii="宋体" w:hAnsi="宋体" w:eastAsia="宋体" w:cs="宋体"/>
          <w:color w:val="000000"/>
          <w:highlight w:val="none"/>
          <w:lang w:val="zh-CN"/>
        </w:rPr>
      </w:r>
      <w:r/>
    </w:p>
    <w:p>
      <w:pPr>
        <w:pStyle w:val="733"/>
        <w:spacing w:line="360" w:lineRule="auto"/>
        <w:shd w:val="clear" w:color="auto" w:fill="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zh-CN"/>
        </w:rPr>
        <w:t xml:space="preserve">.商务部分正负偏离表（格式见附件）；</w:t>
      </w:r>
      <w:r>
        <w:rPr>
          <w:rFonts w:hint="eastAsia" w:ascii="宋体" w:hAnsi="宋体" w:eastAsia="宋体" w:cs="宋体"/>
          <w:color w:val="000000"/>
          <w:highlight w:val="none"/>
          <w:lang w:val="zh-CN"/>
        </w:rPr>
      </w:r>
      <w:r/>
    </w:p>
    <w:p>
      <w:pPr>
        <w:pStyle w:val="733"/>
        <w:spacing w:line="360" w:lineRule="auto"/>
        <w:shd w:val="clear" w:color="auto" w:fill="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val="zh-CN"/>
        </w:rPr>
        <w:t xml:space="preserve">.技术部分正负偏离表（格式见附件）；</w:t>
      </w:r>
      <w:r>
        <w:rPr>
          <w:rFonts w:hint="eastAsia" w:ascii="宋体" w:hAnsi="宋体" w:eastAsia="宋体" w:cs="宋体"/>
          <w:color w:val="000000"/>
          <w:highlight w:val="none"/>
          <w:lang w:val="zh-CN"/>
        </w:rPr>
      </w:r>
      <w:r/>
    </w:p>
    <w:p>
      <w:pPr>
        <w:pStyle w:val="733"/>
        <w:spacing w:line="360" w:lineRule="auto"/>
        <w:shd w:val="clear" w:color="auto" w:fill="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四、综合评审评分项</w:t>
      </w:r>
      <w:r>
        <w:rPr>
          <w:rFonts w:hint="eastAsia" w:ascii="宋体" w:hAnsi="宋体" w:eastAsia="宋体" w:cs="宋体"/>
          <w:b/>
          <w:bCs/>
          <w:color w:val="000000"/>
          <w:highlight w:val="none"/>
          <w:lang w:val="zh-CN"/>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商务技术分评审标准中所涉及的事项需提供的所有资料。</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五、价格折扣证明</w:t>
      </w:r>
      <w:r>
        <w:rPr>
          <w:rFonts w:hint="eastAsia" w:ascii="宋体" w:hAnsi="宋体" w:eastAsia="宋体" w:cs="宋体"/>
          <w:b/>
          <w:bCs/>
          <w:color w:val="000000"/>
          <w:highlight w:val="none"/>
          <w:lang w:val="en-US" w:eastAsia="zh-CN"/>
        </w:rPr>
      </w:r>
      <w:r/>
    </w:p>
    <w:p>
      <w:pPr>
        <w:pStyle w:val="733"/>
        <w:spacing w:line="360" w:lineRule="auto"/>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《中小企业声明函》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33"/>
        <w:spacing w:line="360" w:lineRule="auto"/>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《残疾人福利性单位声明函》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监狱和戒毒企业证明材料。</w:t>
      </w:r>
      <w:r>
        <w:rPr>
          <w:rFonts w:hint="eastAsia" w:ascii="宋体" w:hAnsi="宋体" w:eastAsia="宋体" w:cs="宋体"/>
          <w:color w:val="000000"/>
          <w:highlight w:val="none"/>
        </w:rPr>
      </w:r>
      <w:r/>
    </w:p>
    <w:p>
      <w:pPr>
        <w:pStyle w:val="73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33"/>
        <w:spacing w:line="48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rPr>
      </w:r>
      <w:r/>
    </w:p>
    <w:p>
      <w:pPr>
        <w:pStyle w:val="733"/>
        <w:spacing w:line="48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一、开标一览表</w:t>
      </w:r>
      <w:r>
        <w:rPr>
          <w:rFonts w:hint="eastAsia" w:ascii="宋体" w:hAnsi="宋体" w:eastAsia="宋体" w:cs="宋体"/>
          <w:b/>
          <w:bCs/>
          <w:color w:val="000000"/>
          <w:szCs w:val="21"/>
          <w:highlight w:val="none"/>
        </w:rPr>
      </w:r>
      <w:r/>
    </w:p>
    <w:p>
      <w:pPr>
        <w:pStyle w:val="733"/>
        <w:jc w:val="center"/>
        <w:spacing w:line="48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开标一览表</w:t>
      </w:r>
      <w:r>
        <w:rPr>
          <w:rFonts w:hint="eastAsia" w:ascii="宋体" w:hAnsi="宋体" w:eastAsia="宋体" w:cs="宋体"/>
          <w:b/>
          <w:bCs/>
          <w:color w:val="000000"/>
          <w:szCs w:val="21"/>
          <w:highlight w:val="none"/>
        </w:rPr>
      </w:r>
      <w:r/>
    </w:p>
    <w:p>
      <w:pPr>
        <w:pStyle w:val="733"/>
        <w:ind w:firstLine="480"/>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p>
      <w:pPr>
        <w:pStyle w:val="805"/>
        <w:ind w:firstLine="420"/>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投标供应商名称（公章）：</w:t>
      </w:r>
      <w:r>
        <w:rPr>
          <w:rFonts w:hint="eastAsia" w:ascii="宋体" w:hAnsi="宋体" w:eastAsia="宋体" w:cs="宋体"/>
          <w:color w:val="000000"/>
          <w:sz w:val="21"/>
          <w:szCs w:val="21"/>
          <w:highlight w:val="none"/>
        </w:rPr>
      </w:r>
      <w:r/>
    </w:p>
    <w:p>
      <w:pPr>
        <w:pStyle w:val="805"/>
        <w:ind w:firstLine="420"/>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货币单位：人民币元</w:t>
      </w:r>
      <w:r>
        <w:rPr>
          <w:rFonts w:hint="eastAsia" w:ascii="宋体" w:hAnsi="宋体" w:eastAsia="宋体" w:cs="宋体"/>
          <w:color w:val="000000"/>
          <w:sz w:val="21"/>
          <w:szCs w:val="21"/>
          <w:highlight w:val="none"/>
        </w:rPr>
      </w:r>
      <w:r/>
    </w:p>
    <w:p>
      <w:pPr>
        <w:pStyle w:val="767"/>
        <w:ind w:firstLine="420"/>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280"/>
        <w:gridCol w:w="2885"/>
      </w:tblGrid>
      <w:tr>
        <w:trPr>
          <w:tblCellSpacing w:w="15" w:type="dxa"/>
        </w:trPr>
        <w:tc>
          <w:tcPr>
            <w:tcW w:w="2410" w:type="dxa"/>
            <w:vAlign w:val="center"/>
            <w:textDirection w:val="lrTb"/>
            <w:noWrap w:val="false"/>
          </w:tcPr>
          <w:p>
            <w:pPr>
              <w:pStyle w:val="805"/>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2250" w:type="dxa"/>
            <w:vAlign w:val="center"/>
            <w:textDirection w:val="lrTb"/>
            <w:noWrap w:val="false"/>
          </w:tcPr>
          <w:p>
            <w:pPr>
              <w:pStyle w:val="805"/>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rPr>
            </w:r>
            <w:r/>
          </w:p>
        </w:tc>
        <w:tc>
          <w:tcPr>
            <w:tcW w:w="2840" w:type="dxa"/>
            <w:vAlign w:val="center"/>
            <w:textDirection w:val="lrTb"/>
            <w:noWrap w:val="false"/>
          </w:tcPr>
          <w:p>
            <w:pPr>
              <w:pStyle w:val="805"/>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w:r>
            <w:r/>
          </w:p>
        </w:tc>
      </w:tr>
      <w:tr>
        <w:trPr>
          <w:tblCellSpacing w:w="15" w:type="dxa"/>
        </w:trPr>
        <w:tc>
          <w:tcPr>
            <w:tcW w:w="2410" w:type="dxa"/>
            <w:vAlign w:val="center"/>
            <w:textDirection w:val="lrTb"/>
            <w:noWrap w:val="false"/>
          </w:tcPr>
          <w:p>
            <w:pPr>
              <w:pStyle w:val="805"/>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0" w:type="dxa"/>
            <w:vAlign w:val="center"/>
            <w:textDirection w:val="lrTb"/>
            <w:noWrap w:val="false"/>
          </w:tcPr>
          <w:p>
            <w:pPr>
              <w:pStyle w:val="805"/>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详见投标文件</w:t>
            </w:r>
            <w:r>
              <w:rPr>
                <w:rFonts w:hint="eastAsia" w:ascii="宋体" w:hAnsi="宋体" w:eastAsia="宋体" w:cs="宋体"/>
                <w:color w:val="000000"/>
                <w:sz w:val="21"/>
                <w:szCs w:val="21"/>
                <w:highlight w:val="none"/>
              </w:rPr>
            </w:r>
            <w:r/>
          </w:p>
        </w:tc>
        <w:tc>
          <w:tcPr>
            <w:tcW w:w="2840" w:type="dxa"/>
            <w:vAlign w:val="center"/>
            <w:textDirection w:val="lrTb"/>
            <w:noWrap w:val="false"/>
          </w:tcPr>
          <w:p>
            <w:pPr>
              <w:pStyle w:val="805"/>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_________元</w:t>
            </w:r>
            <w:r>
              <w:rPr>
                <w:rFonts w:hint="eastAsia" w:ascii="宋体" w:hAnsi="宋体" w:eastAsia="宋体" w:cs="宋体"/>
                <w:color w:val="000000"/>
                <w:sz w:val="21"/>
                <w:szCs w:val="21"/>
                <w:highlight w:val="none"/>
              </w:rPr>
            </w:r>
            <w:r/>
          </w:p>
        </w:tc>
      </w:tr>
      <w:tr>
        <w:trPr>
          <w:tblCellSpacing w:w="15" w:type="dxa"/>
        </w:trPr>
        <w:tc>
          <w:tcPr>
            <w:tcW w:w="2410" w:type="dxa"/>
            <w:vAlign w:val="center"/>
            <w:textDirection w:val="lrTb"/>
            <w:noWrap w:val="false"/>
          </w:tcPr>
          <w:p>
            <w:pPr>
              <w:pStyle w:val="805"/>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tc>
        <w:tc>
          <w:tcPr>
            <w:gridSpan w:val="2"/>
            <w:tcW w:w="5165" w:type="dxa"/>
            <w:vAlign w:val="center"/>
            <w:textDirection w:val="lrTb"/>
            <w:noWrap w:val="false"/>
          </w:tcPr>
          <w:p>
            <w:pPr>
              <w:pStyle w:val="805"/>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金额大写  </w:t>
            </w:r>
            <w:r>
              <w:rPr>
                <w:rFonts w:hint="eastAsia" w:ascii="宋体" w:hAnsi="宋体" w:eastAsia="宋体" w:cs="宋体"/>
                <w:color w:val="000000"/>
                <w:sz w:val="21"/>
                <w:szCs w:val="21"/>
                <w:highlight w:val="none"/>
              </w:rPr>
            </w:r>
            <w:r/>
          </w:p>
        </w:tc>
      </w:tr>
    </w:tbl>
    <w:p>
      <w:pPr>
        <w:pStyle w:val="805"/>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05"/>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盖章（公章）：</w:t>
      </w:r>
      <w:r>
        <w:rPr>
          <w:rFonts w:hint="eastAsia" w:ascii="宋体" w:hAnsi="宋体" w:eastAsia="宋体" w:cs="宋体"/>
          <w:color w:val="000000"/>
          <w:sz w:val="21"/>
          <w:szCs w:val="21"/>
          <w:highlight w:val="none"/>
        </w:rPr>
      </w:r>
      <w:r/>
    </w:p>
    <w:p>
      <w:pPr>
        <w:pStyle w:val="733"/>
        <w:ind w:firstLine="480"/>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shd w:val="clear" w:color="auto" w:fil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color w:val="000000"/>
          <w:szCs w:val="21"/>
          <w:highlight w:val="none"/>
        </w:rPr>
      </w:r>
      <w:r/>
    </w:p>
    <w:p>
      <w:pPr>
        <w:pStyle w:val="767"/>
        <w:ind w:left="0" w:firstLine="0"/>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投标分项报价表</w:t>
      </w:r>
      <w:r>
        <w:rPr>
          <w:rFonts w:hint="eastAsia" w:ascii="宋体" w:hAnsi="宋体" w:eastAsia="宋体" w:cs="宋体"/>
          <w:b/>
          <w:bCs/>
          <w:color w:val="000000"/>
          <w:sz w:val="21"/>
          <w:szCs w:val="21"/>
          <w:highlight w:val="none"/>
        </w:rPr>
      </w:r>
      <w:r/>
    </w:p>
    <w:p>
      <w:pPr>
        <w:pStyle w:val="733"/>
        <w:spacing w:line="480" w:lineRule="auto"/>
        <w:shd w:val="clear" w:color="auto" w:fill="auto"/>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Cs w:val="21"/>
          <w:highlight w:val="none"/>
          <w:lang w:eastAsia="en-US"/>
        </w:rPr>
      </w:r>
      <w:r/>
    </w:p>
    <w:p>
      <w:pPr>
        <w:pStyle w:val="767"/>
        <w:ind w:left="0" w:firstLine="0"/>
        <w:jc w:val="center"/>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投标分项报价表</w:t>
      </w:r>
      <w:r>
        <w:rPr>
          <w:rFonts w:hint="eastAsia" w:ascii="宋体" w:hAnsi="宋体" w:eastAsia="宋体" w:cs="宋体"/>
          <w:b/>
          <w:bCs/>
          <w:color w:val="000000"/>
          <w:sz w:val="21"/>
          <w:szCs w:val="21"/>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3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6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41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78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980"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727"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372"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24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r>
      <w:tr>
        <w:trPr>
          <w:cantSplit/>
          <w:trHeight w:val="294"/>
        </w:trPr>
        <w:tc>
          <w:tcPr>
            <w:tcW w:w="55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3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w:t>
            </w:r>
            <w:r>
              <w:rPr>
                <w:rFonts w:hint="eastAsia" w:ascii="宋体" w:hAnsi="宋体" w:eastAsia="宋体" w:cs="宋体"/>
                <w:color w:val="000000"/>
                <w:szCs w:val="21"/>
                <w:highlight w:val="none"/>
              </w:rPr>
            </w:r>
            <w:r/>
          </w:p>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tcW w:w="96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品牌</w:t>
            </w:r>
            <w:r>
              <w:rPr>
                <w:rFonts w:hint="eastAsia" w:ascii="宋体" w:hAnsi="宋体" w:eastAsia="宋体" w:cs="宋体"/>
                <w:color w:val="000000"/>
                <w:szCs w:val="21"/>
                <w:highlight w:val="none"/>
              </w:rPr>
            </w:r>
            <w:r/>
          </w:p>
        </w:tc>
        <w:tc>
          <w:tcPr>
            <w:tcW w:w="141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规格</w:t>
            </w:r>
            <w:r>
              <w:rPr>
                <w:rFonts w:hint="eastAsia" w:ascii="宋体" w:hAnsi="宋体" w:eastAsia="宋体" w:cs="宋体"/>
                <w:color w:val="000000"/>
                <w:szCs w:val="21"/>
                <w:highlight w:val="none"/>
              </w:rPr>
            </w:r>
            <w:r/>
          </w:p>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w:t>
            </w:r>
            <w:r>
              <w:rPr>
                <w:rFonts w:hint="eastAsia" w:ascii="宋体" w:hAnsi="宋体" w:eastAsia="宋体" w:cs="宋体"/>
                <w:color w:val="000000"/>
                <w:szCs w:val="21"/>
                <w:highlight w:val="none"/>
              </w:rPr>
            </w:r>
            <w:r/>
          </w:p>
        </w:tc>
        <w:tc>
          <w:tcPr>
            <w:tcW w:w="78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产地</w:t>
            </w:r>
            <w:r>
              <w:rPr>
                <w:rFonts w:hint="eastAsia" w:ascii="宋体" w:hAnsi="宋体" w:eastAsia="宋体" w:cs="宋体"/>
                <w:color w:val="000000"/>
                <w:szCs w:val="21"/>
                <w:highlight w:val="none"/>
              </w:rPr>
            </w:r>
            <w:r/>
          </w:p>
        </w:tc>
        <w:tc>
          <w:tcPr>
            <w:tcW w:w="980"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交付期</w:t>
            </w:r>
            <w:r>
              <w:rPr>
                <w:rFonts w:hint="eastAsia" w:ascii="宋体" w:hAnsi="宋体" w:eastAsia="宋体" w:cs="宋体"/>
                <w:color w:val="000000"/>
                <w:szCs w:val="21"/>
                <w:highlight w:val="none"/>
              </w:rPr>
            </w:r>
            <w:r/>
          </w:p>
        </w:tc>
        <w:tc>
          <w:tcPr>
            <w:tcW w:w="727"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W w:w="1372"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分项单价</w:t>
            </w:r>
            <w:r>
              <w:rPr>
                <w:rFonts w:hint="eastAsia" w:ascii="宋体" w:hAnsi="宋体" w:eastAsia="宋体" w:cs="宋体"/>
                <w:color w:val="000000"/>
                <w:szCs w:val="21"/>
                <w:highlight w:val="none"/>
              </w:rPr>
            </w:r>
            <w:r/>
          </w:p>
        </w:tc>
        <w:tc>
          <w:tcPr>
            <w:tcW w:w="124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分项总价</w:t>
            </w:r>
            <w:r>
              <w:rPr>
                <w:rFonts w:hint="eastAsia" w:ascii="宋体" w:hAnsi="宋体" w:eastAsia="宋体" w:cs="宋体"/>
                <w:color w:val="000000"/>
                <w:szCs w:val="21"/>
                <w:highlight w:val="none"/>
              </w:rPr>
            </w:r>
            <w:r/>
          </w:p>
        </w:tc>
      </w:tr>
      <w:tr>
        <w:trPr>
          <w:cantSplit/>
          <w:trHeight w:val="696"/>
        </w:trPr>
        <w:tc>
          <w:tcPr>
            <w:tcW w:w="55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3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8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72"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724"/>
        </w:trPr>
        <w:tc>
          <w:tcPr>
            <w:tcW w:w="55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3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8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72"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55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3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8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72"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580"/>
        </w:trPr>
        <w:tc>
          <w:tcPr>
            <w:tcW w:w="55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03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96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84"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72"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6"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1030"/>
        </w:trPr>
        <w:tc>
          <w:tcPr>
            <w:gridSpan w:val="8"/>
            <w:tcW w:w="7835" w:type="dxa"/>
            <w:vAlign w:val="center"/>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投标总报价（人民币：元）</w:t>
            </w:r>
            <w:r>
              <w:rPr>
                <w:rFonts w:hint="eastAsia" w:ascii="宋体" w:hAnsi="宋体" w:eastAsia="宋体" w:cs="宋体"/>
                <w:color w:val="000000"/>
                <w:szCs w:val="21"/>
                <w:highlight w:val="none"/>
              </w:rPr>
            </w:r>
            <w:r/>
          </w:p>
        </w:tc>
        <w:tc>
          <w:tcPr>
            <w:tcW w:w="1246" w:type="dxa"/>
            <w:vAlign w:val="top"/>
            <w:textDirection w:val="lrTb"/>
            <w:noWrap/>
          </w:tcPr>
          <w:p>
            <w:pPr>
              <w:pStyle w:val="733"/>
              <w:jc w:val="center"/>
              <w:spacing w:line="0" w:lineRule="atLeas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3"/>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p>
      <w:pPr>
        <w:pStyle w:val="733"/>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1.本项目采用固定总价报价方式。部分连</w:t>
      </w:r>
      <w:r>
        <w:rPr>
          <w:rFonts w:hint="eastAsia" w:ascii="宋体" w:hAnsi="宋体" w:eastAsia="宋体" w:cs="宋体"/>
          <w:color w:val="000000"/>
          <w:szCs w:val="21"/>
          <w:highlight w:val="none"/>
        </w:rPr>
        <w:t xml:space="preserve">接运行配件未在招标文件中明示的，投标供应商应在投标时予以补充，如项目实施过程中因缺少设备、配件或服务导致设备无法使用或无法正常运行，中标供应商须免费提供；除采购人明确提出的变更外，本项目不再增加任何费用；投标供应商必须提供所有项目相关费用的报价列表，报价风险由其自行承担。报价中包含满足本项目设备正常使用而涉及的全部费用，如主要设备、所有辅材，运输费、装卸费、安装调试费、施工配合费、安全施工保护费、税金、检测费、人工费、售后服务等以及确保所有设备正常使用所产生的一切配套费用，项目实施过程中不另结其它任何费用。</w:t>
      </w:r>
      <w:r>
        <w:rPr>
          <w:rFonts w:hint="eastAsia" w:ascii="宋体" w:hAnsi="宋体" w:eastAsia="宋体" w:cs="宋体"/>
          <w:color w:val="000000"/>
          <w:szCs w:val="21"/>
          <w:highlight w:val="none"/>
        </w:rPr>
      </w:r>
      <w:r/>
    </w:p>
    <w:p>
      <w:pPr>
        <w:pStyle w:val="733"/>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2.“投标分项报价表”中“投标总报价”数额应当与“开标一览表”中“投标总报价”数额一致。</w:t>
      </w:r>
      <w:r>
        <w:rPr>
          <w:rFonts w:hint="eastAsia" w:ascii="宋体" w:hAnsi="宋体" w:eastAsia="宋体" w:cs="宋体"/>
          <w:color w:val="000000"/>
          <w:szCs w:val="21"/>
          <w:highlight w:val="none"/>
        </w:rPr>
      </w:r>
      <w:r/>
    </w:p>
    <w:p>
      <w:pPr>
        <w:pStyle w:val="733"/>
        <w:jc w:val="center"/>
        <w:spacing w:line="52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8"/>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jc w:val="right"/>
        <w:spacing w:line="52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投标供应商：（加盖CA电子公章）</w:t>
      </w:r>
      <w:r>
        <w:rPr>
          <w:rFonts w:hint="eastAsia" w:ascii="宋体" w:hAnsi="宋体" w:eastAsia="宋体" w:cs="宋体"/>
          <w:color w:val="000000"/>
          <w:szCs w:val="21"/>
          <w:highlight w:val="none"/>
        </w:rPr>
      </w:r>
      <w:r/>
    </w:p>
    <w:p>
      <w:pPr>
        <w:pStyle w:val="733"/>
        <w:jc w:val="righ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rPr>
          <w:rFonts w:hint="eastAsia" w:ascii="宋体" w:hAnsi="宋体" w:eastAsia="宋体" w:cs="宋体"/>
          <w:color w:val="000000"/>
          <w:szCs w:val="21"/>
          <w:highlight w:val="none"/>
        </w:rPr>
      </w:r>
      <w:r/>
    </w:p>
    <w:p>
      <w:pPr>
        <w:pStyle w:val="733"/>
        <w:shd w:val="clear" w:color="auto" w:fill="auto"/>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br w:type="page" w:clear="all"/>
      </w:r>
      <w:r>
        <w:rPr>
          <w:rFonts w:hint="eastAsia" w:ascii="宋体" w:hAnsi="宋体" w:eastAsia="宋体" w:cs="宋体"/>
          <w:b/>
          <w:bCs/>
          <w:color w:val="000000"/>
          <w:szCs w:val="21"/>
          <w:highlight w:val="none"/>
          <w:u w:val="single"/>
        </w:rPr>
      </w:r>
      <w:r/>
    </w:p>
    <w:p>
      <w:pPr>
        <w:pStyle w:val="733"/>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三、提供法人授权书</w:t>
      </w:r>
      <w:r>
        <w:rPr>
          <w:rFonts w:hint="eastAsia" w:ascii="宋体" w:hAnsi="宋体" w:eastAsia="宋体" w:cs="宋体"/>
          <w:b/>
          <w:bCs/>
          <w:color w:val="000000"/>
          <w:szCs w:val="21"/>
          <w:highlight w:val="none"/>
        </w:rPr>
      </w:r>
      <w:r/>
    </w:p>
    <w:p>
      <w:pPr>
        <w:pStyle w:val="733"/>
        <w:ind w:firstLine="480"/>
        <w:spacing w:line="48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3"/>
        <w:ind w:firstLine="480"/>
        <w:jc w:val="center"/>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法人授权书</w:t>
      </w:r>
      <w:r>
        <w:rPr>
          <w:rFonts w:hint="eastAsia" w:ascii="宋体" w:hAnsi="宋体" w:eastAsia="宋体" w:cs="宋体"/>
          <w:b/>
          <w:bCs/>
          <w:color w:val="000000"/>
          <w:szCs w:val="21"/>
          <w:highlight w:val="none"/>
        </w:rPr>
      </w:r>
      <w:r/>
    </w:p>
    <w:p>
      <w:pPr>
        <w:pStyle w:val="733"/>
        <w:ind w:firstLine="420"/>
        <w:spacing w:line="360" w:lineRule="auto"/>
        <w:shd w:val="clear" w:color="auto" w:fill="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ind w:firstLine="420"/>
        <w:spacing w:line="360" w:lineRule="auto"/>
        <w:shd w:val="clear" w:color="auto" w:fill="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声明：__________（投标供应商名称）授权__________（被授权人的姓名）为我方__________号（项目编号）______________项目（项目名称）采购活动的合法代理人，以本单位名义全权处理一切与该项目采购有关的事务。</w:t>
      </w:r>
      <w:r>
        <w:rPr>
          <w:rFonts w:hint="eastAsia" w:ascii="宋体" w:hAnsi="宋体" w:eastAsia="宋体" w:cs="宋体"/>
          <w:color w:val="000000"/>
          <w:szCs w:val="21"/>
          <w:highlight w:val="none"/>
        </w:rPr>
      </w:r>
      <w:r/>
    </w:p>
    <w:p>
      <w:pPr>
        <w:pStyle w:val="733"/>
        <w:ind w:firstLine="420"/>
        <w:spacing w:line="360" w:lineRule="auto"/>
        <w:shd w:val="clear" w:color="auto" w:fill="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本授权书于______年____月____日起生效，特此声明。</w:t>
      </w:r>
      <w:r>
        <w:rPr>
          <w:rFonts w:hint="eastAsia" w:ascii="宋体" w:hAnsi="宋体" w:eastAsia="宋体" w:cs="宋体"/>
          <w:color w:val="000000"/>
          <w:szCs w:val="21"/>
          <w:highlight w:val="none"/>
        </w:rPr>
      </w:r>
      <w:r/>
    </w:p>
    <w:p>
      <w:pPr>
        <w:pStyle w:val="733"/>
        <w:spacing w:line="360" w:lineRule="auto"/>
        <w:shd w:val="clear" w:color="auto" w:fill="auto"/>
        <w:tabs>
          <w:tab w:val="left" w:pos="360" w:leader="none"/>
        </w:tabs>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被授权人身份证号码：</w:t>
      </w:r>
      <w:r>
        <w:rPr>
          <w:rFonts w:hint="eastAsia" w:ascii="宋体" w:hAnsi="宋体" w:eastAsia="宋体" w:cs="宋体"/>
          <w:color w:val="000000"/>
          <w:szCs w:val="21"/>
          <w:highlight w:val="none"/>
          <w:u w:val="single"/>
        </w:rPr>
      </w:r>
      <w:r/>
    </w:p>
    <w:p>
      <w:pPr>
        <w:pStyle w:val="733"/>
        <w:spacing w:line="360" w:lineRule="auto"/>
        <w:shd w:val="clear" w:color="auto" w:fill="auto"/>
        <w:tabs>
          <w:tab w:val="left" w:pos="360" w:leader="none"/>
        </w:tabs>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被授权人联系电话：（手机）</w:t>
      </w:r>
      <w:r>
        <w:rPr>
          <w:rFonts w:hint="eastAsia" w:ascii="宋体" w:hAnsi="宋体" w:eastAsia="宋体" w:cs="宋体"/>
          <w:color w:val="000000"/>
          <w:szCs w:val="21"/>
          <w:highlight w:val="none"/>
          <w:u w:val="single"/>
        </w:rPr>
      </w:r>
      <w:r/>
    </w:p>
    <w:p>
      <w:pPr>
        <w:pStyle w:val="733"/>
        <w:ind w:firstLine="420"/>
        <w:spacing w:line="360" w:lineRule="auto"/>
        <w:shd w:val="clear" w:color="auto" w:fill="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授权单位名称：</w:t>
      </w:r>
      <w:r>
        <w:rPr>
          <w:rFonts w:hint="eastAsia" w:ascii="宋体" w:hAnsi="宋体" w:eastAsia="宋体" w:cs="宋体"/>
          <w:color w:val="000000"/>
          <w:szCs w:val="21"/>
          <w:highlight w:val="none"/>
          <w:u w:val="single"/>
        </w:rPr>
        <w:t xml:space="preserve">（加盖CA电子公章）</w:t>
      </w:r>
      <w:r>
        <w:rPr>
          <w:rFonts w:hint="eastAsia" w:ascii="宋体" w:hAnsi="宋体" w:eastAsia="宋体" w:cs="宋体"/>
          <w:color w:val="000000"/>
          <w:szCs w:val="21"/>
          <w:highlight w:val="none"/>
        </w:rPr>
      </w:r>
      <w:r/>
    </w:p>
    <w:p>
      <w:pPr>
        <w:pStyle w:val="733"/>
        <w:ind w:firstLine="420"/>
        <w:spacing w:line="360" w:lineRule="auto"/>
        <w:shd w:val="clear" w:color="auto" w:fill="auto"/>
        <w:tabs>
          <w:tab w:val="left" w:pos="360" w:leader="none"/>
        </w:tabs>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u w:val="single"/>
        </w:rPr>
      </w:r>
      <w:r/>
    </w:p>
    <w:p>
      <w:pPr>
        <w:pStyle w:val="733"/>
        <w:ind w:firstLine="420"/>
        <w:spacing w:line="360" w:lineRule="auto"/>
        <w:shd w:val="clear" w:color="auto" w:fill="auto"/>
        <w:tabs>
          <w:tab w:val="left" w:pos="360" w:leader="none"/>
        </w:tabs>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日期：</w:t>
      </w:r>
      <w:bookmarkStart w:id="135" w:name="_Hlt26955070"/>
      <w:r/>
      <w:bookmarkEnd w:id="135"/>
      <w:r/>
      <w:bookmarkStart w:id="136" w:name="_格式3__银行出具的资信证明"/>
      <w:r/>
      <w:bookmarkEnd w:id="136"/>
      <w:r/>
      <w:bookmarkStart w:id="137" w:name="_Hlt26671380"/>
      <w:r/>
      <w:bookmarkEnd w:id="137"/>
      <w:r>
        <w:rPr>
          <w:rFonts w:hint="eastAsia" w:ascii="宋体" w:hAnsi="宋体" w:eastAsia="宋体" w:cs="宋体"/>
          <w:color w:val="000000"/>
          <w:szCs w:val="21"/>
          <w:highlight w:val="none"/>
          <w:u w:val="single"/>
        </w:rPr>
      </w:r>
      <w:r/>
    </w:p>
    <w:p>
      <w:pPr>
        <w:pStyle w:val="733"/>
        <w:ind w:firstLine="105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法定代表人身份证复印件</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jc w:val="center"/>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（粘贴此处）</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被授权人身份证复印件</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jc w:val="center"/>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jc w:val="center"/>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（粘贴此处）</w:t>
      </w:r>
      <w:r>
        <w:rPr>
          <w:rFonts w:hint="eastAsia" w:ascii="宋体" w:hAnsi="宋体" w:eastAsia="宋体" w:cs="宋体"/>
          <w:b/>
          <w:bCs/>
          <w:color w:val="000000"/>
          <w:szCs w:val="21"/>
          <w:highlight w:val="none"/>
        </w:rPr>
      </w:r>
      <w:r/>
    </w:p>
    <w:p>
      <w:pPr>
        <w:pStyle w:val="733"/>
        <w:shd w:val="clear" w:color="auto" w:fill="auto"/>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br w:type="page" w:clear="all"/>
      </w:r>
      <w:r>
        <w:rPr>
          <w:rFonts w:hint="eastAsia" w:ascii="宋体" w:hAnsi="宋体" w:eastAsia="宋体" w:cs="宋体"/>
          <w:b/>
          <w:bCs/>
          <w:color w:val="000000"/>
          <w:szCs w:val="21"/>
          <w:highlight w:val="none"/>
          <w:u w:val="single"/>
        </w:rPr>
      </w:r>
      <w:r/>
    </w:p>
    <w:p>
      <w:pPr>
        <w:pStyle w:val="733"/>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四、具备履行合同所必需的设备和专业技术能力的证明材料（提供承诺书）；</w:t>
      </w:r>
      <w:r>
        <w:rPr>
          <w:rFonts w:hint="eastAsia" w:ascii="宋体" w:hAnsi="宋体" w:eastAsia="宋体" w:cs="宋体"/>
          <w:b/>
          <w:bCs/>
          <w:color w:val="000000"/>
          <w:szCs w:val="21"/>
          <w:highlight w:val="none"/>
        </w:rPr>
      </w:r>
      <w:r/>
    </w:p>
    <w:p>
      <w:pPr>
        <w:pStyle w:val="733"/>
        <w:ind w:firstLine="492"/>
        <w:jc w:val="center"/>
        <w:spacing w:line="46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3"/>
        <w:ind w:firstLine="492"/>
        <w:jc w:val="center"/>
        <w:spacing w:line="46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承诺书</w:t>
      </w:r>
      <w:r>
        <w:rPr>
          <w:rFonts w:hint="eastAsia" w:ascii="宋体" w:hAnsi="宋体" w:eastAsia="宋体" w:cs="宋体"/>
          <w:b/>
          <w:bCs/>
          <w:color w:val="000000"/>
          <w:szCs w:val="21"/>
          <w:highlight w:val="none"/>
        </w:rPr>
      </w:r>
      <w:r/>
    </w:p>
    <w:p>
      <w:pPr>
        <w:pStyle w:val="733"/>
        <w:spacing w:line="46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南通市大数据管理中心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492"/>
        <w:spacing w:line="46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我单位郑重承诺：我单位具备履行本项采购合同所必需的设备和专业技术能力，为履行本项采购合同我公司具备如下主要设备和主要专业技术能力：</w:t>
      </w:r>
      <w:r>
        <w:rPr>
          <w:rFonts w:hint="eastAsia" w:ascii="宋体" w:hAnsi="宋体" w:eastAsia="宋体" w:cs="宋体"/>
          <w:color w:val="000000"/>
          <w:szCs w:val="21"/>
          <w:highlight w:val="none"/>
        </w:rPr>
      </w:r>
      <w:r/>
    </w:p>
    <w:p>
      <w:pPr>
        <w:pStyle w:val="733"/>
        <w:ind w:firstLine="492"/>
        <w:spacing w:line="46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主要设备有：_____。</w:t>
      </w:r>
      <w:r>
        <w:rPr>
          <w:rFonts w:hint="eastAsia" w:ascii="宋体" w:hAnsi="宋体" w:eastAsia="宋体" w:cs="宋体"/>
          <w:color w:val="000000"/>
          <w:szCs w:val="21"/>
          <w:highlight w:val="none"/>
        </w:rPr>
      </w:r>
      <w:r/>
    </w:p>
    <w:p>
      <w:pPr>
        <w:pStyle w:val="733"/>
        <w:ind w:firstLine="492"/>
        <w:spacing w:line="46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主要专业技术能力有：_____。</w:t>
      </w:r>
      <w:r>
        <w:rPr>
          <w:rFonts w:hint="eastAsia" w:ascii="宋体" w:hAnsi="宋体" w:eastAsia="宋体" w:cs="宋体"/>
          <w:color w:val="000000"/>
          <w:szCs w:val="21"/>
          <w:highlight w:val="none"/>
        </w:rPr>
      </w:r>
      <w:r/>
    </w:p>
    <w:p>
      <w:pPr>
        <w:pStyle w:val="733"/>
        <w:ind w:firstLine="492"/>
        <w:jc w:val="right"/>
        <w:spacing w:line="46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供应商：（加盖CA电子公章）</w:t>
      </w:r>
      <w:r>
        <w:rPr>
          <w:rFonts w:hint="eastAsia" w:ascii="宋体" w:hAnsi="宋体" w:eastAsia="宋体" w:cs="宋体"/>
          <w:color w:val="000000"/>
          <w:szCs w:val="21"/>
          <w:highlight w:val="none"/>
        </w:rPr>
      </w:r>
      <w:r/>
    </w:p>
    <w:p>
      <w:pPr>
        <w:pStyle w:val="753"/>
        <w:jc w:val="righ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contextualSpacing/>
        <w:ind w:firstLine="540"/>
        <w:jc w:val="right"/>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rPr>
        <w:t xml:space="preserve">   年</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 月 </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日</w:t>
      </w: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33"/>
        <w:spacing w:line="46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五、参加政府采购活动前3年内在经营活动中没有重大违法记录的书面声明</w:t>
      </w:r>
      <w:r>
        <w:rPr>
          <w:rFonts w:hint="eastAsia" w:ascii="宋体" w:hAnsi="宋体" w:eastAsia="宋体" w:cs="宋体"/>
          <w:b/>
          <w:bCs/>
          <w:color w:val="000000"/>
          <w:szCs w:val="21"/>
          <w:highlight w:val="none"/>
        </w:rPr>
      </w:r>
      <w:r/>
    </w:p>
    <w:p>
      <w:pPr>
        <w:pStyle w:val="737"/>
        <w:jc w:val="both"/>
        <w:shd w:val="clear" w:color="auto" w:fill="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33"/>
        <w:jc w:val="center"/>
        <w:spacing w:line="46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无重大违法记录声明函</w:t>
      </w:r>
      <w:r>
        <w:rPr>
          <w:rFonts w:hint="eastAsia" w:ascii="宋体" w:hAnsi="宋体" w:eastAsia="宋体" w:cs="宋体"/>
          <w:b/>
          <w:bCs/>
          <w:color w:val="000000"/>
          <w:szCs w:val="21"/>
          <w:highlight w:val="none"/>
        </w:rPr>
      </w:r>
      <w:r/>
    </w:p>
    <w:p>
      <w:pPr>
        <w:pStyle w:val="733"/>
        <w:spacing w:line="500" w:lineRule="exact"/>
        <w:shd w:val="clear" w:color="auto" w:fill="auto"/>
        <w:rPr>
          <w:rStyle w:val="1053"/>
          <w:rFonts w:hint="eastAsia" w:ascii="宋体" w:hAnsi="宋体" w:eastAsia="宋体" w:cs="宋体"/>
          <w:color w:val="000000"/>
          <w:szCs w:val="21"/>
          <w:highlight w:val="none"/>
        </w:rPr>
      </w:pPr>
      <w:r>
        <w:rPr>
          <w:rStyle w:val="1053"/>
          <w:rFonts w:hint="eastAsia" w:ascii="宋体" w:hAnsi="宋体" w:eastAsia="宋体" w:cs="宋体"/>
          <w:color w:val="000000"/>
          <w:szCs w:val="21"/>
          <w:highlight w:val="none"/>
          <w:lang w:eastAsia="zh-CN"/>
        </w:rPr>
        <w:t xml:space="preserve">南通市大数据管理中心</w:t>
      </w:r>
      <w:r>
        <w:rPr>
          <w:rStyle w:val="1053"/>
          <w:rFonts w:hint="eastAsia" w:ascii="宋体" w:hAnsi="宋体" w:eastAsia="宋体" w:cs="宋体"/>
          <w:color w:val="000000"/>
          <w:szCs w:val="21"/>
          <w:highlight w:val="none"/>
        </w:rPr>
        <w:t xml:space="preserve">：</w:t>
      </w:r>
      <w:r>
        <w:rPr>
          <w:rStyle w:val="1053"/>
          <w:rFonts w:hint="eastAsia" w:ascii="宋体" w:hAnsi="宋体" w:eastAsia="宋体" w:cs="宋体"/>
          <w:color w:val="000000"/>
          <w:szCs w:val="21"/>
          <w:highlight w:val="none"/>
        </w:rPr>
      </w:r>
      <w:r/>
    </w:p>
    <w:p>
      <w:pPr>
        <w:pStyle w:val="733"/>
        <w:spacing w:line="500" w:lineRule="exact"/>
        <w:shd w:val="clear" w:color="auto" w:fill="auto"/>
        <w:rPr>
          <w:rStyle w:val="1053"/>
          <w:rFonts w:hint="eastAsia" w:ascii="宋体" w:hAnsi="宋体" w:eastAsia="宋体" w:cs="宋体"/>
          <w:color w:val="000000"/>
          <w:szCs w:val="21"/>
          <w:highlight w:val="none"/>
        </w:rPr>
      </w:pPr>
      <w:r>
        <w:rPr>
          <w:rStyle w:val="1053"/>
          <w:rFonts w:hint="eastAsia" w:ascii="宋体" w:hAnsi="宋体" w:eastAsia="宋体" w:cs="宋体"/>
          <w:color w:val="000000"/>
          <w:szCs w:val="21"/>
          <w:highlight w:val="none"/>
        </w:rPr>
        <w:t xml:space="preserve">    我单位（供应商名称）郑重声明：</w:t>
      </w:r>
      <w:r>
        <w:rPr>
          <w:rStyle w:val="1053"/>
          <w:rFonts w:hint="eastAsia" w:ascii="宋体" w:hAnsi="宋体" w:eastAsia="宋体" w:cs="宋体"/>
          <w:color w:val="000000"/>
          <w:szCs w:val="21"/>
          <w:highlight w:val="none"/>
        </w:rPr>
      </w:r>
      <w:r/>
    </w:p>
    <w:p>
      <w:pPr>
        <w:pStyle w:val="733"/>
        <w:spacing w:line="500" w:lineRule="exact"/>
        <w:shd w:val="clear" w:color="auto" w:fill="auto"/>
        <w:rPr>
          <w:rStyle w:val="1053"/>
          <w:rFonts w:hint="eastAsia" w:ascii="宋体" w:hAnsi="宋体" w:eastAsia="宋体" w:cs="宋体"/>
          <w:color w:val="000000"/>
          <w:szCs w:val="21"/>
          <w:highlight w:val="none"/>
        </w:rPr>
      </w:pPr>
      <w:r>
        <w:rPr>
          <w:rStyle w:val="1053"/>
          <w:rFonts w:hint="eastAsia" w:ascii="宋体" w:hAnsi="宋体" w:eastAsia="宋体" w:cs="宋体"/>
          <w:color w:val="000000"/>
          <w:szCs w:val="21"/>
          <w:highlight w:val="none"/>
        </w:rPr>
        <w:t xml:space="preserve">    参加本次采购活动前3年内，我方在经营活动中没有因违法经营受到刑事处罚或者责令停产停业、吊销许可证或者执照、较大数额罚款等行政处罚。</w:t>
      </w:r>
      <w:r>
        <w:rPr>
          <w:rStyle w:val="1053"/>
          <w:rFonts w:hint="eastAsia" w:ascii="宋体" w:hAnsi="宋体" w:eastAsia="宋体" w:cs="宋体"/>
          <w:color w:val="000000"/>
          <w:szCs w:val="21"/>
          <w:highlight w:val="none"/>
        </w:rPr>
      </w:r>
      <w:r/>
    </w:p>
    <w:p>
      <w:pPr>
        <w:pStyle w:val="733"/>
        <w:ind w:firstLine="420"/>
        <w:spacing w:line="500" w:lineRule="exact"/>
        <w:shd w:val="clear" w:color="auto" w:fill="auto"/>
        <w:rPr>
          <w:rStyle w:val="1053"/>
          <w:rFonts w:hint="eastAsia" w:ascii="宋体" w:hAnsi="宋体" w:eastAsia="宋体" w:cs="宋体"/>
          <w:color w:val="000000"/>
          <w:szCs w:val="21"/>
          <w:highlight w:val="none"/>
        </w:rPr>
      </w:pPr>
      <w:r>
        <w:rPr>
          <w:rStyle w:val="1053"/>
          <w:rFonts w:hint="eastAsia" w:ascii="宋体" w:hAnsi="宋体" w:eastAsia="宋体" w:cs="宋体"/>
          <w:color w:val="000000"/>
          <w:szCs w:val="21"/>
          <w:highlight w:val="none"/>
        </w:rPr>
        <w:t xml:space="preserve">在本项目投标文件接收截止时间前，没有被“信用中国”（www.creditchina.gov.cn）、“中国政府采购网”（www.ccgp.gov.cn）网站列入失信被执行人、重大税收违法案件当事人名单、政府采购严重违法失信行为记录名单。</w:t>
      </w:r>
      <w:r>
        <w:rPr>
          <w:rStyle w:val="1053"/>
          <w:rFonts w:hint="eastAsia" w:ascii="宋体" w:hAnsi="宋体" w:eastAsia="宋体" w:cs="宋体"/>
          <w:color w:val="000000"/>
          <w:szCs w:val="21"/>
          <w:highlight w:val="none"/>
        </w:rPr>
      </w:r>
      <w:r/>
    </w:p>
    <w:p>
      <w:pPr>
        <w:pStyle w:val="733"/>
        <w:ind w:firstLine="420"/>
        <w:spacing w:line="500" w:lineRule="exact"/>
        <w:shd w:val="clear" w:color="auto" w:fill="auto"/>
        <w:rPr>
          <w:rStyle w:val="1053"/>
          <w:rFonts w:hint="eastAsia" w:ascii="宋体" w:hAnsi="宋体" w:eastAsia="宋体" w:cs="宋体"/>
          <w:color w:val="000000"/>
          <w:szCs w:val="21"/>
          <w:highlight w:val="none"/>
        </w:rPr>
      </w:pPr>
      <w:r>
        <w:rPr>
          <w:rStyle w:val="1053"/>
          <w:rFonts w:hint="eastAsia" w:ascii="宋体" w:hAnsi="宋体" w:eastAsia="宋体" w:cs="宋体"/>
          <w:color w:val="000000"/>
          <w:szCs w:val="21"/>
          <w:highlight w:val="none"/>
        </w:rPr>
        <w:t xml:space="preserve">我单位满足法律、行政法规规定的其他条件。</w:t>
      </w:r>
      <w:r>
        <w:rPr>
          <w:rStyle w:val="1053"/>
          <w:rFonts w:hint="eastAsia" w:ascii="宋体" w:hAnsi="宋体" w:eastAsia="宋体" w:cs="宋体"/>
          <w:color w:val="000000"/>
          <w:szCs w:val="21"/>
          <w:highlight w:val="none"/>
        </w:rPr>
      </w:r>
      <w:r/>
    </w:p>
    <w:p>
      <w:pPr>
        <w:pStyle w:val="733"/>
        <w:spacing w:line="500" w:lineRule="exact"/>
        <w:shd w:val="clear" w:color="auto" w:fill="auto"/>
        <w:rPr>
          <w:rStyle w:val="1053"/>
          <w:rFonts w:hint="eastAsia" w:ascii="宋体" w:hAnsi="宋体" w:eastAsia="宋体" w:cs="宋体"/>
          <w:color w:val="000000"/>
          <w:szCs w:val="21"/>
          <w:highlight w:val="none"/>
        </w:rPr>
      </w:pPr>
      <w:r>
        <w:rPr>
          <w:rStyle w:val="1053"/>
          <w:rFonts w:hint="eastAsia" w:ascii="宋体" w:hAnsi="宋体" w:eastAsia="宋体" w:cs="宋体"/>
          <w:color w:val="000000"/>
          <w:szCs w:val="21"/>
          <w:highlight w:val="none"/>
        </w:rPr>
        <w:t xml:space="preserve">                                                   声明人：</w:t>
      </w:r>
      <w:r>
        <w:rPr>
          <w:rFonts w:hint="eastAsia" w:ascii="宋体" w:hAnsi="宋体" w:eastAsia="宋体" w:cs="宋体"/>
          <w:color w:val="000000"/>
          <w:szCs w:val="21"/>
          <w:highlight w:val="none"/>
        </w:rPr>
        <w:t xml:space="preserve">（加盖CA电子公章）</w:t>
      </w:r>
      <w:r>
        <w:rPr>
          <w:rStyle w:val="1053"/>
          <w:rFonts w:hint="eastAsia" w:ascii="宋体" w:hAnsi="宋体" w:eastAsia="宋体" w:cs="宋体"/>
          <w:color w:val="000000"/>
          <w:szCs w:val="21"/>
          <w:highlight w:val="none"/>
        </w:rPr>
      </w:r>
      <w:r/>
    </w:p>
    <w:p>
      <w:pPr>
        <w:pStyle w:val="733"/>
        <w:jc w:val="center"/>
        <w:spacing w:line="500" w:lineRule="exact"/>
        <w:shd w:val="clear" w:color="auto" w:fill="auto"/>
        <w:rPr>
          <w:rStyle w:val="1053"/>
          <w:rFonts w:hint="eastAsia" w:ascii="宋体" w:hAnsi="宋体" w:eastAsia="宋体" w:cs="宋体"/>
          <w:color w:val="000000"/>
          <w:szCs w:val="21"/>
          <w:highlight w:val="none"/>
        </w:rPr>
      </w:pPr>
      <w:r>
        <w:rPr>
          <w:rStyle w:val="1053"/>
          <w:rFonts w:hint="eastAsia" w:ascii="宋体" w:hAnsi="宋体" w:eastAsia="宋体" w:cs="宋体"/>
          <w:color w:val="000000"/>
          <w:szCs w:val="21"/>
          <w:highlight w:val="none"/>
        </w:rPr>
        <w:t xml:space="preserve">                                                  年     月    日</w:t>
      </w:r>
      <w:r>
        <w:rPr>
          <w:rStyle w:val="1053"/>
          <w:rFonts w:hint="eastAsia" w:ascii="宋体" w:hAnsi="宋体" w:eastAsia="宋体" w:cs="宋体"/>
          <w:color w:val="000000"/>
          <w:szCs w:val="21"/>
          <w:highlight w:val="none"/>
        </w:rPr>
      </w:r>
      <w:r/>
    </w:p>
    <w:p>
      <w:pPr>
        <w:pStyle w:val="733"/>
        <w:spacing w:line="500" w:lineRule="exact"/>
        <w:shd w:val="clear" w:color="auto" w:fill="auto"/>
        <w:rPr>
          <w:rStyle w:val="1053"/>
          <w:rFonts w:hint="eastAsia" w:ascii="宋体" w:hAnsi="宋体" w:eastAsia="宋体" w:cs="宋体"/>
          <w:color w:val="000000"/>
          <w:szCs w:val="21"/>
          <w:highlight w:val="none"/>
        </w:rPr>
      </w:pPr>
      <w:r>
        <w:rPr>
          <w:rStyle w:val="1053"/>
          <w:rFonts w:hint="eastAsia" w:ascii="宋体" w:hAnsi="宋体" w:eastAsia="宋体" w:cs="宋体"/>
          <w:color w:val="000000"/>
          <w:szCs w:val="21"/>
          <w:highlight w:val="none"/>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lang w:val="zh-CN"/>
        </w:rPr>
        <w:br w:type="page" w:clear="all"/>
      </w:r>
      <w:r>
        <w:rPr>
          <w:rFonts w:hint="eastAsia" w:ascii="宋体" w:hAnsi="宋体" w:eastAsia="宋体" w:cs="宋体"/>
          <w:b/>
          <w:color w:val="000000"/>
          <w:szCs w:val="21"/>
          <w:highlight w:val="none"/>
          <w:lang w:val="en-US" w:eastAsia="zh-CN"/>
        </w:rPr>
        <w:t xml:space="preserve">六</w:t>
      </w:r>
      <w:r>
        <w:rPr>
          <w:rFonts w:hint="eastAsia" w:ascii="宋体" w:hAnsi="宋体" w:eastAsia="宋体" w:cs="宋体"/>
          <w:b/>
          <w:bCs/>
          <w:color w:val="000000"/>
          <w:szCs w:val="21"/>
          <w:highlight w:val="none"/>
        </w:rPr>
        <w:t xml:space="preserve">、投标函</w:t>
      </w:r>
      <w:r>
        <w:rPr>
          <w:rFonts w:hint="eastAsia" w:ascii="宋体" w:hAnsi="宋体" w:eastAsia="宋体" w:cs="宋体"/>
          <w:b/>
          <w:bCs/>
          <w:color w:val="000000"/>
          <w:szCs w:val="21"/>
          <w:highlight w:val="none"/>
        </w:rPr>
      </w:r>
      <w:r/>
    </w:p>
    <w:p>
      <w:pPr>
        <w:pStyle w:val="733"/>
        <w:jc w:val="center"/>
        <w:spacing w:line="48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投标函</w:t>
      </w:r>
      <w:r>
        <w:rPr>
          <w:rFonts w:hint="eastAsia" w:ascii="宋体" w:hAnsi="宋体" w:eastAsia="宋体" w:cs="宋体"/>
          <w:b/>
          <w:bCs/>
          <w:color w:val="000000"/>
          <w:szCs w:val="21"/>
          <w:highlight w:val="none"/>
        </w:rPr>
      </w:r>
      <w:r/>
    </w:p>
    <w:p>
      <w:pPr>
        <w:pStyle w:val="996"/>
        <w:ind w:left="0" w:firstLine="0"/>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南通市大数据管理中心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根据贵方____号招标文件，正式授权_____(被授权人姓名)代表我方_______（投标人的名称），全权处理本次项目投标的有关事宜。</w:t>
      </w:r>
      <w:r>
        <w:rPr>
          <w:rFonts w:hint="eastAsia" w:ascii="宋体" w:hAnsi="宋体" w:eastAsia="宋体" w:cs="宋体"/>
          <w:color w:val="000000"/>
          <w:sz w:val="21"/>
          <w:szCs w:val="21"/>
          <w:highlight w:val="none"/>
        </w:rPr>
      </w:r>
      <w:r/>
    </w:p>
    <w:p>
      <w:pPr>
        <w:pStyle w:val="733"/>
        <w:ind w:firstLine="560"/>
        <w:jc w:val="left"/>
        <w:spacing w:line="48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据此函，__________（被授权人</w:t>
      </w:r>
      <w:r>
        <w:rPr>
          <w:rFonts w:hint="eastAsia" w:ascii="宋体" w:hAnsi="宋体" w:eastAsia="宋体" w:cs="宋体"/>
          <w:b/>
          <w:bCs/>
          <w:color w:val="000000"/>
          <w:szCs w:val="21"/>
          <w:highlight w:val="none"/>
        </w:rPr>
        <w:t xml:space="preserve">签字</w:t>
      </w:r>
      <w:r>
        <w:rPr>
          <w:rFonts w:hint="eastAsia" w:ascii="宋体" w:hAnsi="宋体" w:eastAsia="宋体" w:cs="宋体"/>
          <w:color w:val="000000"/>
          <w:szCs w:val="21"/>
          <w:highlight w:val="none"/>
        </w:rPr>
        <w:t xml:space="preserve">）兹宣布同意如下：</w:t>
      </w:r>
      <w:r>
        <w:rPr>
          <w:rFonts w:hint="eastAsia" w:ascii="宋体" w:hAnsi="宋体" w:eastAsia="宋体" w:cs="宋体"/>
          <w:color w:val="000000"/>
          <w:szCs w:val="21"/>
          <w:highlight w:val="none"/>
        </w:rPr>
      </w:r>
      <w:r/>
    </w:p>
    <w:p>
      <w:pPr>
        <w:pStyle w:val="9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1.按招标文件规定的各项要求，向买方提供所需货物（包含与货物相关的服务）。</w:t>
      </w:r>
      <w:r>
        <w:rPr>
          <w:rFonts w:hint="eastAsia" w:ascii="宋体" w:hAnsi="宋体" w:eastAsia="宋体" w:cs="宋体"/>
          <w:color w:val="000000"/>
          <w:sz w:val="21"/>
          <w:szCs w:val="21"/>
          <w:highlight w:val="none"/>
        </w:rPr>
      </w:r>
      <w:r/>
    </w:p>
    <w:p>
      <w:pPr>
        <w:pStyle w:val="9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2.我们完全理解贵方不一定将合同授予最低报价的投标供应商。</w:t>
      </w:r>
      <w:r>
        <w:rPr>
          <w:rFonts w:hint="eastAsia" w:ascii="宋体" w:hAnsi="宋体" w:eastAsia="宋体" w:cs="宋体"/>
          <w:color w:val="000000"/>
          <w:sz w:val="21"/>
          <w:szCs w:val="21"/>
          <w:highlight w:val="none"/>
        </w:rPr>
      </w:r>
      <w:r/>
    </w:p>
    <w:p>
      <w:pPr>
        <w:pStyle w:val="9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9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9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9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1"/>
          <w:szCs w:val="21"/>
          <w:highlight w:val="none"/>
        </w:rPr>
      </w:r>
      <w:r/>
    </w:p>
    <w:p>
      <w:pPr>
        <w:pStyle w:val="9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7.与本投标有关的正式通讯地址为：</w:t>
      </w:r>
      <w:r>
        <w:rPr>
          <w:rFonts w:hint="eastAsia" w:ascii="宋体" w:hAnsi="宋体" w:eastAsia="宋体" w:cs="宋体"/>
          <w:color w:val="000000"/>
          <w:sz w:val="21"/>
          <w:szCs w:val="21"/>
          <w:highlight w:val="none"/>
        </w:rPr>
      </w:r>
      <w:r/>
    </w:p>
    <w:p>
      <w:pPr>
        <w:pStyle w:val="996"/>
        <w:ind w:firstLine="5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996"/>
        <w:ind w:firstLine="5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996"/>
        <w:ind w:firstLine="5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rPr>
      </w:r>
      <w:r/>
    </w:p>
    <w:p>
      <w:pPr>
        <w:pStyle w:val="996"/>
        <w:ind w:firstLine="5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rPr>
      </w:r>
      <w:r/>
    </w:p>
    <w:p>
      <w:pPr>
        <w:pStyle w:val="996"/>
        <w:ind w:firstLine="5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投标供应商开户行：</w:t>
      </w:r>
      <w:r>
        <w:rPr>
          <w:rFonts w:hint="eastAsia" w:ascii="宋体" w:hAnsi="宋体" w:eastAsia="宋体" w:cs="宋体"/>
          <w:color w:val="000000"/>
          <w:sz w:val="21"/>
          <w:szCs w:val="21"/>
          <w:highlight w:val="none"/>
        </w:rPr>
      </w:r>
      <w:r/>
    </w:p>
    <w:p>
      <w:pPr>
        <w:pStyle w:val="996"/>
        <w:ind w:firstLine="596"/>
        <w:jc w:val="left"/>
        <w:spacing w:before="0" w:after="0"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 </w:t>
      </w:r>
      <w:r>
        <w:rPr>
          <w:rFonts w:hint="eastAsia" w:ascii="宋体" w:hAnsi="宋体" w:eastAsia="宋体" w:cs="宋体"/>
          <w:color w:val="000000"/>
          <w:sz w:val="21"/>
          <w:szCs w:val="21"/>
          <w:highlight w:val="none"/>
        </w:rPr>
      </w:r>
      <w:r/>
    </w:p>
    <w:p>
      <w:pPr>
        <w:pStyle w:val="733"/>
        <w:jc w:val="right"/>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jc w:val="right"/>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jc w:val="right"/>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投标供应商：（加盖CA电子公章）</w:t>
      </w:r>
      <w:r>
        <w:rPr>
          <w:rFonts w:hint="eastAsia" w:ascii="宋体" w:hAnsi="宋体" w:eastAsia="宋体" w:cs="宋体"/>
          <w:color w:val="000000"/>
          <w:szCs w:val="21"/>
          <w:highlight w:val="none"/>
        </w:rPr>
      </w:r>
      <w:r/>
    </w:p>
    <w:p>
      <w:pPr>
        <w:pStyle w:val="733"/>
        <w:jc w:val="right"/>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733"/>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733"/>
        <w:spacing w:line="500" w:lineRule="exact"/>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1073"/>
        <w:ind w:left="0" w:firstLine="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、实质性响应承诺函</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color w:val="000000"/>
          <w:sz w:val="21"/>
          <w:szCs w:val="21"/>
          <w:highlight w:val="none"/>
        </w:rPr>
        <w:t xml:space="preserve">技术参数要求中所有加“★”标志的为实质性指标，不允许有负偏离。须提供承诺函，格式自拟并加盖投标人公章</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67"/>
        <w:ind w:firstLine="56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33"/>
        <w:spacing w:line="460" w:lineRule="exact"/>
        <w:shd w:val="clear" w:color="auto" w:fil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、商务部分正负偏离表</w:t>
      </w:r>
      <w:r>
        <w:rPr>
          <w:rFonts w:hint="eastAsia" w:ascii="宋体" w:hAnsi="宋体" w:eastAsia="宋体" w:cs="宋体"/>
          <w:color w:val="000000"/>
          <w:szCs w:val="21"/>
          <w:highlight w:val="none"/>
        </w:rPr>
      </w:r>
      <w:r/>
    </w:p>
    <w:p>
      <w:pPr>
        <w:pStyle w:val="733"/>
        <w:contextualSpacing/>
        <w:jc w:val="center"/>
        <w:spacing w:line="300" w:lineRule="auto"/>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3"/>
        <w:jc w:val="center"/>
        <w:spacing w:line="480" w:lineRule="auto"/>
        <w:shd w:val="clear" w:color="auto" w:fill="auto"/>
        <w:rPr>
          <w:rFonts w:hint="eastAsia" w:ascii="宋体" w:hAnsi="宋体" w:eastAsia="宋体" w:cs="宋体"/>
          <w:b/>
          <w:bCs/>
          <w:color w:val="000000"/>
          <w:sz w:val="24"/>
          <w:highlight w:val="none"/>
          <w:u w:val="single"/>
          <w:lang w:eastAsia="en-US"/>
        </w:rPr>
      </w:pPr>
      <w:r>
        <w:rPr>
          <w:rFonts w:hint="eastAsia" w:ascii="宋体" w:hAnsi="宋体" w:eastAsia="宋体" w:cs="宋体"/>
          <w:b/>
          <w:bCs/>
          <w:color w:val="000000"/>
          <w:szCs w:val="21"/>
          <w:highlight w:val="none"/>
        </w:rPr>
        <w:t xml:space="preserve">商务部分正负偏离表</w:t>
      </w:r>
      <w:r>
        <w:rPr>
          <w:rFonts w:hint="eastAsia" w:ascii="宋体" w:hAnsi="宋体" w:eastAsia="宋体" w:cs="宋体"/>
          <w:b/>
          <w:bCs/>
          <w:color w:val="000000"/>
          <w:sz w:val="24"/>
          <w:highlight w:val="none"/>
          <w:u w:val="single"/>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3291"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852"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sz w:val="24"/>
                <w:highlight w:val="none"/>
              </w:rPr>
            </w:r>
            <w:r/>
          </w:p>
        </w:tc>
        <w:tc>
          <w:tcPr>
            <w:tcW w:w="1308"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173"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rPr>
            </w:r>
            <w:r/>
          </w:p>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33"/>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行数不够，可自行添加。</w:t>
      </w:r>
      <w:r>
        <w:rPr>
          <w:rFonts w:hint="eastAsia" w:ascii="宋体" w:hAnsi="宋体" w:eastAsia="宋体" w:cs="宋体"/>
          <w:color w:val="000000"/>
          <w:sz w:val="24"/>
          <w:highlight w:val="none"/>
        </w:rPr>
      </w:r>
      <w:r/>
    </w:p>
    <w:p>
      <w:pPr>
        <w:pStyle w:val="733"/>
        <w:ind w:firstLine="492"/>
        <w:jc w:val="right"/>
        <w:spacing w:line="460" w:lineRule="exact"/>
        <w:shd w:val="clear" w:color="auto" w:fill="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供应商：（加盖CA电子公章）</w:t>
      </w:r>
      <w:r>
        <w:rPr>
          <w:rFonts w:hint="eastAsia" w:ascii="宋体" w:hAnsi="宋体" w:eastAsia="宋体" w:cs="宋体"/>
          <w:color w:val="000000"/>
          <w:sz w:val="24"/>
          <w:szCs w:val="21"/>
          <w:highlight w:val="none"/>
        </w:rPr>
      </w:r>
      <w:r/>
    </w:p>
    <w:p>
      <w:pPr>
        <w:pStyle w:val="753"/>
        <w:shd w:val="clear" w:color="auto" w:fill="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67"/>
        <w:ind w:left="840" w:firstLine="0"/>
        <w:jc w:val="right"/>
        <w:shd w:val="clear" w:color="auto" w:fill="auto"/>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   年</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 月 </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日</w:t>
      </w:r>
      <w:r>
        <w:rPr>
          <w:rFonts w:hint="eastAsia" w:ascii="宋体" w:hAnsi="宋体" w:eastAsia="宋体" w:cs="宋体"/>
          <w:color w:val="000000"/>
          <w:highlight w:val="none"/>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3"/>
        <w:contextualSpacing/>
        <w:ind w:firstLine="540"/>
        <w:spacing w:line="40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33"/>
        <w:shd w:val="clear" w:color="auto" w:fill="auto"/>
        <w:rPr>
          <w:rFonts w:hint="eastAsia" w:ascii="宋体" w:hAnsi="宋体" w:eastAsia="宋体" w:cs="宋体"/>
          <w:bCs/>
          <w:color w:val="000000"/>
          <w:szCs w:val="21"/>
          <w:highlight w:val="none"/>
        </w:rPr>
      </w:pPr>
      <w:r>
        <w:rPr>
          <w:rFonts w:hint="eastAsia" w:ascii="宋体" w:hAnsi="宋体" w:eastAsia="宋体" w:cs="宋体"/>
          <w:b/>
          <w:bCs/>
          <w:color w:val="000000"/>
          <w:szCs w:val="21"/>
          <w:highlight w:val="none"/>
          <w:lang w:val="en-US" w:eastAsia="zh-CN"/>
        </w:rPr>
        <w:t xml:space="preserve">九</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技术</w:t>
      </w:r>
      <w:r>
        <w:rPr>
          <w:rFonts w:hint="eastAsia" w:ascii="宋体" w:hAnsi="宋体" w:eastAsia="宋体" w:cs="宋体"/>
          <w:b/>
          <w:bCs/>
          <w:color w:val="000000"/>
          <w:szCs w:val="21"/>
          <w:highlight w:val="none"/>
        </w:rPr>
        <w:t xml:space="preserve">部分正负偏离表</w:t>
      </w:r>
      <w:r>
        <w:rPr>
          <w:rFonts w:hint="eastAsia" w:ascii="宋体" w:hAnsi="宋体" w:eastAsia="宋体" w:cs="宋体"/>
          <w:bCs/>
          <w:color w:val="000000"/>
          <w:szCs w:val="21"/>
          <w:highlight w:val="none"/>
        </w:rPr>
      </w:r>
      <w:r/>
    </w:p>
    <w:p>
      <w:pPr>
        <w:pStyle w:val="733"/>
        <w:contextualSpacing/>
        <w:jc w:val="center"/>
        <w:spacing w:line="300" w:lineRule="auto"/>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技术部分正负偏离表</w:t>
      </w:r>
      <w:r>
        <w:rPr>
          <w:rFonts w:hint="eastAsia" w:ascii="宋体" w:hAnsi="宋体" w:eastAsia="宋体" w:cs="宋体"/>
          <w:b/>
          <w:color w:val="000000"/>
          <w:szCs w:val="21"/>
          <w:highlight w:val="none"/>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733"/>
              <w:spacing w:line="480" w:lineRule="auto"/>
              <w:shd w:val="clear" w:color="auto" w:fill="auto"/>
              <w:rPr>
                <w:rFonts w:hint="eastAsia" w:ascii="宋体" w:hAnsi="宋体" w:eastAsia="宋体" w:cs="宋体"/>
                <w:color w:val="000000"/>
                <w:sz w:val="24"/>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3291"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852"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sz w:val="24"/>
                <w:highlight w:val="none"/>
              </w:rPr>
            </w:r>
            <w:r/>
          </w:p>
        </w:tc>
        <w:tc>
          <w:tcPr>
            <w:tcW w:w="1308"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173" w:type="dxa"/>
            <w:vAlign w:val="center"/>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rPr>
            </w:r>
            <w:r/>
          </w:p>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852"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3"/>
              <w:jc w:val="cente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33"/>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行数不够，可自行添加。</w:t>
      </w:r>
      <w:r>
        <w:rPr>
          <w:rFonts w:hint="eastAsia" w:ascii="宋体" w:hAnsi="宋体" w:eastAsia="宋体" w:cs="宋体"/>
          <w:color w:val="000000"/>
          <w:sz w:val="24"/>
          <w:highlight w:val="none"/>
        </w:rPr>
      </w:r>
      <w:r/>
    </w:p>
    <w:p>
      <w:pPr>
        <w:pStyle w:val="733"/>
        <w:ind w:firstLine="492"/>
        <w:jc w:val="right"/>
        <w:spacing w:line="460" w:lineRule="exact"/>
        <w:shd w:val="clear" w:color="auto" w:fill="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供应商：（加盖CA电子公章）</w:t>
      </w:r>
      <w:r>
        <w:rPr>
          <w:rFonts w:hint="eastAsia" w:ascii="宋体" w:hAnsi="宋体" w:eastAsia="宋体" w:cs="宋体"/>
          <w:color w:val="000000"/>
          <w:sz w:val="24"/>
          <w:szCs w:val="21"/>
          <w:highlight w:val="none"/>
        </w:rPr>
      </w:r>
      <w:r/>
    </w:p>
    <w:p>
      <w:pPr>
        <w:pStyle w:val="753"/>
        <w:jc w:val="right"/>
        <w:shd w:val="clear" w:color="auto" w:fill="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53"/>
        <w:jc w:val="right"/>
        <w:shd w:val="clear" w:color="auto" w:fill="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年</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 月 </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日</w:t>
      </w:r>
      <w:r>
        <w:rPr>
          <w:rFonts w:hint="eastAsia" w:ascii="宋体" w:hAnsi="宋体" w:eastAsia="宋体" w:cs="宋体"/>
          <w:color w:val="000000"/>
          <w:sz w:val="24"/>
          <w:szCs w:val="21"/>
          <w:highlight w:val="none"/>
        </w:rPr>
      </w:r>
      <w:r/>
    </w:p>
    <w:p>
      <w:pPr>
        <w:pStyle w:val="733"/>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3"/>
        <w:spacing w:line="50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color w:val="000000"/>
          <w:szCs w:val="21"/>
          <w:highlight w:val="none"/>
          <w:lang w:val="en-US" w:eastAsia="zh-CN"/>
        </w:rPr>
        <w:t xml:space="preserve">十</w:t>
      </w:r>
      <w:r>
        <w:rPr>
          <w:rFonts w:hint="eastAsia" w:ascii="宋体" w:hAnsi="宋体" w:eastAsia="宋体" w:cs="宋体"/>
          <w:b/>
          <w:bCs/>
          <w:color w:val="000000"/>
          <w:szCs w:val="21"/>
          <w:highlight w:val="none"/>
        </w:rPr>
        <w:t xml:space="preserve">、落实政府采购政策需满足的资格要求：</w:t>
      </w:r>
      <w:r>
        <w:rPr>
          <w:rFonts w:hint="eastAsia" w:ascii="宋体" w:hAnsi="宋体" w:eastAsia="宋体" w:cs="宋体"/>
          <w:b/>
          <w:bCs/>
          <w:color w:val="000000"/>
          <w:szCs w:val="21"/>
          <w:highlight w:val="none"/>
        </w:rPr>
      </w:r>
      <w:r/>
    </w:p>
    <w:p>
      <w:pPr>
        <w:pStyle w:val="733"/>
        <w:jc w:val="center"/>
        <w:spacing w:line="300" w:lineRule="auto"/>
        <w:shd w:val="clear" w:color="auto" w:fill="auto"/>
        <w:rPr>
          <w:rFonts w:hint="eastAsia" w:ascii="宋体" w:hAnsi="宋体" w:eastAsia="宋体" w:cs="宋体"/>
          <w:b/>
          <w:bCs/>
          <w:color w:val="000000"/>
          <w:szCs w:val="21"/>
          <w:highlight w:val="none"/>
          <w:lang w:bidi="zh-CN"/>
        </w:rPr>
        <w:outlineLvl w:val="0"/>
      </w:pPr>
      <w:r>
        <w:rPr>
          <w:rFonts w:hint="eastAsia" w:ascii="宋体" w:hAnsi="宋体" w:eastAsia="宋体" w:cs="宋体"/>
          <w:b/>
          <w:bCs/>
          <w:color w:val="000000"/>
          <w:szCs w:val="21"/>
          <w:highlight w:val="none"/>
          <w:lang w:bidi="zh-CN"/>
        </w:rPr>
      </w:r>
      <w:r/>
    </w:p>
    <w:p>
      <w:pPr>
        <w:pStyle w:val="733"/>
        <w:jc w:val="center"/>
        <w:spacing w:line="300" w:lineRule="auto"/>
        <w:shd w:val="clear" w:color="auto" w:fill="auto"/>
        <w:rPr>
          <w:rFonts w:hint="eastAsia" w:ascii="宋体" w:hAnsi="宋体" w:eastAsia="宋体" w:cs="宋体"/>
          <w:b/>
          <w:bCs/>
          <w:color w:val="000000"/>
          <w:szCs w:val="21"/>
          <w:highlight w:val="none"/>
          <w:lang w:bidi="zh-CN"/>
        </w:rPr>
        <w:outlineLvl w:val="0"/>
      </w:pPr>
      <w:r>
        <w:rPr>
          <w:rFonts w:hint="eastAsia" w:ascii="宋体" w:hAnsi="宋体" w:eastAsia="宋体" w:cs="宋体"/>
          <w:b/>
          <w:bCs/>
          <w:color w:val="000000"/>
          <w:szCs w:val="21"/>
          <w:highlight w:val="none"/>
          <w:lang w:bidi="zh-CN"/>
        </w:rPr>
        <w:t xml:space="preserve">中小企业声明函（货物）</w:t>
      </w:r>
      <w:r>
        <w:rPr>
          <w:rFonts w:hint="eastAsia" w:ascii="宋体" w:hAnsi="宋体" w:eastAsia="宋体" w:cs="宋体"/>
          <w:b/>
          <w:bCs/>
          <w:color w:val="000000"/>
          <w:szCs w:val="21"/>
          <w:highlight w:val="none"/>
          <w:lang w:bidi="zh-CN"/>
        </w:rPr>
      </w:r>
      <w:r/>
    </w:p>
    <w:p>
      <w:pPr>
        <w:pStyle w:val="733"/>
        <w:ind w:firstLine="560"/>
        <w:spacing w:line="36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bidi="zh-CN"/>
        </w:rPr>
        <w:t xml:space="preserve">（单位名称）</w:t>
      </w:r>
      <w:r>
        <w:rPr>
          <w:rFonts w:hint="eastAsia" w:ascii="宋体" w:hAnsi="宋体" w:eastAsia="宋体" w:cs="宋体"/>
          <w:color w:val="000000"/>
          <w:szCs w:val="21"/>
          <w:highlight w:val="none"/>
          <w:lang w:bidi="zh-CN"/>
        </w:rPr>
        <w:t xml:space="preserve">的</w:t>
      </w:r>
      <w:r>
        <w:rPr>
          <w:rFonts w:hint="eastAsia" w:ascii="宋体" w:hAnsi="宋体" w:eastAsia="宋体" w:cs="宋体"/>
          <w:color w:val="000000"/>
          <w:szCs w:val="21"/>
          <w:highlight w:val="none"/>
          <w:u w:val="single"/>
          <w:lang w:bidi="zh-CN"/>
        </w:rPr>
        <w:t xml:space="preserve">（项目名称）</w:t>
      </w:r>
      <w:r>
        <w:rPr>
          <w:rFonts w:hint="eastAsia" w:ascii="宋体" w:hAnsi="宋体" w:eastAsia="宋体" w:cs="宋体"/>
          <w:color w:val="000000"/>
          <w:szCs w:val="21"/>
          <w:highlight w:val="none"/>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eastAsia="宋体" w:cs="宋体"/>
          <w:color w:val="000000"/>
          <w:szCs w:val="21"/>
          <w:highlight w:val="none"/>
          <w:lang w:bidi="zh-CN"/>
        </w:rPr>
      </w:r>
      <w:r/>
    </w:p>
    <w:p>
      <w:pPr>
        <w:pStyle w:val="733"/>
        <w:numPr>
          <w:ilvl w:val="0"/>
          <w:numId w:val="0"/>
        </w:numPr>
        <w:ind w:firstLine="420"/>
        <w:spacing w:line="36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u w:val="single"/>
          <w:lang w:val="en-US" w:bidi="zh-CN"/>
        </w:rPr>
        <w:t xml:space="preserve">1.   </w:t>
      </w:r>
      <w:r>
        <w:rPr>
          <w:rFonts w:hint="eastAsia" w:ascii="宋体" w:hAnsi="宋体" w:eastAsia="宋体" w:cs="宋体"/>
          <w:color w:val="000000"/>
          <w:szCs w:val="21"/>
          <w:highlight w:val="none"/>
          <w:u w:val="single"/>
          <w:lang w:bidi="zh-CN"/>
        </w:rPr>
        <w:t xml:space="preserve">（标的名称）</w:t>
      </w:r>
      <w:r>
        <w:rPr>
          <w:rFonts w:hint="eastAsia" w:ascii="宋体" w:hAnsi="宋体" w:eastAsia="宋体" w:cs="宋体"/>
          <w:color w:val="000000"/>
          <w:szCs w:val="21"/>
          <w:highlight w:val="none"/>
          <w:lang w:bidi="zh-CN"/>
        </w:rPr>
        <w:t xml:space="preserve"> ，属于 </w:t>
      </w:r>
      <w:r>
        <w:rPr>
          <w:rStyle w:val="1053"/>
          <w:rFonts w:hint="eastAsia" w:ascii="宋体" w:hAnsi="宋体" w:eastAsia="宋体" w:cs="宋体"/>
          <w:bCs/>
          <w:color w:val="000000"/>
          <w:szCs w:val="21"/>
          <w:highlight w:val="none"/>
          <w:u w:val="single"/>
        </w:rPr>
        <w:t xml:space="preserve">工业</w:t>
      </w:r>
      <w:r>
        <w:rPr>
          <w:rFonts w:hint="eastAsia" w:ascii="宋体" w:hAnsi="宋体" w:eastAsia="宋体" w:cs="宋体"/>
          <w:color w:val="000000"/>
          <w:szCs w:val="21"/>
          <w:highlight w:val="none"/>
          <w:u w:val="single"/>
          <w:lang w:bidi="zh-CN"/>
        </w:rPr>
        <w:t xml:space="preserve">（采购文件中明确的所属行业）</w:t>
      </w:r>
      <w:r>
        <w:rPr>
          <w:rFonts w:hint="eastAsia" w:ascii="宋体" w:hAnsi="宋体" w:eastAsia="宋体" w:cs="宋体"/>
          <w:color w:val="000000"/>
          <w:szCs w:val="21"/>
          <w:highlight w:val="none"/>
          <w:lang w:bidi="zh-CN"/>
        </w:rPr>
        <w:t xml:space="preserve">行业；制造商为</w:t>
      </w:r>
      <w:r>
        <w:rPr>
          <w:rFonts w:hint="eastAsia" w:ascii="宋体" w:hAnsi="宋体" w:eastAsia="宋体" w:cs="宋体"/>
          <w:color w:val="000000"/>
          <w:szCs w:val="21"/>
          <w:highlight w:val="none"/>
          <w:u w:val="single"/>
          <w:lang w:bidi="zh-CN"/>
        </w:rPr>
        <w:t xml:space="preserve">    （企业名称）</w:t>
      </w:r>
      <w:r>
        <w:rPr>
          <w:rFonts w:hint="eastAsia" w:ascii="宋体" w:hAnsi="宋体" w:eastAsia="宋体" w:cs="宋体"/>
          <w:color w:val="000000"/>
          <w:szCs w:val="21"/>
          <w:highlight w:val="none"/>
          <w:lang w:bidi="zh-CN"/>
        </w:rPr>
        <w:t xml:space="preserve">，从业人员</w:t>
      </w:r>
      <w:r>
        <w:rPr>
          <w:rFonts w:hint="eastAsia" w:ascii="宋体" w:hAnsi="宋体" w:eastAsia="宋体" w:cs="宋体"/>
          <w:color w:val="000000"/>
          <w:szCs w:val="21"/>
          <w:highlight w:val="none"/>
          <w:u w:val="single"/>
          <w:lang w:bidi="zh-CN"/>
        </w:rPr>
        <w:tab/>
      </w:r>
      <w:r>
        <w:rPr>
          <w:rFonts w:hint="eastAsia" w:ascii="宋体" w:hAnsi="宋体" w:eastAsia="宋体" w:cs="宋体"/>
          <w:color w:val="000000"/>
          <w:szCs w:val="21"/>
          <w:highlight w:val="none"/>
          <w:lang w:bidi="zh-CN"/>
        </w:rPr>
        <w:t xml:space="preserve">人，营业收入为</w:t>
      </w:r>
      <w:r>
        <w:rPr>
          <w:rFonts w:hint="eastAsia" w:ascii="宋体" w:hAnsi="宋体" w:eastAsia="宋体" w:cs="宋体"/>
          <w:color w:val="000000"/>
          <w:szCs w:val="21"/>
          <w:highlight w:val="none"/>
          <w:u w:val="single"/>
          <w:lang w:bidi="zh-CN"/>
        </w:rPr>
        <w:tab/>
      </w:r>
      <w:r>
        <w:rPr>
          <w:rFonts w:hint="eastAsia" w:ascii="宋体" w:hAnsi="宋体" w:eastAsia="宋体" w:cs="宋体"/>
          <w:color w:val="000000"/>
          <w:szCs w:val="21"/>
          <w:highlight w:val="none"/>
          <w:lang w:bidi="zh-CN"/>
        </w:rPr>
        <w:t xml:space="preserve">万元，资产总额为</w:t>
      </w:r>
      <w:r>
        <w:rPr>
          <w:rFonts w:hint="eastAsia" w:ascii="宋体" w:hAnsi="宋体" w:eastAsia="宋体" w:cs="宋体"/>
          <w:color w:val="000000"/>
          <w:szCs w:val="21"/>
          <w:highlight w:val="none"/>
          <w:u w:val="single"/>
          <w:lang w:bidi="zh-CN"/>
        </w:rPr>
        <w:tab/>
      </w:r>
      <w:r>
        <w:rPr>
          <w:rFonts w:hint="eastAsia" w:ascii="宋体" w:hAnsi="宋体" w:eastAsia="宋体" w:cs="宋体"/>
          <w:color w:val="000000"/>
          <w:szCs w:val="21"/>
          <w:highlight w:val="none"/>
          <w:lang w:bidi="zh-CN"/>
        </w:rPr>
        <w:t xml:space="preserve">万元，属于</w:t>
      </w:r>
      <w:r>
        <w:rPr>
          <w:rFonts w:hint="eastAsia" w:ascii="宋体" w:hAnsi="宋体" w:eastAsia="宋体" w:cs="宋体"/>
          <w:color w:val="000000"/>
          <w:szCs w:val="21"/>
          <w:highlight w:val="none"/>
          <w:u w:val="single"/>
          <w:lang w:bidi="zh-CN"/>
        </w:rPr>
        <w:t xml:space="preserve">  （中型企业、小型企业、微型企业）</w:t>
      </w:r>
      <w:r>
        <w:rPr>
          <w:rFonts w:hint="eastAsia" w:ascii="宋体" w:hAnsi="宋体" w:eastAsia="宋体" w:cs="宋体"/>
          <w:color w:val="000000"/>
          <w:szCs w:val="21"/>
          <w:highlight w:val="none"/>
          <w:lang w:bidi="zh-CN"/>
        </w:rPr>
        <w:t xml:space="preserve">；</w:t>
      </w:r>
      <w:r>
        <w:rPr>
          <w:rFonts w:hint="eastAsia" w:ascii="宋体" w:hAnsi="宋体" w:eastAsia="宋体" w:cs="宋体"/>
          <w:color w:val="000000"/>
          <w:szCs w:val="21"/>
          <w:highlight w:val="none"/>
          <w:lang w:bidi="zh-CN"/>
        </w:rPr>
      </w:r>
      <w:r/>
    </w:p>
    <w:p>
      <w:pPr>
        <w:pStyle w:val="733"/>
        <w:numPr>
          <w:ilvl w:val="0"/>
          <w:numId w:val="0"/>
        </w:numPr>
        <w:ind w:firstLine="420"/>
        <w:spacing w:line="36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u w:val="single"/>
          <w:lang w:val="en-US" w:bidi="zh-CN"/>
        </w:rPr>
        <w:t xml:space="preserve">2.   </w:t>
      </w:r>
      <w:r>
        <w:rPr>
          <w:rFonts w:hint="eastAsia" w:ascii="宋体" w:hAnsi="宋体" w:eastAsia="宋体" w:cs="宋体"/>
          <w:color w:val="000000"/>
          <w:szCs w:val="21"/>
          <w:highlight w:val="none"/>
          <w:u w:val="single"/>
          <w:lang w:bidi="zh-CN"/>
        </w:rPr>
        <w:t xml:space="preserve">（标的名称）</w:t>
      </w:r>
      <w:r>
        <w:rPr>
          <w:rFonts w:hint="eastAsia" w:ascii="宋体" w:hAnsi="宋体" w:eastAsia="宋体" w:cs="宋体"/>
          <w:color w:val="000000"/>
          <w:szCs w:val="21"/>
          <w:highlight w:val="none"/>
          <w:lang w:bidi="zh-CN"/>
        </w:rPr>
        <w:t xml:space="preserve"> ，属于 </w:t>
      </w:r>
      <w:r>
        <w:rPr>
          <w:rStyle w:val="1053"/>
          <w:rFonts w:hint="eastAsia" w:ascii="宋体" w:hAnsi="宋体" w:eastAsia="宋体" w:cs="宋体"/>
          <w:bCs/>
          <w:color w:val="000000"/>
          <w:szCs w:val="21"/>
          <w:highlight w:val="none"/>
          <w:u w:val="single"/>
        </w:rPr>
        <w:t xml:space="preserve">工业</w:t>
      </w:r>
      <w:r>
        <w:rPr>
          <w:rFonts w:hint="eastAsia" w:ascii="宋体" w:hAnsi="宋体" w:eastAsia="宋体" w:cs="宋体"/>
          <w:color w:val="000000"/>
          <w:szCs w:val="21"/>
          <w:highlight w:val="none"/>
          <w:u w:val="single"/>
          <w:lang w:bidi="zh-CN"/>
        </w:rPr>
        <w:t xml:space="preserve">（采购文件中明确的所属行业）</w:t>
      </w:r>
      <w:r>
        <w:rPr>
          <w:rFonts w:hint="eastAsia" w:ascii="宋体" w:hAnsi="宋体" w:eastAsia="宋体" w:cs="宋体"/>
          <w:color w:val="000000"/>
          <w:szCs w:val="21"/>
          <w:highlight w:val="none"/>
          <w:lang w:bidi="zh-CN"/>
        </w:rPr>
        <w:t xml:space="preserve">行业；制造商为</w:t>
      </w:r>
      <w:r>
        <w:rPr>
          <w:rFonts w:hint="eastAsia" w:ascii="宋体" w:hAnsi="宋体" w:eastAsia="宋体" w:cs="宋体"/>
          <w:color w:val="000000"/>
          <w:szCs w:val="21"/>
          <w:highlight w:val="none"/>
          <w:u w:val="single"/>
          <w:lang w:bidi="zh-CN"/>
        </w:rPr>
        <w:t xml:space="preserve">    （企业名称）</w:t>
      </w:r>
      <w:r>
        <w:rPr>
          <w:rFonts w:hint="eastAsia" w:ascii="宋体" w:hAnsi="宋体" w:eastAsia="宋体" w:cs="宋体"/>
          <w:color w:val="000000"/>
          <w:szCs w:val="21"/>
          <w:highlight w:val="none"/>
          <w:lang w:bidi="zh-CN"/>
        </w:rPr>
        <w:t xml:space="preserve">，从业人员</w:t>
      </w:r>
      <w:r>
        <w:rPr>
          <w:rFonts w:hint="eastAsia" w:ascii="宋体" w:hAnsi="宋体" w:eastAsia="宋体" w:cs="宋体"/>
          <w:color w:val="000000"/>
          <w:szCs w:val="21"/>
          <w:highlight w:val="none"/>
          <w:u w:val="single"/>
          <w:lang w:bidi="zh-CN"/>
        </w:rPr>
        <w:tab/>
      </w:r>
      <w:r>
        <w:rPr>
          <w:rFonts w:hint="eastAsia" w:ascii="宋体" w:hAnsi="宋体" w:eastAsia="宋体" w:cs="宋体"/>
          <w:color w:val="000000"/>
          <w:szCs w:val="21"/>
          <w:highlight w:val="none"/>
          <w:lang w:bidi="zh-CN"/>
        </w:rPr>
        <w:t xml:space="preserve">人，营业收入为</w:t>
      </w:r>
      <w:r>
        <w:rPr>
          <w:rFonts w:hint="eastAsia" w:ascii="宋体" w:hAnsi="宋体" w:eastAsia="宋体" w:cs="宋体"/>
          <w:color w:val="000000"/>
          <w:szCs w:val="21"/>
          <w:highlight w:val="none"/>
          <w:u w:val="single"/>
          <w:lang w:bidi="zh-CN"/>
        </w:rPr>
        <w:tab/>
      </w:r>
      <w:r>
        <w:rPr>
          <w:rFonts w:hint="eastAsia" w:ascii="宋体" w:hAnsi="宋体" w:eastAsia="宋体" w:cs="宋体"/>
          <w:color w:val="000000"/>
          <w:szCs w:val="21"/>
          <w:highlight w:val="none"/>
          <w:lang w:bidi="zh-CN"/>
        </w:rPr>
        <w:t xml:space="preserve">万元，资产总额为</w:t>
      </w:r>
      <w:r>
        <w:rPr>
          <w:rFonts w:hint="eastAsia" w:ascii="宋体" w:hAnsi="宋体" w:eastAsia="宋体" w:cs="宋体"/>
          <w:color w:val="000000"/>
          <w:szCs w:val="21"/>
          <w:highlight w:val="none"/>
          <w:u w:val="single"/>
          <w:lang w:bidi="zh-CN"/>
        </w:rPr>
        <w:tab/>
      </w:r>
      <w:r>
        <w:rPr>
          <w:rFonts w:hint="eastAsia" w:ascii="宋体" w:hAnsi="宋体" w:eastAsia="宋体" w:cs="宋体"/>
          <w:color w:val="000000"/>
          <w:szCs w:val="21"/>
          <w:highlight w:val="none"/>
          <w:lang w:bidi="zh-CN"/>
        </w:rPr>
        <w:t xml:space="preserve">万元，属于</w:t>
      </w:r>
      <w:r>
        <w:rPr>
          <w:rFonts w:hint="eastAsia" w:ascii="宋体" w:hAnsi="宋体" w:eastAsia="宋体" w:cs="宋体"/>
          <w:color w:val="000000"/>
          <w:szCs w:val="21"/>
          <w:highlight w:val="none"/>
          <w:u w:val="single"/>
          <w:lang w:bidi="zh-CN"/>
        </w:rPr>
        <w:t xml:space="preserve">  （中型企业、小型企业、微型企业）</w:t>
      </w:r>
      <w:r>
        <w:rPr>
          <w:rFonts w:hint="eastAsia" w:ascii="宋体" w:hAnsi="宋体" w:eastAsia="宋体" w:cs="宋体"/>
          <w:color w:val="000000"/>
          <w:szCs w:val="21"/>
          <w:highlight w:val="none"/>
          <w:lang w:bidi="zh-CN"/>
        </w:rPr>
        <w:t xml:space="preserve">；</w:t>
      </w:r>
      <w:r>
        <w:rPr>
          <w:rFonts w:hint="eastAsia" w:ascii="宋体" w:hAnsi="宋体" w:eastAsia="宋体" w:cs="宋体"/>
          <w:color w:val="000000"/>
          <w:szCs w:val="21"/>
          <w:highlight w:val="none"/>
          <w:lang w:bidi="zh-CN"/>
        </w:rPr>
      </w:r>
      <w:r/>
    </w:p>
    <w:p>
      <w:pPr>
        <w:pStyle w:val="733"/>
        <w:ind w:firstLine="560"/>
        <w:spacing w:line="36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w:t>
      </w:r>
      <w:r>
        <w:rPr>
          <w:rFonts w:hint="eastAsia" w:ascii="宋体" w:hAnsi="宋体" w:eastAsia="宋体" w:cs="宋体"/>
          <w:color w:val="000000"/>
          <w:szCs w:val="21"/>
          <w:highlight w:val="none"/>
          <w:lang w:bidi="zh-CN"/>
        </w:rPr>
      </w:r>
      <w:r/>
    </w:p>
    <w:p>
      <w:pPr>
        <w:pStyle w:val="733"/>
        <w:ind w:firstLine="560"/>
        <w:spacing w:line="36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lang w:bidi="zh-CN"/>
        </w:rPr>
      </w:r>
      <w:r/>
    </w:p>
    <w:p>
      <w:pPr>
        <w:pStyle w:val="733"/>
        <w:ind w:firstLine="560"/>
        <w:spacing w:line="36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本企业对上述声明内容的真实性负责。如有虚假，将依法承担相应责任。</w:t>
      </w:r>
      <w:r>
        <w:rPr>
          <w:rFonts w:hint="eastAsia" w:ascii="宋体" w:hAnsi="宋体" w:eastAsia="宋体" w:cs="宋体"/>
          <w:color w:val="000000"/>
          <w:szCs w:val="21"/>
          <w:highlight w:val="none"/>
          <w:lang w:bidi="zh-CN"/>
        </w:rPr>
      </w:r>
      <w:r/>
    </w:p>
    <w:p>
      <w:pPr>
        <w:pStyle w:val="733"/>
        <w:spacing w:line="30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r>
      <w:r/>
    </w:p>
    <w:p>
      <w:pPr>
        <w:pStyle w:val="733"/>
        <w:jc w:val="center"/>
        <w:spacing w:line="30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                      企业名称（盖章）：</w:t>
      </w:r>
      <w:r>
        <w:rPr>
          <w:rFonts w:hint="eastAsia" w:ascii="宋体" w:hAnsi="宋体" w:eastAsia="宋体" w:cs="宋体"/>
          <w:color w:val="000000"/>
          <w:szCs w:val="21"/>
          <w:highlight w:val="none"/>
          <w:lang w:bidi="zh-CN"/>
        </w:rPr>
      </w:r>
      <w:r/>
    </w:p>
    <w:p>
      <w:pPr>
        <w:pStyle w:val="733"/>
        <w:jc w:val="center"/>
        <w:spacing w:line="300" w:lineRule="auto"/>
        <w:shd w:val="clear" w:color="auto" w:fill="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          日期：</w:t>
      </w:r>
      <w:r>
        <w:rPr>
          <w:rFonts w:hint="eastAsia" w:ascii="宋体" w:hAnsi="宋体" w:eastAsia="宋体" w:cs="宋体"/>
          <w:color w:val="000000"/>
          <w:szCs w:val="21"/>
          <w:highlight w:val="none"/>
          <w:lang w:bidi="zh-CN"/>
        </w:rPr>
      </w:r>
      <w:r/>
    </w:p>
    <w:p>
      <w:pPr>
        <w:pStyle w:val="73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ind w:firstLine="432"/>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rPr>
          <w:rFonts w:hint="eastAsia" w:ascii="宋体" w:hAnsi="宋体" w:eastAsia="宋体" w:cs="宋体"/>
          <w:color w:val="000000"/>
          <w:szCs w:val="21"/>
          <w:highlight w:val="none"/>
        </w:rPr>
      </w:r>
      <w:r/>
    </w:p>
    <w:p>
      <w:pPr>
        <w:pStyle w:val="733"/>
        <w:ind w:firstLine="432"/>
        <w:spacing w:line="440" w:lineRule="exact"/>
        <w:shd w:val="clear" w:color="auto" w:fill="auto"/>
        <w:rPr>
          <w:rStyle w:val="1053"/>
          <w:rFonts w:hint="eastAsia" w:ascii="宋体" w:hAnsi="宋体" w:eastAsia="宋体" w:cs="宋体"/>
          <w:bCs/>
          <w:color w:val="000000"/>
          <w:szCs w:val="21"/>
          <w:highlight w:val="none"/>
        </w:rPr>
      </w:pPr>
      <w:r>
        <w:rPr>
          <w:rStyle w:val="1053"/>
          <w:rFonts w:hint="eastAsia" w:ascii="宋体" w:hAnsi="宋体" w:eastAsia="宋体" w:cs="宋体"/>
          <w:bCs/>
          <w:color w:val="000000"/>
          <w:szCs w:val="21"/>
          <w:highlight w:val="none"/>
        </w:rPr>
        <w:t xml:space="preserve">（1）从业人员、营业收入、资产总额填报上一年度数据，无上一年度数据的新成立企业可不填报。</w:t>
      </w:r>
      <w:r>
        <w:rPr>
          <w:rStyle w:val="1053"/>
          <w:rFonts w:hint="eastAsia" w:ascii="宋体" w:hAnsi="宋体" w:eastAsia="宋体" w:cs="宋体"/>
          <w:bCs/>
          <w:color w:val="000000"/>
          <w:szCs w:val="21"/>
          <w:highlight w:val="none"/>
        </w:rPr>
      </w:r>
      <w:r/>
    </w:p>
    <w:p>
      <w:pPr>
        <w:pStyle w:val="733"/>
        <w:ind w:firstLine="420"/>
        <w:spacing w:line="500" w:lineRule="exact"/>
        <w:shd w:val="clear" w:color="auto" w:fill="auto"/>
        <w:rPr>
          <w:rStyle w:val="1053"/>
          <w:rFonts w:hint="eastAsia" w:ascii="宋体" w:hAnsi="宋体" w:eastAsia="宋体" w:cs="宋体"/>
          <w:b/>
          <w:color w:val="000000"/>
          <w:szCs w:val="21"/>
          <w:highlight w:val="none"/>
          <w:u w:val="single"/>
        </w:rPr>
      </w:pPr>
      <w:r>
        <w:rPr>
          <w:rStyle w:val="1053"/>
          <w:rFonts w:hint="eastAsia" w:ascii="宋体" w:hAnsi="宋体" w:eastAsia="宋体" w:cs="宋体"/>
          <w:bCs/>
          <w:color w:val="000000"/>
          <w:szCs w:val="21"/>
          <w:highlight w:val="none"/>
        </w:rPr>
        <w:t xml:space="preserve">（2）</w:t>
      </w:r>
      <w:r>
        <w:rPr>
          <w:rStyle w:val="1053"/>
          <w:rFonts w:hint="eastAsia" w:ascii="宋体" w:hAnsi="宋体" w:eastAsia="宋体" w:cs="宋体"/>
          <w:bCs/>
          <w:color w:val="000000"/>
          <w:szCs w:val="21"/>
          <w:highlight w:val="none"/>
          <w:lang w:eastAsia="zh-CN"/>
        </w:rPr>
        <w:t xml:space="preserve">《</w:t>
      </w:r>
      <w:r>
        <w:rPr>
          <w:rStyle w:val="1053"/>
          <w:rFonts w:hint="eastAsia" w:ascii="宋体" w:hAnsi="宋体" w:eastAsia="宋体" w:cs="宋体"/>
          <w:bCs/>
          <w:color w:val="000000"/>
          <w:szCs w:val="21"/>
          <w:highlight w:val="none"/>
        </w:rPr>
        <w:t xml:space="preserve">关于印发中小企业划型标准规定的通知》中“工业”中小企业划型标准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1053"/>
          <w:rFonts w:hint="eastAsia" w:ascii="宋体" w:hAnsi="宋体" w:eastAsia="宋体" w:cs="宋体"/>
          <w:bCs/>
          <w:color w:val="000000"/>
          <w:szCs w:val="21"/>
          <w:highlight w:val="none"/>
        </w:rPr>
        <w:br w:type="textWrapping" w:clear="all"/>
      </w:r>
      <w:r>
        <w:rPr>
          <w:rStyle w:val="1053"/>
          <w:rFonts w:hint="eastAsia" w:ascii="宋体" w:hAnsi="宋体" w:eastAsia="宋体" w:cs="宋体"/>
          <w:bCs/>
          <w:color w:val="000000"/>
          <w:szCs w:val="21"/>
          <w:highlight w:val="none"/>
        </w:rPr>
        <w:t xml:space="preserve">   </w:t>
      </w:r>
      <w:r>
        <w:rPr>
          <w:rStyle w:val="1053"/>
          <w:rFonts w:hint="eastAsia" w:ascii="宋体" w:hAnsi="宋体" w:eastAsia="宋体" w:cs="宋体"/>
          <w:b/>
          <w:color w:val="000000"/>
          <w:szCs w:val="21"/>
          <w:highlight w:val="none"/>
          <w:u w:val="single"/>
        </w:rPr>
      </w:r>
      <w:r/>
    </w:p>
    <w:p>
      <w:pPr>
        <w:pStyle w:val="733"/>
        <w:shd w:val="clear" w:color="auto" w:fill="auto"/>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bCs/>
          <w:color w:val="000000"/>
          <w:sz w:val="24"/>
          <w:highlight w:val="none"/>
        </w:rPr>
      </w:r>
      <w:r/>
    </w:p>
    <w:p>
      <w:pPr>
        <w:pStyle w:val="745"/>
        <w:ind w:right="415"/>
        <w:jc w:val="center"/>
        <w:spacing w:line="360" w:lineRule="auto"/>
        <w:shd w:val="clear" w:color="auto" w:fill="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残疾人福利性单位声明函</w:t>
      </w:r>
      <w:r>
        <w:rPr>
          <w:rFonts w:hint="eastAsia" w:ascii="宋体" w:hAnsi="宋体" w:eastAsia="宋体" w:cs="宋体"/>
          <w:b/>
          <w:bCs/>
          <w:color w:val="000000"/>
          <w:szCs w:val="24"/>
          <w:highlight w:val="none"/>
        </w:rPr>
      </w:r>
      <w:r/>
    </w:p>
    <w:p>
      <w:pPr>
        <w:pStyle w:val="733"/>
        <w:ind w:firstLine="420"/>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项目采购活动由本单位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733"/>
        <w:ind w:firstLine="420"/>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733"/>
        <w:ind w:firstLine="420"/>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（备注：中标供应商为残疾人福利单位的，此声明函将随中标结果同时公告，接受社会监督）</w:t>
      </w:r>
      <w:r>
        <w:rPr>
          <w:rFonts w:hint="eastAsia" w:ascii="宋体" w:hAnsi="宋体" w:eastAsia="宋体" w:cs="宋体"/>
          <w:color w:val="000000"/>
          <w:szCs w:val="21"/>
          <w:highlight w:val="none"/>
        </w:rPr>
      </w:r>
      <w:r/>
    </w:p>
    <w:p>
      <w:pPr>
        <w:pStyle w:val="733"/>
        <w:ind w:firstLine="444"/>
        <w:spacing w:line="360" w:lineRule="auto"/>
        <w:shd w:val="clear" w:color="auto" w:fill="auto"/>
        <w:widowControl/>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733"/>
        <w:spacing w:line="360" w:lineRule="auto"/>
        <w:shd w:val="clear" w:color="auto" w:fill="auto"/>
        <w:widowControl/>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注：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hint="eastAsia" w:ascii="宋体" w:hAnsi="宋体" w:eastAsia="宋体" w:cs="宋体"/>
          <w:color w:val="000000"/>
          <w:szCs w:val="21"/>
          <w:highlight w:val="none"/>
          <w:lang w:bidi="zh-CN"/>
        </w:rPr>
      </w:r>
      <w:r/>
    </w:p>
    <w:p>
      <w:pPr>
        <w:pStyle w:val="769"/>
        <w:ind w:left="1260"/>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spacing w:line="360" w:lineRule="auto"/>
        <w:shd w:val="clear" w:color="auto" w:fill="auto"/>
        <w:widowControl/>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733"/>
        <w:ind w:right="1560" w:firstLine="420"/>
        <w:jc w:val="right"/>
        <w:spacing w:line="360" w:lineRule="auto"/>
        <w:shd w:val="clear" w:color="auto" w:fill="auto"/>
        <w:widowControl/>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供应商全称：（加盖CA电子公章）</w:t>
      </w:r>
      <w:r>
        <w:rPr>
          <w:rFonts w:hint="eastAsia" w:ascii="宋体" w:hAnsi="宋体" w:eastAsia="宋体" w:cs="宋体"/>
          <w:color w:val="000000"/>
          <w:szCs w:val="21"/>
          <w:highlight w:val="none"/>
        </w:rPr>
      </w:r>
      <w:r/>
    </w:p>
    <w:p>
      <w:pPr>
        <w:pStyle w:val="733"/>
        <w:ind w:right="1560" w:firstLine="420"/>
        <w:jc w:val="right"/>
        <w:spacing w:line="360" w:lineRule="auto"/>
        <w:shd w:val="clear" w:color="auto" w:fill="auto"/>
        <w:widowControl/>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rPr>
          <w:rFonts w:hint="eastAsia" w:ascii="宋体" w:hAnsi="宋体" w:eastAsia="宋体" w:cs="宋体"/>
          <w:color w:val="000000"/>
          <w:szCs w:val="21"/>
          <w:highlight w:val="none"/>
        </w:rPr>
      </w:r>
      <w:r/>
    </w:p>
    <w:p>
      <w:pPr>
        <w:pStyle w:val="733"/>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745"/>
        <w:ind w:right="415"/>
        <w:jc w:val="center"/>
        <w:spacing w:line="360" w:lineRule="auto"/>
        <w:shd w:val="clear" w:color="auto" w:fill="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监狱和戒毒企业证明材料</w:t>
      </w:r>
      <w:r>
        <w:rPr>
          <w:rFonts w:hint="eastAsia" w:ascii="宋体" w:hAnsi="宋体" w:eastAsia="宋体" w:cs="宋体"/>
          <w:b/>
          <w:bCs/>
          <w:color w:val="000000"/>
          <w:szCs w:val="24"/>
          <w:highlight w:val="none"/>
        </w:rPr>
      </w:r>
      <w:r/>
    </w:p>
    <w:p>
      <w:pPr>
        <w:pStyle w:val="733"/>
        <w:ind w:firstLine="371"/>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ind w:firstLine="373"/>
        <w:jc w:val="center"/>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（格式自拟）</w:t>
      </w:r>
      <w:r>
        <w:rPr>
          <w:rFonts w:hint="eastAsia" w:ascii="宋体" w:hAnsi="宋体" w:eastAsia="宋体" w:cs="宋体"/>
          <w:b/>
          <w:color w:val="000000"/>
          <w:szCs w:val="21"/>
          <w:highlight w:val="none"/>
        </w:rPr>
      </w:r>
      <w:r/>
    </w:p>
    <w:p>
      <w:pPr>
        <w:pStyle w:val="733"/>
        <w:ind w:firstLine="371"/>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ind w:firstLine="495"/>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Cs w:val="21"/>
          <w:highlight w:val="none"/>
        </w:rPr>
      </w:r>
      <w:r/>
    </w:p>
    <w:p>
      <w:pPr>
        <w:pStyle w:val="733"/>
        <w:spacing w:line="360" w:lineRule="auto"/>
        <w:shd w:val="clear" w:color="auto" w:fill="auto"/>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r>
      <w:r/>
    </w:p>
    <w:p>
      <w:pPr>
        <w:pStyle w:val="733"/>
        <w:spacing w:line="360" w:lineRule="auto"/>
        <w:shd w:val="clear" w:color="auto" w:fill="auto"/>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lang w:bidi="zh-CN"/>
        </w:rPr>
        <w:t xml:space="preserve">注：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hint="eastAsia" w:ascii="宋体" w:hAnsi="宋体" w:eastAsia="宋体" w:cs="宋体"/>
          <w:color w:val="000000"/>
          <w:szCs w:val="21"/>
          <w:highlight w:val="none"/>
        </w:rPr>
      </w:r>
      <w:r/>
    </w:p>
    <w:p>
      <w:pPr>
        <w:pStyle w:val="753"/>
        <w:ind w:left="0" w:firstLine="0"/>
        <w:jc w:val="both"/>
        <w:shd w:val="clear" w:color="auto" w:fill="auto"/>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733"/>
        <w:jc w:val="center"/>
        <w:shd w:val="clear" w:color="auto" w:fill="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t xml:space="preserve">质疑函范本</w:t>
      </w:r>
      <w:r>
        <w:rPr>
          <w:rFonts w:hint="eastAsia" w:ascii="宋体" w:hAnsi="宋体" w:eastAsia="宋体" w:cs="宋体"/>
          <w:b/>
          <w:color w:val="000000"/>
          <w:sz w:val="28"/>
          <w:szCs w:val="28"/>
          <w:highlight w:val="none"/>
        </w:rPr>
      </w:r>
      <w:r/>
    </w:p>
    <w:p>
      <w:pPr>
        <w:pStyle w:val="733"/>
        <w:spacing w:before="312" w:line="360" w:lineRule="auto"/>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一、质疑供应商基本信息</w:t>
      </w:r>
      <w:r>
        <w:rPr>
          <w:rFonts w:hint="eastAsia" w:ascii="宋体" w:hAnsi="宋体" w:eastAsia="宋体" w:cs="宋体"/>
          <w:bCs/>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质疑供应商：</w:t>
      </w:r>
      <w:r>
        <w:rPr>
          <w:rFonts w:hint="eastAsia" w:ascii="宋体" w:hAnsi="宋体" w:eastAsia="宋体" w:cs="宋体"/>
          <w:color w:val="000000"/>
          <w:szCs w:val="21"/>
          <w:highlight w:val="none"/>
          <w:u w:val="singl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地址：邮编：</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联系人：联系电话：</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w:t>
      </w:r>
      <w:r>
        <w:rPr>
          <w:rFonts w:hint="eastAsia" w:ascii="宋体" w:hAnsi="宋体" w:eastAsia="宋体" w:cs="宋体"/>
          <w:color w:val="000000"/>
          <w:szCs w:val="21"/>
          <w:highlight w:val="none"/>
          <w:u w:val="singl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地址：邮编：</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二、质疑项目基本情况</w:t>
      </w:r>
      <w:r>
        <w:rPr>
          <w:rFonts w:hint="eastAsia" w:ascii="宋体" w:hAnsi="宋体" w:eastAsia="宋体" w:cs="宋体"/>
          <w:bCs/>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质疑项目的名称：</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质疑项目的编号：包号：</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采购人名称：</w:t>
      </w:r>
      <w:r>
        <w:rPr>
          <w:rFonts w:hint="eastAsia" w:ascii="宋体" w:hAnsi="宋体" w:eastAsia="宋体" w:cs="宋体"/>
          <w:color w:val="000000"/>
          <w:szCs w:val="21"/>
          <w:highlight w:val="none"/>
          <w:u w:val="singl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采购文件获取日期：</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三、质疑事项具体内容</w:t>
      </w:r>
      <w:r>
        <w:rPr>
          <w:rFonts w:hint="eastAsia" w:ascii="宋体" w:hAnsi="宋体" w:eastAsia="宋体" w:cs="宋体"/>
          <w:bCs/>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质疑事项1：</w:t>
      </w:r>
      <w:r>
        <w:rPr>
          <w:rFonts w:hint="eastAsia" w:ascii="宋体" w:hAnsi="宋体" w:eastAsia="宋体" w:cs="宋体"/>
          <w:color w:val="000000"/>
          <w:szCs w:val="21"/>
          <w:highlight w:val="none"/>
          <w:u w:val="singl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事实依据：</w:t>
      </w:r>
      <w:r>
        <w:rPr>
          <w:rFonts w:hint="eastAsia" w:ascii="宋体" w:hAnsi="宋体" w:eastAsia="宋体" w:cs="宋体"/>
          <w:color w:val="000000"/>
          <w:szCs w:val="21"/>
          <w:highlight w:val="none"/>
          <w:u w:val="singl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法律依据：</w:t>
      </w:r>
      <w:r>
        <w:rPr>
          <w:rFonts w:hint="eastAsia" w:ascii="宋体" w:hAnsi="宋体" w:eastAsia="宋体" w:cs="宋体"/>
          <w:color w:val="000000"/>
          <w:szCs w:val="21"/>
          <w:highlight w:val="none"/>
          <w:u w:val="singl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质疑事项2</w:t>
      </w:r>
      <w:r>
        <w:rPr>
          <w:rFonts w:hint="eastAsia" w:ascii="宋体" w:hAnsi="宋体" w:eastAsia="宋体" w:cs="宋体"/>
          <w:color w:val="000000"/>
          <w:szCs w:val="21"/>
          <w:highlight w:val="none"/>
          <w:u w:val="singl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四、与质疑事项相关的质疑请求</w:t>
      </w:r>
      <w:r>
        <w:rPr>
          <w:rFonts w:hint="eastAsia" w:ascii="宋体" w:hAnsi="宋体" w:eastAsia="宋体" w:cs="宋体"/>
          <w:bCs/>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请求：</w:t>
      </w:r>
      <w:r>
        <w:rPr>
          <w:rFonts w:hint="eastAsia" w:ascii="宋体" w:hAnsi="宋体" w:eastAsia="宋体" w:cs="宋体"/>
          <w:color w:val="000000"/>
          <w:szCs w:val="21"/>
          <w:highlight w:val="none"/>
          <w:u w:val="single"/>
        </w:rPr>
      </w:r>
      <w:r/>
    </w:p>
    <w:p>
      <w:pPr>
        <w:pStyle w:val="733"/>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签字(签章)：                   公章：                      </w:t>
      </w:r>
      <w:r>
        <w:rPr>
          <w:rFonts w:hint="eastAsia" w:ascii="宋体" w:hAnsi="宋体" w:eastAsia="宋体" w:cs="宋体"/>
          <w:color w:val="000000"/>
          <w:szCs w:val="21"/>
          <w:highlight w:val="none"/>
        </w:rPr>
      </w:r>
      <w:r/>
    </w:p>
    <w:p>
      <w:pPr>
        <w:pStyle w:val="733"/>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w:t>
      </w:r>
      <w:r>
        <w:rPr>
          <w:rFonts w:hint="eastAsia" w:ascii="宋体" w:hAnsi="宋体" w:eastAsia="宋体" w:cs="宋体"/>
          <w:color w:val="000000"/>
          <w:szCs w:val="21"/>
          <w:highlight w:val="none"/>
        </w:rPr>
      </w:r>
      <w:r/>
    </w:p>
    <w:p>
      <w:pPr>
        <w:pStyle w:val="733"/>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3"/>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质疑函制作说明：</w:t>
      </w:r>
      <w:r>
        <w:rPr>
          <w:rFonts w:hint="eastAsia" w:ascii="宋体" w:hAnsi="宋体" w:eastAsia="宋体" w:cs="宋体"/>
          <w:b/>
          <w:color w:val="000000"/>
          <w:szCs w:val="21"/>
          <w:highlight w:val="none"/>
        </w:rPr>
      </w:r>
      <w:r/>
    </w:p>
    <w:p>
      <w:pPr>
        <w:pStyle w:val="733"/>
        <w:ind w:firstLine="640"/>
        <w:jc w:val="lef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1.供应商提出质疑时，应提交质疑函和必要的证明材料。</w:t>
      </w:r>
      <w:r>
        <w:rPr>
          <w:rFonts w:hint="eastAsia" w:ascii="宋体" w:hAnsi="宋体" w:eastAsia="宋体" w:cs="宋体"/>
          <w:color w:val="000000"/>
          <w:szCs w:val="21"/>
          <w:highlight w:val="none"/>
        </w:rPr>
      </w:r>
      <w:r/>
    </w:p>
    <w:p>
      <w:pPr>
        <w:pStyle w:val="733"/>
        <w:ind w:firstLine="640"/>
        <w:jc w:val="lef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Cs w:val="21"/>
          <w:highlight w:val="none"/>
        </w:rPr>
      </w:r>
      <w:r/>
    </w:p>
    <w:p>
      <w:pPr>
        <w:pStyle w:val="733"/>
        <w:ind w:firstLine="640"/>
        <w:jc w:val="lef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3.质疑供应商若对项目的某一分包进行质疑，质疑函中应列明具体分包号。</w:t>
      </w:r>
      <w:r>
        <w:rPr>
          <w:rFonts w:hint="eastAsia" w:ascii="宋体" w:hAnsi="宋体" w:eastAsia="宋体" w:cs="宋体"/>
          <w:color w:val="000000"/>
          <w:szCs w:val="21"/>
          <w:highlight w:val="none"/>
        </w:rPr>
      </w:r>
      <w:r/>
    </w:p>
    <w:p>
      <w:pPr>
        <w:pStyle w:val="733"/>
        <w:ind w:firstLine="640"/>
        <w:jc w:val="lef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4.质疑函的质疑事项应具体、明确，并有必要的事实依据和法律依据。</w:t>
      </w:r>
      <w:r>
        <w:rPr>
          <w:rFonts w:hint="eastAsia" w:ascii="宋体" w:hAnsi="宋体" w:eastAsia="宋体" w:cs="宋体"/>
          <w:color w:val="000000"/>
          <w:szCs w:val="21"/>
          <w:highlight w:val="none"/>
        </w:rPr>
      </w:r>
      <w:r/>
    </w:p>
    <w:p>
      <w:pPr>
        <w:pStyle w:val="733"/>
        <w:ind w:firstLine="640"/>
        <w:jc w:val="lef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5.质疑函的质疑请求应与质疑事项相关。</w:t>
      </w:r>
      <w:r>
        <w:rPr>
          <w:rFonts w:hint="eastAsia" w:ascii="宋体" w:hAnsi="宋体" w:eastAsia="宋体" w:cs="宋体"/>
          <w:color w:val="000000"/>
          <w:szCs w:val="21"/>
          <w:highlight w:val="none"/>
        </w:rPr>
      </w:r>
      <w:r/>
    </w:p>
    <w:p>
      <w:pPr>
        <w:pStyle w:val="733"/>
        <w:ind w:firstLine="640"/>
        <w:jc w:val="lef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华文楷体">
    <w:panose1 w:val="02010600040101010101"/>
  </w:font>
  <w:font w:name="Wingdings">
    <w:panose1 w:val="05000000000000000000"/>
  </w:font>
  <w:font w:name="华文细黑">
    <w:panose1 w:val="02010600040101010101"/>
  </w:font>
  <w:font w:name="方正仿宋简体">
    <w:panose1 w:val="020B0503020202020204"/>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仿宋">
    <w:panose1 w:val="02010609060101010101"/>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33"/>
      </w:p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1">
    <w:multiLevelType w:val="hybridMultilevel"/>
    <w:lvl w:ilvl="0">
      <w:start w:val="4"/>
      <w:numFmt w:val="decimal"/>
      <w:isLgl w:val="false"/>
      <w:suff w:val="tab"/>
      <w:lvlText w:val="%1."/>
      <w:lvlJc w:val="left"/>
      <w:pPr>
        <w:pStyle w:val="733"/>
        <w:tabs>
          <w:tab w:val="num" w:pos="312" w:leader="none"/>
        </w:tabs>
      </w:pPr>
    </w:lvl>
    <w:lvl w:ilvl="1">
      <w:start w:val="1"/>
      <w:numFmt w:val="decimal"/>
      <w:isLgl w:val="false"/>
      <w:suff w:val="space"/>
      <w:lvlText w:val="%1.%2"/>
      <w:lvlJc w:val="left"/>
      <w:pPr>
        <w:pStyle w:val="733"/>
        <w:ind w:left="0" w:firstLine="0"/>
      </w:pPr>
    </w:lvl>
    <w:lvl w:ilvl="2">
      <w:start w:val="1"/>
      <w:numFmt w:val="decimal"/>
      <w:isLgl w:val="false"/>
      <w:suff w:val="space"/>
      <w:lvlText w:val="%1.%2.%3"/>
      <w:lvlJc w:val="left"/>
      <w:pPr>
        <w:pStyle w:val="733"/>
        <w:ind w:left="0" w:firstLine="0"/>
      </w:pPr>
    </w:lvl>
    <w:lvl w:ilvl="3">
      <w:start w:val="1"/>
      <w:numFmt w:val="decimal"/>
      <w:isLgl w:val="false"/>
      <w:suff w:val="space"/>
      <w:lvlText w:val="%1.%2.%3.%4"/>
      <w:lvlJc w:val="left"/>
      <w:pPr>
        <w:pStyle w:val="733"/>
        <w:ind w:left="0" w:firstLine="0"/>
      </w:pPr>
    </w:lvl>
    <w:lvl w:ilvl="4">
      <w:start w:val="1"/>
      <w:numFmt w:val="decimal"/>
      <w:isLgl w:val="false"/>
      <w:suff w:val="space"/>
      <w:lvlText w:val="%1.%2.%3.%4.%5"/>
      <w:lvlJc w:val="left"/>
      <w:pPr>
        <w:pStyle w:val="733"/>
        <w:ind w:left="0" w:firstLine="0"/>
      </w:pPr>
    </w:lvl>
    <w:lvl w:ilvl="5">
      <w:start w:val="1"/>
      <w:numFmt w:val="decimal"/>
      <w:isLgl w:val="false"/>
      <w:suff w:val="space"/>
      <w:lvlText w:val="%1.%2.%3.%4.%5.%6"/>
      <w:lvlJc w:val="left"/>
      <w:pPr>
        <w:pStyle w:val="733"/>
        <w:ind w:left="0" w:firstLine="0"/>
      </w:pPr>
    </w:lvl>
    <w:lvl w:ilvl="6">
      <w:start w:val="1"/>
      <w:numFmt w:val="decimal"/>
      <w:isLgl w:val="false"/>
      <w:suff w:val="space"/>
      <w:lvlText w:val="%1.%2.%3.%4.%5.%6.%7"/>
      <w:lvlJc w:val="left"/>
      <w:pPr>
        <w:pStyle w:val="733"/>
        <w:ind w:left="0" w:firstLine="0"/>
      </w:pPr>
    </w:lvl>
    <w:lvl w:ilvl="7">
      <w:start w:val="1"/>
      <w:numFmt w:val="decimal"/>
      <w:isLgl w:val="false"/>
      <w:suff w:val="space"/>
      <w:lvlText w:val="%1.%2.%3.%4.%5.%6.%7.%8"/>
      <w:lvlJc w:val="left"/>
      <w:pPr>
        <w:pStyle w:val="733"/>
        <w:ind w:left="0" w:firstLine="0"/>
      </w:pPr>
    </w:lvl>
    <w:lvl w:ilvl="8">
      <w:start w:val="1"/>
      <w:numFmt w:val="decimal"/>
      <w:isLgl w:val="false"/>
      <w:suff w:val="space"/>
      <w:lvlText w:val="%1.%2.%3.%4.%5.%6.%7.%8.%9"/>
      <w:lvlJc w:val="left"/>
      <w:pPr>
        <w:pStyle w:val="733"/>
        <w:ind w:left="0" w:firstLine="0"/>
      </w:pPr>
    </w:lvl>
  </w:abstractNum>
  <w:abstractNum w:abstractNumId="2">
    <w:multiLevelType w:val="hybridMultilevel"/>
    <w:lvl w:ilvl="0">
      <w:start w:val="1"/>
      <w:numFmt w:val="bullet"/>
      <w:pStyle w:val="1037"/>
      <w:isLgl w:val="false"/>
      <w:suff w:val="tab"/>
      <w:lvlText w:val=""/>
      <w:lvlJc w:val="left"/>
      <w:pPr>
        <w:pStyle w:val="73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33"/>
        <w:ind w:left="960" w:hanging="480"/>
        <w:tabs>
          <w:tab w:val="num" w:pos="960" w:leader="none"/>
        </w:tabs>
      </w:pPr>
    </w:lvl>
    <w:lvl w:ilvl="2">
      <w:start w:val="1"/>
      <w:numFmt w:val="lowerRoman"/>
      <w:isLgl w:val="false"/>
      <w:suff w:val="tab"/>
      <w:lvlText w:val="%3."/>
      <w:lvlJc w:val="right"/>
      <w:pPr>
        <w:pStyle w:val="733"/>
        <w:ind w:left="1440" w:hanging="480"/>
        <w:tabs>
          <w:tab w:val="num" w:pos="1440" w:leader="none"/>
        </w:tabs>
      </w:pPr>
    </w:lvl>
    <w:lvl w:ilvl="3">
      <w:start w:val="1"/>
      <w:numFmt w:val="decimal"/>
      <w:isLgl w:val="false"/>
      <w:suff w:val="tab"/>
      <w:lvlText w:val="%4."/>
      <w:lvlJc w:val="left"/>
      <w:pPr>
        <w:pStyle w:val="733"/>
        <w:ind w:left="1920" w:hanging="480"/>
        <w:tabs>
          <w:tab w:val="num" w:pos="1920" w:leader="none"/>
        </w:tabs>
      </w:pPr>
    </w:lvl>
    <w:lvl w:ilvl="4">
      <w:start w:val="1"/>
      <w:numFmt w:val="ideographTraditional"/>
      <w:isLgl w:val="false"/>
      <w:suff w:val="tab"/>
      <w:lvlText w:val="%5、"/>
      <w:lvlJc w:val="left"/>
      <w:pPr>
        <w:pStyle w:val="733"/>
        <w:ind w:left="2400" w:hanging="480"/>
        <w:tabs>
          <w:tab w:val="num" w:pos="2400" w:leader="none"/>
        </w:tabs>
      </w:pPr>
    </w:lvl>
    <w:lvl w:ilvl="5">
      <w:start w:val="1"/>
      <w:numFmt w:val="lowerRoman"/>
      <w:isLgl w:val="false"/>
      <w:suff w:val="tab"/>
      <w:lvlText w:val="%6."/>
      <w:lvlJc w:val="right"/>
      <w:pPr>
        <w:pStyle w:val="733"/>
        <w:ind w:left="2880" w:hanging="480"/>
        <w:tabs>
          <w:tab w:val="num" w:pos="2880" w:leader="none"/>
        </w:tabs>
      </w:pPr>
    </w:lvl>
    <w:lvl w:ilvl="6">
      <w:start w:val="1"/>
      <w:numFmt w:val="decimal"/>
      <w:isLgl w:val="false"/>
      <w:suff w:val="tab"/>
      <w:lvlText w:val="%7."/>
      <w:lvlJc w:val="left"/>
      <w:pPr>
        <w:pStyle w:val="733"/>
        <w:ind w:left="3360" w:hanging="480"/>
        <w:tabs>
          <w:tab w:val="num" w:pos="3360" w:leader="none"/>
        </w:tabs>
      </w:pPr>
    </w:lvl>
    <w:lvl w:ilvl="7">
      <w:start w:val="1"/>
      <w:numFmt w:val="ideographTraditional"/>
      <w:isLgl w:val="false"/>
      <w:suff w:val="tab"/>
      <w:lvlText w:val="%8、"/>
      <w:lvlJc w:val="left"/>
      <w:pPr>
        <w:pStyle w:val="733"/>
        <w:ind w:left="3840" w:hanging="480"/>
        <w:tabs>
          <w:tab w:val="num" w:pos="3840" w:leader="none"/>
        </w:tabs>
      </w:pPr>
    </w:lvl>
    <w:lvl w:ilvl="8">
      <w:start w:val="1"/>
      <w:numFmt w:val="lowerRoman"/>
      <w:isLgl w:val="false"/>
      <w:suff w:val="tab"/>
      <w:lvlText w:val="%9."/>
      <w:lvlJc w:val="right"/>
      <w:pPr>
        <w:pStyle w:val="733"/>
        <w:ind w:left="4320" w:hanging="480"/>
        <w:tabs>
          <w:tab w:val="num" w:pos="4320" w:leader="none"/>
        </w:tabs>
      </w:pPr>
    </w:lvl>
  </w:abstractNum>
  <w:abstractNum w:abstractNumId="3">
    <w:multiLevelType w:val="hybridMultilevel"/>
    <w:lvl w:ilvl="0">
      <w:start w:val="6"/>
      <w:numFmt w:val="decimal"/>
      <w:isLgl w:val="false"/>
      <w:suff w:val="space"/>
      <w:lvlText w:val="%1."/>
      <w:lvlJc w:val="left"/>
      <w:pPr>
        <w:pStyle w:val="733"/>
      </w:p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节"/>
      <w:lvlJc w:val="left"/>
      <w:pPr>
        <w:pStyle w:val="733"/>
      </w:pPr>
      <w:rPr>
        <w:rFonts w:hint="eastAsia"/>
      </w:r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733"/>
      </w:p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733"/>
      </w:p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5"/>
  </w:num>
  <w:num w:numId="5">
    <w:abstractNumId w:val="7"/>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733"/>
    <w:next w:val="733"/>
    <w:link w:val="846"/>
    <w:uiPriority w:val="9"/>
    <w:qFormat/>
    <w:pPr>
      <w:keepLines/>
      <w:keepNext/>
      <w:spacing w:before="480" w:after="200"/>
      <w:outlineLvl w:val="0"/>
    </w:pPr>
    <w:rPr>
      <w:rFonts w:ascii="Arial" w:hAnsi="Arial" w:eastAsia="Arial" w:cs="Arial"/>
      <w:sz w:val="40"/>
      <w:szCs w:val="40"/>
    </w:rPr>
  </w:style>
  <w:style w:type="paragraph" w:styleId="699">
    <w:name w:val="Heading 2"/>
    <w:basedOn w:val="733"/>
    <w:next w:val="733"/>
    <w:link w:val="847"/>
    <w:uiPriority w:val="9"/>
    <w:unhideWhenUsed/>
    <w:qFormat/>
    <w:pPr>
      <w:keepLines/>
      <w:keepNext/>
      <w:spacing w:before="360" w:after="200"/>
      <w:outlineLvl w:val="1"/>
    </w:pPr>
    <w:rPr>
      <w:rFonts w:ascii="Arial" w:hAnsi="Arial" w:eastAsia="Arial" w:cs="Arial"/>
      <w:sz w:val="34"/>
    </w:rPr>
  </w:style>
  <w:style w:type="paragraph" w:styleId="700">
    <w:name w:val="Heading 3"/>
    <w:basedOn w:val="733"/>
    <w:next w:val="733"/>
    <w:link w:val="848"/>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733"/>
    <w:next w:val="733"/>
    <w:link w:val="849"/>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733"/>
    <w:next w:val="733"/>
    <w:link w:val="850"/>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733"/>
    <w:next w:val="733"/>
    <w:link w:val="851"/>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733"/>
    <w:next w:val="733"/>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733"/>
    <w:next w:val="733"/>
    <w:link w:val="853"/>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733"/>
    <w:next w:val="733"/>
    <w:link w:val="854"/>
    <w:uiPriority w:val="9"/>
    <w:unhideWhenUsed/>
    <w:qFormat/>
    <w:pPr>
      <w:keepLines/>
      <w:keepNext/>
      <w:spacing w:before="320" w:after="200"/>
      <w:outlineLvl w:val="8"/>
    </w:pPr>
    <w:rPr>
      <w:rFonts w:ascii="Arial" w:hAnsi="Arial" w:eastAsia="Arial" w:cs="Arial"/>
      <w:i/>
      <w:iCs/>
      <w:sz w:val="21"/>
      <w:szCs w:val="21"/>
    </w:rPr>
  </w:style>
  <w:style w:type="paragraph" w:styleId="707">
    <w:name w:val="List Paragraph"/>
    <w:basedOn w:val="733"/>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733"/>
    <w:next w:val="733"/>
    <w:link w:val="840"/>
    <w:uiPriority w:val="10"/>
    <w:qFormat/>
    <w:pPr>
      <w:contextualSpacing/>
      <w:spacing w:before="300" w:after="200"/>
    </w:pPr>
    <w:rPr>
      <w:sz w:val="48"/>
      <w:szCs w:val="48"/>
    </w:rPr>
  </w:style>
  <w:style w:type="paragraph" w:styleId="710">
    <w:name w:val="Subtitle"/>
    <w:basedOn w:val="733"/>
    <w:next w:val="733"/>
    <w:link w:val="841"/>
    <w:uiPriority w:val="11"/>
    <w:qFormat/>
    <w:pPr>
      <w:spacing w:before="200" w:after="200"/>
    </w:pPr>
    <w:rPr>
      <w:sz w:val="24"/>
      <w:szCs w:val="24"/>
    </w:rPr>
  </w:style>
  <w:style w:type="paragraph" w:styleId="711">
    <w:name w:val="Quote"/>
    <w:basedOn w:val="733"/>
    <w:next w:val="733"/>
    <w:link w:val="842"/>
    <w:uiPriority w:val="29"/>
    <w:qFormat/>
    <w:pPr>
      <w:ind w:left="720" w:right="720"/>
    </w:pPr>
    <w:rPr>
      <w:i/>
    </w:rPr>
  </w:style>
  <w:style w:type="paragraph" w:styleId="712">
    <w:name w:val="Intense Quote"/>
    <w:basedOn w:val="733"/>
    <w:next w:val="733"/>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3">
    <w:name w:val="Header"/>
    <w:basedOn w:val="733"/>
    <w:link w:val="862"/>
    <w:uiPriority w:val="99"/>
    <w:unhideWhenUsed/>
    <w:pPr>
      <w:spacing w:after="0" w:line="240" w:lineRule="auto"/>
      <w:tabs>
        <w:tab w:val="center" w:pos="7143" w:leader="none"/>
        <w:tab w:val="right" w:pos="14287" w:leader="none"/>
      </w:tabs>
    </w:pPr>
  </w:style>
  <w:style w:type="paragraph" w:styleId="714">
    <w:name w:val="Footer"/>
    <w:basedOn w:val="733"/>
    <w:link w:val="864"/>
    <w:uiPriority w:val="99"/>
    <w:unhideWhenUsed/>
    <w:pPr>
      <w:spacing w:after="0" w:line="240" w:lineRule="auto"/>
      <w:tabs>
        <w:tab w:val="center" w:pos="7143" w:leader="none"/>
        <w:tab w:val="right" w:pos="14287" w:leader="none"/>
      </w:tabs>
    </w:pPr>
  </w:style>
  <w:style w:type="paragraph" w:styleId="715">
    <w:name w:val="Caption"/>
    <w:basedOn w:val="733"/>
    <w:next w:val="733"/>
    <w:uiPriority w:val="35"/>
    <w:semiHidden/>
    <w:unhideWhenUsed/>
    <w:qFormat/>
    <w:pPr>
      <w:spacing w:line="276" w:lineRule="auto"/>
    </w:pPr>
    <w:rPr>
      <w:b/>
      <w:bCs/>
      <w:color w:val="4f81bd" w:themeColor="accent1"/>
      <w:sz w:val="18"/>
      <w:szCs w:val="18"/>
    </w:rPr>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Hyperlink"/>
    <w:uiPriority w:val="99"/>
    <w:unhideWhenUsed/>
    <w:rPr>
      <w:color w:val="0000ff" w:themeColor="hyperlink"/>
      <w:u w:val="single"/>
    </w:rPr>
  </w:style>
  <w:style w:type="paragraph" w:styleId="718">
    <w:name w:val="footnote text"/>
    <w:basedOn w:val="733"/>
    <w:link w:val="844"/>
    <w:uiPriority w:val="99"/>
    <w:semiHidden/>
    <w:unhideWhenUsed/>
    <w:pPr>
      <w:spacing w:after="40" w:line="240" w:lineRule="auto"/>
    </w:pPr>
    <w:rPr>
      <w:sz w:val="18"/>
    </w:rPr>
  </w:style>
  <w:style w:type="character" w:styleId="719">
    <w:name w:val="footnote reference"/>
    <w:uiPriority w:val="99"/>
    <w:unhideWhenUsed/>
    <w:rPr>
      <w:vertAlign w:val="superscript"/>
    </w:rPr>
  </w:style>
  <w:style w:type="paragraph" w:styleId="720">
    <w:name w:val="endnote text"/>
    <w:basedOn w:val="733"/>
    <w:link w:val="845"/>
    <w:uiPriority w:val="99"/>
    <w:semiHidden/>
    <w:unhideWhenUsed/>
    <w:pPr>
      <w:spacing w:after="0" w:line="240" w:lineRule="auto"/>
    </w:pPr>
    <w:rPr>
      <w:sz w:val="20"/>
    </w:rPr>
  </w:style>
  <w:style w:type="character" w:styleId="721">
    <w:name w:val="endnote reference"/>
    <w:uiPriority w:val="99"/>
    <w:semiHidden/>
    <w:unhideWhenUsed/>
    <w:rPr>
      <w:vertAlign w:val="superscript"/>
    </w:rPr>
  </w:style>
  <w:style w:type="paragraph" w:styleId="722">
    <w:name w:val="toc 1"/>
    <w:basedOn w:val="733"/>
    <w:next w:val="733"/>
    <w:uiPriority w:val="39"/>
    <w:unhideWhenUsed/>
    <w:pPr>
      <w:ind w:left="0" w:right="0" w:firstLine="0"/>
      <w:spacing w:after="57"/>
    </w:pPr>
  </w:style>
  <w:style w:type="paragraph" w:styleId="723">
    <w:name w:val="toc 2"/>
    <w:basedOn w:val="733"/>
    <w:next w:val="733"/>
    <w:uiPriority w:val="39"/>
    <w:unhideWhenUsed/>
    <w:pPr>
      <w:ind w:left="283" w:right="0" w:firstLine="0"/>
      <w:spacing w:after="57"/>
    </w:pPr>
  </w:style>
  <w:style w:type="paragraph" w:styleId="724">
    <w:name w:val="toc 3"/>
    <w:basedOn w:val="733"/>
    <w:next w:val="733"/>
    <w:uiPriority w:val="39"/>
    <w:unhideWhenUsed/>
    <w:pPr>
      <w:ind w:left="567" w:right="0" w:firstLine="0"/>
      <w:spacing w:after="57"/>
    </w:pPr>
  </w:style>
  <w:style w:type="paragraph" w:styleId="725">
    <w:name w:val="toc 4"/>
    <w:basedOn w:val="733"/>
    <w:next w:val="733"/>
    <w:uiPriority w:val="39"/>
    <w:unhideWhenUsed/>
    <w:pPr>
      <w:ind w:left="850" w:right="0" w:firstLine="0"/>
      <w:spacing w:after="57"/>
    </w:pPr>
  </w:style>
  <w:style w:type="paragraph" w:styleId="726">
    <w:name w:val="toc 5"/>
    <w:basedOn w:val="733"/>
    <w:next w:val="733"/>
    <w:uiPriority w:val="39"/>
    <w:unhideWhenUsed/>
    <w:pPr>
      <w:ind w:left="1134" w:right="0" w:firstLine="0"/>
      <w:spacing w:after="57"/>
    </w:pPr>
  </w:style>
  <w:style w:type="paragraph" w:styleId="727">
    <w:name w:val="toc 6"/>
    <w:basedOn w:val="733"/>
    <w:next w:val="733"/>
    <w:uiPriority w:val="39"/>
    <w:unhideWhenUsed/>
    <w:pPr>
      <w:ind w:left="1417" w:right="0" w:firstLine="0"/>
      <w:spacing w:after="57"/>
    </w:pPr>
  </w:style>
  <w:style w:type="paragraph" w:styleId="728">
    <w:name w:val="toc 7"/>
    <w:basedOn w:val="733"/>
    <w:next w:val="733"/>
    <w:uiPriority w:val="39"/>
    <w:unhideWhenUsed/>
    <w:pPr>
      <w:ind w:left="1701" w:right="0" w:firstLine="0"/>
      <w:spacing w:after="57"/>
    </w:pPr>
  </w:style>
  <w:style w:type="paragraph" w:styleId="729">
    <w:name w:val="toc 8"/>
    <w:basedOn w:val="733"/>
    <w:next w:val="733"/>
    <w:uiPriority w:val="39"/>
    <w:unhideWhenUsed/>
    <w:pPr>
      <w:ind w:left="1984" w:right="0" w:firstLine="0"/>
      <w:spacing w:after="57"/>
    </w:pPr>
  </w:style>
  <w:style w:type="paragraph" w:styleId="730">
    <w:name w:val="toc 9"/>
    <w:basedOn w:val="733"/>
    <w:next w:val="733"/>
    <w:uiPriority w:val="39"/>
    <w:unhideWhenUsed/>
    <w:pPr>
      <w:ind w:left="2268" w:right="0" w:firstLine="0"/>
      <w:spacing w:after="57"/>
    </w:pPr>
  </w:style>
  <w:style w:type="paragraph" w:styleId="731">
    <w:name w:val="TOC Heading"/>
    <w:uiPriority w:val="39"/>
    <w:unhideWhenUsed/>
  </w:style>
  <w:style w:type="paragraph" w:styleId="732">
    <w:name w:val="table of figures"/>
    <w:basedOn w:val="733"/>
    <w:next w:val="733"/>
    <w:uiPriority w:val="99"/>
    <w:unhideWhenUsed/>
    <w:pPr>
      <w:spacing w:after="0" w:afterAutospacing="0"/>
    </w:pPr>
  </w:style>
  <w:style w:type="paragraph" w:styleId="733" w:default="1">
    <w:name w:val="Normal"/>
    <w:next w:val="745"/>
    <w:link w:val="733"/>
    <w:qFormat/>
    <w:pPr>
      <w:jc w:val="both"/>
      <w:widowControl w:val="off"/>
    </w:pPr>
    <w:rPr>
      <w:sz w:val="21"/>
      <w:szCs w:val="24"/>
      <w:lang w:val="en-US" w:eastAsia="zh-CN" w:bidi="ar-SA"/>
    </w:rPr>
  </w:style>
  <w:style w:type="paragraph" w:styleId="734">
    <w:name w:val="标题 1"/>
    <w:basedOn w:val="733"/>
    <w:next w:val="733"/>
    <w:link w:val="747"/>
    <w:qFormat/>
    <w:pPr>
      <w:keepLines/>
      <w:keepNext/>
      <w:spacing w:before="340" w:after="330" w:line="578" w:lineRule="auto"/>
      <w:outlineLvl w:val="0"/>
    </w:pPr>
    <w:rPr>
      <w:b/>
      <w:bCs/>
      <w:sz w:val="44"/>
      <w:szCs w:val="44"/>
    </w:rPr>
  </w:style>
  <w:style w:type="paragraph" w:styleId="735">
    <w:name w:val="标题 2"/>
    <w:basedOn w:val="733"/>
    <w:next w:val="733"/>
    <w:link w:val="748"/>
    <w:qFormat/>
    <w:pPr>
      <w:keepLines/>
      <w:keepNext/>
      <w:spacing w:before="260" w:after="260" w:line="416" w:lineRule="auto"/>
      <w:outlineLvl w:val="1"/>
    </w:pPr>
    <w:rPr>
      <w:rFonts w:ascii="Arial" w:hAnsi="Arial" w:eastAsia="黑体"/>
      <w:b/>
      <w:bCs/>
      <w:sz w:val="32"/>
      <w:szCs w:val="32"/>
    </w:rPr>
  </w:style>
  <w:style w:type="paragraph" w:styleId="736">
    <w:name w:val="标题 3"/>
    <w:basedOn w:val="733"/>
    <w:next w:val="733"/>
    <w:link w:val="749"/>
    <w:qFormat/>
    <w:pPr>
      <w:keepLines/>
      <w:keepNext/>
      <w:spacing w:before="260" w:after="260" w:line="416" w:lineRule="auto"/>
      <w:outlineLvl w:val="2"/>
    </w:pPr>
    <w:rPr>
      <w:b/>
      <w:bCs/>
      <w:sz w:val="32"/>
      <w:szCs w:val="32"/>
    </w:rPr>
  </w:style>
  <w:style w:type="paragraph" w:styleId="737">
    <w:name w:val="标题 4"/>
    <w:basedOn w:val="733"/>
    <w:next w:val="733"/>
    <w:link w:val="750"/>
    <w:qFormat/>
    <w:pPr>
      <w:jc w:val="center"/>
      <w:keepNext/>
      <w:outlineLvl w:val="3"/>
    </w:pPr>
    <w:rPr>
      <w:rFonts w:eastAsia="新宋体"/>
      <w:sz w:val="30"/>
      <w:szCs w:val="21"/>
    </w:rPr>
  </w:style>
  <w:style w:type="paragraph" w:styleId="738">
    <w:name w:val="标题 5"/>
    <w:basedOn w:val="733"/>
    <w:next w:val="733"/>
    <w:link w:val="751"/>
    <w:qFormat/>
    <w:pPr>
      <w:keepLines/>
      <w:keepNext/>
      <w:spacing w:before="280" w:after="290" w:line="376" w:lineRule="auto"/>
      <w:outlineLvl w:val="4"/>
    </w:pPr>
    <w:rPr>
      <w:b/>
      <w:bCs/>
      <w:sz w:val="28"/>
      <w:szCs w:val="28"/>
    </w:rPr>
  </w:style>
  <w:style w:type="paragraph" w:styleId="739">
    <w:name w:val="标题 6"/>
    <w:basedOn w:val="733"/>
    <w:next w:val="753"/>
    <w:link w:val="752"/>
    <w:qFormat/>
    <w:pPr>
      <w:jc w:val="center"/>
      <w:keepNext/>
      <w:outlineLvl w:val="5"/>
    </w:pPr>
    <w:rPr>
      <w:b/>
      <w:sz w:val="44"/>
      <w:szCs w:val="20"/>
    </w:rPr>
  </w:style>
  <w:style w:type="paragraph" w:styleId="740">
    <w:name w:val="标题 7"/>
    <w:basedOn w:val="733"/>
    <w:next w:val="733"/>
    <w:link w:val="755"/>
    <w:qFormat/>
    <w:pPr>
      <w:keepLines/>
      <w:keepNext/>
      <w:spacing w:before="240" w:after="64" w:line="320" w:lineRule="auto"/>
      <w:outlineLvl w:val="6"/>
    </w:pPr>
    <w:rPr>
      <w:b/>
      <w:bCs/>
      <w:sz w:val="24"/>
    </w:rPr>
  </w:style>
  <w:style w:type="paragraph" w:styleId="741">
    <w:name w:val="标题 8"/>
    <w:basedOn w:val="733"/>
    <w:next w:val="733"/>
    <w:link w:val="756"/>
    <w:qFormat/>
    <w:pPr>
      <w:keepLines/>
      <w:keepNext/>
      <w:spacing w:before="240" w:after="64" w:line="320" w:lineRule="auto"/>
      <w:outlineLvl w:val="7"/>
    </w:pPr>
    <w:rPr>
      <w:rFonts w:ascii="Arial" w:hAnsi="Arial" w:eastAsia="黑体"/>
      <w:sz w:val="24"/>
    </w:rPr>
  </w:style>
  <w:style w:type="paragraph" w:styleId="742">
    <w:name w:val="标题 9"/>
    <w:basedOn w:val="733"/>
    <w:next w:val="733"/>
    <w:link w:val="757"/>
    <w:qFormat/>
    <w:pPr>
      <w:keepLines/>
      <w:keepNext/>
      <w:spacing w:before="240" w:after="64" w:line="320" w:lineRule="auto"/>
      <w:outlineLvl w:val="8"/>
    </w:pPr>
    <w:rPr>
      <w:rFonts w:ascii="Arial" w:hAnsi="Arial" w:eastAsia="黑体"/>
      <w:sz w:val="24"/>
      <w:szCs w:val="21"/>
    </w:rPr>
  </w:style>
  <w:style w:type="character" w:styleId="743">
    <w:name w:val="默认段落字体"/>
    <w:next w:val="743"/>
    <w:link w:val="733"/>
    <w:uiPriority w:val="1"/>
    <w:unhideWhenUsed/>
  </w:style>
  <w:style w:type="table" w:styleId="744">
    <w:name w:val="普通表格"/>
    <w:next w:val="744"/>
    <w:link w:val="733"/>
    <w:uiPriority w:val="99"/>
    <w:unhideWhenUsed/>
    <w:qFormat/>
    <w:tblPr/>
  </w:style>
  <w:style w:type="paragraph" w:styleId="745">
    <w:name w:val="正文文本"/>
    <w:basedOn w:val="733"/>
    <w:next w:val="733"/>
    <w:link w:val="746"/>
    <w:qFormat/>
    <w:rPr>
      <w:rFonts w:ascii="仿宋_GB2312" w:eastAsia="仿宋_GB2312"/>
      <w:sz w:val="24"/>
      <w:szCs w:val="20"/>
    </w:rPr>
  </w:style>
  <w:style w:type="character" w:styleId="746">
    <w:name w:val="正文文本 字符"/>
    <w:next w:val="746"/>
    <w:link w:val="745"/>
    <w:qFormat/>
    <w:rPr>
      <w:rFonts w:ascii="仿宋_GB2312" w:hAnsi="Times New Roman" w:eastAsia="仿宋_GB2312" w:cs="Times New Roman"/>
      <w:sz w:val="24"/>
      <w:szCs w:val="20"/>
    </w:rPr>
  </w:style>
  <w:style w:type="character" w:styleId="747">
    <w:name w:val="标题 1 字符"/>
    <w:next w:val="747"/>
    <w:link w:val="734"/>
    <w:qFormat/>
    <w:rPr>
      <w:rFonts w:ascii="Times New Roman" w:hAnsi="Times New Roman" w:eastAsia="宋体" w:cs="Times New Roman"/>
      <w:b/>
      <w:bCs/>
      <w:sz w:val="44"/>
      <w:szCs w:val="44"/>
    </w:rPr>
  </w:style>
  <w:style w:type="character" w:styleId="748">
    <w:name w:val="标题 2 字符"/>
    <w:next w:val="748"/>
    <w:link w:val="735"/>
    <w:qFormat/>
    <w:rPr>
      <w:rFonts w:ascii="Arial" w:hAnsi="Arial" w:eastAsia="黑体" w:cs="Times New Roman"/>
      <w:b/>
      <w:bCs/>
      <w:sz w:val="32"/>
      <w:szCs w:val="32"/>
    </w:rPr>
  </w:style>
  <w:style w:type="character" w:styleId="749">
    <w:name w:val="标题 3 字符"/>
    <w:next w:val="749"/>
    <w:link w:val="736"/>
    <w:qFormat/>
    <w:rPr>
      <w:rFonts w:ascii="Times New Roman" w:hAnsi="Times New Roman" w:eastAsia="宋体" w:cs="Times New Roman"/>
      <w:b/>
      <w:bCs/>
      <w:sz w:val="32"/>
      <w:szCs w:val="32"/>
    </w:rPr>
  </w:style>
  <w:style w:type="character" w:styleId="750">
    <w:name w:val="标题 4 字符"/>
    <w:next w:val="750"/>
    <w:link w:val="737"/>
    <w:qFormat/>
    <w:rPr>
      <w:rFonts w:ascii="Times New Roman" w:hAnsi="Times New Roman" w:eastAsia="新宋体" w:cs="Times New Roman"/>
      <w:sz w:val="30"/>
      <w:szCs w:val="21"/>
    </w:rPr>
  </w:style>
  <w:style w:type="character" w:styleId="751">
    <w:name w:val="标题 5 字符"/>
    <w:next w:val="751"/>
    <w:link w:val="738"/>
    <w:qFormat/>
    <w:rPr>
      <w:rFonts w:ascii="Times New Roman" w:hAnsi="Times New Roman" w:eastAsia="宋体" w:cs="Times New Roman"/>
      <w:b/>
      <w:bCs/>
      <w:sz w:val="28"/>
      <w:szCs w:val="28"/>
    </w:rPr>
  </w:style>
  <w:style w:type="character" w:styleId="752">
    <w:name w:val="标题 6 字符"/>
    <w:next w:val="752"/>
    <w:link w:val="739"/>
    <w:qFormat/>
    <w:rPr>
      <w:rFonts w:ascii="Times New Roman" w:hAnsi="Times New Roman" w:eastAsia="宋体" w:cs="Times New Roman"/>
      <w:b/>
      <w:sz w:val="44"/>
      <w:szCs w:val="20"/>
    </w:rPr>
  </w:style>
  <w:style w:type="paragraph" w:styleId="753">
    <w:name w:val="正文缩进"/>
    <w:basedOn w:val="733"/>
    <w:next w:val="733"/>
    <w:link w:val="754"/>
    <w:qFormat/>
    <w:pPr>
      <w:ind w:firstLine="420"/>
    </w:pPr>
    <w:rPr>
      <w:sz w:val="20"/>
      <w:szCs w:val="20"/>
    </w:rPr>
  </w:style>
  <w:style w:type="character" w:styleId="754">
    <w:name w:val="正文缩进 字符"/>
    <w:next w:val="754"/>
    <w:link w:val="753"/>
    <w:qFormat/>
    <w:rPr>
      <w:rFonts w:ascii="Times New Roman" w:hAnsi="Times New Roman" w:eastAsia="宋体" w:cs="Times New Roman"/>
      <w:sz w:val="20"/>
      <w:szCs w:val="20"/>
    </w:rPr>
  </w:style>
  <w:style w:type="character" w:styleId="755">
    <w:name w:val="标题 7 字符"/>
    <w:next w:val="755"/>
    <w:link w:val="740"/>
    <w:qFormat/>
    <w:rPr>
      <w:rFonts w:ascii="Times New Roman" w:hAnsi="Times New Roman" w:eastAsia="宋体" w:cs="Times New Roman"/>
      <w:b/>
      <w:bCs/>
      <w:sz w:val="24"/>
      <w:szCs w:val="24"/>
    </w:rPr>
  </w:style>
  <w:style w:type="character" w:styleId="756">
    <w:name w:val="标题 8 字符"/>
    <w:next w:val="756"/>
    <w:link w:val="741"/>
    <w:qFormat/>
    <w:rPr>
      <w:rFonts w:ascii="Arial" w:hAnsi="Arial" w:eastAsia="黑体" w:cs="Times New Roman"/>
      <w:sz w:val="24"/>
      <w:szCs w:val="24"/>
    </w:rPr>
  </w:style>
  <w:style w:type="character" w:styleId="757">
    <w:name w:val="标题 9 字符"/>
    <w:next w:val="757"/>
    <w:link w:val="742"/>
    <w:qFormat/>
    <w:rPr>
      <w:rFonts w:ascii="Arial" w:hAnsi="Arial" w:eastAsia="黑体" w:cs="Times New Roman"/>
      <w:sz w:val="24"/>
      <w:szCs w:val="21"/>
    </w:rPr>
  </w:style>
  <w:style w:type="paragraph" w:styleId="758">
    <w:name w:val="目录 7"/>
    <w:basedOn w:val="733"/>
    <w:next w:val="733"/>
    <w:link w:val="733"/>
    <w:uiPriority w:val="39"/>
    <w:unhideWhenUsed/>
    <w:qFormat/>
    <w:pPr>
      <w:ind w:left="1701"/>
      <w:spacing w:after="57"/>
    </w:pPr>
  </w:style>
  <w:style w:type="paragraph" w:styleId="759">
    <w:name w:val="题注"/>
    <w:basedOn w:val="733"/>
    <w:next w:val="733"/>
    <w:link w:val="733"/>
    <w:uiPriority w:val="35"/>
    <w:qFormat/>
    <w:pPr>
      <w:spacing w:line="276" w:lineRule="auto"/>
    </w:pPr>
    <w:rPr>
      <w:b/>
      <w:bCs/>
      <w:color w:val="4f81bd"/>
      <w:sz w:val="18"/>
      <w:szCs w:val="18"/>
    </w:rPr>
  </w:style>
  <w:style w:type="paragraph" w:styleId="760">
    <w:name w:val="文档结构图"/>
    <w:basedOn w:val="733"/>
    <w:next w:val="760"/>
    <w:link w:val="761"/>
    <w:semiHidden/>
    <w:qFormat/>
    <w:pPr>
      <w:shd w:val="clear" w:color="auto" w:fill="000080"/>
    </w:pPr>
    <w:rPr>
      <w:sz w:val="20"/>
    </w:rPr>
  </w:style>
  <w:style w:type="character" w:styleId="761">
    <w:name w:val="文档结构图 字符"/>
    <w:next w:val="761"/>
    <w:link w:val="760"/>
    <w:semiHidden/>
    <w:qFormat/>
    <w:rPr>
      <w:szCs w:val="24"/>
      <w:shd w:val="clear" w:color="auto" w:fill="000080"/>
    </w:rPr>
  </w:style>
  <w:style w:type="paragraph" w:styleId="762">
    <w:name w:val="批注文字"/>
    <w:basedOn w:val="733"/>
    <w:next w:val="762"/>
    <w:link w:val="733"/>
    <w:uiPriority w:val="99"/>
    <w:unhideWhenUsed/>
    <w:qFormat/>
    <w:pPr>
      <w:jc w:val="left"/>
    </w:pPr>
  </w:style>
  <w:style w:type="paragraph" w:styleId="763">
    <w:name w:val="正文文本 3"/>
    <w:basedOn w:val="733"/>
    <w:next w:val="763"/>
    <w:link w:val="764"/>
    <w:qFormat/>
    <w:pPr>
      <w:spacing w:after="120"/>
    </w:pPr>
    <w:rPr>
      <w:sz w:val="16"/>
      <w:szCs w:val="16"/>
    </w:rPr>
  </w:style>
  <w:style w:type="character" w:styleId="764">
    <w:name w:val="正文文本 3 字符"/>
    <w:next w:val="764"/>
    <w:link w:val="763"/>
    <w:qFormat/>
    <w:rPr>
      <w:rFonts w:ascii="Times New Roman" w:hAnsi="Times New Roman" w:eastAsia="宋体" w:cs="Times New Roman"/>
      <w:sz w:val="16"/>
      <w:szCs w:val="16"/>
    </w:rPr>
  </w:style>
  <w:style w:type="paragraph" w:styleId="765">
    <w:name w:val="正文文本缩进"/>
    <w:basedOn w:val="733"/>
    <w:next w:val="767"/>
    <w:link w:val="766"/>
    <w:qFormat/>
    <w:pPr>
      <w:ind w:left="765"/>
    </w:pPr>
    <w:rPr>
      <w:rFonts w:ascii="仿宋_GB2312" w:eastAsia="仿宋_GB2312"/>
      <w:sz w:val="28"/>
      <w:szCs w:val="20"/>
    </w:rPr>
  </w:style>
  <w:style w:type="character" w:styleId="766">
    <w:name w:val="正文文本缩进 字符"/>
    <w:next w:val="766"/>
    <w:link w:val="765"/>
    <w:qFormat/>
    <w:rPr>
      <w:rFonts w:ascii="仿宋_GB2312" w:hAnsi="Times New Roman" w:eastAsia="仿宋_GB2312" w:cs="Times New Roman"/>
      <w:sz w:val="28"/>
      <w:szCs w:val="20"/>
    </w:rPr>
  </w:style>
  <w:style w:type="paragraph" w:styleId="767">
    <w:name w:val="正文首行缩进 2"/>
    <w:basedOn w:val="765"/>
    <w:next w:val="768"/>
    <w:link w:val="733"/>
    <w:uiPriority w:val="99"/>
    <w:qFormat/>
    <w:pPr>
      <w:ind w:firstLine="200"/>
      <w:spacing w:line="240" w:lineRule="auto"/>
    </w:pPr>
  </w:style>
  <w:style w:type="paragraph" w:styleId="768">
    <w:name w:val="正文首行缩进"/>
    <w:basedOn w:val="745"/>
    <w:next w:val="733"/>
    <w:link w:val="733"/>
    <w:uiPriority w:val="99"/>
    <w:qFormat/>
    <w:pPr>
      <w:ind w:firstLine="420"/>
    </w:pPr>
  </w:style>
  <w:style w:type="paragraph" w:styleId="769">
    <w:name w:val="索引 4"/>
    <w:basedOn w:val="733"/>
    <w:next w:val="733"/>
    <w:link w:val="733"/>
    <w:uiPriority w:val="99"/>
    <w:unhideWhenUsed/>
    <w:qFormat/>
    <w:pPr>
      <w:ind w:left="600"/>
    </w:pPr>
  </w:style>
  <w:style w:type="paragraph" w:styleId="770">
    <w:name w:val="目录 5"/>
    <w:basedOn w:val="733"/>
    <w:next w:val="733"/>
    <w:link w:val="733"/>
    <w:uiPriority w:val="39"/>
    <w:unhideWhenUsed/>
    <w:qFormat/>
    <w:pPr>
      <w:ind w:left="1134"/>
      <w:spacing w:after="57"/>
    </w:pPr>
  </w:style>
  <w:style w:type="paragraph" w:styleId="771">
    <w:name w:val="目录 3"/>
    <w:basedOn w:val="733"/>
    <w:next w:val="733"/>
    <w:link w:val="733"/>
    <w:uiPriority w:val="39"/>
    <w:unhideWhenUsed/>
    <w:qFormat/>
    <w:pPr>
      <w:ind w:left="567"/>
      <w:spacing w:after="57"/>
    </w:pPr>
  </w:style>
  <w:style w:type="paragraph" w:styleId="772">
    <w:name w:val="纯文本"/>
    <w:basedOn w:val="733"/>
    <w:next w:val="733"/>
    <w:link w:val="773"/>
    <w:qFormat/>
    <w:rPr>
      <w:rFonts w:ascii="宋体" w:hAnsi="Courier New"/>
      <w:sz w:val="20"/>
      <w:szCs w:val="21"/>
    </w:rPr>
  </w:style>
  <w:style w:type="character" w:styleId="773">
    <w:name w:val="纯文本 字符"/>
    <w:next w:val="773"/>
    <w:link w:val="772"/>
    <w:qFormat/>
    <w:rPr>
      <w:rFonts w:ascii="宋体" w:hAnsi="Courier New" w:eastAsia="宋体" w:cs="Courier New"/>
      <w:szCs w:val="21"/>
    </w:rPr>
  </w:style>
  <w:style w:type="paragraph" w:styleId="774">
    <w:name w:val="目录 8"/>
    <w:basedOn w:val="733"/>
    <w:next w:val="733"/>
    <w:link w:val="733"/>
    <w:uiPriority w:val="39"/>
    <w:unhideWhenUsed/>
    <w:qFormat/>
    <w:pPr>
      <w:ind w:left="1984"/>
      <w:spacing w:after="57"/>
    </w:pPr>
  </w:style>
  <w:style w:type="paragraph" w:styleId="775">
    <w:name w:val="日期"/>
    <w:basedOn w:val="733"/>
    <w:next w:val="733"/>
    <w:link w:val="776"/>
    <w:qFormat/>
    <w:rPr>
      <w:sz w:val="24"/>
      <w:szCs w:val="20"/>
    </w:rPr>
  </w:style>
  <w:style w:type="character" w:styleId="776">
    <w:name w:val="日期 字符"/>
    <w:next w:val="776"/>
    <w:link w:val="775"/>
    <w:qFormat/>
    <w:rPr>
      <w:rFonts w:ascii="Times New Roman" w:hAnsi="Times New Roman" w:eastAsia="宋体" w:cs="Times New Roman"/>
      <w:sz w:val="24"/>
      <w:szCs w:val="20"/>
    </w:rPr>
  </w:style>
  <w:style w:type="paragraph" w:styleId="777">
    <w:name w:val="正文文本缩进 2"/>
    <w:basedOn w:val="733"/>
    <w:next w:val="777"/>
    <w:link w:val="778"/>
    <w:qFormat/>
    <w:pPr>
      <w:ind w:firstLine="560"/>
      <w:spacing w:line="500" w:lineRule="exact"/>
    </w:pPr>
    <w:rPr>
      <w:rFonts w:eastAsia="仿宋_GB2312"/>
      <w:sz w:val="28"/>
      <w:szCs w:val="20"/>
    </w:rPr>
  </w:style>
  <w:style w:type="character" w:styleId="778">
    <w:name w:val="正文文本缩进 2 字符"/>
    <w:next w:val="778"/>
    <w:link w:val="777"/>
    <w:qFormat/>
    <w:rPr>
      <w:rFonts w:ascii="Times New Roman" w:hAnsi="Times New Roman" w:eastAsia="仿宋_GB2312" w:cs="Times New Roman"/>
      <w:sz w:val="28"/>
      <w:szCs w:val="20"/>
    </w:rPr>
  </w:style>
  <w:style w:type="paragraph" w:styleId="779">
    <w:name w:val="尾注文本"/>
    <w:basedOn w:val="733"/>
    <w:next w:val="779"/>
    <w:link w:val="780"/>
    <w:uiPriority w:val="99"/>
    <w:unhideWhenUsed/>
    <w:qFormat/>
    <w:rPr>
      <w:sz w:val="20"/>
      <w:szCs w:val="20"/>
    </w:rPr>
  </w:style>
  <w:style w:type="character" w:styleId="780">
    <w:name w:val="尾注文本 字符"/>
    <w:next w:val="780"/>
    <w:link w:val="779"/>
    <w:uiPriority w:val="99"/>
    <w:qFormat/>
    <w:rPr>
      <w:sz w:val="20"/>
    </w:rPr>
  </w:style>
  <w:style w:type="paragraph" w:styleId="781">
    <w:name w:val="批注框文本"/>
    <w:basedOn w:val="733"/>
    <w:next w:val="781"/>
    <w:link w:val="782"/>
    <w:semiHidden/>
    <w:qFormat/>
    <w:rPr>
      <w:sz w:val="18"/>
      <w:szCs w:val="18"/>
    </w:rPr>
  </w:style>
  <w:style w:type="character" w:styleId="782">
    <w:name w:val="批注框文本 字符"/>
    <w:next w:val="782"/>
    <w:link w:val="781"/>
    <w:semiHidden/>
    <w:qFormat/>
    <w:rPr>
      <w:sz w:val="18"/>
      <w:szCs w:val="18"/>
    </w:rPr>
  </w:style>
  <w:style w:type="paragraph" w:styleId="783">
    <w:name w:val="页脚"/>
    <w:basedOn w:val="733"/>
    <w:next w:val="783"/>
    <w:link w:val="784"/>
    <w:uiPriority w:val="99"/>
    <w:qFormat/>
    <w:pPr>
      <w:jc w:val="left"/>
      <w:tabs>
        <w:tab w:val="center" w:pos="4153" w:leader="none"/>
        <w:tab w:val="right" w:pos="8306" w:leader="none"/>
      </w:tabs>
    </w:pPr>
    <w:rPr>
      <w:sz w:val="18"/>
      <w:szCs w:val="20"/>
    </w:rPr>
  </w:style>
  <w:style w:type="character" w:styleId="784">
    <w:name w:val="页脚 字符"/>
    <w:next w:val="784"/>
    <w:link w:val="783"/>
    <w:uiPriority w:val="99"/>
    <w:qFormat/>
    <w:rPr>
      <w:rFonts w:ascii="Times New Roman" w:hAnsi="Times New Roman" w:eastAsia="宋体" w:cs="Times New Roman"/>
      <w:sz w:val="18"/>
      <w:szCs w:val="20"/>
    </w:rPr>
  </w:style>
  <w:style w:type="paragraph" w:styleId="785">
    <w:name w:val="寄信人地址"/>
    <w:basedOn w:val="733"/>
    <w:next w:val="785"/>
    <w:link w:val="733"/>
    <w:uiPriority w:val="99"/>
    <w:unhideWhenUsed/>
    <w:qFormat/>
    <w:rPr>
      <w:rFonts w:ascii="Arial" w:hAnsi="Arial"/>
    </w:rPr>
  </w:style>
  <w:style w:type="paragraph" w:styleId="786">
    <w:name w:val="页眉"/>
    <w:basedOn w:val="733"/>
    <w:next w:val="786"/>
    <w:link w:val="787"/>
    <w:qFormat/>
    <w:pPr>
      <w:jc w:val="center"/>
      <w:tabs>
        <w:tab w:val="center" w:pos="4153" w:leader="none"/>
        <w:tab w:val="right" w:pos="8306" w:leader="none"/>
      </w:tabs>
      <w:pBdr>
        <w:bottom w:val="single" w:color="000000" w:sz="6" w:space="1"/>
      </w:pBdr>
    </w:pPr>
    <w:rPr>
      <w:sz w:val="18"/>
      <w:szCs w:val="18"/>
    </w:rPr>
  </w:style>
  <w:style w:type="character" w:styleId="787">
    <w:name w:val="页眉 字符"/>
    <w:next w:val="787"/>
    <w:link w:val="786"/>
    <w:qFormat/>
    <w:rPr>
      <w:rFonts w:ascii="Times New Roman" w:hAnsi="Times New Roman" w:eastAsia="宋体" w:cs="Times New Roman"/>
      <w:sz w:val="18"/>
      <w:szCs w:val="18"/>
    </w:rPr>
  </w:style>
  <w:style w:type="paragraph" w:styleId="788">
    <w:name w:val="目录 1"/>
    <w:basedOn w:val="733"/>
    <w:next w:val="733"/>
    <w:link w:val="733"/>
    <w:uiPriority w:val="39"/>
    <w:unhideWhenUsed/>
    <w:qFormat/>
    <w:pPr>
      <w:spacing w:after="57"/>
    </w:pPr>
  </w:style>
  <w:style w:type="paragraph" w:styleId="789">
    <w:name w:val="目录 4"/>
    <w:basedOn w:val="733"/>
    <w:next w:val="733"/>
    <w:link w:val="733"/>
    <w:uiPriority w:val="39"/>
    <w:unhideWhenUsed/>
    <w:qFormat/>
    <w:pPr>
      <w:ind w:left="850"/>
      <w:spacing w:after="57"/>
    </w:pPr>
  </w:style>
  <w:style w:type="paragraph" w:styleId="790">
    <w:name w:val="副标题"/>
    <w:basedOn w:val="733"/>
    <w:next w:val="733"/>
    <w:link w:val="791"/>
    <w:uiPriority w:val="11"/>
    <w:qFormat/>
    <w:pPr>
      <w:spacing w:before="200" w:after="200"/>
    </w:pPr>
    <w:rPr>
      <w:sz w:val="24"/>
    </w:rPr>
  </w:style>
  <w:style w:type="character" w:styleId="791">
    <w:name w:val="副标题 字符"/>
    <w:next w:val="791"/>
    <w:link w:val="790"/>
    <w:uiPriority w:val="11"/>
    <w:qFormat/>
    <w:rPr>
      <w:sz w:val="24"/>
      <w:szCs w:val="24"/>
    </w:rPr>
  </w:style>
  <w:style w:type="paragraph" w:styleId="792">
    <w:name w:val="列表"/>
    <w:basedOn w:val="733"/>
    <w:next w:val="792"/>
    <w:link w:val="733"/>
    <w:qFormat/>
    <w:pPr>
      <w:ind w:left="200" w:hanging="200"/>
    </w:pPr>
  </w:style>
  <w:style w:type="paragraph" w:styleId="793">
    <w:name w:val="脚注文本"/>
    <w:basedOn w:val="733"/>
    <w:next w:val="793"/>
    <w:link w:val="794"/>
    <w:uiPriority w:val="99"/>
    <w:unhideWhenUsed/>
    <w:qFormat/>
    <w:pPr>
      <w:spacing w:after="40"/>
    </w:pPr>
    <w:rPr>
      <w:sz w:val="18"/>
      <w:szCs w:val="20"/>
    </w:rPr>
  </w:style>
  <w:style w:type="character" w:styleId="794">
    <w:name w:val="脚注文本 字符"/>
    <w:next w:val="794"/>
    <w:link w:val="793"/>
    <w:uiPriority w:val="99"/>
    <w:qFormat/>
    <w:rPr>
      <w:sz w:val="18"/>
    </w:rPr>
  </w:style>
  <w:style w:type="paragraph" w:styleId="795">
    <w:name w:val="目录 6"/>
    <w:basedOn w:val="733"/>
    <w:next w:val="733"/>
    <w:link w:val="733"/>
    <w:uiPriority w:val="39"/>
    <w:unhideWhenUsed/>
    <w:qFormat/>
    <w:pPr>
      <w:ind w:left="1417"/>
      <w:spacing w:after="57"/>
    </w:pPr>
  </w:style>
  <w:style w:type="paragraph" w:styleId="796">
    <w:name w:val="正文文本缩进 3"/>
    <w:basedOn w:val="733"/>
    <w:next w:val="796"/>
    <w:link w:val="797"/>
    <w:qFormat/>
    <w:pPr>
      <w:ind w:left="420"/>
      <w:spacing w:after="120"/>
    </w:pPr>
    <w:rPr>
      <w:sz w:val="16"/>
      <w:szCs w:val="16"/>
    </w:rPr>
  </w:style>
  <w:style w:type="character" w:styleId="797">
    <w:name w:val="正文文本缩进 3 字符"/>
    <w:next w:val="797"/>
    <w:link w:val="796"/>
    <w:qFormat/>
    <w:rPr>
      <w:rFonts w:ascii="Times New Roman" w:hAnsi="Times New Roman" w:eastAsia="宋体" w:cs="Times New Roman"/>
      <w:sz w:val="16"/>
      <w:szCs w:val="16"/>
    </w:rPr>
  </w:style>
  <w:style w:type="paragraph" w:styleId="798">
    <w:name w:val="图表目录"/>
    <w:basedOn w:val="733"/>
    <w:next w:val="733"/>
    <w:link w:val="733"/>
    <w:uiPriority w:val="99"/>
    <w:unhideWhenUsed/>
    <w:qFormat/>
  </w:style>
  <w:style w:type="paragraph" w:styleId="799">
    <w:name w:val="目录 2"/>
    <w:basedOn w:val="733"/>
    <w:next w:val="733"/>
    <w:link w:val="733"/>
    <w:uiPriority w:val="39"/>
    <w:unhideWhenUsed/>
    <w:qFormat/>
    <w:pPr>
      <w:ind w:left="283"/>
      <w:spacing w:after="57"/>
    </w:pPr>
  </w:style>
  <w:style w:type="paragraph" w:styleId="800">
    <w:name w:val="目录 9"/>
    <w:basedOn w:val="733"/>
    <w:next w:val="733"/>
    <w:link w:val="733"/>
    <w:uiPriority w:val="39"/>
    <w:unhideWhenUsed/>
    <w:qFormat/>
    <w:pPr>
      <w:ind w:left="2268"/>
      <w:spacing w:after="57"/>
    </w:pPr>
  </w:style>
  <w:style w:type="paragraph" w:styleId="801">
    <w:name w:val="正文文本 2"/>
    <w:basedOn w:val="733"/>
    <w:next w:val="801"/>
    <w:link w:val="802"/>
    <w:qFormat/>
    <w:rPr>
      <w:b/>
      <w:bCs/>
      <w:sz w:val="18"/>
    </w:rPr>
  </w:style>
  <w:style w:type="character" w:styleId="802">
    <w:name w:val="正文文本 2 字符"/>
    <w:next w:val="802"/>
    <w:link w:val="801"/>
    <w:qFormat/>
    <w:rPr>
      <w:rFonts w:ascii="Times New Roman" w:hAnsi="Times New Roman" w:eastAsia="宋体" w:cs="Times New Roman"/>
      <w:b/>
      <w:bCs/>
      <w:sz w:val="18"/>
      <w:szCs w:val="24"/>
    </w:rPr>
  </w:style>
  <w:style w:type="paragraph" w:styleId="803">
    <w:name w:val="HTML 预设格式"/>
    <w:basedOn w:val="733"/>
    <w:next w:val="803"/>
    <w:link w:val="8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804">
    <w:name w:val="HTML 预设格式 字符"/>
    <w:next w:val="804"/>
    <w:link w:val="803"/>
    <w:qFormat/>
    <w:rPr>
      <w:rFonts w:ascii="等线 Light" w:hAnsi="等线 Light" w:eastAsia="幼圆" w:cs="等线 Light"/>
      <w:sz w:val="24"/>
      <w:szCs w:val="22"/>
    </w:rPr>
  </w:style>
  <w:style w:type="paragraph" w:styleId="805">
    <w:name w:val="普通(网站)"/>
    <w:basedOn w:val="733"/>
    <w:next w:val="805"/>
    <w:link w:val="733"/>
    <w:qFormat/>
    <w:pPr>
      <w:jc w:val="left"/>
      <w:spacing w:before="100" w:beforeAutospacing="1" w:after="100" w:afterAutospacing="1"/>
      <w:widowControl/>
    </w:pPr>
    <w:rPr>
      <w:rFonts w:ascii="宋体" w:hAnsi="宋体"/>
      <w:color w:val="000000"/>
      <w:sz w:val="24"/>
    </w:rPr>
  </w:style>
  <w:style w:type="paragraph" w:styleId="806">
    <w:name w:val="标题"/>
    <w:basedOn w:val="733"/>
    <w:next w:val="733"/>
    <w:link w:val="807"/>
    <w:uiPriority w:val="10"/>
    <w:qFormat/>
    <w:pPr>
      <w:contextualSpacing/>
      <w:spacing w:before="300" w:after="200"/>
    </w:pPr>
    <w:rPr>
      <w:sz w:val="48"/>
      <w:szCs w:val="48"/>
    </w:rPr>
  </w:style>
  <w:style w:type="character" w:styleId="807">
    <w:name w:val="标题 字符"/>
    <w:next w:val="807"/>
    <w:link w:val="806"/>
    <w:uiPriority w:val="10"/>
    <w:qFormat/>
    <w:rPr>
      <w:sz w:val="48"/>
      <w:szCs w:val="48"/>
    </w:rPr>
  </w:style>
  <w:style w:type="table" w:styleId="808">
    <w:name w:val="网格型"/>
    <w:basedOn w:val="744"/>
    <w:next w:val="808"/>
    <w:link w:val="733"/>
    <w:qFormat/>
    <w:tblPr/>
  </w:style>
  <w:style w:type="character" w:styleId="809">
    <w:name w:val="要点"/>
    <w:next w:val="809"/>
    <w:link w:val="733"/>
    <w:qFormat/>
    <w:rPr>
      <w:b/>
      <w:bCs/>
    </w:rPr>
  </w:style>
  <w:style w:type="character" w:styleId="810">
    <w:name w:val="尾注引用"/>
    <w:next w:val="810"/>
    <w:link w:val="733"/>
    <w:uiPriority w:val="99"/>
    <w:unhideWhenUsed/>
    <w:qFormat/>
    <w:rPr>
      <w:vertAlign w:val="superscript"/>
    </w:rPr>
  </w:style>
  <w:style w:type="character" w:styleId="811">
    <w:name w:val="页码"/>
    <w:next w:val="811"/>
    <w:link w:val="733"/>
    <w:qFormat/>
  </w:style>
  <w:style w:type="character" w:styleId="812">
    <w:name w:val="超链接"/>
    <w:next w:val="812"/>
    <w:link w:val="733"/>
    <w:qFormat/>
    <w:rPr>
      <w:color w:val="0000ff"/>
      <w:u w:val="single"/>
    </w:rPr>
  </w:style>
  <w:style w:type="character" w:styleId="813">
    <w:name w:val="脚注引用"/>
    <w:next w:val="813"/>
    <w:link w:val="733"/>
    <w:uiPriority w:val="99"/>
    <w:unhideWhenUsed/>
    <w:qFormat/>
    <w:rPr>
      <w:vertAlign w:val="superscript"/>
    </w:rPr>
  </w:style>
  <w:style w:type="paragraph" w:styleId="814">
    <w:name w:val="Normal_2"/>
    <w:basedOn w:val="815"/>
    <w:next w:val="745"/>
    <w:link w:val="733"/>
    <w:qFormat/>
    <w:rPr>
      <w:rFonts w:ascii="Times New Roman" w:hAnsi="Times New Roman"/>
      <w:sz w:val="21"/>
    </w:rPr>
  </w:style>
  <w:style w:type="paragraph" w:styleId="815">
    <w:name w:val="Normal_3"/>
    <w:next w:val="772"/>
    <w:link w:val="733"/>
    <w:qFormat/>
    <w:pPr>
      <w:jc w:val="both"/>
      <w:widowControl w:val="off"/>
    </w:pPr>
    <w:rPr>
      <w:rFonts w:ascii="Calibri" w:hAnsi="Calibri"/>
      <w:lang w:val="en-US" w:eastAsia="zh-CN" w:bidi="ar-SA"/>
    </w:rPr>
  </w:style>
  <w:style w:type="paragraph" w:styleId="816">
    <w:name w:val="Default"/>
    <w:next w:val="816"/>
    <w:link w:val="733"/>
    <w:qFormat/>
    <w:pPr>
      <w:widowControl w:val="off"/>
    </w:pPr>
    <w:rPr>
      <w:rFonts w:ascii="Arial Unicode MS" w:eastAsia="Arial Unicode MS" w:cs="Arial Unicode MS"/>
      <w:color w:val="000000"/>
      <w:sz w:val="24"/>
      <w:szCs w:val="24"/>
      <w:lang w:val="en-US" w:eastAsia="zh-CN" w:bidi="ar-SA"/>
    </w:rPr>
  </w:style>
  <w:style w:type="paragraph" w:styleId="817">
    <w:name w:val="目录 11"/>
    <w:basedOn w:val="733"/>
    <w:next w:val="733"/>
    <w:link w:val="733"/>
    <w:semiHidden/>
    <w:qFormat/>
    <w:rPr>
      <w:sz w:val="24"/>
    </w:rPr>
  </w:style>
  <w:style w:type="paragraph" w:styleId="818">
    <w:name w:val="正文首行缩进 21"/>
    <w:basedOn w:val="819"/>
    <w:next w:val="818"/>
    <w:link w:val="733"/>
    <w:qFormat/>
    <w:pPr>
      <w:ind w:left="0" w:firstLine="420"/>
      <w:spacing w:after="0" w:line="360" w:lineRule="auto"/>
    </w:pPr>
    <w:rPr>
      <w:rFonts w:ascii="宋体" w:hAnsi="宋体"/>
      <w:sz w:val="20"/>
      <w:szCs w:val="20"/>
    </w:rPr>
  </w:style>
  <w:style w:type="paragraph" w:styleId="819">
    <w:name w:val="正文文本缩进1"/>
    <w:basedOn w:val="733"/>
    <w:next w:val="819"/>
    <w:link w:val="733"/>
    <w:uiPriority w:val="99"/>
    <w:unhideWhenUsed/>
    <w:qFormat/>
    <w:pPr>
      <w:ind w:left="420"/>
      <w:spacing w:after="120"/>
    </w:pPr>
  </w:style>
  <w:style w:type="table" w:styleId="820">
    <w:name w:val="Plain Table 1"/>
    <w:basedOn w:val="744"/>
    <w:next w:val="820"/>
    <w:link w:val="733"/>
    <w:uiPriority w:val="59"/>
    <w:qFormat/>
    <w:pPr>
      <w:spacing w:after="0" w:line="240" w:lineRule="auto"/>
    </w:pPr>
    <w:tblPr/>
  </w:style>
  <w:style w:type="table" w:styleId="821">
    <w:name w:val="Plain Table 2"/>
    <w:basedOn w:val="744"/>
    <w:next w:val="821"/>
    <w:link w:val="733"/>
    <w:uiPriority w:val="59"/>
    <w:qFormat/>
    <w:pPr>
      <w:spacing w:after="0" w:line="240" w:lineRule="auto"/>
    </w:pPr>
    <w:tblPr/>
  </w:style>
  <w:style w:type="table" w:styleId="822">
    <w:name w:val="Plain Table 3"/>
    <w:basedOn w:val="744"/>
    <w:next w:val="822"/>
    <w:link w:val="733"/>
    <w:uiPriority w:val="99"/>
    <w:qFormat/>
    <w:pPr>
      <w:spacing w:after="0" w:line="240" w:lineRule="auto"/>
    </w:pPr>
    <w:tblPr/>
  </w:style>
  <w:style w:type="table" w:styleId="823">
    <w:name w:val="Plain Table 4"/>
    <w:basedOn w:val="744"/>
    <w:next w:val="823"/>
    <w:link w:val="733"/>
    <w:uiPriority w:val="99"/>
    <w:qFormat/>
    <w:pPr>
      <w:spacing w:after="0" w:line="240" w:lineRule="auto"/>
    </w:pPr>
    <w:tblPr/>
  </w:style>
  <w:style w:type="table" w:styleId="824">
    <w:name w:val="Plain Table 5"/>
    <w:basedOn w:val="744"/>
    <w:next w:val="824"/>
    <w:link w:val="733"/>
    <w:uiPriority w:val="99"/>
    <w:qFormat/>
    <w:tblPr/>
  </w:style>
  <w:style w:type="table" w:styleId="825">
    <w:name w:val="Grid Table 1 Light"/>
    <w:basedOn w:val="744"/>
    <w:next w:val="825"/>
    <w:link w:val="733"/>
    <w:uiPriority w:val="99"/>
    <w:qFormat/>
    <w:pPr>
      <w:spacing w:after="0" w:line="240" w:lineRule="auto"/>
    </w:pPr>
    <w:tblPr/>
  </w:style>
  <w:style w:type="table" w:styleId="826">
    <w:name w:val="Grid Table 2"/>
    <w:basedOn w:val="744"/>
    <w:next w:val="826"/>
    <w:link w:val="733"/>
    <w:uiPriority w:val="99"/>
    <w:qFormat/>
    <w:pPr>
      <w:spacing w:after="0" w:line="240" w:lineRule="auto"/>
    </w:pPr>
    <w:tblPr/>
  </w:style>
  <w:style w:type="table" w:styleId="827">
    <w:name w:val="Grid Table 3"/>
    <w:basedOn w:val="744"/>
    <w:next w:val="827"/>
    <w:link w:val="733"/>
    <w:uiPriority w:val="99"/>
    <w:qFormat/>
    <w:tblPr/>
  </w:style>
  <w:style w:type="table" w:styleId="828">
    <w:name w:val="Grid Table 4"/>
    <w:basedOn w:val="744"/>
    <w:next w:val="828"/>
    <w:link w:val="733"/>
    <w:uiPriority w:val="59"/>
    <w:qFormat/>
    <w:pPr>
      <w:spacing w:after="0" w:line="240" w:lineRule="auto"/>
    </w:pPr>
    <w:tblPr/>
  </w:style>
  <w:style w:type="table" w:styleId="829">
    <w:name w:val="Grid Table 5 Dark"/>
    <w:basedOn w:val="744"/>
    <w:next w:val="829"/>
    <w:link w:val="733"/>
    <w:uiPriority w:val="99"/>
    <w:qFormat/>
    <w:pPr>
      <w:spacing w:after="0" w:line="240" w:lineRule="auto"/>
    </w:pPr>
    <w:tblPr/>
  </w:style>
  <w:style w:type="table" w:styleId="830">
    <w:name w:val="Grid Table 6 Colorful"/>
    <w:basedOn w:val="744"/>
    <w:next w:val="830"/>
    <w:link w:val="733"/>
    <w:uiPriority w:val="99"/>
    <w:qFormat/>
    <w:pPr>
      <w:spacing w:after="0" w:line="240" w:lineRule="auto"/>
    </w:pPr>
    <w:tblPr/>
  </w:style>
  <w:style w:type="table" w:styleId="831">
    <w:name w:val="Grid Table 7 Colorful"/>
    <w:basedOn w:val="744"/>
    <w:next w:val="831"/>
    <w:link w:val="733"/>
    <w:uiPriority w:val="99"/>
    <w:qFormat/>
    <w:tblPr/>
  </w:style>
  <w:style w:type="table" w:styleId="832">
    <w:name w:val="List Table 1 Light"/>
    <w:basedOn w:val="744"/>
    <w:next w:val="832"/>
    <w:link w:val="733"/>
    <w:uiPriority w:val="99"/>
    <w:qFormat/>
    <w:pPr>
      <w:spacing w:after="0" w:line="240" w:lineRule="auto"/>
    </w:pPr>
    <w:tblPr/>
  </w:style>
  <w:style w:type="table" w:styleId="833">
    <w:name w:val="List Table 2"/>
    <w:basedOn w:val="744"/>
    <w:next w:val="833"/>
    <w:link w:val="733"/>
    <w:uiPriority w:val="99"/>
    <w:qFormat/>
    <w:pPr>
      <w:spacing w:after="0" w:line="240" w:lineRule="auto"/>
    </w:pPr>
    <w:tblPr/>
  </w:style>
  <w:style w:type="table" w:styleId="834">
    <w:name w:val="List Table 3"/>
    <w:basedOn w:val="744"/>
    <w:next w:val="834"/>
    <w:link w:val="733"/>
    <w:uiPriority w:val="99"/>
    <w:qFormat/>
    <w:pPr>
      <w:spacing w:after="0" w:line="240" w:lineRule="auto"/>
    </w:pPr>
    <w:tblPr/>
  </w:style>
  <w:style w:type="table" w:styleId="835">
    <w:name w:val="List Table 4"/>
    <w:basedOn w:val="744"/>
    <w:next w:val="835"/>
    <w:link w:val="733"/>
    <w:uiPriority w:val="99"/>
    <w:qFormat/>
    <w:pPr>
      <w:spacing w:after="0" w:line="240" w:lineRule="auto"/>
    </w:pPr>
    <w:tblPr/>
  </w:style>
  <w:style w:type="table" w:styleId="836">
    <w:name w:val="List Table 5 Dark"/>
    <w:basedOn w:val="744"/>
    <w:next w:val="836"/>
    <w:link w:val="733"/>
    <w:uiPriority w:val="99"/>
    <w:qFormat/>
    <w:pPr>
      <w:spacing w:after="0" w:line="240" w:lineRule="auto"/>
    </w:pPr>
    <w:tblPr/>
  </w:style>
  <w:style w:type="table" w:styleId="837">
    <w:name w:val="List Table 6 Colorful"/>
    <w:basedOn w:val="744"/>
    <w:next w:val="837"/>
    <w:link w:val="733"/>
    <w:uiPriority w:val="99"/>
    <w:qFormat/>
    <w:pPr>
      <w:spacing w:after="0" w:line="240" w:lineRule="auto"/>
    </w:pPr>
    <w:tblPr/>
  </w:style>
  <w:style w:type="table" w:styleId="838">
    <w:name w:val="List Table 7 Colorful"/>
    <w:basedOn w:val="744"/>
    <w:next w:val="838"/>
    <w:link w:val="733"/>
    <w:uiPriority w:val="99"/>
    <w:qFormat/>
    <w:tblPr/>
  </w:style>
  <w:style w:type="paragraph" w:styleId="839">
    <w:name w:val="TOC 标题1"/>
    <w:next w:val="839"/>
    <w:link w:val="733"/>
    <w:uiPriority w:val="39"/>
    <w:unhideWhenUsed/>
    <w:qFormat/>
    <w:rPr>
      <w:lang w:val="en-US" w:eastAsia="zh-CN" w:bidi="ar-SA"/>
    </w:rPr>
  </w:style>
  <w:style w:type="character" w:styleId="840">
    <w:name w:val="Title Char"/>
    <w:next w:val="840"/>
    <w:link w:val="733"/>
    <w:uiPriority w:val="10"/>
    <w:qFormat/>
    <w:rPr>
      <w:sz w:val="48"/>
      <w:szCs w:val="48"/>
    </w:rPr>
  </w:style>
  <w:style w:type="character" w:styleId="841">
    <w:name w:val="Subtitle Char"/>
    <w:next w:val="841"/>
    <w:link w:val="733"/>
    <w:uiPriority w:val="11"/>
    <w:qFormat/>
    <w:rPr>
      <w:sz w:val="24"/>
      <w:szCs w:val="24"/>
    </w:rPr>
  </w:style>
  <w:style w:type="character" w:styleId="842">
    <w:name w:val="Quote Char"/>
    <w:next w:val="842"/>
    <w:link w:val="733"/>
    <w:uiPriority w:val="29"/>
    <w:qFormat/>
    <w:rPr>
      <w:i/>
    </w:rPr>
  </w:style>
  <w:style w:type="character" w:styleId="843">
    <w:name w:val="Intense Quote Char"/>
    <w:next w:val="843"/>
    <w:link w:val="733"/>
    <w:uiPriority w:val="30"/>
    <w:qFormat/>
    <w:rPr>
      <w:i/>
    </w:rPr>
  </w:style>
  <w:style w:type="character" w:styleId="844">
    <w:name w:val="Footnote Text Char"/>
    <w:next w:val="844"/>
    <w:link w:val="733"/>
    <w:uiPriority w:val="99"/>
    <w:qFormat/>
    <w:rPr>
      <w:sz w:val="18"/>
    </w:rPr>
  </w:style>
  <w:style w:type="character" w:styleId="845">
    <w:name w:val="Endnote Text Char"/>
    <w:next w:val="845"/>
    <w:link w:val="733"/>
    <w:uiPriority w:val="99"/>
    <w:qFormat/>
    <w:rPr>
      <w:sz w:val="20"/>
    </w:rPr>
  </w:style>
  <w:style w:type="character" w:styleId="846">
    <w:name w:val="Heading 1 Char"/>
    <w:next w:val="846"/>
    <w:link w:val="733"/>
    <w:uiPriority w:val="9"/>
    <w:qFormat/>
    <w:rPr>
      <w:rFonts w:ascii="Arial" w:hAnsi="Arial" w:eastAsia="Arial" w:cs="Arial"/>
      <w:sz w:val="40"/>
      <w:szCs w:val="40"/>
    </w:rPr>
  </w:style>
  <w:style w:type="character" w:styleId="847">
    <w:name w:val="Heading 2 Char"/>
    <w:next w:val="847"/>
    <w:link w:val="733"/>
    <w:uiPriority w:val="9"/>
    <w:qFormat/>
    <w:rPr>
      <w:rFonts w:ascii="Arial" w:hAnsi="Arial" w:eastAsia="Arial" w:cs="Arial"/>
      <w:sz w:val="34"/>
    </w:rPr>
  </w:style>
  <w:style w:type="character" w:styleId="848">
    <w:name w:val="Heading 3 Char"/>
    <w:next w:val="848"/>
    <w:link w:val="733"/>
    <w:uiPriority w:val="9"/>
    <w:qFormat/>
    <w:rPr>
      <w:rFonts w:ascii="Arial" w:hAnsi="Arial" w:eastAsia="Arial" w:cs="Arial"/>
      <w:sz w:val="30"/>
      <w:szCs w:val="30"/>
    </w:rPr>
  </w:style>
  <w:style w:type="character" w:styleId="849">
    <w:name w:val="Heading 4 Char"/>
    <w:next w:val="849"/>
    <w:link w:val="733"/>
    <w:uiPriority w:val="9"/>
    <w:qFormat/>
    <w:rPr>
      <w:rFonts w:ascii="Arial" w:hAnsi="Arial" w:eastAsia="Arial" w:cs="Arial"/>
      <w:b/>
      <w:bCs/>
      <w:sz w:val="26"/>
      <w:szCs w:val="26"/>
    </w:rPr>
  </w:style>
  <w:style w:type="character" w:styleId="850">
    <w:name w:val="Heading 5 Char"/>
    <w:next w:val="850"/>
    <w:link w:val="733"/>
    <w:uiPriority w:val="9"/>
    <w:qFormat/>
    <w:rPr>
      <w:rFonts w:ascii="Arial" w:hAnsi="Arial" w:eastAsia="Arial" w:cs="Arial"/>
      <w:b/>
      <w:bCs/>
      <w:sz w:val="24"/>
      <w:szCs w:val="24"/>
    </w:rPr>
  </w:style>
  <w:style w:type="character" w:styleId="851">
    <w:name w:val="Heading 6 Char"/>
    <w:next w:val="851"/>
    <w:link w:val="733"/>
    <w:uiPriority w:val="9"/>
    <w:qFormat/>
    <w:rPr>
      <w:rFonts w:ascii="Arial" w:hAnsi="Arial" w:eastAsia="Arial" w:cs="Arial"/>
      <w:b/>
      <w:bCs/>
      <w:sz w:val="22"/>
      <w:szCs w:val="22"/>
    </w:rPr>
  </w:style>
  <w:style w:type="character" w:styleId="852">
    <w:name w:val="Heading 7 Char"/>
    <w:next w:val="852"/>
    <w:link w:val="733"/>
    <w:uiPriority w:val="9"/>
    <w:qFormat/>
    <w:rPr>
      <w:rFonts w:ascii="Arial" w:hAnsi="Arial" w:eastAsia="Arial" w:cs="Arial"/>
      <w:b/>
      <w:bCs/>
      <w:i/>
      <w:iCs/>
      <w:sz w:val="22"/>
      <w:szCs w:val="22"/>
    </w:rPr>
  </w:style>
  <w:style w:type="character" w:styleId="853">
    <w:name w:val="Heading 8 Char"/>
    <w:next w:val="853"/>
    <w:link w:val="733"/>
    <w:uiPriority w:val="9"/>
    <w:qFormat/>
    <w:rPr>
      <w:rFonts w:ascii="Arial" w:hAnsi="Arial" w:eastAsia="Arial" w:cs="Arial"/>
      <w:i/>
      <w:iCs/>
      <w:sz w:val="22"/>
      <w:szCs w:val="22"/>
    </w:rPr>
  </w:style>
  <w:style w:type="character" w:styleId="854">
    <w:name w:val="Heading 9 Char"/>
    <w:next w:val="854"/>
    <w:link w:val="733"/>
    <w:uiPriority w:val="9"/>
    <w:qFormat/>
    <w:rPr>
      <w:rFonts w:ascii="Arial" w:hAnsi="Arial" w:eastAsia="Arial" w:cs="Arial"/>
      <w:i/>
      <w:iCs/>
      <w:sz w:val="21"/>
      <w:szCs w:val="21"/>
    </w:rPr>
  </w:style>
  <w:style w:type="paragraph" w:styleId="855">
    <w:name w:val="列表段落"/>
    <w:basedOn w:val="733"/>
    <w:next w:val="733"/>
    <w:link w:val="856"/>
    <w:uiPriority w:val="99"/>
    <w:qFormat/>
    <w:pPr>
      <w:ind w:firstLine="420"/>
    </w:pPr>
    <w:rPr>
      <w:sz w:val="20"/>
      <w:szCs w:val="20"/>
    </w:rPr>
  </w:style>
  <w:style w:type="character" w:styleId="856">
    <w:name w:val="列表段落 字符1"/>
    <w:next w:val="856"/>
    <w:link w:val="855"/>
    <w:uiPriority w:val="99"/>
    <w:qFormat/>
  </w:style>
  <w:style w:type="paragraph" w:styleId="857">
    <w:name w:val="无间隔"/>
    <w:next w:val="857"/>
    <w:link w:val="733"/>
    <w:uiPriority w:val="1"/>
    <w:qFormat/>
    <w:rPr>
      <w:lang w:val="en-US" w:eastAsia="zh-CN" w:bidi="ar-SA"/>
    </w:rPr>
  </w:style>
  <w:style w:type="paragraph" w:styleId="858">
    <w:name w:val="引用"/>
    <w:basedOn w:val="733"/>
    <w:next w:val="733"/>
    <w:link w:val="859"/>
    <w:uiPriority w:val="29"/>
    <w:qFormat/>
    <w:pPr>
      <w:ind w:left="720" w:right="720"/>
    </w:pPr>
    <w:rPr>
      <w:i/>
      <w:sz w:val="20"/>
      <w:szCs w:val="20"/>
    </w:rPr>
  </w:style>
  <w:style w:type="character" w:styleId="859">
    <w:name w:val="引用 字符"/>
    <w:next w:val="859"/>
    <w:link w:val="858"/>
    <w:uiPriority w:val="29"/>
    <w:qFormat/>
    <w:rPr>
      <w:i/>
    </w:rPr>
  </w:style>
  <w:style w:type="paragraph" w:styleId="860">
    <w:name w:val="明显引用"/>
    <w:basedOn w:val="733"/>
    <w:next w:val="733"/>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1">
    <w:name w:val="明显引用 字符"/>
    <w:next w:val="861"/>
    <w:link w:val="860"/>
    <w:uiPriority w:val="30"/>
    <w:qFormat/>
    <w:rPr>
      <w:i/>
    </w:rPr>
  </w:style>
  <w:style w:type="character" w:styleId="862">
    <w:name w:val="Header Char"/>
    <w:next w:val="862"/>
    <w:link w:val="733"/>
    <w:uiPriority w:val="99"/>
    <w:qFormat/>
  </w:style>
  <w:style w:type="character" w:styleId="863">
    <w:name w:val="Footer Char"/>
    <w:next w:val="863"/>
    <w:link w:val="733"/>
    <w:uiPriority w:val="99"/>
    <w:qFormat/>
  </w:style>
  <w:style w:type="character" w:styleId="864">
    <w:name w:val="Caption Char"/>
    <w:next w:val="864"/>
    <w:link w:val="733"/>
    <w:uiPriority w:val="99"/>
    <w:qFormat/>
  </w:style>
  <w:style w:type="table" w:styleId="865">
    <w:name w:val="Table Grid Light"/>
    <w:next w:val="865"/>
    <w:link w:val="733"/>
    <w:uiPriority w:val="59"/>
    <w:qFormat/>
    <w:rPr>
      <w:lang w:val="en-US" w:eastAsia="zh-CN" w:bidi="ar-SA"/>
    </w:rPr>
    <w:tblPr/>
  </w:style>
  <w:style w:type="table" w:styleId="866">
    <w:name w:val="无格式表格 11"/>
    <w:next w:val="866"/>
    <w:link w:val="733"/>
    <w:uiPriority w:val="59"/>
    <w:qFormat/>
    <w:rPr>
      <w:lang w:val="en-US" w:eastAsia="zh-CN" w:bidi="ar-SA"/>
    </w:rPr>
    <w:tblPr/>
  </w:style>
  <w:style w:type="table" w:styleId="867">
    <w:name w:val="无格式表格 21"/>
    <w:next w:val="867"/>
    <w:link w:val="733"/>
    <w:uiPriority w:val="59"/>
    <w:qFormat/>
    <w:rPr>
      <w:lang w:val="en-US" w:eastAsia="zh-CN" w:bidi="ar-SA"/>
    </w:rPr>
    <w:tblPr/>
  </w:style>
  <w:style w:type="table" w:styleId="868">
    <w:name w:val="无格式表格 31"/>
    <w:next w:val="868"/>
    <w:link w:val="733"/>
    <w:uiPriority w:val="99"/>
    <w:qFormat/>
    <w:rPr>
      <w:lang w:val="en-US" w:eastAsia="zh-CN" w:bidi="ar-SA"/>
    </w:rPr>
    <w:tblPr/>
  </w:style>
  <w:style w:type="table" w:styleId="869">
    <w:name w:val="无格式表格 41"/>
    <w:next w:val="869"/>
    <w:link w:val="733"/>
    <w:uiPriority w:val="99"/>
    <w:qFormat/>
    <w:rPr>
      <w:lang w:val="en-US" w:eastAsia="zh-CN" w:bidi="ar-SA"/>
    </w:rPr>
    <w:tblPr/>
  </w:style>
  <w:style w:type="table" w:styleId="870">
    <w:name w:val="无格式表格 51"/>
    <w:next w:val="870"/>
    <w:link w:val="733"/>
    <w:uiPriority w:val="99"/>
    <w:qFormat/>
    <w:rPr>
      <w:lang w:val="en-US" w:eastAsia="zh-CN" w:bidi="ar-SA"/>
    </w:rPr>
    <w:tblPr/>
  </w:style>
  <w:style w:type="table" w:styleId="871">
    <w:name w:val="网格表 1 浅色1"/>
    <w:next w:val="871"/>
    <w:link w:val="733"/>
    <w:uiPriority w:val="99"/>
    <w:qFormat/>
    <w:rPr>
      <w:lang w:val="en-US" w:eastAsia="zh-CN" w:bidi="ar-SA"/>
    </w:rPr>
    <w:tblPr/>
  </w:style>
  <w:style w:type="table" w:styleId="872">
    <w:name w:val="Grid Table 1 Light - Accent 1"/>
    <w:next w:val="872"/>
    <w:link w:val="733"/>
    <w:uiPriority w:val="99"/>
    <w:qFormat/>
    <w:rPr>
      <w:lang w:val="en-US" w:eastAsia="zh-CN" w:bidi="ar-SA"/>
    </w:rPr>
    <w:tblPr/>
  </w:style>
  <w:style w:type="table" w:styleId="873">
    <w:name w:val="Grid Table 1 Light - Accent 2"/>
    <w:next w:val="873"/>
    <w:link w:val="733"/>
    <w:uiPriority w:val="99"/>
    <w:qFormat/>
    <w:rPr>
      <w:lang w:val="en-US" w:eastAsia="zh-CN" w:bidi="ar-SA"/>
    </w:rPr>
    <w:tblPr/>
  </w:style>
  <w:style w:type="table" w:styleId="874">
    <w:name w:val="Grid Table 1 Light - Accent 3"/>
    <w:next w:val="874"/>
    <w:link w:val="733"/>
    <w:uiPriority w:val="99"/>
    <w:qFormat/>
    <w:rPr>
      <w:lang w:val="en-US" w:eastAsia="zh-CN" w:bidi="ar-SA"/>
    </w:rPr>
    <w:tblPr/>
  </w:style>
  <w:style w:type="table" w:styleId="875">
    <w:name w:val="Grid Table 1 Light - Accent 4"/>
    <w:next w:val="875"/>
    <w:link w:val="733"/>
    <w:uiPriority w:val="99"/>
    <w:qFormat/>
    <w:rPr>
      <w:lang w:val="en-US" w:eastAsia="zh-CN" w:bidi="ar-SA"/>
    </w:rPr>
    <w:tblPr/>
  </w:style>
  <w:style w:type="table" w:styleId="876">
    <w:name w:val="Grid Table 1 Light - Accent 5"/>
    <w:next w:val="876"/>
    <w:link w:val="733"/>
    <w:uiPriority w:val="99"/>
    <w:qFormat/>
    <w:rPr>
      <w:lang w:val="en-US" w:eastAsia="zh-CN" w:bidi="ar-SA"/>
    </w:rPr>
    <w:tblPr/>
  </w:style>
  <w:style w:type="table" w:styleId="877">
    <w:name w:val="Grid Table 1 Light - Accent 6"/>
    <w:next w:val="877"/>
    <w:link w:val="733"/>
    <w:uiPriority w:val="99"/>
    <w:qFormat/>
    <w:rPr>
      <w:lang w:val="en-US" w:eastAsia="zh-CN" w:bidi="ar-SA"/>
    </w:rPr>
    <w:tblPr/>
  </w:style>
  <w:style w:type="table" w:styleId="878">
    <w:name w:val="网格表 21"/>
    <w:next w:val="878"/>
    <w:link w:val="733"/>
    <w:uiPriority w:val="99"/>
    <w:qFormat/>
    <w:rPr>
      <w:lang w:val="en-US" w:eastAsia="zh-CN" w:bidi="ar-SA"/>
    </w:rPr>
    <w:tblPr/>
  </w:style>
  <w:style w:type="table" w:styleId="879">
    <w:name w:val="Grid Table 2 - Accent 1"/>
    <w:next w:val="879"/>
    <w:link w:val="733"/>
    <w:uiPriority w:val="99"/>
    <w:qFormat/>
    <w:rPr>
      <w:lang w:val="en-US" w:eastAsia="zh-CN" w:bidi="ar-SA"/>
    </w:rPr>
    <w:tblPr/>
  </w:style>
  <w:style w:type="table" w:styleId="880">
    <w:name w:val="Grid Table 2 - Accent 2"/>
    <w:next w:val="880"/>
    <w:link w:val="733"/>
    <w:uiPriority w:val="99"/>
    <w:qFormat/>
    <w:rPr>
      <w:lang w:val="en-US" w:eastAsia="zh-CN" w:bidi="ar-SA"/>
    </w:rPr>
    <w:tblPr/>
  </w:style>
  <w:style w:type="table" w:styleId="881">
    <w:name w:val="Grid Table 2 - Accent 3"/>
    <w:next w:val="881"/>
    <w:link w:val="733"/>
    <w:uiPriority w:val="99"/>
    <w:qFormat/>
    <w:rPr>
      <w:lang w:val="en-US" w:eastAsia="zh-CN" w:bidi="ar-SA"/>
    </w:rPr>
    <w:tblPr/>
  </w:style>
  <w:style w:type="table" w:styleId="882">
    <w:name w:val="Grid Table 2 - Accent 4"/>
    <w:next w:val="882"/>
    <w:link w:val="733"/>
    <w:uiPriority w:val="99"/>
    <w:qFormat/>
    <w:rPr>
      <w:lang w:val="en-US" w:eastAsia="zh-CN" w:bidi="ar-SA"/>
    </w:rPr>
    <w:tblPr/>
  </w:style>
  <w:style w:type="table" w:styleId="883">
    <w:name w:val="Grid Table 2 - Accent 5"/>
    <w:next w:val="883"/>
    <w:link w:val="733"/>
    <w:uiPriority w:val="99"/>
    <w:qFormat/>
    <w:rPr>
      <w:lang w:val="en-US" w:eastAsia="zh-CN" w:bidi="ar-SA"/>
    </w:rPr>
    <w:tblPr/>
  </w:style>
  <w:style w:type="table" w:styleId="884">
    <w:name w:val="Grid Table 2 - Accent 6"/>
    <w:next w:val="884"/>
    <w:link w:val="733"/>
    <w:uiPriority w:val="99"/>
    <w:qFormat/>
    <w:rPr>
      <w:lang w:val="en-US" w:eastAsia="zh-CN" w:bidi="ar-SA"/>
    </w:rPr>
    <w:tblPr/>
  </w:style>
  <w:style w:type="table" w:styleId="885">
    <w:name w:val="网格表 31"/>
    <w:next w:val="885"/>
    <w:link w:val="733"/>
    <w:uiPriority w:val="99"/>
    <w:qFormat/>
    <w:rPr>
      <w:lang w:val="en-US" w:eastAsia="zh-CN" w:bidi="ar-SA"/>
    </w:rPr>
    <w:tblPr/>
  </w:style>
  <w:style w:type="table" w:styleId="886">
    <w:name w:val="Grid Table 3 - Accent 1"/>
    <w:next w:val="886"/>
    <w:link w:val="733"/>
    <w:uiPriority w:val="99"/>
    <w:qFormat/>
    <w:rPr>
      <w:lang w:val="en-US" w:eastAsia="zh-CN" w:bidi="ar-SA"/>
    </w:rPr>
    <w:tblPr/>
  </w:style>
  <w:style w:type="table" w:styleId="887">
    <w:name w:val="Grid Table 3 - Accent 2"/>
    <w:next w:val="887"/>
    <w:link w:val="733"/>
    <w:uiPriority w:val="99"/>
    <w:qFormat/>
    <w:rPr>
      <w:lang w:val="en-US" w:eastAsia="zh-CN" w:bidi="ar-SA"/>
    </w:rPr>
    <w:tblPr/>
  </w:style>
  <w:style w:type="table" w:styleId="888">
    <w:name w:val="Grid Table 3 - Accent 3"/>
    <w:next w:val="888"/>
    <w:link w:val="733"/>
    <w:uiPriority w:val="99"/>
    <w:qFormat/>
    <w:rPr>
      <w:lang w:val="en-US" w:eastAsia="zh-CN" w:bidi="ar-SA"/>
    </w:rPr>
    <w:tblPr/>
  </w:style>
  <w:style w:type="table" w:styleId="889">
    <w:name w:val="Grid Table 3 - Accent 4"/>
    <w:next w:val="889"/>
    <w:link w:val="733"/>
    <w:uiPriority w:val="99"/>
    <w:qFormat/>
    <w:rPr>
      <w:lang w:val="en-US" w:eastAsia="zh-CN" w:bidi="ar-SA"/>
    </w:rPr>
    <w:tblPr/>
  </w:style>
  <w:style w:type="table" w:styleId="890">
    <w:name w:val="Grid Table 3 - Accent 5"/>
    <w:next w:val="890"/>
    <w:link w:val="733"/>
    <w:uiPriority w:val="99"/>
    <w:qFormat/>
    <w:rPr>
      <w:lang w:val="en-US" w:eastAsia="zh-CN" w:bidi="ar-SA"/>
    </w:rPr>
    <w:tblPr/>
  </w:style>
  <w:style w:type="table" w:styleId="891">
    <w:name w:val="Grid Table 3 - Accent 6"/>
    <w:next w:val="891"/>
    <w:link w:val="733"/>
    <w:uiPriority w:val="99"/>
    <w:qFormat/>
    <w:rPr>
      <w:lang w:val="en-US" w:eastAsia="zh-CN" w:bidi="ar-SA"/>
    </w:rPr>
    <w:tblPr/>
  </w:style>
  <w:style w:type="table" w:styleId="892">
    <w:name w:val="网格表 41"/>
    <w:next w:val="892"/>
    <w:link w:val="733"/>
    <w:uiPriority w:val="59"/>
    <w:qFormat/>
    <w:rPr>
      <w:lang w:val="en-US" w:eastAsia="zh-CN" w:bidi="ar-SA"/>
    </w:rPr>
    <w:tblPr/>
  </w:style>
  <w:style w:type="table" w:styleId="893">
    <w:name w:val="Grid Table 4 - Accent 1"/>
    <w:next w:val="893"/>
    <w:link w:val="733"/>
    <w:uiPriority w:val="59"/>
    <w:qFormat/>
    <w:rPr>
      <w:lang w:val="en-US" w:eastAsia="zh-CN" w:bidi="ar-SA"/>
    </w:rPr>
    <w:tblPr/>
  </w:style>
  <w:style w:type="table" w:styleId="894">
    <w:name w:val="Grid Table 4 - Accent 2"/>
    <w:next w:val="894"/>
    <w:link w:val="733"/>
    <w:uiPriority w:val="59"/>
    <w:qFormat/>
    <w:rPr>
      <w:lang w:val="en-US" w:eastAsia="zh-CN" w:bidi="ar-SA"/>
    </w:rPr>
    <w:tblPr/>
  </w:style>
  <w:style w:type="table" w:styleId="895">
    <w:name w:val="Grid Table 4 - Accent 3"/>
    <w:next w:val="895"/>
    <w:link w:val="733"/>
    <w:uiPriority w:val="59"/>
    <w:qFormat/>
    <w:rPr>
      <w:lang w:val="en-US" w:eastAsia="zh-CN" w:bidi="ar-SA"/>
    </w:rPr>
    <w:tblPr/>
  </w:style>
  <w:style w:type="table" w:styleId="896">
    <w:name w:val="Grid Table 4 - Accent 4"/>
    <w:next w:val="896"/>
    <w:link w:val="733"/>
    <w:uiPriority w:val="59"/>
    <w:qFormat/>
    <w:rPr>
      <w:lang w:val="en-US" w:eastAsia="zh-CN" w:bidi="ar-SA"/>
    </w:rPr>
    <w:tblPr/>
  </w:style>
  <w:style w:type="table" w:styleId="897">
    <w:name w:val="Grid Table 4 - Accent 5"/>
    <w:next w:val="897"/>
    <w:link w:val="733"/>
    <w:uiPriority w:val="59"/>
    <w:qFormat/>
    <w:rPr>
      <w:lang w:val="en-US" w:eastAsia="zh-CN" w:bidi="ar-SA"/>
    </w:rPr>
    <w:tblPr/>
  </w:style>
  <w:style w:type="table" w:styleId="898">
    <w:name w:val="Grid Table 4 - Accent 6"/>
    <w:next w:val="898"/>
    <w:link w:val="733"/>
    <w:uiPriority w:val="59"/>
    <w:qFormat/>
    <w:rPr>
      <w:lang w:val="en-US" w:eastAsia="zh-CN" w:bidi="ar-SA"/>
    </w:rPr>
    <w:tblPr/>
  </w:style>
  <w:style w:type="table" w:styleId="899">
    <w:name w:val="网格表 5 深色1"/>
    <w:next w:val="899"/>
    <w:link w:val="733"/>
    <w:uiPriority w:val="99"/>
    <w:qFormat/>
    <w:rPr>
      <w:lang w:val="en-US" w:eastAsia="zh-CN" w:bidi="ar-SA"/>
    </w:rPr>
    <w:tblPr/>
  </w:style>
  <w:style w:type="table" w:styleId="900">
    <w:name w:val="Grid Table 5 Dark- Accent 1"/>
    <w:next w:val="900"/>
    <w:link w:val="733"/>
    <w:uiPriority w:val="99"/>
    <w:qFormat/>
    <w:rPr>
      <w:lang w:val="en-US" w:eastAsia="zh-CN" w:bidi="ar-SA"/>
    </w:rPr>
    <w:tblPr/>
  </w:style>
  <w:style w:type="table" w:styleId="901">
    <w:name w:val="Grid Table 5 Dark - Accent 2"/>
    <w:next w:val="901"/>
    <w:link w:val="733"/>
    <w:uiPriority w:val="99"/>
    <w:qFormat/>
    <w:rPr>
      <w:lang w:val="en-US" w:eastAsia="zh-CN" w:bidi="ar-SA"/>
    </w:rPr>
    <w:tblPr/>
  </w:style>
  <w:style w:type="table" w:styleId="902">
    <w:name w:val="Grid Table 5 Dark - Accent 3"/>
    <w:next w:val="902"/>
    <w:link w:val="733"/>
    <w:uiPriority w:val="99"/>
    <w:qFormat/>
    <w:rPr>
      <w:lang w:val="en-US" w:eastAsia="zh-CN" w:bidi="ar-SA"/>
    </w:rPr>
    <w:tblPr/>
  </w:style>
  <w:style w:type="table" w:styleId="903">
    <w:name w:val="Grid Table 5 Dark- Accent 4"/>
    <w:next w:val="903"/>
    <w:link w:val="733"/>
    <w:uiPriority w:val="99"/>
    <w:qFormat/>
    <w:rPr>
      <w:lang w:val="en-US" w:eastAsia="zh-CN" w:bidi="ar-SA"/>
    </w:rPr>
    <w:tblPr/>
  </w:style>
  <w:style w:type="table" w:styleId="904">
    <w:name w:val="Grid Table 5 Dark - Accent 5"/>
    <w:next w:val="904"/>
    <w:link w:val="733"/>
    <w:uiPriority w:val="99"/>
    <w:qFormat/>
    <w:rPr>
      <w:lang w:val="en-US" w:eastAsia="zh-CN" w:bidi="ar-SA"/>
    </w:rPr>
    <w:tblPr/>
  </w:style>
  <w:style w:type="table" w:styleId="905">
    <w:name w:val="Grid Table 5 Dark - Accent 6"/>
    <w:next w:val="905"/>
    <w:link w:val="733"/>
    <w:uiPriority w:val="99"/>
    <w:qFormat/>
    <w:rPr>
      <w:lang w:val="en-US" w:eastAsia="zh-CN" w:bidi="ar-SA"/>
    </w:rPr>
    <w:tblPr/>
  </w:style>
  <w:style w:type="table" w:styleId="906">
    <w:name w:val="网格表 6 彩色1"/>
    <w:next w:val="906"/>
    <w:link w:val="733"/>
    <w:uiPriority w:val="99"/>
    <w:qFormat/>
    <w:rPr>
      <w:lang w:val="en-US" w:eastAsia="zh-CN" w:bidi="ar-SA"/>
    </w:rPr>
    <w:tblPr/>
  </w:style>
  <w:style w:type="table" w:styleId="907">
    <w:name w:val="Grid Table 6 Colorful - Accent 1"/>
    <w:next w:val="907"/>
    <w:link w:val="733"/>
    <w:uiPriority w:val="99"/>
    <w:qFormat/>
    <w:rPr>
      <w:lang w:val="en-US" w:eastAsia="zh-CN" w:bidi="ar-SA"/>
    </w:rPr>
    <w:tblPr/>
  </w:style>
  <w:style w:type="table" w:styleId="908">
    <w:name w:val="Grid Table 6 Colorful - Accent 2"/>
    <w:next w:val="908"/>
    <w:link w:val="733"/>
    <w:uiPriority w:val="99"/>
    <w:qFormat/>
    <w:rPr>
      <w:lang w:val="en-US" w:eastAsia="zh-CN" w:bidi="ar-SA"/>
    </w:rPr>
    <w:tblPr/>
  </w:style>
  <w:style w:type="table" w:styleId="909">
    <w:name w:val="Grid Table 6 Colorful - Accent 3"/>
    <w:next w:val="909"/>
    <w:link w:val="733"/>
    <w:uiPriority w:val="99"/>
    <w:qFormat/>
    <w:rPr>
      <w:lang w:val="en-US" w:eastAsia="zh-CN" w:bidi="ar-SA"/>
    </w:rPr>
    <w:tblPr/>
  </w:style>
  <w:style w:type="table" w:styleId="910">
    <w:name w:val="Grid Table 6 Colorful - Accent 4"/>
    <w:next w:val="910"/>
    <w:link w:val="733"/>
    <w:uiPriority w:val="99"/>
    <w:qFormat/>
    <w:rPr>
      <w:lang w:val="en-US" w:eastAsia="zh-CN" w:bidi="ar-SA"/>
    </w:rPr>
    <w:tblPr/>
  </w:style>
  <w:style w:type="table" w:styleId="911">
    <w:name w:val="Grid Table 6 Colorful - Accent 5"/>
    <w:next w:val="911"/>
    <w:link w:val="733"/>
    <w:uiPriority w:val="99"/>
    <w:qFormat/>
    <w:rPr>
      <w:lang w:val="en-US" w:eastAsia="zh-CN" w:bidi="ar-SA"/>
    </w:rPr>
    <w:tblPr/>
  </w:style>
  <w:style w:type="table" w:styleId="912">
    <w:name w:val="Grid Table 6 Colorful - Accent 6"/>
    <w:next w:val="912"/>
    <w:link w:val="733"/>
    <w:uiPriority w:val="99"/>
    <w:qFormat/>
    <w:rPr>
      <w:lang w:val="en-US" w:eastAsia="zh-CN" w:bidi="ar-SA"/>
    </w:rPr>
    <w:tblPr/>
  </w:style>
  <w:style w:type="table" w:styleId="913">
    <w:name w:val="网格表 7 彩色1"/>
    <w:next w:val="913"/>
    <w:link w:val="733"/>
    <w:uiPriority w:val="99"/>
    <w:qFormat/>
    <w:rPr>
      <w:lang w:val="en-US" w:eastAsia="zh-CN" w:bidi="ar-SA"/>
    </w:rPr>
    <w:tblPr/>
  </w:style>
  <w:style w:type="table" w:styleId="914">
    <w:name w:val="Grid Table 7 Colorful - Accent 1"/>
    <w:next w:val="914"/>
    <w:link w:val="733"/>
    <w:uiPriority w:val="99"/>
    <w:qFormat/>
    <w:rPr>
      <w:lang w:val="en-US" w:eastAsia="zh-CN" w:bidi="ar-SA"/>
    </w:rPr>
    <w:tblPr/>
  </w:style>
  <w:style w:type="table" w:styleId="915">
    <w:name w:val="Grid Table 7 Colorful - Accent 2"/>
    <w:next w:val="915"/>
    <w:link w:val="733"/>
    <w:uiPriority w:val="99"/>
    <w:qFormat/>
    <w:rPr>
      <w:lang w:val="en-US" w:eastAsia="zh-CN" w:bidi="ar-SA"/>
    </w:rPr>
    <w:tblPr/>
  </w:style>
  <w:style w:type="table" w:styleId="916">
    <w:name w:val="Grid Table 7 Colorful - Accent 3"/>
    <w:next w:val="916"/>
    <w:link w:val="733"/>
    <w:uiPriority w:val="99"/>
    <w:qFormat/>
    <w:rPr>
      <w:lang w:val="en-US" w:eastAsia="zh-CN" w:bidi="ar-SA"/>
    </w:rPr>
    <w:tblPr/>
  </w:style>
  <w:style w:type="table" w:styleId="917">
    <w:name w:val="Grid Table 7 Colorful - Accent 4"/>
    <w:next w:val="917"/>
    <w:link w:val="733"/>
    <w:uiPriority w:val="99"/>
    <w:qFormat/>
    <w:rPr>
      <w:lang w:val="en-US" w:eastAsia="zh-CN" w:bidi="ar-SA"/>
    </w:rPr>
    <w:tblPr/>
  </w:style>
  <w:style w:type="table" w:styleId="918">
    <w:name w:val="Grid Table 7 Colorful - Accent 5"/>
    <w:next w:val="918"/>
    <w:link w:val="733"/>
    <w:uiPriority w:val="99"/>
    <w:qFormat/>
    <w:rPr>
      <w:lang w:val="en-US" w:eastAsia="zh-CN" w:bidi="ar-SA"/>
    </w:rPr>
    <w:tblPr/>
  </w:style>
  <w:style w:type="table" w:styleId="919">
    <w:name w:val="Grid Table 7 Colorful - Accent 6"/>
    <w:next w:val="919"/>
    <w:link w:val="733"/>
    <w:uiPriority w:val="99"/>
    <w:qFormat/>
    <w:rPr>
      <w:lang w:val="en-US" w:eastAsia="zh-CN" w:bidi="ar-SA"/>
    </w:rPr>
    <w:tblPr/>
  </w:style>
  <w:style w:type="table" w:styleId="920">
    <w:name w:val="清单表 1 浅色1"/>
    <w:next w:val="920"/>
    <w:link w:val="733"/>
    <w:uiPriority w:val="99"/>
    <w:qFormat/>
    <w:rPr>
      <w:lang w:val="en-US" w:eastAsia="zh-CN" w:bidi="ar-SA"/>
    </w:rPr>
    <w:tblPr/>
  </w:style>
  <w:style w:type="table" w:styleId="921">
    <w:name w:val="List Table 1 Light - Accent 1"/>
    <w:next w:val="921"/>
    <w:link w:val="733"/>
    <w:uiPriority w:val="99"/>
    <w:qFormat/>
    <w:rPr>
      <w:lang w:val="en-US" w:eastAsia="zh-CN" w:bidi="ar-SA"/>
    </w:rPr>
    <w:tblPr/>
  </w:style>
  <w:style w:type="table" w:styleId="922">
    <w:name w:val="List Table 1 Light - Accent 2"/>
    <w:next w:val="922"/>
    <w:link w:val="733"/>
    <w:uiPriority w:val="99"/>
    <w:qFormat/>
    <w:rPr>
      <w:lang w:val="en-US" w:eastAsia="zh-CN" w:bidi="ar-SA"/>
    </w:rPr>
    <w:tblPr/>
  </w:style>
  <w:style w:type="table" w:styleId="923">
    <w:name w:val="List Table 1 Light - Accent 3"/>
    <w:next w:val="923"/>
    <w:link w:val="733"/>
    <w:uiPriority w:val="99"/>
    <w:qFormat/>
    <w:rPr>
      <w:lang w:val="en-US" w:eastAsia="zh-CN" w:bidi="ar-SA"/>
    </w:rPr>
    <w:tblPr/>
  </w:style>
  <w:style w:type="table" w:styleId="924">
    <w:name w:val="List Table 1 Light - Accent 4"/>
    <w:next w:val="924"/>
    <w:link w:val="733"/>
    <w:uiPriority w:val="99"/>
    <w:qFormat/>
    <w:rPr>
      <w:lang w:val="en-US" w:eastAsia="zh-CN" w:bidi="ar-SA"/>
    </w:rPr>
    <w:tblPr/>
  </w:style>
  <w:style w:type="table" w:styleId="925">
    <w:name w:val="List Table 1 Light - Accent 5"/>
    <w:next w:val="925"/>
    <w:link w:val="733"/>
    <w:uiPriority w:val="99"/>
    <w:qFormat/>
    <w:rPr>
      <w:lang w:val="en-US" w:eastAsia="zh-CN" w:bidi="ar-SA"/>
    </w:rPr>
    <w:tblPr/>
  </w:style>
  <w:style w:type="table" w:styleId="926">
    <w:name w:val="List Table 1 Light - Accent 6"/>
    <w:next w:val="926"/>
    <w:link w:val="733"/>
    <w:uiPriority w:val="99"/>
    <w:qFormat/>
    <w:rPr>
      <w:lang w:val="en-US" w:eastAsia="zh-CN" w:bidi="ar-SA"/>
    </w:rPr>
    <w:tblPr/>
  </w:style>
  <w:style w:type="table" w:styleId="927">
    <w:name w:val="清单表 21"/>
    <w:next w:val="927"/>
    <w:link w:val="733"/>
    <w:uiPriority w:val="99"/>
    <w:qFormat/>
    <w:rPr>
      <w:lang w:val="en-US" w:eastAsia="zh-CN" w:bidi="ar-SA"/>
    </w:rPr>
    <w:tblPr/>
  </w:style>
  <w:style w:type="table" w:styleId="928">
    <w:name w:val="List Table 2 - Accent 1"/>
    <w:next w:val="928"/>
    <w:link w:val="733"/>
    <w:uiPriority w:val="99"/>
    <w:qFormat/>
    <w:rPr>
      <w:lang w:val="en-US" w:eastAsia="zh-CN" w:bidi="ar-SA"/>
    </w:rPr>
    <w:tblPr/>
  </w:style>
  <w:style w:type="table" w:styleId="929">
    <w:name w:val="List Table 2 - Accent 2"/>
    <w:next w:val="929"/>
    <w:link w:val="733"/>
    <w:uiPriority w:val="99"/>
    <w:qFormat/>
    <w:rPr>
      <w:lang w:val="en-US" w:eastAsia="zh-CN" w:bidi="ar-SA"/>
    </w:rPr>
    <w:tblPr/>
  </w:style>
  <w:style w:type="table" w:styleId="930">
    <w:name w:val="List Table 2 - Accent 3"/>
    <w:next w:val="930"/>
    <w:link w:val="733"/>
    <w:uiPriority w:val="99"/>
    <w:qFormat/>
    <w:rPr>
      <w:lang w:val="en-US" w:eastAsia="zh-CN" w:bidi="ar-SA"/>
    </w:rPr>
    <w:tblPr/>
  </w:style>
  <w:style w:type="table" w:styleId="931">
    <w:name w:val="List Table 2 - Accent 4"/>
    <w:next w:val="931"/>
    <w:link w:val="733"/>
    <w:uiPriority w:val="99"/>
    <w:qFormat/>
    <w:rPr>
      <w:lang w:val="en-US" w:eastAsia="zh-CN" w:bidi="ar-SA"/>
    </w:rPr>
    <w:tblPr/>
  </w:style>
  <w:style w:type="table" w:styleId="932">
    <w:name w:val="List Table 2 - Accent 5"/>
    <w:next w:val="932"/>
    <w:link w:val="733"/>
    <w:uiPriority w:val="99"/>
    <w:qFormat/>
    <w:rPr>
      <w:lang w:val="en-US" w:eastAsia="zh-CN" w:bidi="ar-SA"/>
    </w:rPr>
    <w:tblPr/>
  </w:style>
  <w:style w:type="table" w:styleId="933">
    <w:name w:val="List Table 2 - Accent 6"/>
    <w:next w:val="933"/>
    <w:link w:val="733"/>
    <w:uiPriority w:val="99"/>
    <w:qFormat/>
    <w:rPr>
      <w:lang w:val="en-US" w:eastAsia="zh-CN" w:bidi="ar-SA"/>
    </w:rPr>
    <w:tblPr/>
  </w:style>
  <w:style w:type="table" w:styleId="934">
    <w:name w:val="清单表 31"/>
    <w:next w:val="934"/>
    <w:link w:val="733"/>
    <w:uiPriority w:val="99"/>
    <w:qFormat/>
    <w:rPr>
      <w:lang w:val="en-US" w:eastAsia="zh-CN" w:bidi="ar-SA"/>
    </w:rPr>
    <w:tblPr/>
  </w:style>
  <w:style w:type="table" w:styleId="935">
    <w:name w:val="List Table 3 - Accent 1"/>
    <w:next w:val="935"/>
    <w:link w:val="733"/>
    <w:uiPriority w:val="99"/>
    <w:qFormat/>
    <w:rPr>
      <w:lang w:val="en-US" w:eastAsia="zh-CN" w:bidi="ar-SA"/>
    </w:rPr>
    <w:tblPr/>
  </w:style>
  <w:style w:type="table" w:styleId="936">
    <w:name w:val="List Table 3 - Accent 2"/>
    <w:next w:val="936"/>
    <w:link w:val="733"/>
    <w:uiPriority w:val="99"/>
    <w:qFormat/>
    <w:rPr>
      <w:lang w:val="en-US" w:eastAsia="zh-CN" w:bidi="ar-SA"/>
    </w:rPr>
    <w:tblPr/>
  </w:style>
  <w:style w:type="table" w:styleId="937">
    <w:name w:val="List Table 3 - Accent 3"/>
    <w:next w:val="937"/>
    <w:link w:val="733"/>
    <w:uiPriority w:val="99"/>
    <w:qFormat/>
    <w:rPr>
      <w:lang w:val="en-US" w:eastAsia="zh-CN" w:bidi="ar-SA"/>
    </w:rPr>
    <w:tblPr/>
  </w:style>
  <w:style w:type="table" w:styleId="938">
    <w:name w:val="List Table 3 - Accent 4"/>
    <w:next w:val="938"/>
    <w:link w:val="733"/>
    <w:uiPriority w:val="99"/>
    <w:qFormat/>
    <w:rPr>
      <w:lang w:val="en-US" w:eastAsia="zh-CN" w:bidi="ar-SA"/>
    </w:rPr>
    <w:tblPr/>
  </w:style>
  <w:style w:type="table" w:styleId="939">
    <w:name w:val="List Table 3 - Accent 5"/>
    <w:next w:val="939"/>
    <w:link w:val="733"/>
    <w:uiPriority w:val="99"/>
    <w:qFormat/>
    <w:rPr>
      <w:lang w:val="en-US" w:eastAsia="zh-CN" w:bidi="ar-SA"/>
    </w:rPr>
    <w:tblPr/>
  </w:style>
  <w:style w:type="table" w:styleId="940">
    <w:name w:val="List Table 3 - Accent 6"/>
    <w:next w:val="940"/>
    <w:link w:val="733"/>
    <w:uiPriority w:val="99"/>
    <w:qFormat/>
    <w:rPr>
      <w:lang w:val="en-US" w:eastAsia="zh-CN" w:bidi="ar-SA"/>
    </w:rPr>
    <w:tblPr/>
  </w:style>
  <w:style w:type="table" w:styleId="941">
    <w:name w:val="清单表 41"/>
    <w:next w:val="941"/>
    <w:link w:val="733"/>
    <w:uiPriority w:val="99"/>
    <w:qFormat/>
    <w:rPr>
      <w:lang w:val="en-US" w:eastAsia="zh-CN" w:bidi="ar-SA"/>
    </w:rPr>
    <w:tblPr/>
  </w:style>
  <w:style w:type="table" w:styleId="942">
    <w:name w:val="List Table 4 - Accent 1"/>
    <w:next w:val="942"/>
    <w:link w:val="733"/>
    <w:uiPriority w:val="99"/>
    <w:qFormat/>
    <w:rPr>
      <w:lang w:val="en-US" w:eastAsia="zh-CN" w:bidi="ar-SA"/>
    </w:rPr>
    <w:tblPr/>
  </w:style>
  <w:style w:type="table" w:styleId="943">
    <w:name w:val="List Table 4 - Accent 2"/>
    <w:next w:val="943"/>
    <w:link w:val="733"/>
    <w:uiPriority w:val="99"/>
    <w:qFormat/>
    <w:rPr>
      <w:lang w:val="en-US" w:eastAsia="zh-CN" w:bidi="ar-SA"/>
    </w:rPr>
    <w:tblPr/>
  </w:style>
  <w:style w:type="table" w:styleId="944">
    <w:name w:val="List Table 4 - Accent 3"/>
    <w:next w:val="944"/>
    <w:link w:val="733"/>
    <w:uiPriority w:val="99"/>
    <w:qFormat/>
    <w:rPr>
      <w:lang w:val="en-US" w:eastAsia="zh-CN" w:bidi="ar-SA"/>
    </w:rPr>
    <w:tblPr/>
  </w:style>
  <w:style w:type="table" w:styleId="945">
    <w:name w:val="List Table 4 - Accent 4"/>
    <w:next w:val="945"/>
    <w:link w:val="733"/>
    <w:uiPriority w:val="99"/>
    <w:qFormat/>
    <w:rPr>
      <w:lang w:val="en-US" w:eastAsia="zh-CN" w:bidi="ar-SA"/>
    </w:rPr>
    <w:tblPr/>
  </w:style>
  <w:style w:type="table" w:styleId="946">
    <w:name w:val="List Table 4 - Accent 5"/>
    <w:next w:val="946"/>
    <w:link w:val="733"/>
    <w:uiPriority w:val="99"/>
    <w:qFormat/>
    <w:rPr>
      <w:lang w:val="en-US" w:eastAsia="zh-CN" w:bidi="ar-SA"/>
    </w:rPr>
    <w:tblPr/>
  </w:style>
  <w:style w:type="table" w:styleId="947">
    <w:name w:val="List Table 4 - Accent 6"/>
    <w:next w:val="947"/>
    <w:link w:val="733"/>
    <w:uiPriority w:val="99"/>
    <w:qFormat/>
    <w:rPr>
      <w:lang w:val="en-US" w:eastAsia="zh-CN" w:bidi="ar-SA"/>
    </w:rPr>
    <w:tblPr/>
  </w:style>
  <w:style w:type="table" w:styleId="948">
    <w:name w:val="清单表 5 深色1"/>
    <w:next w:val="948"/>
    <w:link w:val="733"/>
    <w:uiPriority w:val="99"/>
    <w:qFormat/>
    <w:rPr>
      <w:lang w:val="en-US" w:eastAsia="zh-CN" w:bidi="ar-SA"/>
    </w:rPr>
    <w:tblPr/>
  </w:style>
  <w:style w:type="table" w:styleId="949">
    <w:name w:val="List Table 5 Dark - Accent 1"/>
    <w:next w:val="949"/>
    <w:link w:val="733"/>
    <w:uiPriority w:val="99"/>
    <w:qFormat/>
    <w:rPr>
      <w:lang w:val="en-US" w:eastAsia="zh-CN" w:bidi="ar-SA"/>
    </w:rPr>
    <w:tblPr/>
  </w:style>
  <w:style w:type="table" w:styleId="950">
    <w:name w:val="List Table 5 Dark - Accent 2"/>
    <w:next w:val="950"/>
    <w:link w:val="733"/>
    <w:uiPriority w:val="99"/>
    <w:qFormat/>
    <w:rPr>
      <w:lang w:val="en-US" w:eastAsia="zh-CN" w:bidi="ar-SA"/>
    </w:rPr>
    <w:tblPr/>
  </w:style>
  <w:style w:type="table" w:styleId="951">
    <w:name w:val="List Table 5 Dark - Accent 3"/>
    <w:next w:val="951"/>
    <w:link w:val="733"/>
    <w:uiPriority w:val="99"/>
    <w:qFormat/>
    <w:rPr>
      <w:lang w:val="en-US" w:eastAsia="zh-CN" w:bidi="ar-SA"/>
    </w:rPr>
    <w:tblPr/>
  </w:style>
  <w:style w:type="table" w:styleId="952">
    <w:name w:val="List Table 5 Dark - Accent 4"/>
    <w:next w:val="952"/>
    <w:link w:val="733"/>
    <w:uiPriority w:val="99"/>
    <w:qFormat/>
    <w:rPr>
      <w:lang w:val="en-US" w:eastAsia="zh-CN" w:bidi="ar-SA"/>
    </w:rPr>
    <w:tblPr/>
  </w:style>
  <w:style w:type="table" w:styleId="953">
    <w:name w:val="List Table 5 Dark - Accent 5"/>
    <w:next w:val="953"/>
    <w:link w:val="733"/>
    <w:uiPriority w:val="99"/>
    <w:qFormat/>
    <w:rPr>
      <w:lang w:val="en-US" w:eastAsia="zh-CN" w:bidi="ar-SA"/>
    </w:rPr>
    <w:tblPr/>
  </w:style>
  <w:style w:type="table" w:styleId="954">
    <w:name w:val="List Table 5 Dark - Accent 6"/>
    <w:next w:val="954"/>
    <w:link w:val="733"/>
    <w:uiPriority w:val="99"/>
    <w:qFormat/>
    <w:rPr>
      <w:lang w:val="en-US" w:eastAsia="zh-CN" w:bidi="ar-SA"/>
    </w:rPr>
    <w:tblPr/>
  </w:style>
  <w:style w:type="table" w:styleId="955">
    <w:name w:val="清单表 6 彩色1"/>
    <w:next w:val="955"/>
    <w:link w:val="733"/>
    <w:uiPriority w:val="99"/>
    <w:qFormat/>
    <w:rPr>
      <w:lang w:val="en-US" w:eastAsia="zh-CN" w:bidi="ar-SA"/>
    </w:rPr>
    <w:tblPr/>
  </w:style>
  <w:style w:type="table" w:styleId="956">
    <w:name w:val="List Table 6 Colorful - Accent 1"/>
    <w:next w:val="956"/>
    <w:link w:val="733"/>
    <w:uiPriority w:val="99"/>
    <w:qFormat/>
    <w:rPr>
      <w:lang w:val="en-US" w:eastAsia="zh-CN" w:bidi="ar-SA"/>
    </w:rPr>
    <w:tblPr/>
  </w:style>
  <w:style w:type="table" w:styleId="957">
    <w:name w:val="List Table 6 Colorful - Accent 2"/>
    <w:next w:val="957"/>
    <w:link w:val="733"/>
    <w:uiPriority w:val="99"/>
    <w:qFormat/>
    <w:rPr>
      <w:lang w:val="en-US" w:eastAsia="zh-CN" w:bidi="ar-SA"/>
    </w:rPr>
    <w:tblPr/>
  </w:style>
  <w:style w:type="table" w:styleId="958">
    <w:name w:val="List Table 6 Colorful - Accent 3"/>
    <w:next w:val="958"/>
    <w:link w:val="733"/>
    <w:uiPriority w:val="99"/>
    <w:qFormat/>
    <w:rPr>
      <w:lang w:val="en-US" w:eastAsia="zh-CN" w:bidi="ar-SA"/>
    </w:rPr>
    <w:tblPr/>
  </w:style>
  <w:style w:type="table" w:styleId="959">
    <w:name w:val="List Table 6 Colorful - Accent 4"/>
    <w:next w:val="959"/>
    <w:link w:val="733"/>
    <w:uiPriority w:val="99"/>
    <w:qFormat/>
    <w:rPr>
      <w:lang w:val="en-US" w:eastAsia="zh-CN" w:bidi="ar-SA"/>
    </w:rPr>
    <w:tblPr/>
  </w:style>
  <w:style w:type="table" w:styleId="960">
    <w:name w:val="List Table 6 Colorful - Accent 5"/>
    <w:next w:val="960"/>
    <w:link w:val="733"/>
    <w:uiPriority w:val="99"/>
    <w:qFormat/>
    <w:rPr>
      <w:lang w:val="en-US" w:eastAsia="zh-CN" w:bidi="ar-SA"/>
    </w:rPr>
    <w:tblPr/>
  </w:style>
  <w:style w:type="table" w:styleId="961">
    <w:name w:val="List Table 6 Colorful - Accent 6"/>
    <w:next w:val="961"/>
    <w:link w:val="733"/>
    <w:uiPriority w:val="99"/>
    <w:qFormat/>
    <w:rPr>
      <w:lang w:val="en-US" w:eastAsia="zh-CN" w:bidi="ar-SA"/>
    </w:rPr>
    <w:tblPr/>
  </w:style>
  <w:style w:type="table" w:styleId="962">
    <w:name w:val="清单表 7 彩色1"/>
    <w:next w:val="962"/>
    <w:link w:val="733"/>
    <w:uiPriority w:val="99"/>
    <w:qFormat/>
    <w:rPr>
      <w:lang w:val="en-US" w:eastAsia="zh-CN" w:bidi="ar-SA"/>
    </w:rPr>
    <w:tblPr/>
  </w:style>
  <w:style w:type="table" w:styleId="963">
    <w:name w:val="List Table 7 Colorful - Accent 1"/>
    <w:next w:val="963"/>
    <w:link w:val="733"/>
    <w:uiPriority w:val="99"/>
    <w:qFormat/>
    <w:rPr>
      <w:lang w:val="en-US" w:eastAsia="zh-CN" w:bidi="ar-SA"/>
    </w:rPr>
    <w:tblPr/>
  </w:style>
  <w:style w:type="table" w:styleId="964">
    <w:name w:val="List Table 7 Colorful - Accent 2"/>
    <w:next w:val="964"/>
    <w:link w:val="733"/>
    <w:uiPriority w:val="99"/>
    <w:qFormat/>
    <w:rPr>
      <w:lang w:val="en-US" w:eastAsia="zh-CN" w:bidi="ar-SA"/>
    </w:rPr>
    <w:tblPr/>
  </w:style>
  <w:style w:type="table" w:styleId="965">
    <w:name w:val="List Table 7 Colorful - Accent 3"/>
    <w:next w:val="965"/>
    <w:link w:val="733"/>
    <w:uiPriority w:val="99"/>
    <w:qFormat/>
    <w:rPr>
      <w:lang w:val="en-US" w:eastAsia="zh-CN" w:bidi="ar-SA"/>
    </w:rPr>
    <w:tblPr/>
  </w:style>
  <w:style w:type="table" w:styleId="966">
    <w:name w:val="List Table 7 Colorful - Accent 4"/>
    <w:next w:val="966"/>
    <w:link w:val="733"/>
    <w:uiPriority w:val="99"/>
    <w:qFormat/>
    <w:rPr>
      <w:lang w:val="en-US" w:eastAsia="zh-CN" w:bidi="ar-SA"/>
    </w:rPr>
    <w:tblPr/>
  </w:style>
  <w:style w:type="table" w:styleId="967">
    <w:name w:val="List Table 7 Colorful - Accent 5"/>
    <w:next w:val="967"/>
    <w:link w:val="733"/>
    <w:uiPriority w:val="99"/>
    <w:qFormat/>
    <w:rPr>
      <w:lang w:val="en-US" w:eastAsia="zh-CN" w:bidi="ar-SA"/>
    </w:rPr>
    <w:tblPr/>
  </w:style>
  <w:style w:type="table" w:styleId="968">
    <w:name w:val="List Table 7 Colorful - Accent 6"/>
    <w:next w:val="968"/>
    <w:link w:val="733"/>
    <w:uiPriority w:val="99"/>
    <w:qFormat/>
    <w:rPr>
      <w:lang w:val="en-US" w:eastAsia="zh-CN" w:bidi="ar-SA"/>
    </w:rPr>
    <w:tblPr/>
  </w:style>
  <w:style w:type="table" w:styleId="969">
    <w:name w:val="Lined - Accent"/>
    <w:next w:val="969"/>
    <w:link w:val="733"/>
    <w:uiPriority w:val="99"/>
    <w:qFormat/>
    <w:rPr>
      <w:color w:val="404040"/>
      <w:lang w:val="en-US" w:eastAsia="zh-CN" w:bidi="ar-SA"/>
    </w:rPr>
    <w:tblPr/>
  </w:style>
  <w:style w:type="table" w:styleId="970">
    <w:name w:val="Lined - Accent 1"/>
    <w:next w:val="970"/>
    <w:link w:val="733"/>
    <w:uiPriority w:val="99"/>
    <w:qFormat/>
    <w:rPr>
      <w:color w:val="404040"/>
      <w:lang w:val="en-US" w:eastAsia="zh-CN" w:bidi="ar-SA"/>
    </w:rPr>
    <w:tblPr/>
  </w:style>
  <w:style w:type="table" w:styleId="971">
    <w:name w:val="Lined - Accent 2"/>
    <w:next w:val="971"/>
    <w:link w:val="733"/>
    <w:uiPriority w:val="99"/>
    <w:qFormat/>
    <w:rPr>
      <w:color w:val="404040"/>
      <w:lang w:val="en-US" w:eastAsia="zh-CN" w:bidi="ar-SA"/>
    </w:rPr>
    <w:tblPr/>
  </w:style>
  <w:style w:type="table" w:styleId="972">
    <w:name w:val="Lined - Accent 3"/>
    <w:next w:val="972"/>
    <w:link w:val="733"/>
    <w:uiPriority w:val="99"/>
    <w:qFormat/>
    <w:rPr>
      <w:color w:val="404040"/>
      <w:lang w:val="en-US" w:eastAsia="zh-CN" w:bidi="ar-SA"/>
    </w:rPr>
    <w:tblPr/>
  </w:style>
  <w:style w:type="table" w:styleId="973">
    <w:name w:val="Lined - Accent 4"/>
    <w:next w:val="973"/>
    <w:link w:val="733"/>
    <w:uiPriority w:val="99"/>
    <w:qFormat/>
    <w:rPr>
      <w:color w:val="404040"/>
      <w:lang w:val="en-US" w:eastAsia="zh-CN" w:bidi="ar-SA"/>
    </w:rPr>
    <w:tblPr/>
  </w:style>
  <w:style w:type="table" w:styleId="974">
    <w:name w:val="Lined - Accent 5"/>
    <w:next w:val="974"/>
    <w:link w:val="733"/>
    <w:uiPriority w:val="99"/>
    <w:qFormat/>
    <w:rPr>
      <w:color w:val="404040"/>
      <w:lang w:val="en-US" w:eastAsia="zh-CN" w:bidi="ar-SA"/>
    </w:rPr>
    <w:tblPr/>
  </w:style>
  <w:style w:type="table" w:styleId="975">
    <w:name w:val="Lined - Accent 6"/>
    <w:next w:val="975"/>
    <w:link w:val="733"/>
    <w:uiPriority w:val="99"/>
    <w:qFormat/>
    <w:rPr>
      <w:color w:val="404040"/>
      <w:lang w:val="en-US" w:eastAsia="zh-CN" w:bidi="ar-SA"/>
    </w:rPr>
    <w:tblPr/>
  </w:style>
  <w:style w:type="table" w:styleId="976">
    <w:name w:val="Bordered &amp; Lined - Accent"/>
    <w:next w:val="976"/>
    <w:link w:val="733"/>
    <w:uiPriority w:val="99"/>
    <w:qFormat/>
    <w:rPr>
      <w:color w:val="404040"/>
      <w:lang w:val="en-US" w:eastAsia="zh-CN" w:bidi="ar-SA"/>
    </w:rPr>
    <w:tblPr/>
  </w:style>
  <w:style w:type="table" w:styleId="977">
    <w:name w:val="Bordered &amp; Lined - Accent 1"/>
    <w:next w:val="977"/>
    <w:link w:val="733"/>
    <w:uiPriority w:val="99"/>
    <w:qFormat/>
    <w:rPr>
      <w:color w:val="404040"/>
      <w:lang w:val="en-US" w:eastAsia="zh-CN" w:bidi="ar-SA"/>
    </w:rPr>
    <w:tblPr/>
  </w:style>
  <w:style w:type="table" w:styleId="978">
    <w:name w:val="Bordered &amp; Lined - Accent 2"/>
    <w:next w:val="978"/>
    <w:link w:val="733"/>
    <w:uiPriority w:val="99"/>
    <w:qFormat/>
    <w:rPr>
      <w:color w:val="404040"/>
      <w:lang w:val="en-US" w:eastAsia="zh-CN" w:bidi="ar-SA"/>
    </w:rPr>
    <w:tblPr/>
  </w:style>
  <w:style w:type="table" w:styleId="979">
    <w:name w:val="Bordered &amp; Lined - Accent 3"/>
    <w:next w:val="979"/>
    <w:link w:val="733"/>
    <w:uiPriority w:val="99"/>
    <w:qFormat/>
    <w:rPr>
      <w:color w:val="404040"/>
      <w:lang w:val="en-US" w:eastAsia="zh-CN" w:bidi="ar-SA"/>
    </w:rPr>
    <w:tblPr/>
  </w:style>
  <w:style w:type="table" w:styleId="980">
    <w:name w:val="Bordered &amp; Lined - Accent 4"/>
    <w:next w:val="980"/>
    <w:link w:val="733"/>
    <w:uiPriority w:val="99"/>
    <w:qFormat/>
    <w:rPr>
      <w:color w:val="404040"/>
      <w:lang w:val="en-US" w:eastAsia="zh-CN" w:bidi="ar-SA"/>
    </w:rPr>
    <w:tblPr/>
  </w:style>
  <w:style w:type="table" w:styleId="981">
    <w:name w:val="Bordered &amp; Lined - Accent 5"/>
    <w:next w:val="981"/>
    <w:link w:val="733"/>
    <w:uiPriority w:val="99"/>
    <w:qFormat/>
    <w:rPr>
      <w:color w:val="404040"/>
      <w:lang w:val="en-US" w:eastAsia="zh-CN" w:bidi="ar-SA"/>
    </w:rPr>
    <w:tblPr/>
  </w:style>
  <w:style w:type="table" w:styleId="982">
    <w:name w:val="Bordered &amp; Lined - Accent 6"/>
    <w:next w:val="982"/>
    <w:link w:val="733"/>
    <w:uiPriority w:val="99"/>
    <w:qFormat/>
    <w:rPr>
      <w:color w:val="404040"/>
      <w:lang w:val="en-US" w:eastAsia="zh-CN" w:bidi="ar-SA"/>
    </w:rPr>
    <w:tblPr/>
  </w:style>
  <w:style w:type="table" w:styleId="983">
    <w:name w:val="Bordered"/>
    <w:next w:val="983"/>
    <w:link w:val="733"/>
    <w:uiPriority w:val="99"/>
    <w:qFormat/>
    <w:rPr>
      <w:lang w:val="en-US" w:eastAsia="zh-CN" w:bidi="ar-SA"/>
    </w:rPr>
    <w:tblPr/>
  </w:style>
  <w:style w:type="table" w:styleId="984">
    <w:name w:val="Bordered - Accent 1"/>
    <w:next w:val="984"/>
    <w:link w:val="733"/>
    <w:uiPriority w:val="99"/>
    <w:qFormat/>
    <w:rPr>
      <w:lang w:val="en-US" w:eastAsia="zh-CN" w:bidi="ar-SA"/>
    </w:rPr>
    <w:tblPr/>
  </w:style>
  <w:style w:type="table" w:styleId="985">
    <w:name w:val="Bordered - Accent 2"/>
    <w:next w:val="985"/>
    <w:link w:val="733"/>
    <w:uiPriority w:val="99"/>
    <w:qFormat/>
    <w:rPr>
      <w:lang w:val="en-US" w:eastAsia="zh-CN" w:bidi="ar-SA"/>
    </w:rPr>
    <w:tblPr/>
  </w:style>
  <w:style w:type="table" w:styleId="986">
    <w:name w:val="Bordered - Accent 3"/>
    <w:next w:val="986"/>
    <w:link w:val="733"/>
    <w:uiPriority w:val="99"/>
    <w:qFormat/>
    <w:rPr>
      <w:lang w:val="en-US" w:eastAsia="zh-CN" w:bidi="ar-SA"/>
    </w:rPr>
    <w:tblPr/>
  </w:style>
  <w:style w:type="table" w:styleId="987">
    <w:name w:val="Bordered - Accent 4"/>
    <w:next w:val="987"/>
    <w:link w:val="733"/>
    <w:uiPriority w:val="99"/>
    <w:qFormat/>
    <w:rPr>
      <w:lang w:val="en-US" w:eastAsia="zh-CN" w:bidi="ar-SA"/>
    </w:rPr>
    <w:tblPr/>
  </w:style>
  <w:style w:type="table" w:styleId="988">
    <w:name w:val="Bordered - Accent 5"/>
    <w:next w:val="988"/>
    <w:link w:val="733"/>
    <w:uiPriority w:val="99"/>
    <w:qFormat/>
    <w:rPr>
      <w:lang w:val="en-US" w:eastAsia="zh-CN" w:bidi="ar-SA"/>
    </w:rPr>
    <w:tblPr/>
  </w:style>
  <w:style w:type="table" w:styleId="989">
    <w:name w:val="Bordered - Accent 6"/>
    <w:next w:val="989"/>
    <w:link w:val="733"/>
    <w:uiPriority w:val="99"/>
    <w:qFormat/>
    <w:rPr>
      <w:lang w:val="en-US" w:eastAsia="zh-CN" w:bidi="ar-SA"/>
    </w:rPr>
    <w:tblPr/>
  </w:style>
  <w:style w:type="paragraph" w:styleId="990">
    <w:name w:val="TOC 标题11"/>
    <w:next w:val="990"/>
    <w:link w:val="733"/>
    <w:uiPriority w:val="39"/>
    <w:unhideWhenUsed/>
    <w:qFormat/>
    <w:rPr>
      <w:lang w:val="en-US" w:eastAsia="zh-CN" w:bidi="ar-SA"/>
    </w:rPr>
  </w:style>
  <w:style w:type="paragraph" w:styleId="991">
    <w:name w:val="正文首行缩进1"/>
    <w:basedOn w:val="745"/>
    <w:next w:val="991"/>
    <w:link w:val="992"/>
    <w:qFormat/>
    <w:pPr>
      <w:ind w:firstLine="420"/>
      <w:spacing w:after="120"/>
    </w:pPr>
    <w:rPr>
      <w:rFonts w:ascii="Times New Roman" w:eastAsia="宋体"/>
      <w:szCs w:val="24"/>
    </w:rPr>
  </w:style>
  <w:style w:type="character" w:styleId="992">
    <w:name w:val="正文文本首行缩进 字符"/>
    <w:next w:val="992"/>
    <w:link w:val="991"/>
    <w:qFormat/>
    <w:rPr>
      <w:rFonts w:ascii="Times New Roman" w:hAnsi="Times New Roman" w:eastAsia="宋体" w:cs="Times New Roman"/>
      <w:sz w:val="24"/>
      <w:szCs w:val="24"/>
    </w:rPr>
  </w:style>
  <w:style w:type="character" w:styleId="993">
    <w:name w:val="已访问的超链接1"/>
    <w:next w:val="993"/>
    <w:link w:val="733"/>
    <w:qFormat/>
    <w:rPr>
      <w:color w:val="800080"/>
      <w:u w:val="single"/>
    </w:rPr>
  </w:style>
  <w:style w:type="character" w:styleId="994">
    <w:name w:val="文档结构图 Char1"/>
    <w:next w:val="994"/>
    <w:link w:val="733"/>
    <w:uiPriority w:val="99"/>
    <w:semiHidden/>
    <w:qFormat/>
    <w:rPr>
      <w:rFonts w:ascii="宋体" w:hAnsi="Times New Roman" w:eastAsia="宋体" w:cs="Times New Roman"/>
      <w:sz w:val="18"/>
      <w:szCs w:val="18"/>
    </w:rPr>
  </w:style>
  <w:style w:type="character" w:styleId="995">
    <w:name w:val="普通正文 Char"/>
    <w:next w:val="995"/>
    <w:link w:val="996"/>
    <w:qFormat/>
    <w:rPr>
      <w:rFonts w:ascii="Arial" w:hAnsi="Arial"/>
      <w:sz w:val="24"/>
      <w:szCs w:val="24"/>
    </w:rPr>
  </w:style>
  <w:style w:type="paragraph" w:styleId="996">
    <w:name w:val="普通正文"/>
    <w:basedOn w:val="733"/>
    <w:next w:val="996"/>
    <w:link w:val="995"/>
    <w:qFormat/>
    <w:pPr>
      <w:ind w:left="-2" w:right="120" w:firstLine="480"/>
      <w:jc w:val="center"/>
      <w:spacing w:before="120" w:after="120" w:line="360" w:lineRule="auto"/>
    </w:pPr>
    <w:rPr>
      <w:rFonts w:ascii="Arial" w:hAnsi="Arial"/>
      <w:sz w:val="24"/>
    </w:rPr>
  </w:style>
  <w:style w:type="character" w:styleId="997">
    <w:name w:val="FA正文 Char"/>
    <w:next w:val="997"/>
    <w:link w:val="998"/>
    <w:qFormat/>
    <w:rPr>
      <w:rFonts w:ascii="宋体" w:hAnsi="宋体" w:eastAsia="宋体" w:cs="Times New Roman"/>
      <w:sz w:val="28"/>
      <w:szCs w:val="28"/>
    </w:rPr>
  </w:style>
  <w:style w:type="paragraph" w:styleId="998">
    <w:name w:val="FA正文"/>
    <w:basedOn w:val="733"/>
    <w:next w:val="998"/>
    <w:link w:val="997"/>
    <w:qFormat/>
    <w:pPr>
      <w:ind w:firstLine="538"/>
      <w:spacing w:line="440" w:lineRule="atLeast"/>
      <w:tabs>
        <w:tab w:val="left" w:pos="3375" w:leader="none"/>
      </w:tabs>
    </w:pPr>
    <w:rPr>
      <w:rFonts w:ascii="宋体" w:hAnsi="宋体"/>
      <w:sz w:val="28"/>
      <w:szCs w:val="28"/>
    </w:rPr>
  </w:style>
  <w:style w:type="character" w:styleId="999">
    <w:name w:val="正文缩进2格 Char"/>
    <w:next w:val="999"/>
    <w:link w:val="1000"/>
    <w:qFormat/>
    <w:rPr>
      <w:rFonts w:ascii="仿宋_GB2312" w:hAnsi="宋体" w:eastAsia="仿宋_GB2312" w:cs="Times New Roman"/>
      <w:sz w:val="31"/>
      <w:szCs w:val="28"/>
    </w:rPr>
  </w:style>
  <w:style w:type="paragraph" w:styleId="1000">
    <w:name w:val="正文缩进2格"/>
    <w:basedOn w:val="733"/>
    <w:next w:val="1000"/>
    <w:link w:val="999"/>
    <w:qFormat/>
    <w:pPr>
      <w:ind w:firstLine="639"/>
      <w:spacing w:line="600" w:lineRule="exact"/>
    </w:pPr>
    <w:rPr>
      <w:rFonts w:ascii="仿宋_GB2312" w:hAnsi="宋体" w:eastAsia="仿宋_GB2312"/>
      <w:sz w:val="31"/>
      <w:szCs w:val="28"/>
    </w:rPr>
  </w:style>
  <w:style w:type="character" w:styleId="1001">
    <w:name w:val="cn_text1"/>
    <w:next w:val="1001"/>
    <w:link w:val="733"/>
    <w:qFormat/>
    <w:rPr>
      <w:rFonts w:ascii="ˎ̥" w:hAnsi="ˎ̥"/>
      <w:color w:val="003399"/>
      <w:spacing w:val="15"/>
      <w:sz w:val="18"/>
      <w:szCs w:val="18"/>
    </w:rPr>
  </w:style>
  <w:style w:type="character" w:styleId="1002">
    <w:name w:val="ssss Char"/>
    <w:next w:val="1002"/>
    <w:link w:val="733"/>
    <w:qFormat/>
    <w:rPr>
      <w:rFonts w:eastAsia="宋体"/>
      <w:sz w:val="24"/>
      <w:szCs w:val="24"/>
      <w:lang w:val="en-US" w:eastAsia="zh-CN" w:bidi="ar-SA"/>
    </w:rPr>
  </w:style>
  <w:style w:type="character" w:styleId="1003">
    <w:name w:val="ssss Char1"/>
    <w:next w:val="1003"/>
    <w:link w:val="1004"/>
    <w:qFormat/>
    <w:rPr>
      <w:rFonts w:ascii="Times New Roman" w:hAnsi="Times New Roman" w:eastAsia="宋体" w:cs="Times New Roman"/>
      <w:sz w:val="24"/>
      <w:szCs w:val="24"/>
    </w:rPr>
  </w:style>
  <w:style w:type="paragraph" w:styleId="1004">
    <w:name w:val="ssss"/>
    <w:basedOn w:val="733"/>
    <w:next w:val="1004"/>
    <w:link w:val="1003"/>
    <w:qFormat/>
    <w:pPr>
      <w:ind w:firstLine="480"/>
      <w:spacing w:line="360" w:lineRule="auto"/>
    </w:pPr>
    <w:rPr>
      <w:sz w:val="24"/>
    </w:rPr>
  </w:style>
  <w:style w:type="character" w:styleId="1005">
    <w:name w:val="标题 4 Char1"/>
    <w:next w:val="1005"/>
    <w:link w:val="733"/>
    <w:qFormat/>
    <w:rPr>
      <w:rFonts w:ascii="Arial" w:hAnsi="Arial" w:eastAsia="黑体"/>
      <w:b/>
      <w:bCs/>
      <w:sz w:val="28"/>
      <w:szCs w:val="28"/>
      <w:lang w:val="en-US" w:eastAsia="zh-CN" w:bidi="ar-SA"/>
    </w:rPr>
  </w:style>
  <w:style w:type="character" w:styleId="1006">
    <w:name w:val="列表段落 字符"/>
    <w:next w:val="1006"/>
    <w:link w:val="733"/>
    <w:uiPriority w:val="34"/>
    <w:qFormat/>
    <w:rPr>
      <w:rFonts w:ascii="Calibri" w:hAnsi="Calibri"/>
      <w:sz w:val="21"/>
      <w:szCs w:val="22"/>
    </w:rPr>
  </w:style>
  <w:style w:type="character" w:styleId="1007">
    <w:name w:val="批注框文本 Char1"/>
    <w:next w:val="1007"/>
    <w:link w:val="733"/>
    <w:uiPriority w:val="99"/>
    <w:semiHidden/>
    <w:qFormat/>
    <w:rPr>
      <w:rFonts w:ascii="Times New Roman" w:hAnsi="Times New Roman" w:eastAsia="宋体" w:cs="Times New Roman"/>
      <w:sz w:val="18"/>
      <w:szCs w:val="18"/>
    </w:rPr>
  </w:style>
  <w:style w:type="character" w:styleId="1008">
    <w:name w:val="样式 ssss + 宋体 五号1 Char"/>
    <w:next w:val="1008"/>
    <w:link w:val="1009"/>
    <w:qFormat/>
    <w:rPr>
      <w:rFonts w:ascii="宋体" w:hAnsi="宋体" w:eastAsia="宋体" w:cs="Times New Roman"/>
      <w:sz w:val="24"/>
      <w:szCs w:val="24"/>
    </w:rPr>
  </w:style>
  <w:style w:type="paragraph" w:styleId="1009">
    <w:name w:val="样式 ssss + 宋体 五号1"/>
    <w:basedOn w:val="1004"/>
    <w:next w:val="1009"/>
    <w:link w:val="1008"/>
    <w:qFormat/>
    <w:rPr>
      <w:rFonts w:ascii="宋体" w:hAnsi="宋体"/>
    </w:rPr>
  </w:style>
  <w:style w:type="character" w:styleId="1010">
    <w:name w:val="point_normal1"/>
    <w:next w:val="1010"/>
    <w:link w:val="733"/>
    <w:qFormat/>
    <w:rPr>
      <w:rFonts w:ascii="Arial" w:hAnsi="Arial" w:cs="Arial"/>
      <w:sz w:val="16"/>
      <w:szCs w:val="16"/>
    </w:rPr>
  </w:style>
  <w:style w:type="paragraph" w:styleId="1011">
    <w:name w:val="样式 正文文本缩进 3 + 四号"/>
    <w:basedOn w:val="796"/>
    <w:next w:val="1011"/>
    <w:link w:val="733"/>
    <w:qFormat/>
    <w:pPr>
      <w:ind w:left="0" w:firstLine="437"/>
      <w:spacing w:after="0" w:line="360" w:lineRule="auto"/>
    </w:pPr>
    <w:rPr>
      <w:sz w:val="24"/>
      <w:szCs w:val="21"/>
    </w:rPr>
  </w:style>
  <w:style w:type="paragraph" w:styleId="1012">
    <w:name w:val="2cxsplast"/>
    <w:basedOn w:val="733"/>
    <w:next w:val="1012"/>
    <w:link w:val="733"/>
    <w:qFormat/>
    <w:pPr>
      <w:jc w:val="left"/>
      <w:spacing w:before="100" w:beforeAutospacing="1" w:after="100" w:afterAutospacing="1"/>
      <w:widowControl/>
    </w:pPr>
    <w:rPr>
      <w:rFonts w:ascii="宋体" w:hAnsi="宋体" w:cs="宋体"/>
      <w:sz w:val="24"/>
    </w:rPr>
  </w:style>
  <w:style w:type="paragraph" w:styleId="1013">
    <w:name w:val="ec_msonormal"/>
    <w:basedOn w:val="733"/>
    <w:next w:val="1013"/>
    <w:link w:val="733"/>
    <w:qFormat/>
    <w:pPr>
      <w:jc w:val="left"/>
      <w:spacing w:before="100" w:beforeAutospacing="1" w:after="100" w:afterAutospacing="1"/>
      <w:widowControl/>
    </w:pPr>
    <w:rPr>
      <w:rFonts w:ascii="宋体" w:hAnsi="宋体"/>
      <w:sz w:val="24"/>
    </w:rPr>
  </w:style>
  <w:style w:type="paragraph" w:styleId="1014">
    <w:name w:val="Char Char Char Char"/>
    <w:basedOn w:val="733"/>
    <w:next w:val="1014"/>
    <w:link w:val="733"/>
    <w:qFormat/>
    <w:rPr>
      <w:rFonts w:ascii="Tahoma" w:hAnsi="Tahoma"/>
      <w:sz w:val="24"/>
      <w:szCs w:val="20"/>
    </w:rPr>
  </w:style>
  <w:style w:type="paragraph" w:styleId="1015">
    <w:name w:val="Char Char Char Char Char Char Char Char Char Char Char Char Char"/>
    <w:basedOn w:val="733"/>
    <w:next w:val="1015"/>
    <w:link w:val="733"/>
    <w:qFormat/>
  </w:style>
  <w:style w:type="paragraph" w:styleId="1016">
    <w:name w:val="表格正文"/>
    <w:basedOn w:val="733"/>
    <w:next w:val="1016"/>
    <w:link w:val="733"/>
    <w:qFormat/>
    <w:pPr>
      <w:jc w:val="left"/>
      <w:spacing w:line="360" w:lineRule="auto"/>
    </w:pPr>
    <w:rPr>
      <w:rFonts w:ascii="Calibri" w:hAnsi="Calibri"/>
      <w:color w:val="000000"/>
      <w:szCs w:val="28"/>
    </w:rPr>
  </w:style>
  <w:style w:type="paragraph" w:styleId="1017">
    <w:name w:val="Normal1"/>
    <w:next w:val="1017"/>
    <w:link w:val="733"/>
    <w:qFormat/>
    <w:pPr>
      <w:jc w:val="both"/>
      <w:spacing w:line="315" w:lineRule="atLeast"/>
      <w:widowControl w:val="off"/>
    </w:pPr>
    <w:rPr>
      <w:rFonts w:ascii="宋体"/>
      <w:sz w:val="24"/>
      <w:lang w:val="en-US" w:eastAsia="zh-CN" w:bidi="ar-SA"/>
    </w:rPr>
  </w:style>
  <w:style w:type="paragraph" w:styleId="1018">
    <w:name w:val="Char Char Char Char1"/>
    <w:basedOn w:val="733"/>
    <w:next w:val="1018"/>
    <w:link w:val="733"/>
    <w:qFormat/>
    <w:rPr>
      <w:rFonts w:ascii="Tahoma" w:hAnsi="Tahoma"/>
      <w:sz w:val="24"/>
      <w:szCs w:val="20"/>
    </w:rPr>
  </w:style>
  <w:style w:type="paragraph" w:styleId="1019">
    <w:name w:val="Char Char Char"/>
    <w:basedOn w:val="733"/>
    <w:next w:val="1019"/>
    <w:link w:val="733"/>
    <w:qFormat/>
    <w:rPr>
      <w:rFonts w:ascii="Tahoma" w:hAnsi="Tahoma"/>
      <w:sz w:val="24"/>
      <w:szCs w:val="20"/>
    </w:rPr>
  </w:style>
  <w:style w:type="paragraph" w:styleId="1020">
    <w:name w:val="标题-----3"/>
    <w:basedOn w:val="736"/>
    <w:next w:val="1020"/>
    <w:link w:val="733"/>
    <w:qFormat/>
    <w:pPr>
      <w:spacing w:before="0" w:after="0" w:line="240" w:lineRule="auto"/>
      <w:outlineLvl w:val="0"/>
    </w:pPr>
    <w:rPr>
      <w:rFonts w:ascii="宋体" w:hAnsi="宋体"/>
      <w:b w:val="0"/>
      <w:bCs w:val="0"/>
      <w:sz w:val="28"/>
      <w:szCs w:val="28"/>
    </w:rPr>
  </w:style>
  <w:style w:type="paragraph" w:styleId="1021">
    <w:name w:val="样式 ssss + 居中"/>
    <w:basedOn w:val="1004"/>
    <w:next w:val="1021"/>
    <w:link w:val="733"/>
    <w:qFormat/>
    <w:pPr>
      <w:jc w:val="center"/>
    </w:pPr>
    <w:rPr>
      <w:rFonts w:cs="宋体"/>
      <w:szCs w:val="20"/>
    </w:rPr>
  </w:style>
  <w:style w:type="paragraph" w:styleId="1022">
    <w:name w:val="样式 宋体 四号 黑色 左侧:  0.74 厘米 首行缩进:  0.74 厘米 行距: 1.5 倍行距"/>
    <w:basedOn w:val="733"/>
    <w:next w:val="1022"/>
    <w:link w:val="733"/>
    <w:qFormat/>
    <w:pPr>
      <w:ind w:firstLine="420"/>
      <w:spacing w:line="360" w:lineRule="auto"/>
    </w:pPr>
    <w:rPr>
      <w:rFonts w:ascii="宋体"/>
      <w:color w:val="000000"/>
      <w:sz w:val="24"/>
      <w:szCs w:val="21"/>
    </w:rPr>
  </w:style>
  <w:style w:type="paragraph" w:styleId="1023">
    <w:name w:val="样式 样式 ssss + 宋体 五号 + 首行缩进:  2 字符"/>
    <w:basedOn w:val="1024"/>
    <w:next w:val="1023"/>
    <w:link w:val="733"/>
    <w:qFormat/>
    <w:pPr>
      <w:ind w:firstLine="480"/>
    </w:pPr>
  </w:style>
  <w:style w:type="paragraph" w:styleId="1024">
    <w:name w:val="样式 ssss + 宋体 五号"/>
    <w:basedOn w:val="1004"/>
    <w:next w:val="1024"/>
    <w:link w:val="733"/>
    <w:qFormat/>
    <w:pPr>
      <w:ind w:firstLine="420"/>
    </w:pPr>
    <w:rPr>
      <w:rFonts w:ascii="宋体" w:hAnsi="宋体" w:cs="宋体"/>
      <w:szCs w:val="20"/>
    </w:rPr>
  </w:style>
  <w:style w:type="paragraph" w:styleId="1025">
    <w:name w:val="msonormalcxsplast"/>
    <w:basedOn w:val="733"/>
    <w:next w:val="1025"/>
    <w:link w:val="733"/>
    <w:qFormat/>
    <w:pPr>
      <w:jc w:val="left"/>
      <w:spacing w:before="100" w:beforeAutospacing="1" w:after="100" w:afterAutospacing="1"/>
      <w:widowControl/>
    </w:pPr>
    <w:rPr>
      <w:rFonts w:ascii="宋体" w:hAnsi="宋体" w:cs="宋体"/>
      <w:sz w:val="24"/>
    </w:rPr>
  </w:style>
  <w:style w:type="paragraph" w:styleId="1026">
    <w:name w:val="Char"/>
    <w:basedOn w:val="733"/>
    <w:next w:val="1026"/>
    <w:link w:val="733"/>
    <w:qFormat/>
    <w:rPr>
      <w:rFonts w:ascii="Tahoma" w:hAnsi="Tahoma"/>
      <w:sz w:val="24"/>
      <w:szCs w:val="20"/>
    </w:rPr>
  </w:style>
  <w:style w:type="paragraph" w:styleId="1027">
    <w:name w:val="xl25"/>
    <w:basedOn w:val="733"/>
    <w:next w:val="1027"/>
    <w:link w:val="733"/>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8">
    <w:name w:val="标题------4"/>
    <w:basedOn w:val="737"/>
    <w:next w:val="1028"/>
    <w:link w:val="733"/>
    <w:qFormat/>
    <w:pPr>
      <w:ind w:left="960" w:hanging="420"/>
      <w:jc w:val="both"/>
      <w:keepLines/>
      <w:spacing w:line="360" w:lineRule="auto"/>
    </w:pPr>
    <w:rPr>
      <w:rFonts w:ascii="仿宋_GB2312" w:hAnsi="宋体" w:eastAsia="仿宋_GB2312" w:cs="仿宋_GB2312"/>
      <w:b/>
      <w:sz w:val="28"/>
      <w:szCs w:val="28"/>
      <w:lang w:val="zh-CN"/>
    </w:rPr>
  </w:style>
  <w:style w:type="paragraph" w:styleId="1029">
    <w:name w:val="msonormalcxspmiddle"/>
    <w:basedOn w:val="733"/>
    <w:next w:val="1029"/>
    <w:link w:val="733"/>
    <w:qFormat/>
    <w:pPr>
      <w:jc w:val="left"/>
      <w:spacing w:before="100" w:beforeAutospacing="1" w:after="100" w:afterAutospacing="1"/>
      <w:widowControl/>
    </w:pPr>
    <w:rPr>
      <w:rFonts w:ascii="宋体" w:hAnsi="宋体" w:cs="宋体"/>
      <w:sz w:val="24"/>
    </w:rPr>
  </w:style>
  <w:style w:type="paragraph" w:styleId="1030">
    <w:name w:val="Char Char Char Char Char Char Char Char Char Char Char Char Char1"/>
    <w:basedOn w:val="733"/>
    <w:next w:val="1030"/>
    <w:link w:val="733"/>
    <w:qFormat/>
    <w:rPr>
      <w:sz w:val="24"/>
    </w:rPr>
  </w:style>
  <w:style w:type="paragraph" w:styleId="1031">
    <w:name w:val="表格"/>
    <w:basedOn w:val="733"/>
    <w:next w:val="1031"/>
    <w:link w:val="733"/>
    <w:qFormat/>
    <w:rPr>
      <w:rFonts w:ascii="Arial" w:hAnsi="Arial"/>
      <w:sz w:val="24"/>
    </w:rPr>
  </w:style>
  <w:style w:type="paragraph" w:styleId="1032">
    <w:name w:val="正文样式1"/>
    <w:basedOn w:val="733"/>
    <w:next w:val="1032"/>
    <w:link w:val="733"/>
    <w:qFormat/>
    <w:pPr>
      <w:ind w:firstLine="480"/>
      <w:spacing w:before="120" w:after="120" w:line="360" w:lineRule="auto"/>
    </w:pPr>
    <w:rPr>
      <w:sz w:val="24"/>
      <w:szCs w:val="20"/>
    </w:rPr>
  </w:style>
  <w:style w:type="paragraph" w:styleId="1033">
    <w:name w:val="Char Char1 Char Char Char Char Char Char"/>
    <w:basedOn w:val="733"/>
    <w:next w:val="1033"/>
    <w:link w:val="733"/>
    <w:qFormat/>
    <w:pPr>
      <w:jc w:val="left"/>
      <w:spacing w:after="160" w:line="240" w:lineRule="exact"/>
      <w:widowControl/>
    </w:pPr>
    <w:rPr>
      <w:rFonts w:ascii="Verdana" w:hAnsi="Verdana" w:eastAsia="仿宋_GB2312"/>
      <w:sz w:val="24"/>
      <w:szCs w:val="20"/>
      <w:lang w:eastAsia="en-US"/>
    </w:rPr>
  </w:style>
  <w:style w:type="paragraph" w:styleId="1034">
    <w:name w:val="Char Char Char Char Char Char Char Char Char Char"/>
    <w:basedOn w:val="733"/>
    <w:next w:val="1034"/>
    <w:link w:val="733"/>
    <w:qFormat/>
    <w:rPr>
      <w:rFonts w:ascii="Tahoma" w:hAnsi="Tahoma"/>
      <w:sz w:val="24"/>
      <w:szCs w:val="20"/>
    </w:rPr>
  </w:style>
  <w:style w:type="paragraph" w:styleId="1035">
    <w:name w:val="Char1"/>
    <w:basedOn w:val="733"/>
    <w:next w:val="1035"/>
    <w:link w:val="733"/>
    <w:qFormat/>
    <w:pPr>
      <w:tabs>
        <w:tab w:val="left" w:pos="360" w:leader="none"/>
      </w:tabs>
    </w:pPr>
    <w:rPr>
      <w:sz w:val="24"/>
    </w:rPr>
  </w:style>
  <w:style w:type="paragraph" w:styleId="1036">
    <w:name w:val="标题1"/>
    <w:basedOn w:val="733"/>
    <w:next w:val="733"/>
    <w:link w:val="73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name w:val="Header2"/>
    <w:basedOn w:val="733"/>
    <w:next w:val="1037"/>
    <w:link w:val="733"/>
    <w:qFormat/>
    <w:pPr>
      <w:numPr>
        <w:ilvl w:val="0"/>
        <w:numId w:val="1"/>
      </w:numPr>
      <w:tabs>
        <w:tab w:val="left" w:pos="480" w:leader="none"/>
      </w:tabs>
    </w:pPr>
  </w:style>
  <w:style w:type="paragraph" w:styleId="1038">
    <w:name w:val="Char Char 字元 字元 字元 Char Char Char Char"/>
    <w:basedOn w:val="733"/>
    <w:next w:val="1038"/>
    <w:link w:val="733"/>
    <w:qFormat/>
    <w:pPr>
      <w:spacing w:line="360" w:lineRule="auto"/>
    </w:pPr>
    <w:rPr>
      <w:sz w:val="24"/>
      <w:szCs w:val="20"/>
    </w:rPr>
  </w:style>
  <w:style w:type="paragraph" w:styleId="1039">
    <w:name w:val="2cxspmiddle"/>
    <w:basedOn w:val="733"/>
    <w:next w:val="1039"/>
    <w:link w:val="733"/>
    <w:qFormat/>
    <w:pPr>
      <w:jc w:val="left"/>
      <w:spacing w:before="100" w:beforeAutospacing="1" w:after="100" w:afterAutospacing="1"/>
      <w:widowControl/>
    </w:pPr>
    <w:rPr>
      <w:rFonts w:ascii="宋体" w:hAnsi="宋体" w:cs="宋体"/>
      <w:sz w:val="24"/>
    </w:rPr>
  </w:style>
  <w:style w:type="paragraph" w:styleId="1040">
    <w:name w:val="正文_0_0"/>
    <w:next w:val="1040"/>
    <w:link w:val="733"/>
    <w:qFormat/>
    <w:pPr>
      <w:jc w:val="both"/>
      <w:widowControl w:val="off"/>
    </w:pPr>
    <w:rPr>
      <w:sz w:val="21"/>
      <w:szCs w:val="24"/>
      <w:lang w:val="en-US" w:eastAsia="zh-CN" w:bidi="ar-SA"/>
    </w:rPr>
  </w:style>
  <w:style w:type="paragraph" w:styleId="1041">
    <w:name w:val="正文_1_0"/>
    <w:next w:val="1041"/>
    <w:link w:val="733"/>
    <w:qFormat/>
    <w:pPr>
      <w:jc w:val="both"/>
      <w:widowControl w:val="off"/>
    </w:pPr>
    <w:rPr>
      <w:sz w:val="21"/>
      <w:szCs w:val="24"/>
      <w:lang w:val="en-US" w:eastAsia="zh-CN" w:bidi="ar-SA"/>
    </w:rPr>
  </w:style>
  <w:style w:type="table" w:styleId="1042">
    <w:name w:val="网格型1"/>
    <w:basedOn w:val="744"/>
    <w:next w:val="1042"/>
    <w:link w:val="733"/>
    <w:uiPriority w:val="39"/>
    <w:qFormat/>
    <w:rPr>
      <w:rFonts w:ascii="等线" w:hAnsi="等线" w:eastAsia="等线"/>
      <w:sz w:val="21"/>
      <w:szCs w:val="22"/>
    </w:rPr>
    <w:tblPr/>
  </w:style>
  <w:style w:type="paragraph" w:styleId="1043">
    <w:name w:val="正文_3"/>
    <w:next w:val="1043"/>
    <w:link w:val="733"/>
    <w:qFormat/>
    <w:pPr>
      <w:jc w:val="both"/>
      <w:widowControl w:val="off"/>
    </w:pPr>
    <w:rPr>
      <w:sz w:val="21"/>
      <w:szCs w:val="24"/>
      <w:lang w:val="en-US" w:eastAsia="zh-CN" w:bidi="ar-SA"/>
    </w:rPr>
  </w:style>
  <w:style w:type="paragraph" w:styleId="1044">
    <w:name w:val="修订1"/>
    <w:next w:val="1044"/>
    <w:link w:val="733"/>
    <w:uiPriority w:val="99"/>
    <w:unhideWhenUsed/>
    <w:qFormat/>
    <w:rPr>
      <w:sz w:val="21"/>
      <w:szCs w:val="24"/>
      <w:lang w:val="en-US" w:eastAsia="zh-CN" w:bidi="ar-SA"/>
    </w:rPr>
  </w:style>
  <w:style w:type="paragraph" w:styleId="1045">
    <w:name w:val="列出段落1"/>
    <w:basedOn w:val="733"/>
    <w:next w:val="1045"/>
    <w:link w:val="733"/>
    <w:qFormat/>
    <w:pPr>
      <w:ind w:firstLine="200"/>
    </w:pPr>
    <w:rPr>
      <w:rFonts w:ascii="Wingdings" w:hAnsi="Wingdings" w:eastAsia="幼圆" w:cs="Helvetica-Light"/>
      <w:szCs w:val="22"/>
    </w:rPr>
  </w:style>
  <w:style w:type="paragraph" w:styleId="1046">
    <w:name w:val="Char1 Char Char Char"/>
    <w:basedOn w:val="733"/>
    <w:next w:val="1046"/>
    <w:link w:val="733"/>
    <w:qFormat/>
    <w:pPr>
      <w:jc w:val="left"/>
      <w:spacing w:after="160" w:line="240" w:lineRule="exact"/>
      <w:widowControl/>
    </w:pPr>
    <w:rPr>
      <w:szCs w:val="20"/>
    </w:rPr>
  </w:style>
  <w:style w:type="paragraph" w:styleId="1047">
    <w:name w:val="正文_2"/>
    <w:next w:val="1047"/>
    <w:link w:val="733"/>
    <w:qFormat/>
    <w:pPr>
      <w:jc w:val="both"/>
      <w:widowControl w:val="off"/>
    </w:pPr>
    <w:rPr>
      <w:rFonts w:ascii="等线" w:hAnsi="等线" w:eastAsia="等线" w:cs="等线"/>
      <w:sz w:val="21"/>
      <w:lang w:val="en-US" w:eastAsia="zh-CN" w:bidi="ar-SA"/>
    </w:rPr>
  </w:style>
  <w:style w:type="paragraph" w:styleId="1048">
    <w:name w:val="列表段落4"/>
    <w:basedOn w:val="733"/>
    <w:next w:val="1048"/>
    <w:link w:val="733"/>
    <w:uiPriority w:val="34"/>
    <w:qFormat/>
    <w:pPr>
      <w:ind w:firstLine="420"/>
    </w:pPr>
    <w:rPr>
      <w:szCs w:val="22"/>
    </w:rPr>
  </w:style>
  <w:style w:type="character" w:styleId="1049">
    <w:name w:val="font51"/>
    <w:next w:val="1049"/>
    <w:link w:val="733"/>
    <w:qFormat/>
    <w:rPr>
      <w:rFonts w:hint="eastAsia" w:ascii="宋体" w:hAnsi="宋体" w:eastAsia="宋体" w:cs="宋体"/>
      <w:color w:val="000000"/>
      <w:sz w:val="24"/>
      <w:szCs w:val="24"/>
      <w:u w:val="none"/>
    </w:rPr>
  </w:style>
  <w:style w:type="character" w:styleId="1050">
    <w:name w:val="font71"/>
    <w:next w:val="1050"/>
    <w:link w:val="733"/>
    <w:qFormat/>
    <w:rPr>
      <w:rFonts w:hint="eastAsia" w:ascii="宋体" w:hAnsi="宋体" w:eastAsia="宋体" w:cs="宋体"/>
      <w:color w:val="000000"/>
      <w:sz w:val="24"/>
      <w:szCs w:val="24"/>
      <w:u w:val="none"/>
    </w:rPr>
  </w:style>
  <w:style w:type="character" w:styleId="1051">
    <w:name w:val="font61"/>
    <w:next w:val="1051"/>
    <w:link w:val="733"/>
    <w:qFormat/>
    <w:rPr>
      <w:rFonts w:hint="eastAsia" w:ascii="宋体" w:hAnsi="宋体" w:eastAsia="宋体" w:cs="宋体"/>
      <w:color w:val="000000"/>
      <w:sz w:val="24"/>
      <w:szCs w:val="24"/>
      <w:u w:val="none"/>
    </w:rPr>
  </w:style>
  <w:style w:type="character" w:styleId="1052">
    <w:name w:val="font81"/>
    <w:next w:val="1052"/>
    <w:link w:val="733"/>
    <w:qFormat/>
    <w:rPr>
      <w:rFonts w:hint="eastAsia" w:ascii="宋体" w:hAnsi="宋体" w:eastAsia="宋体" w:cs="宋体"/>
      <w:color w:val="000000"/>
      <w:sz w:val="24"/>
      <w:szCs w:val="24"/>
      <w:u w:val="none"/>
    </w:rPr>
  </w:style>
  <w:style w:type="character" w:styleId="1053">
    <w:name w:val="NormalCharacter1"/>
    <w:next w:val="1053"/>
    <w:link w:val="733"/>
    <w:qFormat/>
  </w:style>
  <w:style w:type="paragraph" w:styleId="1054">
    <w:name w:val="BodyText1I21"/>
    <w:basedOn w:val="1055"/>
    <w:next w:val="1054"/>
    <w:link w:val="733"/>
    <w:qFormat/>
    <w:pPr>
      <w:ind w:firstLine="420"/>
    </w:pPr>
  </w:style>
  <w:style w:type="paragraph" w:styleId="1055">
    <w:name w:val="BodyTextIndent1"/>
    <w:basedOn w:val="733"/>
    <w:next w:val="1056"/>
    <w:link w:val="733"/>
    <w:qFormat/>
    <w:pPr>
      <w:ind w:left="570"/>
      <w:spacing w:line="520" w:lineRule="exact"/>
    </w:pPr>
    <w:rPr>
      <w:rFonts w:ascii="方正仿宋简体" w:hAnsi="创艺简仿宋" w:eastAsia="方正仿宋简体"/>
      <w:sz w:val="24"/>
    </w:rPr>
  </w:style>
  <w:style w:type="paragraph" w:styleId="1056">
    <w:name w:val="EnvelopeReturn1"/>
    <w:basedOn w:val="733"/>
    <w:next w:val="1056"/>
    <w:link w:val="733"/>
    <w:qFormat/>
    <w:rPr>
      <w:rFonts w:ascii="Arial" w:hAnsi="Arial"/>
    </w:rPr>
  </w:style>
  <w:style w:type="paragraph" w:styleId="1057">
    <w:name w:val="Table Paragraph"/>
    <w:basedOn w:val="733"/>
    <w:next w:val="1057"/>
    <w:link w:val="733"/>
    <w:uiPriority w:val="1"/>
    <w:qFormat/>
    <w:pPr>
      <w:ind w:left="107"/>
      <w:spacing w:before="31"/>
    </w:pPr>
    <w:rPr>
      <w:rFonts w:ascii="微软雅黑" w:hAnsi="微软雅黑" w:eastAsia="微软雅黑" w:cs="微软雅黑"/>
    </w:rPr>
  </w:style>
  <w:style w:type="character" w:styleId="1058">
    <w:name w:val="font11"/>
    <w:next w:val="1058"/>
    <w:link w:val="733"/>
    <w:qFormat/>
    <w:rPr>
      <w:rFonts w:hint="eastAsia" w:ascii="宋体" w:hAnsi="宋体" w:eastAsia="宋体" w:cs="宋体"/>
      <w:color w:val="000000"/>
      <w:sz w:val="20"/>
      <w:szCs w:val="20"/>
      <w:u w:val="none"/>
      <w:vertAlign w:val="superscript"/>
    </w:rPr>
  </w:style>
  <w:style w:type="character" w:styleId="1059">
    <w:name w:val="font21"/>
    <w:next w:val="1059"/>
    <w:link w:val="733"/>
    <w:qFormat/>
    <w:rPr>
      <w:rFonts w:hint="eastAsia" w:ascii="宋体" w:hAnsi="宋体" w:eastAsia="宋体" w:cs="宋体"/>
      <w:color w:val="000000"/>
      <w:sz w:val="20"/>
      <w:szCs w:val="20"/>
      <w:u w:val="none"/>
    </w:rPr>
  </w:style>
  <w:style w:type="character" w:styleId="1060">
    <w:name w:val="font41"/>
    <w:next w:val="1060"/>
    <w:link w:val="733"/>
    <w:qFormat/>
    <w:rPr>
      <w:rFonts w:ascii="Times New Roman" w:hAnsi="Times New Roman" w:cs="Times New Roman"/>
      <w:b/>
      <w:bCs/>
      <w:color w:val="000000"/>
      <w:sz w:val="32"/>
      <w:szCs w:val="32"/>
      <w:u w:val="none"/>
    </w:rPr>
  </w:style>
  <w:style w:type="character" w:styleId="1061">
    <w:name w:val="font91"/>
    <w:next w:val="1061"/>
    <w:link w:val="733"/>
    <w:qFormat/>
    <w:rPr>
      <w:rFonts w:hint="eastAsia" w:ascii="宋体" w:hAnsi="宋体" w:eastAsia="宋体" w:cs="宋体"/>
      <w:b/>
      <w:bCs/>
      <w:color w:val="000000"/>
      <w:sz w:val="22"/>
      <w:szCs w:val="22"/>
      <w:u w:val="none"/>
    </w:rPr>
  </w:style>
  <w:style w:type="character" w:styleId="1062">
    <w:name w:val="font01"/>
    <w:next w:val="1062"/>
    <w:link w:val="733"/>
    <w:qFormat/>
    <w:rPr>
      <w:rFonts w:hint="eastAsia" w:ascii="宋体" w:hAnsi="宋体" w:eastAsia="宋体" w:cs="宋体"/>
      <w:color w:val="000000"/>
      <w:sz w:val="22"/>
      <w:szCs w:val="22"/>
      <w:u w:val="none"/>
    </w:rPr>
  </w:style>
  <w:style w:type="character" w:styleId="1063">
    <w:name w:val="font31"/>
    <w:next w:val="1063"/>
    <w:link w:val="733"/>
    <w:qFormat/>
    <w:rPr>
      <w:rFonts w:ascii="Times New Roman" w:hAnsi="Times New Roman" w:cs="Times New Roman"/>
      <w:color w:val="000000"/>
      <w:sz w:val="22"/>
      <w:szCs w:val="22"/>
      <w:u w:val="none"/>
    </w:rPr>
  </w:style>
  <w:style w:type="character" w:styleId="1064">
    <w:name w:val="font101"/>
    <w:next w:val="1064"/>
    <w:link w:val="733"/>
    <w:qFormat/>
    <w:rPr>
      <w:rFonts w:ascii="Times New Roman" w:hAnsi="Times New Roman" w:cs="Times New Roman"/>
      <w:color w:val="000000"/>
      <w:sz w:val="22"/>
      <w:szCs w:val="22"/>
      <w:u w:val="none"/>
      <w:vertAlign w:val="superscript"/>
    </w:rPr>
  </w:style>
  <w:style w:type="character" w:styleId="1065">
    <w:name w:val="font112"/>
    <w:next w:val="1065"/>
    <w:link w:val="733"/>
    <w:rPr>
      <w:rFonts w:ascii="Times New Roman" w:hAnsi="Times New Roman" w:cs="Times New Roman"/>
      <w:color w:val="000000"/>
      <w:sz w:val="22"/>
      <w:szCs w:val="22"/>
      <w:u w:val="none"/>
      <w:vertAlign w:val="superscript"/>
    </w:rPr>
  </w:style>
  <w:style w:type="paragraph" w:styleId="1066">
    <w:name w:val="正文首行缩进11"/>
    <w:basedOn w:val="1067"/>
    <w:next w:val="1066"/>
    <w:link w:val="733"/>
    <w:uiPriority w:val="99"/>
    <w:qFormat/>
    <w:pPr>
      <w:ind w:firstLine="200"/>
      <w:spacing w:line="360" w:lineRule="auto"/>
    </w:pPr>
    <w:rPr>
      <w:rFonts w:ascii="仿宋_GB2312" w:hAnsi="Times New Roman" w:eastAsia="仿宋_GB2312"/>
      <w:sz w:val="30"/>
      <w:szCs w:val="30"/>
      <w:lang w:val="zh-CN"/>
    </w:rPr>
  </w:style>
  <w:style w:type="paragraph" w:styleId="1067">
    <w:name w:val="正文文本1"/>
    <w:basedOn w:val="733"/>
    <w:next w:val="733"/>
    <w:link w:val="733"/>
    <w:qFormat/>
    <w:rPr>
      <w:rFonts w:ascii="楷体_GB2312" w:hAnsi="Arial" w:eastAsia="楷体_GB2312"/>
      <w:sz w:val="28"/>
      <w:szCs w:val="28"/>
    </w:rPr>
  </w:style>
  <w:style w:type="paragraph" w:styleId="1068">
    <w:name w:val="标题 31"/>
    <w:basedOn w:val="733"/>
    <w:next w:val="1069"/>
    <w:link w:val="733"/>
    <w:qFormat/>
    <w:pPr>
      <w:keepLines/>
      <w:keepNext/>
      <w:spacing w:before="260" w:after="260" w:line="416" w:lineRule="auto"/>
      <w:outlineLvl w:val="2"/>
    </w:pPr>
    <w:rPr>
      <w:b/>
      <w:bCs/>
      <w:sz w:val="32"/>
      <w:szCs w:val="32"/>
    </w:rPr>
  </w:style>
  <w:style w:type="paragraph" w:styleId="1069">
    <w:name w:val="正文缩进1"/>
    <w:basedOn w:val="733"/>
    <w:next w:val="1069"/>
    <w:link w:val="733"/>
    <w:qFormat/>
    <w:pPr>
      <w:ind w:firstLine="420"/>
    </w:pPr>
  </w:style>
  <w:style w:type="paragraph" w:styleId="1070">
    <w:name w:val="正文首行缩进 2111"/>
    <w:basedOn w:val="1071"/>
    <w:next w:val="733"/>
    <w:link w:val="733"/>
    <w:uiPriority w:val="99"/>
    <w:qFormat/>
    <w:pPr>
      <w:ind w:firstLine="200"/>
    </w:pPr>
  </w:style>
  <w:style w:type="paragraph" w:styleId="1071">
    <w:name w:val="正文文本缩进111"/>
    <w:basedOn w:val="733"/>
    <w:next w:val="1072"/>
    <w:link w:val="733"/>
    <w:qFormat/>
    <w:pPr>
      <w:ind w:left="765"/>
    </w:pPr>
    <w:rPr>
      <w:rFonts w:ascii="仿宋_GB2312" w:eastAsia="仿宋_GB2312"/>
      <w:sz w:val="28"/>
      <w:szCs w:val="20"/>
    </w:rPr>
  </w:style>
  <w:style w:type="paragraph" w:styleId="1072">
    <w:name w:val="寄信人地址11"/>
    <w:basedOn w:val="733"/>
    <w:next w:val="1072"/>
    <w:link w:val="733"/>
    <w:uiPriority w:val="99"/>
    <w:unhideWhenUsed/>
    <w:qFormat/>
    <w:rPr>
      <w:rFonts w:ascii="Arial" w:hAnsi="Arial"/>
    </w:rPr>
  </w:style>
  <w:style w:type="paragraph" w:styleId="1073">
    <w:name w:val="正文111"/>
    <w:basedOn w:val="733"/>
    <w:next w:val="1073"/>
    <w:link w:val="733"/>
    <w:qFormat/>
    <w:pPr>
      <w:ind w:firstLine="1680"/>
      <w:spacing w:line="360" w:lineRule="auto"/>
    </w:pPr>
  </w:style>
  <w:style w:type="paragraph" w:styleId="1074">
    <w:name w:val="首行缩进"/>
    <w:basedOn w:val="733"/>
    <w:next w:val="1074"/>
    <w:link w:val="733"/>
    <w:qFormat/>
    <w:pPr>
      <w:ind w:firstLine="480"/>
      <w:jc w:val="left"/>
      <w:spacing w:line="360" w:lineRule="auto"/>
    </w:pPr>
    <w:rPr>
      <w:rFonts w:ascii="宋体" w:hAnsi="宋体" w:cs="宋体"/>
      <w:sz w:val="24"/>
      <w:szCs w:val="24"/>
    </w:rPr>
  </w:style>
  <w:style w:type="paragraph" w:styleId="1075">
    <w:name w:val="标题 21"/>
    <w:basedOn w:val="733"/>
    <w:next w:val="733"/>
    <w:link w:val="733"/>
    <w:qFormat/>
    <w:pPr>
      <w:jc w:val="center"/>
      <w:keepLines/>
      <w:keepNext/>
      <w:spacing w:before="260" w:after="260" w:line="416" w:lineRule="auto"/>
      <w:outlineLvl w:val="1"/>
    </w:pPr>
    <w:rPr>
      <w:rFonts w:ascii="Arial" w:hAnsi="Arial" w:eastAsia="幼圆" w:cs="Arial"/>
      <w:b/>
      <w:bCs/>
      <w:sz w:val="44"/>
      <w:szCs w:val="44"/>
    </w:rPr>
  </w:style>
  <w:style w:type="paragraph" w:styleId="1076">
    <w:name w:val="纯文本1"/>
    <w:basedOn w:val="733"/>
    <w:next w:val="1076"/>
    <w:link w:val="733"/>
    <w:qFormat/>
    <w:rPr>
      <w:rFonts w:ascii="宋体" w:hAnsi="Courier New" w:cs="Courier New"/>
    </w:rPr>
  </w:style>
  <w:style w:type="paragraph" w:styleId="1077">
    <w:name w:val="普通(网站) Char Char"/>
    <w:basedOn w:val="733"/>
    <w:next w:val="1077"/>
    <w:link w:val="733"/>
    <w:qFormat/>
    <w:pPr>
      <w:jc w:val="left"/>
      <w:spacing w:before="100" w:beforeAutospacing="1" w:after="100" w:afterAutospacing="1"/>
      <w:widowControl/>
    </w:pPr>
    <w:rPr>
      <w:rFonts w:hint="eastAsia" w:ascii="宋体" w:hAnsi="宋体"/>
      <w:sz w:val="24"/>
      <w:szCs w:val="24"/>
    </w:rPr>
  </w:style>
  <w:style w:type="paragraph" w:styleId="1078">
    <w:name w:val="AONormal"/>
    <w:next w:val="1078"/>
    <w:link w:val="733"/>
    <w:qFormat/>
    <w:pPr>
      <w:ind w:firstLine="440"/>
      <w:spacing w:line="400" w:lineRule="exact"/>
    </w:pPr>
    <w:rPr>
      <w:rFonts w:ascii="华文楷体" w:hAnsi="华文楷体" w:eastAsia="华文楷体" w:cs="华文楷体"/>
      <w:sz w:val="22"/>
      <w:szCs w:val="21"/>
      <w:lang w:val="en-US" w:eastAsia="zh-CN" w:bidi="ar-SA"/>
    </w:rPr>
  </w:style>
  <w:style w:type="character" w:styleId="1079" w:default="1">
    <w:name w:val="Default Paragraph Font"/>
    <w:uiPriority w:val="1"/>
    <w:semiHidden/>
    <w:unhideWhenUsed/>
  </w:style>
  <w:style w:type="numbering" w:styleId="1080" w:default="1">
    <w:name w:val="No List"/>
    <w:uiPriority w:val="99"/>
    <w:semiHidden/>
    <w:unhideWhenUsed/>
  </w:style>
  <w:style w:type="table" w:styleId="1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6</cp:revision>
  <dcterms:created xsi:type="dcterms:W3CDTF">2024-11-26T06:25:00Z</dcterms:created>
  <dcterms:modified xsi:type="dcterms:W3CDTF">2025-11-20T03:49:38Z</dcterms:modified>
</cp:coreProperties>
</file>