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both"/>
        <w:spacing w:line="360" w:lineRule="auto"/>
        <w:rPr>
          <w:rFonts w:ascii="宋体" w:hAnsi="宋体" w:eastAsia="宋体" w:cs="Times New Roman"/>
          <w:b/>
          <w:color w:val="auto"/>
          <w:sz w:val="72"/>
          <w:szCs w:val="20"/>
          <w:highlight w:val="none"/>
          <w:shd w:val="clear" w:color="auto" w:fill="ffffff"/>
        </w:rPr>
      </w:pPr>
      <w:r>
        <w:rPr>
          <w:rFonts w:ascii="宋体" w:hAnsi="宋体" w:eastAsia="宋体" w:cs="Times New Roman"/>
          <w:b/>
          <w:color w:val="auto"/>
          <w:sz w:val="72"/>
          <w:szCs w:val="20"/>
          <w:highlight w:val="none"/>
          <w:shd w:val="clear" w:color="auto" w:fill="ffffff"/>
        </w:rPr>
      </w:r>
      <w:r/>
    </w:p>
    <w:p>
      <w:pPr>
        <w:ind w:firstLine="1446"/>
        <w:jc w:val="both"/>
        <w:spacing w:line="360" w:lineRule="auto"/>
        <w:rPr>
          <w:rFonts w:ascii="宋体" w:hAnsi="宋体" w:eastAsia="宋体" w:cs="Times New Roman"/>
          <w:b/>
          <w:color w:val="auto"/>
          <w:sz w:val="72"/>
          <w:szCs w:val="20"/>
          <w:highlight w:val="none"/>
          <w:shd w:val="clear" w:color="auto" w:fill="ffffff"/>
        </w:rPr>
      </w:pPr>
      <w:r>
        <w:rPr>
          <w:rFonts w:ascii="宋体" w:hAnsi="宋体" w:eastAsia="宋体" w:cs="Times New Roman"/>
          <w:b/>
          <w:color w:val="auto"/>
          <w:sz w:val="72"/>
          <w:szCs w:val="20"/>
          <w:highlight w:val="none"/>
          <w:shd w:val="clear" w:color="auto" w:fill="ffffff"/>
        </w:rPr>
      </w:r>
      <w:r/>
    </w:p>
    <w:p>
      <w:pPr>
        <w:ind w:firstLine="0"/>
        <w:jc w:val="center"/>
        <w:spacing w:line="360" w:lineRule="auto"/>
        <w:rPr>
          <w:rFonts w:hint="eastAsia" w:ascii="宋体" w:hAnsi="宋体" w:eastAsia="宋体" w:cs="Times New Roman"/>
          <w:b/>
          <w:bCs/>
          <w:color w:val="auto"/>
          <w:sz w:val="72"/>
          <w:szCs w:val="72"/>
          <w:highlight w:val="none"/>
          <w:shd w:val="clear" w:color="auto" w:fill="ffffff"/>
        </w:rPr>
      </w:pPr>
      <w:r>
        <w:rPr>
          <w:rFonts w:hint="eastAsia" w:ascii="宋体" w:hAnsi="宋体" w:eastAsia="宋体" w:cs="Times New Roman"/>
          <w:b/>
          <w:color w:val="auto"/>
          <w:sz w:val="72"/>
          <w:szCs w:val="20"/>
          <w:highlight w:val="none"/>
          <w:shd w:val="clear" w:color="auto" w:fill="ffffff"/>
        </w:rPr>
        <w:t xml:space="preserve">苏州市政府采购</w:t>
      </w:r>
      <w:r>
        <w:rPr>
          <w:rFonts w:ascii="宋体" w:hAnsi="宋体" w:eastAsia="宋体" w:cs="Times New Roman"/>
          <w:b/>
          <w:color w:val="auto"/>
          <w:sz w:val="72"/>
          <w:szCs w:val="20"/>
          <w:highlight w:val="none"/>
          <w:shd w:val="clear" w:color="auto" w:fill="ffffff"/>
        </w:rPr>
      </w:r>
      <w:r/>
    </w:p>
    <w:p>
      <w:pPr>
        <w:ind w:firstLine="0"/>
        <w:jc w:val="center"/>
        <w:spacing w:line="360" w:lineRule="auto"/>
        <w:rPr>
          <w:rFonts w:ascii="宋体" w:hAnsi="宋体" w:eastAsia="宋体" w:cs="Times New Roman"/>
          <w:b/>
          <w:bCs/>
          <w:color w:val="auto"/>
          <w:sz w:val="72"/>
          <w:szCs w:val="72"/>
          <w:highlight w:val="none"/>
        </w:rPr>
      </w:pPr>
      <w:r>
        <w:rPr>
          <w:rFonts w:hint="eastAsia" w:ascii="宋体" w:hAnsi="宋体" w:eastAsia="宋体" w:cs="Times New Roman"/>
          <w:b/>
          <w:color w:val="auto"/>
          <w:sz w:val="72"/>
          <w:szCs w:val="20"/>
          <w:highlight w:val="none"/>
          <w:shd w:val="clear" w:color="auto" w:fill="ffffff"/>
        </w:rPr>
      </w:r>
      <w:r>
        <w:rPr>
          <w:rFonts w:hint="eastAsia" w:ascii="宋体" w:hAnsi="宋体" w:eastAsia="宋体" w:cs="Times New Roman"/>
          <w:b/>
          <w:color w:val="auto"/>
          <w:sz w:val="72"/>
          <w:szCs w:val="20"/>
          <w:highlight w:val="none"/>
          <w:shd w:val="clear" w:color="auto" w:fill="ffffff"/>
        </w:rPr>
        <w:t xml:space="preserve">招 标 文 件</w:t>
      </w:r>
      <w:r>
        <w:rPr>
          <w:rFonts w:ascii="宋体" w:hAnsi="宋体" w:eastAsia="宋体" w:cs="Times New Roman"/>
          <w:b/>
          <w:color w:val="auto"/>
          <w:sz w:val="72"/>
          <w:szCs w:val="20"/>
          <w:highlight w:val="none"/>
          <w:shd w:val="clear" w:color="auto" w:fill="ffffff"/>
        </w:rPr>
      </w:r>
      <w:r/>
    </w:p>
    <w:p>
      <w:pPr>
        <w:ind w:firstLine="520"/>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ind w:firstLine="480"/>
        <w:jc w:val="center"/>
        <w:spacing w:line="360" w:lineRule="auto"/>
        <w:rPr>
          <w:color w:val="auto"/>
          <w:highlight w:val="none"/>
        </w:rPr>
      </w:pPr>
      <w:r>
        <w:rPr>
          <w:color w:val="auto"/>
          <w:highlight w:val="none"/>
        </w:rPr>
      </w:r>
      <w:r/>
    </w:p>
    <w:p>
      <w:pPr>
        <w:pStyle w:val="986"/>
        <w:ind w:firstLine="0"/>
        <w:jc w:val="center"/>
        <w:spacing w:line="360" w:lineRule="auto"/>
        <w:rPr>
          <w:color w:val="auto"/>
          <w:highlight w:val="none"/>
        </w:rPr>
      </w:pPr>
      <w:r>
        <w:rPr>
          <w:color w:val="auto"/>
          <w:highlight w:val="none"/>
        </w:rPr>
      </w:r>
      <w:r/>
    </w:p>
    <w:p>
      <w:pPr>
        <w:pStyle w:val="986"/>
        <w:ind w:firstLine="0"/>
        <w:jc w:val="center"/>
        <w:spacing w:line="360" w:lineRule="auto"/>
        <w:rPr>
          <w:color w:val="auto"/>
          <w:highlight w:val="none"/>
        </w:rPr>
      </w:pPr>
      <w:r>
        <w:rPr>
          <w:color w:val="auto"/>
          <w:highlight w:val="none"/>
        </w:rPr>
      </w:r>
      <w:r/>
    </w:p>
    <w:p>
      <w:pPr>
        <w:pStyle w:val="986"/>
        <w:ind w:firstLine="0"/>
        <w:jc w:val="center"/>
        <w:spacing w:line="360" w:lineRule="auto"/>
        <w:rPr>
          <w:color w:val="auto"/>
          <w:highlight w:val="none"/>
        </w:rPr>
      </w:pPr>
      <w:r>
        <w:rPr>
          <w:color w:val="auto"/>
          <w:highlight w:val="none"/>
        </w:rPr>
      </w:r>
      <w:r/>
    </w:p>
    <w:p>
      <w:pPr>
        <w:ind w:firstLine="1606"/>
        <w:spacing w:line="360" w:lineRule="auto"/>
        <w:rPr>
          <w:rFonts w:hint="eastAsia" w:ascii="宋体" w:hAnsi="宋体" w:eastAsia="宋体" w:cs="Times New Roman"/>
          <w:b/>
          <w:bCs/>
          <w:color w:val="auto"/>
          <w:sz w:val="32"/>
          <w:szCs w:val="20"/>
          <w:highlight w:val="none"/>
          <w:shd w:val="clear" w:color="auto" w:fill="ffffff"/>
          <w:lang w:eastAsia="zh-CN"/>
        </w:rPr>
      </w:pPr>
      <w:r>
        <w:rPr>
          <w:rFonts w:hint="eastAsia" w:ascii="宋体" w:hAnsi="宋体" w:eastAsia="宋体" w:cs="Times New Roman"/>
          <w:b/>
          <w:bCs/>
          <w:color w:val="auto"/>
          <w:sz w:val="32"/>
          <w:szCs w:val="20"/>
          <w:highlight w:val="none"/>
          <w:shd w:val="clear" w:color="auto" w:fill="ffffff"/>
        </w:rPr>
        <w:t xml:space="preserve">标    号：</w:t>
      </w:r>
      <w:r>
        <w:rPr>
          <w:rFonts w:hint="eastAsia" w:ascii="宋体" w:hAnsi="宋体" w:eastAsia="宋体" w:cs="Times New Roman"/>
          <w:b/>
          <w:bCs/>
          <w:color w:val="auto"/>
          <w:sz w:val="32"/>
          <w:szCs w:val="20"/>
          <w:highlight w:val="none"/>
          <w:shd w:val="clear" w:color="auto" w:fill="ffffff"/>
          <w:lang w:eastAsia="zh-CN"/>
        </w:rPr>
        <w:t xml:space="preserve">JSZC-320591-SZWK-G2024-0347</w:t>
      </w:r>
      <w:r/>
    </w:p>
    <w:p>
      <w:pPr>
        <w:ind w:firstLine="1606"/>
        <w:spacing w:line="360" w:lineRule="auto"/>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 xml:space="preserve">采 购 人：苏州工业园区综合行政执法局</w:t>
      </w:r>
      <w:r/>
    </w:p>
    <w:p>
      <w:pPr>
        <w:ind w:firstLine="1606"/>
        <w:spacing w:line="360" w:lineRule="auto"/>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 xml:space="preserve">采购内容：</w:t>
      </w:r>
      <w:bookmarkStart w:id="0" w:name="OLE_LINK190"/>
      <w:r/>
      <w:bookmarkStart w:id="1" w:name="OLE_LINK191"/>
      <w:r>
        <w:rPr>
          <w:rFonts w:hint="eastAsia" w:ascii="宋体" w:hAnsi="宋体" w:eastAsia="宋体" w:cs="Times New Roman"/>
          <w:b/>
          <w:bCs/>
          <w:color w:val="auto"/>
          <w:sz w:val="32"/>
          <w:szCs w:val="20"/>
          <w:highlight w:val="none"/>
          <w:shd w:val="clear" w:color="auto" w:fill="ffffff"/>
        </w:rPr>
        <w:t xml:space="preserve">2024年园区界浦河种植项目</w:t>
      </w:r>
      <w:bookmarkEnd w:id="0"/>
      <w:r/>
      <w:bookmarkEnd w:id="1"/>
      <w:r/>
      <w:r/>
    </w:p>
    <w:p>
      <w:pPr>
        <w:ind w:firstLine="1606"/>
        <w:spacing w:line="360" w:lineRule="auto"/>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 xml:space="preserve">采购类别：服务类</w:t>
      </w:r>
      <w:r/>
    </w:p>
    <w:p>
      <w:pPr>
        <w:ind w:firstLine="520"/>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ind w:firstLine="520"/>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ind w:firstLine="643"/>
        <w:jc w:val="center"/>
        <w:spacing w:line="360" w:lineRule="auto"/>
        <w:rPr>
          <w:rFonts w:ascii="宋体" w:hAnsi="宋体" w:eastAsia="宋体" w:cs="Times New Roman"/>
          <w:b/>
          <w:color w:val="auto"/>
          <w:sz w:val="32"/>
          <w:szCs w:val="20"/>
          <w:highlight w:val="none"/>
          <w:shd w:val="clear" w:color="auto" w:fill="ffffff"/>
        </w:rPr>
      </w:pPr>
      <w:r>
        <w:rPr>
          <w:rFonts w:hint="eastAsia" w:ascii="宋体" w:hAnsi="宋体" w:eastAsia="宋体" w:cs="Times New Roman"/>
          <w:b/>
          <w:color w:val="auto"/>
          <w:sz w:val="32"/>
          <w:szCs w:val="20"/>
          <w:highlight w:val="none"/>
          <w:shd w:val="clear" w:color="auto" w:fill="ffffff"/>
        </w:rPr>
        <w:t xml:space="preserve">二○二四年十月</w:t>
      </w:r>
      <w:r/>
    </w:p>
    <w:p>
      <w:pPr>
        <w:ind w:firstLine="643"/>
        <w:jc w:val="center"/>
        <w:rPr>
          <w:rFonts w:ascii="宋体" w:hAnsi="宋体" w:eastAsia="宋体" w:cs="Times New Roman"/>
          <w:b/>
          <w:color w:val="auto"/>
          <w:sz w:val="32"/>
          <w:szCs w:val="32"/>
          <w:highlight w:val="none"/>
          <w:shd w:val="clear" w:color="auto" w:fill="ffffff"/>
        </w:rPr>
      </w:pPr>
      <w:r>
        <w:rPr>
          <w:rFonts w:ascii="宋体" w:hAnsi="宋体" w:eastAsia="宋体" w:cs="Times New Roman"/>
          <w:b/>
          <w:color w:val="auto"/>
          <w:sz w:val="32"/>
          <w:szCs w:val="32"/>
          <w:highlight w:val="none"/>
          <w:shd w:val="clear" w:color="auto" w:fill="ffffff"/>
        </w:rPr>
      </w:r>
      <w:r/>
    </w:p>
    <w:p>
      <w:pPr>
        <w:ind w:firstLine="643"/>
        <w:jc w:val="center"/>
        <w:spacing w:line="360" w:lineRule="auto"/>
        <w:rPr>
          <w:rFonts w:ascii="宋体" w:hAnsi="宋体" w:eastAsia="宋体" w:cs="Times New Roman"/>
          <w:b/>
          <w:color w:val="auto"/>
          <w:sz w:val="32"/>
          <w:szCs w:val="32"/>
          <w:highlight w:val="none"/>
          <w:shd w:val="clear" w:color="auto" w:fill="ffffff"/>
        </w:rPr>
        <w:sectPr>
          <w:footerReference w:type="default" r:id="rId11"/>
          <w:footnotePr/>
          <w:endnotePr/>
          <w:type w:val="nextPage"/>
          <w:pgSz w:w="11907" w:h="16840" w:orient="portrait"/>
          <w:pgMar w:top="1418" w:right="1418" w:bottom="1418" w:left="1418" w:header="851" w:footer="992" w:gutter="0"/>
          <w:pgNumType w:start="1"/>
          <w:cols w:num="1" w:sep="0" w:space="720" w:equalWidth="1"/>
          <w:docGrid w:linePitch="360"/>
        </w:sectPr>
      </w:pPr>
      <w:r>
        <w:rPr>
          <w:rFonts w:ascii="宋体" w:hAnsi="宋体" w:eastAsia="宋体" w:cs="Times New Roman"/>
          <w:b/>
          <w:color w:val="auto"/>
          <w:sz w:val="32"/>
          <w:szCs w:val="32"/>
          <w:highlight w:val="none"/>
          <w:shd w:val="clear" w:color="auto" w:fill="ffffff"/>
        </w:rPr>
      </w:r>
      <w:r/>
    </w:p>
    <w:p>
      <w:pPr>
        <w:ind w:firstLine="643"/>
        <w:jc w:val="center"/>
        <w:spacing w:line="360" w:lineRule="auto"/>
        <w:rPr>
          <w:rFonts w:ascii="宋体" w:hAnsi="宋体" w:eastAsia="宋体" w:cs="Times New Roman"/>
          <w:b/>
          <w:color w:val="auto"/>
          <w:sz w:val="32"/>
          <w:szCs w:val="32"/>
          <w:highlight w:val="none"/>
          <w:shd w:val="clear" w:color="auto" w:fill="ffffff"/>
        </w:rPr>
      </w:pPr>
      <w:r>
        <w:rPr>
          <w:rFonts w:hint="eastAsia" w:ascii="宋体" w:hAnsi="宋体" w:eastAsia="宋体" w:cs="Times New Roman"/>
          <w:b/>
          <w:color w:val="auto"/>
          <w:sz w:val="32"/>
          <w:szCs w:val="32"/>
          <w:highlight w:val="none"/>
          <w:shd w:val="clear" w:color="auto" w:fill="ffffff"/>
        </w:rPr>
        <w:t xml:space="preserve">前附表</w:t>
      </w:r>
      <w:r/>
    </w:p>
    <w:tbl>
      <w:tblPr>
        <w:tblStyle w:val="934"/>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left"/>
              <w:spacing w:line="360" w:lineRule="auto"/>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 xml:space="preserve">序号</w:t>
            </w:r>
            <w:r/>
          </w:p>
        </w:tc>
        <w:tc>
          <w:tcPr>
            <w:tcW w:w="9144" w:type="dxa"/>
            <w:vAlign w:val="center"/>
            <w:textDirection w:val="lrTb"/>
            <w:noWrap w:val="false"/>
          </w:tcPr>
          <w:p>
            <w:pPr>
              <w:ind w:firstLine="482"/>
              <w:jc w:val="center"/>
              <w:spacing w:line="360" w:lineRule="auto"/>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left"/>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t xml:space="preserve">1</w:t>
            </w:r>
            <w:r/>
          </w:p>
        </w:tc>
        <w:tc>
          <w:tcPr>
            <w:tcW w:w="9144" w:type="dxa"/>
            <w:vAlign w:val="center"/>
            <w:textDirection w:val="lrTb"/>
            <w:noWrap w:val="false"/>
          </w:tcPr>
          <w:p>
            <w:pPr>
              <w:ind w:firstLine="480"/>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采购内容：2024年园区界浦河种植项目</w:t>
            </w:r>
            <w:r/>
          </w:p>
        </w:tc>
      </w:tr>
      <w:tr>
        <w:trPr>
          <w:jc w:val="center"/>
          <w:trHeight w:val="373"/>
        </w:trPr>
        <w:tc>
          <w:tcPr>
            <w:tcW w:w="664" w:type="dxa"/>
            <w:vAlign w:val="center"/>
            <w:textDirection w:val="lrTb"/>
            <w:noWrap w:val="false"/>
          </w:tcPr>
          <w:p>
            <w:pPr>
              <w:jc w:val="left"/>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2</w:t>
            </w:r>
            <w:r/>
          </w:p>
        </w:tc>
        <w:tc>
          <w:tcPr>
            <w:tcW w:w="9144" w:type="dxa"/>
            <w:vAlign w:val="center"/>
            <w:textDirection w:val="lrTb"/>
            <w:noWrap w:val="false"/>
          </w:tcPr>
          <w:p>
            <w:pPr>
              <w:ind w:firstLine="480"/>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投标有效期：自投标</w:t>
            </w:r>
            <w:r>
              <w:rPr>
                <w:rFonts w:ascii="宋体" w:hAnsi="宋体" w:eastAsia="宋体" w:cs="Times New Roman"/>
                <w:color w:val="auto"/>
                <w:szCs w:val="21"/>
                <w:highlight w:val="none"/>
                <w:shd w:val="clear" w:color="auto" w:fill="ffffff"/>
              </w:rPr>
              <w:t xml:space="preserve">截止日</w:t>
            </w:r>
            <w:r>
              <w:rPr>
                <w:rFonts w:hint="eastAsia" w:ascii="宋体" w:hAnsi="宋体" w:eastAsia="宋体" w:cs="Times New Roman"/>
                <w:color w:val="auto"/>
                <w:szCs w:val="21"/>
                <w:highlight w:val="none"/>
                <w:shd w:val="clear" w:color="auto" w:fill="ffffff"/>
              </w:rPr>
              <w:t xml:space="preserve">起</w:t>
            </w:r>
            <w:r>
              <w:rPr>
                <w:rFonts w:hint="eastAsia" w:ascii="宋体" w:hAnsi="宋体" w:eastAsia="宋体" w:cs="Times New Roman"/>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left"/>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3</w:t>
            </w:r>
            <w:r/>
          </w:p>
        </w:tc>
        <w:tc>
          <w:tcPr>
            <w:tcW w:w="9144" w:type="dxa"/>
            <w:vAlign w:val="center"/>
            <w:textDirection w:val="lrTb"/>
            <w:noWrap w:val="false"/>
          </w:tcPr>
          <w:p>
            <w:pPr>
              <w:ind w:firstLine="480"/>
              <w:spacing w:line="360" w:lineRule="auto"/>
              <w:rPr>
                <w:rFonts w:ascii="宋体" w:hAnsi="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投标保证金：</w:t>
            </w:r>
            <w:r>
              <w:rPr>
                <w:rFonts w:ascii="Times New Roman" w:hAnsi="Times New Roman" w:cs="Times New Roman"/>
                <w:color w:val="auto"/>
                <w:szCs w:val="21"/>
                <w:highlight w:val="none"/>
              </w:rPr>
              <w:t xml:space="preserve">本项目不收取投标保证金</w:t>
            </w:r>
            <w:r>
              <w:rPr>
                <w:rFonts w:hint="eastAsia" w:ascii="Times New Roman" w:hAnsi="Times New Roman" w:cs="Times New Roman"/>
                <w:color w:val="auto"/>
                <w:szCs w:val="21"/>
                <w:highlight w:val="none"/>
              </w:rPr>
              <w:t xml:space="preserve">。</w:t>
            </w:r>
            <w:r/>
          </w:p>
        </w:tc>
      </w:tr>
      <w:tr>
        <w:trPr>
          <w:jc w:val="center"/>
          <w:trHeight w:val="283"/>
        </w:trPr>
        <w:tc>
          <w:tcPr>
            <w:tcW w:w="664" w:type="dxa"/>
            <w:vAlign w:val="center"/>
            <w:textDirection w:val="lrTb"/>
            <w:noWrap w:val="false"/>
          </w:tcPr>
          <w:p>
            <w:pPr>
              <w:jc w:val="left"/>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4</w:t>
            </w:r>
            <w:r/>
          </w:p>
        </w:tc>
        <w:tc>
          <w:tcPr>
            <w:tcW w:w="9144" w:type="dxa"/>
            <w:vAlign w:val="center"/>
            <w:textDirection w:val="lrTb"/>
            <w:noWrap w:val="false"/>
          </w:tcPr>
          <w:p>
            <w:pPr>
              <w:ind w:firstLine="480"/>
              <w:spacing w:line="360" w:lineRule="auto"/>
              <w:rPr>
                <w:rFonts w:ascii="宋体" w:hAnsi="宋体" w:eastAsia="宋体" w:cs="Times New Roman"/>
                <w:b/>
                <w:bCs/>
                <w:color w:val="auto"/>
                <w:szCs w:val="21"/>
                <w:highlight w:val="none"/>
              </w:rPr>
            </w:pPr>
            <w:r>
              <w:rPr>
                <w:rFonts w:hint="eastAsia" w:ascii="宋体" w:hAnsi="宋体" w:eastAsia="宋体" w:cs="Times New Roman"/>
                <w:color w:val="auto"/>
                <w:szCs w:val="21"/>
                <w:highlight w:val="none"/>
                <w:shd w:val="clear" w:color="auto" w:fill="ffffff"/>
              </w:rPr>
              <w:t xml:space="preserve">投标文件：本项目采用网上提交电子投标文件，不接受纸质投标文件。中标后7天内，中标供应商提交</w:t>
            </w:r>
            <w:r>
              <w:rPr>
                <w:rFonts w:hint="eastAsia" w:ascii="宋体" w:hAnsi="宋体" w:eastAsia="宋体" w:cs="Times New Roman"/>
                <w:b/>
                <w:bCs/>
                <w:color w:val="auto"/>
                <w:szCs w:val="21"/>
                <w:highlight w:val="none"/>
                <w:u w:val="single"/>
                <w:shd w:val="clear" w:color="auto" w:fill="ffffff"/>
              </w:rPr>
              <w:t xml:space="preserve">二份</w:t>
            </w:r>
            <w:r>
              <w:rPr>
                <w:rFonts w:hint="eastAsia" w:ascii="宋体" w:hAnsi="宋体" w:eastAsia="宋体" w:cs="Times New Roman"/>
                <w:color w:val="auto"/>
                <w:szCs w:val="21"/>
                <w:highlight w:val="none"/>
                <w:shd w:val="clear" w:color="auto" w:fill="ffffff"/>
              </w:rPr>
              <w:t xml:space="preserve">纸质投标文件至采购人处。</w:t>
            </w:r>
            <w:r/>
          </w:p>
        </w:tc>
      </w:tr>
      <w:tr>
        <w:trPr>
          <w:jc w:val="center"/>
          <w:trHeight w:val="45"/>
        </w:trPr>
        <w:tc>
          <w:tcPr>
            <w:tcW w:w="664" w:type="dxa"/>
            <w:vAlign w:val="center"/>
            <w:textDirection w:val="lrTb"/>
            <w:noWrap w:val="false"/>
          </w:tcPr>
          <w:p>
            <w:pPr>
              <w:jc w:val="left"/>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5</w:t>
            </w:r>
            <w:r/>
          </w:p>
        </w:tc>
        <w:tc>
          <w:tcPr>
            <w:tcW w:w="9144" w:type="dxa"/>
            <w:vAlign w:val="center"/>
            <w:textDirection w:val="lrTb"/>
            <w:noWrap w:val="false"/>
          </w:tcPr>
          <w:p>
            <w:pPr>
              <w:ind w:firstLine="480"/>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开</w:t>
            </w:r>
            <w:r>
              <w:rPr>
                <w:rFonts w:hint="eastAsia" w:ascii="宋体" w:hAnsi="宋体" w:eastAsia="宋体" w:cs="Times New Roman"/>
                <w:color w:val="auto"/>
                <w:szCs w:val="21"/>
                <w:highlight w:val="none"/>
                <w:shd w:val="clear" w:color="auto" w:fill="ffffff"/>
              </w:rPr>
              <w:t xml:space="preserve">标信息</w:t>
            </w:r>
            <w:r/>
          </w:p>
          <w:p>
            <w:pPr>
              <w:ind w:firstLine="480"/>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投标截止时间：2024年</w:t>
            </w:r>
            <w:r>
              <w:rPr>
                <w:rFonts w:hint="eastAsia" w:ascii="宋体" w:hAnsi="宋体" w:eastAsia="宋体" w:cs="Times New Roman"/>
                <w:color w:val="auto"/>
                <w:szCs w:val="21"/>
                <w:highlight w:val="none"/>
                <w:shd w:val="clear" w:color="auto" w:fill="ffffff"/>
                <w:lang w:val="en-US" w:eastAsia="zh-CN"/>
              </w:rPr>
              <w:t xml:space="preserve">11</w:t>
            </w:r>
            <w:r>
              <w:rPr>
                <w:rFonts w:hint="eastAsia" w:ascii="宋体" w:hAnsi="宋体" w:eastAsia="宋体" w:cs="Times New Roman"/>
                <w:color w:val="auto"/>
                <w:szCs w:val="21"/>
                <w:highlight w:val="none"/>
                <w:shd w:val="clear" w:color="auto" w:fill="ffffff"/>
              </w:rPr>
              <w:t xml:space="preserve">月</w:t>
            </w:r>
            <w:r>
              <w:rPr>
                <w:rFonts w:hint="eastAsia" w:ascii="宋体" w:hAnsi="宋体" w:eastAsia="宋体" w:cs="Times New Roman"/>
                <w:color w:val="auto"/>
                <w:szCs w:val="21"/>
                <w:highlight w:val="none"/>
                <w:shd w:val="clear" w:color="auto" w:fill="ffffff"/>
                <w:lang w:val="en-US" w:eastAsia="zh-CN"/>
              </w:rPr>
              <w:t xml:space="preserve">11</w:t>
            </w:r>
            <w:r>
              <w:rPr>
                <w:rFonts w:hint="eastAsia" w:ascii="宋体" w:hAnsi="宋体" w:eastAsia="宋体" w:cs="Times New Roman"/>
                <w:color w:val="auto"/>
                <w:szCs w:val="21"/>
                <w:highlight w:val="none"/>
                <w:shd w:val="clear" w:color="auto" w:fill="ffffff"/>
              </w:rPr>
              <w:t xml:space="preserve">日9点30分（北京时间）</w:t>
            </w:r>
            <w:r/>
          </w:p>
          <w:p>
            <w:pPr>
              <w:ind w:firstLine="480"/>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开标时间：2024年</w:t>
            </w:r>
            <w:r>
              <w:rPr>
                <w:rFonts w:hint="eastAsia" w:ascii="宋体" w:hAnsi="宋体" w:eastAsia="宋体" w:cs="Times New Roman"/>
                <w:color w:val="auto"/>
                <w:szCs w:val="21"/>
                <w:highlight w:val="none"/>
                <w:shd w:val="clear" w:color="auto" w:fill="ffffff"/>
                <w:lang w:val="en-US" w:eastAsia="zh-CN"/>
              </w:rPr>
              <w:t xml:space="preserve">11</w:t>
            </w:r>
            <w:r>
              <w:rPr>
                <w:rFonts w:hint="eastAsia" w:ascii="宋体" w:hAnsi="宋体" w:eastAsia="宋体" w:cs="Times New Roman"/>
                <w:color w:val="auto"/>
                <w:szCs w:val="21"/>
                <w:highlight w:val="none"/>
                <w:shd w:val="clear" w:color="auto" w:fill="ffffff"/>
              </w:rPr>
              <w:t xml:space="preserve">月</w:t>
            </w:r>
            <w:r>
              <w:rPr>
                <w:rFonts w:hint="eastAsia" w:ascii="宋体" w:hAnsi="宋体" w:eastAsia="宋体" w:cs="Times New Roman"/>
                <w:color w:val="auto"/>
                <w:szCs w:val="21"/>
                <w:highlight w:val="none"/>
                <w:shd w:val="clear" w:color="auto" w:fill="ffffff"/>
                <w:lang w:val="en-US" w:eastAsia="zh-CN"/>
              </w:rPr>
              <w:t xml:space="preserve">11</w:t>
            </w:r>
            <w:r>
              <w:rPr>
                <w:rFonts w:hint="eastAsia" w:ascii="宋体" w:hAnsi="宋体" w:eastAsia="宋体" w:cs="Times New Roman"/>
                <w:color w:val="auto"/>
                <w:szCs w:val="21"/>
                <w:highlight w:val="none"/>
                <w:shd w:val="clear" w:color="auto" w:fill="ffffff"/>
              </w:rPr>
              <w:t xml:space="preserve">日9点30分（北京时间）</w:t>
            </w:r>
            <w:r/>
          </w:p>
          <w:p>
            <w:pPr>
              <w:ind w:firstLine="480"/>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开标地点：“苏采云”系统（网址：http://jszfcg.jsczt.cn/）</w:t>
            </w:r>
            <w:r/>
          </w:p>
          <w:p>
            <w:pPr>
              <w:ind w:firstLine="480"/>
              <w:spacing w:line="360" w:lineRule="auto"/>
              <w:widowControl/>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本项目为不见面开标项目，开标阶段供应商在【供应商解密】环节必须使用</w:t>
            </w:r>
            <w:r>
              <w:rPr>
                <w:rFonts w:ascii="宋体" w:hAnsi="宋体" w:eastAsia="宋体" w:cs="Times New Roman"/>
                <w:color w:val="auto"/>
                <w:szCs w:val="21"/>
                <w:highlight w:val="none"/>
                <w:shd w:val="clear" w:color="auto" w:fill="ffffff"/>
              </w:rPr>
              <w:t xml:space="preserve">CA证书解密电子投标文件，如在“苏</w:t>
            </w:r>
            <w:r>
              <w:rPr>
                <w:rFonts w:hint="eastAsia" w:ascii="宋体" w:hAnsi="宋体" w:eastAsia="宋体" w:cs="Times New Roman"/>
                <w:color w:val="auto"/>
                <w:szCs w:val="21"/>
                <w:highlight w:val="none"/>
                <w:shd w:val="clear" w:color="auto" w:fill="ffffff"/>
              </w:rPr>
              <w:t xml:space="preserve">采云”系统规定的时间内未能成功解密的视为放弃参与本项目投标。</w:t>
            </w:r>
            <w:r/>
          </w:p>
        </w:tc>
      </w:tr>
      <w:tr>
        <w:trPr>
          <w:jc w:val="center"/>
          <w:trHeight w:val="473"/>
        </w:trPr>
        <w:tc>
          <w:tcPr>
            <w:tcW w:w="664" w:type="dxa"/>
            <w:vAlign w:val="center"/>
            <w:textDirection w:val="lrTb"/>
            <w:noWrap w:val="false"/>
          </w:tcPr>
          <w:p>
            <w:pPr>
              <w:jc w:val="left"/>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6</w:t>
            </w:r>
            <w:r/>
          </w:p>
        </w:tc>
        <w:tc>
          <w:tcPr>
            <w:tcW w:w="9144" w:type="dxa"/>
            <w:vAlign w:val="center"/>
            <w:textDirection w:val="lrTb"/>
            <w:noWrap w:val="false"/>
          </w:tcPr>
          <w:p>
            <w:pPr>
              <w:ind w:firstLine="480"/>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履约保证金：中标金额的5%。</w:t>
            </w:r>
            <w:r>
              <w:rPr>
                <w:rFonts w:hint="eastAsia" w:ascii="宋体" w:hAnsi="宋体" w:eastAsia="宋体" w:cs="Times New Roman"/>
                <w:b/>
                <w:bCs/>
                <w:color w:val="auto"/>
                <w:szCs w:val="21"/>
                <w:highlight w:val="none"/>
                <w:shd w:val="clear" w:color="auto" w:fill="ffffff"/>
              </w:rPr>
              <w:t xml:space="preserve">（可提供符合《关于在全省政府采购领域推行电子履约保函（保险）的通知》（苏财购〔2023〕150 号）要求的电子履约保函）</w:t>
            </w:r>
            <w:r/>
          </w:p>
        </w:tc>
      </w:tr>
      <w:tr>
        <w:trPr>
          <w:jc w:val="center"/>
          <w:trHeight w:val="5807"/>
        </w:trPr>
        <w:tc>
          <w:tcPr>
            <w:tcW w:w="664" w:type="dxa"/>
            <w:vAlign w:val="center"/>
            <w:textDirection w:val="lrTb"/>
            <w:noWrap w:val="false"/>
          </w:tcPr>
          <w:p>
            <w:pPr>
              <w:jc w:val="left"/>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7</w:t>
            </w:r>
            <w:r/>
          </w:p>
        </w:tc>
        <w:tc>
          <w:tcPr>
            <w:tcW w:w="9144" w:type="dxa"/>
            <w:vAlign w:val="center"/>
            <w:textDirection w:val="lrTb"/>
            <w:noWrap w:val="false"/>
          </w:tcPr>
          <w:p>
            <w:pPr>
              <w:ind w:right="18" w:firstLine="480"/>
              <w:jc w:val="left"/>
              <w:spacing w:line="360" w:lineRule="auto"/>
              <w:tabs>
                <w:tab w:val="left" w:pos="720" w:leader="none"/>
              </w:tabs>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代理服务费收费标准：代理服务费收费按以下标准的</w:t>
            </w:r>
            <w:r>
              <w:rPr>
                <w:rFonts w:hint="eastAsia" w:ascii="宋体" w:hAnsi="宋体" w:eastAsia="宋体" w:cs="Times New Roman"/>
                <w:color w:val="auto"/>
                <w:szCs w:val="21"/>
                <w:highlight w:val="none"/>
                <w:u w:val="single"/>
              </w:rPr>
              <w:t xml:space="preserve">60</w:t>
            </w:r>
            <w:r>
              <w:rPr>
                <w:rFonts w:hint="eastAsia" w:ascii="宋体" w:hAnsi="宋体" w:eastAsia="宋体" w:cs="Times New Roman"/>
                <w:color w:val="auto"/>
                <w:szCs w:val="21"/>
                <w:highlight w:val="none"/>
              </w:rPr>
              <w:t xml:space="preserve">%收取：</w:t>
            </w:r>
            <w:r/>
          </w:p>
          <w:p>
            <w:pPr>
              <w:ind w:firstLine="48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预算金额100万元以下部分，费率为该部分预算金额的1.5%；</w:t>
            </w:r>
            <w:r/>
          </w:p>
          <w:p>
            <w:pPr>
              <w:ind w:firstLine="48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预算金额100万元（含）－500万元部分，费率为该部分预算金额的0.8%；</w:t>
            </w:r>
            <w:r/>
          </w:p>
          <w:p>
            <w:pPr>
              <w:ind w:firstLine="48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预算金额500万元（含）-1000万元部分，费率为该部分预算金额的0.45%；</w:t>
            </w:r>
            <w:r/>
          </w:p>
          <w:p>
            <w:pPr>
              <w:ind w:firstLine="48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预算金额1000万元（含）-5000万元部分，费率为该部分预算金额的0.25%；</w:t>
            </w:r>
            <w:r/>
          </w:p>
          <w:p>
            <w:pPr>
              <w:ind w:firstLine="48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预算金额5000万元（含）-10000万元部分，费率为该部分预算金额的0.1%；</w:t>
            </w:r>
            <w:r/>
          </w:p>
          <w:p>
            <w:pPr>
              <w:ind w:firstLine="48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预算金额10000万元以上部分，费率为该部分预算金额的0.05%。</w:t>
            </w:r>
            <w:r/>
          </w:p>
          <w:p>
            <w:pPr>
              <w:ind w:firstLine="48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w:t>
            </w:r>
            <w:r>
              <w:rPr>
                <w:rFonts w:ascii="宋体" w:hAnsi="宋体" w:eastAsia="宋体" w:cs="Times New Roman"/>
                <w:color w:val="auto"/>
                <w:szCs w:val="21"/>
                <w:highlight w:val="none"/>
              </w:rPr>
              <w:t xml:space="preserve">]*0.</w:t>
            </w:r>
            <w:r>
              <w:rPr>
                <w:rFonts w:hint="eastAsia" w:ascii="宋体" w:hAnsi="宋体" w:eastAsia="宋体" w:cs="Times New Roman"/>
                <w:color w:val="auto"/>
                <w:szCs w:val="21"/>
                <w:highlight w:val="none"/>
              </w:rPr>
              <w:t xml:space="preserve">6。如按上述方法计算的金额低于人民币3000元整的，则本项目代理服务费按人民币3000元整计收。代理服务费：领取成交通知书时成交人向采购代理机构一次性付清。</w:t>
            </w:r>
            <w:r/>
          </w:p>
          <w:p>
            <w:pPr>
              <w:ind w:firstLine="48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服务费交纳账户：苏州市卫康招投标咨询服务有限公司工业园区分公司</w:t>
            </w:r>
            <w:r/>
          </w:p>
          <w:p>
            <w:pPr>
              <w:ind w:firstLine="48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账号：1102020209200836053</w:t>
            </w:r>
            <w:r/>
          </w:p>
          <w:p>
            <w:pPr>
              <w:ind w:firstLine="480"/>
              <w:spacing w:line="360" w:lineRule="auto"/>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开户银行：工行苏州道前支行</w:t>
            </w:r>
            <w:r/>
          </w:p>
        </w:tc>
      </w:tr>
      <w:tr>
        <w:trPr>
          <w:jc w:val="center"/>
          <w:trHeight w:val="283"/>
        </w:trPr>
        <w:tc>
          <w:tcPr>
            <w:tcW w:w="664" w:type="dxa"/>
            <w:vAlign w:val="center"/>
            <w:textDirection w:val="lrTb"/>
            <w:noWrap w:val="false"/>
          </w:tcPr>
          <w:p>
            <w:pPr>
              <w:jc w:val="left"/>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8</w:t>
            </w:r>
            <w:r/>
          </w:p>
        </w:tc>
        <w:tc>
          <w:tcPr>
            <w:tcW w:w="9144" w:type="dxa"/>
            <w:vAlign w:val="center"/>
            <w:textDirection w:val="lrTb"/>
            <w:noWrap w:val="false"/>
          </w:tcPr>
          <w:p>
            <w:pPr>
              <w:ind w:firstLine="480"/>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苏州工业园区政府采购监督电话：0512-66681110</w:t>
            </w:r>
            <w:r/>
          </w:p>
        </w:tc>
      </w:tr>
    </w:tbl>
    <w:p>
      <w:pPr>
        <w:ind w:firstLine="1040"/>
        <w:jc w:val="center"/>
        <w:spacing w:line="360" w:lineRule="auto"/>
        <w:rPr>
          <w:rFonts w:ascii="宋体" w:hAnsi="宋体" w:eastAsia="宋体" w:cs="Times New Roman"/>
          <w:color w:val="auto"/>
          <w:sz w:val="52"/>
          <w:szCs w:val="52"/>
          <w:highlight w:val="none"/>
          <w:shd w:val="clear" w:color="auto" w:fill="ffffff"/>
        </w:rPr>
      </w:pPr>
      <w:r>
        <w:rPr>
          <w:rFonts w:ascii="宋体" w:hAnsi="宋体" w:eastAsia="宋体" w:cs="Times New Roman"/>
          <w:color w:val="auto"/>
          <w:sz w:val="52"/>
          <w:szCs w:val="52"/>
          <w:highlight w:val="none"/>
          <w:shd w:val="clear" w:color="auto" w:fill="ffffff"/>
        </w:rPr>
        <w:br w:type="page" w:clear="all"/>
      </w:r>
      <w:r/>
    </w:p>
    <w:p>
      <w:pPr>
        <w:ind w:firstLine="964"/>
        <w:jc w:val="center"/>
        <w:spacing w:line="360" w:lineRule="auto"/>
        <w:rPr>
          <w:rFonts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t xml:space="preserve">总目录</w:t>
      </w:r>
      <w:r/>
    </w:p>
    <w:p>
      <w:pPr>
        <w:jc w:val="left"/>
        <w:spacing w:line="360" w:lineRule="auto"/>
        <w:tabs>
          <w:tab w:val="right" w:pos="9022" w:leader="dot"/>
        </w:tabs>
        <w:rPr>
          <w:rFonts w:eastAsia="楷体_GB2312"/>
          <w:color w:val="auto"/>
          <w:highlight w:val="none"/>
        </w:rPr>
      </w:pPr>
      <w:r>
        <w:rPr>
          <w:rFonts w:ascii="宋体" w:hAnsi="宋体" w:eastAsia="宋体" w:cs="Times New Roman"/>
          <w:b/>
          <w:bCs/>
          <w:color w:val="auto"/>
          <w:sz w:val="24"/>
          <w:szCs w:val="24"/>
          <w:highlight w:val="none"/>
          <w:shd w:val="clear" w:color="auto" w:fill="ffffff"/>
        </w:rPr>
        <w:fldChar w:fldCharType="begin"/>
      </w:r>
      <w:r>
        <w:rPr>
          <w:rFonts w:ascii="宋体" w:hAnsi="宋体" w:eastAsia="宋体" w:cs="Times New Roman"/>
          <w:b/>
          <w:bCs/>
          <w:color w:val="auto"/>
          <w:sz w:val="24"/>
          <w:szCs w:val="24"/>
          <w:highlight w:val="none"/>
          <w:shd w:val="clear" w:color="auto" w:fill="ffffff"/>
        </w:rPr>
        <w:instrText xml:space="preserve"> TOC \o "1-1"</w:instrText>
      </w:r>
      <w:r>
        <w:rPr>
          <w:rFonts w:ascii="宋体" w:hAnsi="宋体" w:eastAsia="宋体" w:cs="Times New Roman"/>
          <w:b/>
          <w:bCs/>
          <w:color w:val="auto"/>
          <w:sz w:val="24"/>
          <w:szCs w:val="24"/>
          <w:highlight w:val="none"/>
          <w:shd w:val="clear" w:color="auto" w:fill="ffffff"/>
        </w:rPr>
        <w:fldChar w:fldCharType="separate"/>
      </w:r>
      <w:r>
        <w:rPr>
          <w:rFonts w:hint="eastAsia" w:ascii="宋体" w:hAnsi="宋体" w:eastAsia="宋体" w:cs="Times New Roman"/>
          <w:color w:val="auto"/>
          <w:sz w:val="24"/>
          <w:szCs w:val="20"/>
          <w:highlight w:val="none"/>
          <w:shd w:val="clear" w:color="auto" w:fill="ffffff"/>
        </w:rPr>
        <w:t xml:space="preserve">第一章投标邀请函</w:t>
      </w:r>
      <w:r>
        <w:rPr>
          <w:rFonts w:ascii="Calibri" w:hAnsi="Calibri" w:eastAsia="楷体_GB2312" w:cs="Times New Roman"/>
          <w:color w:val="auto"/>
          <w:sz w:val="24"/>
          <w:szCs w:val="20"/>
          <w:highlight w:val="none"/>
        </w:rPr>
        <w:tab/>
      </w:r>
      <w:r>
        <w:rPr>
          <w:rFonts w:hint="eastAsia" w:ascii="Calibri" w:hAnsi="Calibri" w:eastAsia="楷体_GB2312" w:cs="Times New Roman"/>
          <w:color w:val="auto"/>
          <w:sz w:val="24"/>
          <w:szCs w:val="20"/>
          <w:highlight w:val="none"/>
        </w:rPr>
        <w:t xml:space="preserve">4</w:t>
      </w:r>
      <w:r/>
    </w:p>
    <w:p>
      <w:pPr>
        <w:jc w:val="left"/>
        <w:spacing w:line="360" w:lineRule="auto"/>
        <w:tabs>
          <w:tab w:val="right" w:pos="9022" w:leader="dot"/>
        </w:tabs>
        <w:rPr>
          <w:rFonts w:eastAsia="楷体_GB2312"/>
          <w:color w:val="auto"/>
          <w:highlight w:val="none"/>
        </w:rPr>
      </w:pPr>
      <w:r>
        <w:rPr>
          <w:rFonts w:hint="eastAsia" w:ascii="宋体" w:hAnsi="宋体" w:eastAsia="宋体" w:cs="Times New Roman"/>
          <w:color w:val="auto"/>
          <w:sz w:val="24"/>
          <w:szCs w:val="20"/>
          <w:highlight w:val="none"/>
          <w:shd w:val="clear" w:color="auto" w:fill="ffffff"/>
        </w:rPr>
        <w:t xml:space="preserve">第二章供应商须知</w:t>
      </w:r>
      <w:r>
        <w:rPr>
          <w:rFonts w:ascii="Calibri" w:hAnsi="Calibri" w:eastAsia="楷体_GB2312" w:cs="Times New Roman"/>
          <w:color w:val="auto"/>
          <w:sz w:val="24"/>
          <w:szCs w:val="20"/>
          <w:highlight w:val="none"/>
        </w:rPr>
        <w:tab/>
      </w:r>
      <w:r>
        <w:rPr>
          <w:rFonts w:hint="eastAsia" w:ascii="Calibri" w:hAnsi="Calibri" w:eastAsia="楷体_GB2312" w:cs="Times New Roman"/>
          <w:color w:val="auto"/>
          <w:sz w:val="24"/>
          <w:szCs w:val="20"/>
          <w:highlight w:val="none"/>
        </w:rPr>
        <w:t xml:space="preserve">10</w:t>
      </w:r>
      <w:r/>
    </w:p>
    <w:p>
      <w:pPr>
        <w:jc w:val="left"/>
        <w:spacing w:line="360" w:lineRule="auto"/>
        <w:tabs>
          <w:tab w:val="right" w:pos="9022" w:leader="dot"/>
        </w:tabs>
        <w:rPr>
          <w:color w:val="auto"/>
          <w:highlight w:val="none"/>
        </w:rPr>
      </w:pPr>
      <w:r>
        <w:rPr>
          <w:rFonts w:hint="eastAsia" w:ascii="宋体" w:hAnsi="宋体" w:eastAsia="宋体" w:cs="Times New Roman"/>
          <w:color w:val="auto"/>
          <w:sz w:val="24"/>
          <w:szCs w:val="20"/>
          <w:highlight w:val="none"/>
          <w:shd w:val="clear" w:color="auto" w:fill="ffffff"/>
        </w:rPr>
        <w:t xml:space="preserve">第三章投标文件格式</w:t>
      </w:r>
      <w:r>
        <w:rPr>
          <w:rFonts w:ascii="Calibri" w:hAnsi="Calibri" w:eastAsia="楷体_GB2312" w:cs="Times New Roman"/>
          <w:color w:val="auto"/>
          <w:sz w:val="24"/>
          <w:szCs w:val="20"/>
          <w:highlight w:val="none"/>
        </w:rPr>
        <w:tab/>
      </w:r>
      <w:r>
        <w:rPr>
          <w:rFonts w:ascii="Calibri" w:hAnsi="Calibri" w:eastAsia="楷体_GB2312" w:cs="Times New Roman"/>
          <w:color w:val="auto"/>
          <w:sz w:val="24"/>
          <w:szCs w:val="20"/>
          <w:highlight w:val="none"/>
        </w:rPr>
        <w:fldChar w:fldCharType="begin"/>
      </w:r>
      <w:r>
        <w:rPr>
          <w:rFonts w:ascii="Calibri" w:hAnsi="Calibri" w:eastAsia="楷体_GB2312" w:cs="Times New Roman"/>
          <w:color w:val="auto"/>
          <w:sz w:val="24"/>
          <w:szCs w:val="20"/>
          <w:highlight w:val="none"/>
        </w:rPr>
        <w:instrText xml:space="preserve"> PAGEREF _Toc105940239 \h </w:instrText>
      </w:r>
      <w:r>
        <w:rPr>
          <w:rFonts w:ascii="Calibri" w:hAnsi="Calibri" w:eastAsia="楷体_GB2312" w:cs="Times New Roman"/>
          <w:color w:val="auto"/>
          <w:sz w:val="24"/>
          <w:szCs w:val="20"/>
          <w:highlight w:val="none"/>
        </w:rPr>
        <w:fldChar w:fldCharType="separate"/>
      </w:r>
      <w:r>
        <w:rPr>
          <w:rFonts w:ascii="Calibri" w:hAnsi="Calibri" w:eastAsia="楷体_GB2312" w:cs="Times New Roman"/>
          <w:color w:val="auto"/>
          <w:sz w:val="24"/>
          <w:szCs w:val="20"/>
          <w:highlight w:val="none"/>
        </w:rPr>
        <w:t xml:space="preserve">26</w:t>
      </w:r>
      <w:r>
        <w:rPr>
          <w:rFonts w:ascii="Calibri" w:hAnsi="Calibri" w:eastAsia="楷体_GB2312" w:cs="Times New Roman"/>
          <w:color w:val="auto"/>
          <w:sz w:val="24"/>
          <w:szCs w:val="20"/>
          <w:highlight w:val="none"/>
        </w:rPr>
        <w:fldChar w:fldCharType="end"/>
      </w:r>
      <w:r/>
    </w:p>
    <w:p>
      <w:pPr>
        <w:jc w:val="left"/>
        <w:spacing w:line="360" w:lineRule="auto"/>
        <w:tabs>
          <w:tab w:val="right" w:pos="9022" w:leader="dot"/>
        </w:tabs>
        <w:rPr>
          <w:color w:val="auto"/>
          <w:highlight w:val="none"/>
        </w:rPr>
      </w:pPr>
      <w:r>
        <w:rPr>
          <w:rFonts w:hint="eastAsia" w:ascii="宋体" w:hAnsi="宋体" w:eastAsia="宋体" w:cs="Times New Roman"/>
          <w:color w:val="auto"/>
          <w:sz w:val="24"/>
          <w:szCs w:val="20"/>
          <w:highlight w:val="none"/>
          <w:shd w:val="clear" w:color="auto" w:fill="ffffff"/>
        </w:rPr>
        <w:t xml:space="preserve">第四章招标书</w:t>
      </w:r>
      <w:r>
        <w:rPr>
          <w:rFonts w:ascii="Calibri" w:hAnsi="Calibri" w:eastAsia="楷体_GB2312" w:cs="Times New Roman"/>
          <w:color w:val="auto"/>
          <w:sz w:val="24"/>
          <w:szCs w:val="20"/>
          <w:highlight w:val="none"/>
        </w:rPr>
        <w:tab/>
      </w:r>
      <w:r>
        <w:rPr>
          <w:rFonts w:ascii="Calibri" w:hAnsi="Calibri" w:eastAsia="楷体_GB2312" w:cs="Times New Roman"/>
          <w:color w:val="auto"/>
          <w:sz w:val="24"/>
          <w:szCs w:val="20"/>
          <w:highlight w:val="none"/>
        </w:rPr>
        <w:fldChar w:fldCharType="begin"/>
      </w:r>
      <w:r>
        <w:rPr>
          <w:rFonts w:ascii="Calibri" w:hAnsi="Calibri" w:eastAsia="楷体_GB2312" w:cs="Times New Roman"/>
          <w:color w:val="auto"/>
          <w:sz w:val="24"/>
          <w:szCs w:val="20"/>
          <w:highlight w:val="none"/>
        </w:rPr>
        <w:instrText xml:space="preserve"> PAGEREF _Toc105940240 \h </w:instrText>
      </w:r>
      <w:r>
        <w:rPr>
          <w:rFonts w:ascii="Calibri" w:hAnsi="Calibri" w:eastAsia="楷体_GB2312" w:cs="Times New Roman"/>
          <w:color w:val="auto"/>
          <w:sz w:val="24"/>
          <w:szCs w:val="20"/>
          <w:highlight w:val="none"/>
        </w:rPr>
        <w:fldChar w:fldCharType="separate"/>
      </w:r>
      <w:r>
        <w:rPr>
          <w:rFonts w:ascii="Calibri" w:hAnsi="Calibri" w:eastAsia="楷体_GB2312" w:cs="Times New Roman"/>
          <w:color w:val="auto"/>
          <w:sz w:val="24"/>
          <w:szCs w:val="20"/>
          <w:highlight w:val="none"/>
        </w:rPr>
        <w:t xml:space="preserve">54</w:t>
      </w:r>
      <w:r>
        <w:rPr>
          <w:rFonts w:ascii="Calibri" w:hAnsi="Calibri" w:eastAsia="楷体_GB2312" w:cs="Times New Roman"/>
          <w:color w:val="auto"/>
          <w:sz w:val="24"/>
          <w:szCs w:val="20"/>
          <w:highlight w:val="none"/>
        </w:rPr>
        <w:fldChar w:fldCharType="end"/>
      </w:r>
      <w:r/>
    </w:p>
    <w:p>
      <w:pPr>
        <w:jc w:val="left"/>
        <w:spacing w:line="360" w:lineRule="auto"/>
        <w:tabs>
          <w:tab w:val="right" w:pos="9022" w:leader="dot"/>
        </w:tabs>
        <w:rPr>
          <w:rFonts w:hint="default" w:eastAsia="楷体_GB2312"/>
          <w:color w:val="auto"/>
          <w:highlight w:val="none"/>
          <w:lang w:val="en-US" w:eastAsia="zh-CN"/>
        </w:rPr>
      </w:pPr>
      <w:r>
        <w:rPr>
          <w:rFonts w:hint="eastAsia" w:ascii="宋体" w:hAnsi="宋体" w:eastAsia="宋体" w:cs="Times New Roman"/>
          <w:color w:val="auto"/>
          <w:sz w:val="24"/>
          <w:szCs w:val="20"/>
          <w:highlight w:val="none"/>
          <w:shd w:val="clear" w:color="auto" w:fill="ffffff"/>
        </w:rPr>
        <w:t xml:space="preserve">第五章合同主要条款</w:t>
      </w:r>
      <w:r>
        <w:rPr>
          <w:rFonts w:ascii="Calibri" w:hAnsi="Calibri" w:eastAsia="楷体_GB2312" w:cs="Times New Roman"/>
          <w:color w:val="auto"/>
          <w:sz w:val="24"/>
          <w:szCs w:val="20"/>
          <w:highlight w:val="none"/>
        </w:rPr>
        <w:tab/>
      </w:r>
      <w:r>
        <w:rPr>
          <w:rFonts w:hint="eastAsia" w:ascii="Calibri" w:hAnsi="Calibri" w:eastAsia="楷体_GB2312" w:cs="Times New Roman"/>
          <w:color w:val="auto"/>
          <w:sz w:val="24"/>
          <w:szCs w:val="20"/>
          <w:highlight w:val="none"/>
          <w:lang w:val="en-US" w:eastAsia="zh-CN"/>
        </w:rPr>
        <w:t xml:space="preserve">60</w:t>
      </w:r>
      <w:r/>
    </w:p>
    <w:p>
      <w:pPr>
        <w:jc w:val="left"/>
        <w:spacing w:line="360" w:lineRule="auto"/>
        <w:tabs>
          <w:tab w:val="right" w:pos="9022" w:leader="dot"/>
        </w:tabs>
        <w:rPr>
          <w:rFonts w:hint="default" w:eastAsia="楷体_GB2312"/>
          <w:color w:val="auto"/>
          <w:highlight w:val="none"/>
          <w:lang w:val="en-US" w:eastAsia="zh-CN"/>
        </w:rPr>
      </w:pPr>
      <w:r>
        <w:rPr>
          <w:rFonts w:hint="eastAsia" w:ascii="宋体" w:hAnsi="宋体" w:eastAsia="宋体" w:cs="Times New Roman"/>
          <w:color w:val="auto"/>
          <w:sz w:val="24"/>
          <w:szCs w:val="20"/>
          <w:highlight w:val="none"/>
          <w:shd w:val="clear" w:color="auto" w:fill="ffffff"/>
        </w:rPr>
        <w:t xml:space="preserve">第六章评分标准</w:t>
      </w:r>
      <w:r>
        <w:rPr>
          <w:rFonts w:ascii="Calibri" w:hAnsi="Calibri" w:eastAsia="楷体_GB2312" w:cs="Times New Roman"/>
          <w:color w:val="auto"/>
          <w:sz w:val="24"/>
          <w:szCs w:val="20"/>
          <w:highlight w:val="none"/>
        </w:rPr>
        <w:tab/>
      </w:r>
      <w:r>
        <w:rPr>
          <w:rFonts w:hint="eastAsia" w:ascii="Calibri" w:hAnsi="Calibri" w:eastAsia="楷体_GB2312" w:cs="Times New Roman"/>
          <w:color w:val="auto"/>
          <w:sz w:val="24"/>
          <w:szCs w:val="20"/>
          <w:highlight w:val="none"/>
          <w:lang w:val="en-US" w:eastAsia="zh-CN"/>
        </w:rPr>
        <w:t xml:space="preserve">80</w:t>
      </w:r>
      <w:r/>
    </w:p>
    <w:p>
      <w:pPr>
        <w:jc w:val="left"/>
        <w:spacing w:line="360" w:lineRule="auto"/>
        <w:tabs>
          <w:tab w:val="right" w:pos="9022" w:leader="dot"/>
        </w:tabs>
        <w:rPr>
          <w:rFonts w:eastAsia="楷体_GB2312"/>
          <w:color w:val="auto"/>
          <w:highlight w:val="none"/>
        </w:rPr>
      </w:pPr>
      <w:r>
        <w:rPr>
          <w:rFonts w:hint="eastAsia" w:ascii="宋体" w:hAnsi="宋体" w:eastAsia="宋体" w:cs="Times New Roman"/>
          <w:color w:val="auto"/>
          <w:sz w:val="24"/>
          <w:szCs w:val="20"/>
          <w:highlight w:val="none"/>
          <w:shd w:val="clear" w:color="auto" w:fill="ffffff"/>
        </w:rPr>
        <w:t xml:space="preserve">第七章附件</w:t>
      </w:r>
      <w:r>
        <w:rPr>
          <w:rFonts w:ascii="Calibri" w:hAnsi="Calibri" w:eastAsia="楷体_GB2312" w:cs="Times New Roman"/>
          <w:color w:val="auto"/>
          <w:sz w:val="24"/>
          <w:szCs w:val="20"/>
          <w:highlight w:val="none"/>
        </w:rPr>
        <w:tab/>
      </w:r>
      <w:r>
        <w:rPr>
          <w:rFonts w:hint="eastAsia" w:ascii="Calibri" w:hAnsi="Calibri" w:eastAsia="楷体_GB2312" w:cs="Times New Roman"/>
          <w:color w:val="auto"/>
          <w:sz w:val="24"/>
          <w:szCs w:val="20"/>
          <w:highlight w:val="none"/>
        </w:rPr>
        <w:t xml:space="preserve">86</w:t>
      </w:r>
      <w:r/>
    </w:p>
    <w:p>
      <w:pPr>
        <w:ind w:firstLine="480"/>
        <w:spacing w:line="360" w:lineRule="auto"/>
        <w:rPr>
          <w:rFonts w:ascii="宋体" w:hAnsi="宋体" w:eastAsia="宋体" w:cs="Times New Roman"/>
          <w:b/>
          <w:color w:val="auto"/>
          <w:sz w:val="32"/>
          <w:szCs w:val="20"/>
          <w:highlight w:val="none"/>
          <w:shd w:val="clear" w:color="auto" w:fill="ffffff"/>
        </w:rPr>
      </w:pPr>
      <w:r>
        <w:rPr>
          <w:rFonts w:ascii="宋体" w:hAnsi="宋体" w:eastAsia="宋体" w:cs="Times New Roman"/>
          <w:bCs/>
          <w:color w:val="auto"/>
          <w:sz w:val="24"/>
          <w:szCs w:val="24"/>
          <w:highlight w:val="none"/>
          <w:shd w:val="clear" w:color="auto" w:fill="ffffff"/>
        </w:rPr>
        <w:fldChar w:fldCharType="end"/>
      </w:r>
      <w:r/>
    </w:p>
    <w:p>
      <w:pPr>
        <w:ind w:firstLine="520"/>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ind w:firstLine="520"/>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ind w:firstLine="520"/>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ind w:firstLine="520"/>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ind w:firstLine="520"/>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ind w:firstLine="520"/>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ind w:firstLine="480"/>
        <w:spacing w:line="360" w:lineRule="auto"/>
        <w:tabs>
          <w:tab w:val="left" w:pos="6398" w:leader="none"/>
        </w:tabs>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ab/>
      </w:r>
      <w:r/>
    </w:p>
    <w:p>
      <w:pPr>
        <w:ind w:firstLine="480"/>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color w:val="auto"/>
          <w:sz w:val="24"/>
          <w:szCs w:val="20"/>
          <w:highlight w:val="none"/>
          <w:shd w:val="clear" w:color="auto" w:fill="ffffff"/>
        </w:rPr>
        <w:br w:type="page" w:clear="all"/>
      </w:r>
      <w:r/>
    </w:p>
    <w:p>
      <w:pPr>
        <w:ind w:firstLine="602"/>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ind w:firstLine="602"/>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ind w:firstLine="602"/>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ind w:firstLine="602"/>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1044"/>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2" w:name="_Toc105940237"/>
      <w:r>
        <w:rPr>
          <w:rFonts w:hint="eastAsia" w:ascii="宋体" w:hAnsi="宋体" w:eastAsia="宋体" w:cs="Times New Roman"/>
          <w:b/>
          <w:color w:val="auto"/>
          <w:sz w:val="52"/>
          <w:szCs w:val="20"/>
          <w:highlight w:val="none"/>
          <w:shd w:val="clear" w:color="auto" w:fill="ffffff"/>
        </w:rPr>
        <w:t xml:space="preserve">第一章投标邀请函</w:t>
      </w:r>
      <w:bookmarkEnd w:id="2"/>
      <w:r/>
      <w:r/>
    </w:p>
    <w:p>
      <w:pPr>
        <w:ind w:firstLine="480"/>
        <w:spacing w:line="360" w:lineRule="auto"/>
        <w:rPr>
          <w:rFonts w:ascii="宋体" w:hAnsi="宋体" w:eastAsia="宋体" w:cs="Times New Roman"/>
          <w:color w:val="auto"/>
          <w:sz w:val="24"/>
          <w:szCs w:val="24"/>
          <w:highlight w:val="none"/>
          <w:u w:val="single"/>
          <w:shd w:val="clear" w:color="auto" w:fill="ffffff"/>
        </w:rPr>
      </w:pPr>
      <w:r>
        <w:rPr>
          <w:rFonts w:ascii="宋体" w:hAnsi="宋体" w:eastAsia="宋体" w:cs="Times New Roman"/>
          <w:color w:val="auto"/>
          <w:sz w:val="24"/>
          <w:szCs w:val="24"/>
          <w:highlight w:val="none"/>
          <w:u w:val="single"/>
          <w:shd w:val="clear" w:color="auto" w:fill="ffffff"/>
        </w:rPr>
        <w:br w:type="page" w:clear="all"/>
      </w:r>
      <w:bookmarkStart w:id="3" w:name="_Hlk117242093"/>
      <w:r/>
      <w:bookmarkEnd w:id="3"/>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tbl>
      <w:tblPr>
        <w:tblStyle w:val="934"/>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2024年园区界浦河种植项目</w:t>
            </w:r>
            <w:r>
              <w:rPr>
                <w:rFonts w:hint="eastAsia" w:ascii="宋体" w:hAnsi="宋体" w:eastAsia="宋体" w:cs="宋体"/>
                <w:color w:val="auto"/>
                <w:sz w:val="24"/>
                <w:szCs w:val="24"/>
                <w:highlight w:val="none"/>
              </w:rPr>
              <w:t xml:space="preserve">项目的潜在供应商应在江苏省政府采购一体化平台“苏采云”系统自行免费下载招标文件，并于</w:t>
            </w:r>
            <w:r>
              <w:rPr>
                <w:rFonts w:hint="eastAsia" w:ascii="宋体" w:hAnsi="宋体" w:eastAsia="宋体" w:cs="宋体"/>
                <w:color w:val="auto"/>
                <w:sz w:val="24"/>
                <w:szCs w:val="24"/>
                <w:highlight w:val="none"/>
                <w:u w:val="single"/>
              </w:rPr>
              <w:t xml:space="preserve">2024年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日9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分（北京时间）前递交投标文件。</w:t>
            </w:r>
            <w:r/>
          </w:p>
        </w:tc>
      </w:tr>
    </w:tbl>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JSZC-320591-SZWK-G2024-0347</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项目名称：2024年园区界浦河种植项目</w:t>
      </w:r>
      <w:r/>
    </w:p>
    <w:p>
      <w:pPr>
        <w:pStyle w:val="944"/>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采购方式：公开招标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p>
    <w:p>
      <w:pPr>
        <w:ind w:firstLine="480"/>
        <w:spacing w:line="360" w:lineRule="auto"/>
        <w:rPr>
          <w:rFonts w:ascii="宋体" w:hAnsi="宋体" w:eastAsia="宋体" w:cs="宋体"/>
          <w:color w:val="auto"/>
          <w:sz w:val="24"/>
          <w:szCs w:val="24"/>
          <w:highlight w:val="none"/>
        </w:rPr>
      </w:pPr>
      <w:r/>
      <w:bookmarkStart w:id="4" w:name="OLE_LINK170"/>
      <w:r/>
      <w:bookmarkStart w:id="5" w:name="OLE_LINK171"/>
      <w:r>
        <w:rPr>
          <w:rFonts w:hint="eastAsia" w:ascii="宋体" w:hAnsi="宋体" w:eastAsia="宋体" w:cs="宋体"/>
          <w:color w:val="auto"/>
          <w:sz w:val="24"/>
          <w:szCs w:val="24"/>
          <w:highlight w:val="none"/>
        </w:rPr>
        <w:t xml:space="preserve">人民币（大写）：人民币</w:t>
      </w:r>
      <w:bookmarkStart w:id="6" w:name="OLE_LINK207"/>
      <w:r/>
      <w:bookmarkStart w:id="7" w:name="OLE_LINK208"/>
      <w:r>
        <w:rPr>
          <w:rFonts w:hint="eastAsia" w:ascii="宋体" w:hAnsi="宋体" w:eastAsia="宋体" w:cs="宋体"/>
          <w:color w:val="auto"/>
          <w:sz w:val="24"/>
          <w:szCs w:val="24"/>
          <w:highlight w:val="none"/>
        </w:rPr>
        <w:t xml:space="preserve">陆佰玖拾柒</w:t>
      </w:r>
      <w:r>
        <w:rPr>
          <w:rFonts w:hint="eastAsia" w:ascii="宋体" w:hAnsi="宋体" w:eastAsia="宋体" w:cs="宋体"/>
          <w:color w:val="auto"/>
          <w:sz w:val="24"/>
          <w:szCs w:val="24"/>
          <w:highlight w:val="none"/>
        </w:rPr>
        <w:t xml:space="preserve">万伍仟元整</w:t>
      </w:r>
      <w:bookmarkEnd w:id="6"/>
      <w:r/>
      <w:bookmarkEnd w:id="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rPr>
        <w:t xml:space="preserve">￥6975000.00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人民币（大写）：人民币陆佰玖拾柒</w:t>
      </w:r>
      <w:r>
        <w:rPr>
          <w:rFonts w:hint="eastAsia" w:ascii="宋体" w:hAnsi="宋体" w:eastAsia="宋体" w:cs="宋体"/>
          <w:color w:val="auto"/>
          <w:sz w:val="24"/>
          <w:szCs w:val="24"/>
          <w:highlight w:val="none"/>
        </w:rPr>
        <w:t xml:space="preserve">万元整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rPr>
        <w:t xml:space="preserve">6970000.00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bookmarkEnd w:id="4"/>
      <w:r/>
      <w:bookmarkEnd w:id="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2024年园区界浦河种植项目位于苏州工业园区胜浦街道，界浦河沿岸、中新大道南北两侧，主要含农作物种植、土壤改良、绿化养护等内容。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2.1、改良农地土壤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清理杂物，回填东北泥炭土等。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2.2、农作物种植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采用轮作模式，中新大道南侧东西两侧格田采用油菜花和高粱品种轮作，1—5号鱼塘采用水稻和小麦等大田作物轮作。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2.3、绿化养护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农田周边乔灌木、色块、地被、草坪、林地进行养护管理。</w:t>
      </w:r>
      <w:r/>
    </w:p>
    <w:p>
      <w:pPr>
        <w:pStyle w:val="935"/>
        <w:ind w:firstLine="480"/>
        <w:jc w:val="both"/>
        <w:spacing w:line="360" w:lineRule="auto"/>
        <w:rPr>
          <w:color w:val="auto"/>
          <w:highlight w:val="none"/>
        </w:rPr>
      </w:pPr>
      <w:r/>
      <w:bookmarkStart w:id="8" w:name="OLE_LINK179"/>
      <w:r/>
      <w:bookmarkStart w:id="9" w:name="OLE_LINK180"/>
      <w:r>
        <w:rPr>
          <w:rFonts w:hint="eastAsia"/>
          <w:color w:val="auto"/>
          <w:highlight w:val="none"/>
        </w:rPr>
        <w:t xml:space="preserve">2.4、</w:t>
      </w:r>
      <w:bookmarkStart w:id="10" w:name="OLE_LINK241"/>
      <w:r/>
      <w:bookmarkStart w:id="11" w:name="OLE_LINK242"/>
      <w:r>
        <w:rPr>
          <w:rFonts w:hint="eastAsia"/>
          <w:color w:val="auto"/>
          <w:highlight w:val="none"/>
        </w:rPr>
        <w:t xml:space="preserve">场地维护维修</w:t>
      </w:r>
      <w:r/>
    </w:p>
    <w:p>
      <w:pPr>
        <w:pStyle w:val="935"/>
        <w:ind w:firstLine="480"/>
        <w:jc w:val="both"/>
        <w:spacing w:line="360" w:lineRule="auto"/>
        <w:rPr>
          <w:color w:val="auto"/>
          <w:highlight w:val="none"/>
        </w:rPr>
      </w:pPr>
      <w:r>
        <w:rPr>
          <w:rFonts w:hint="eastAsia"/>
          <w:color w:val="auto"/>
          <w:highlight w:val="none"/>
        </w:rPr>
        <w:t xml:space="preserve">对</w:t>
      </w:r>
      <w:r>
        <w:rPr>
          <w:color w:val="auto"/>
          <w:highlight w:val="none"/>
        </w:rPr>
        <w:t xml:space="preserve">场地配套设施</w:t>
      </w:r>
      <w:r>
        <w:rPr>
          <w:rFonts w:hint="eastAsia"/>
          <w:color w:val="auto"/>
          <w:highlight w:val="none"/>
        </w:rPr>
        <w:t xml:space="preserve">进行</w:t>
      </w:r>
      <w:r>
        <w:rPr>
          <w:color w:val="auto"/>
          <w:highlight w:val="none"/>
        </w:rPr>
        <w:t xml:space="preserve">日常看护、</w:t>
      </w:r>
      <w:r>
        <w:rPr>
          <w:rFonts w:hint="eastAsia"/>
          <w:color w:val="auto"/>
          <w:highlight w:val="none"/>
        </w:rPr>
        <w:t xml:space="preserve">发现故障能及时维修，确保正常使用。</w:t>
      </w:r>
      <w:bookmarkEnd w:id="8"/>
      <w:r/>
      <w:bookmarkEnd w:id="9"/>
      <w:r/>
      <w:bookmarkEnd w:id="10"/>
      <w:r/>
      <w:bookmarkEnd w:id="11"/>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2.5、其余相关工作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（1）中标单位须自行解决现场施工中可能需要使用的水电、车辆通行证、垃圾清运、占道审批，及与本项目周边相关设施权属单位的沟通工作等事宜，相关费用含在报价中。</w:t>
      </w:r>
      <w:r/>
    </w:p>
    <w:p>
      <w:pPr>
        <w:ind w:firstLine="480"/>
        <w:spacing w:line="360" w:lineRule="auto"/>
        <w:rPr>
          <w:rFonts w:ascii="宋体" w:hAnsi="宋体" w:eastAsia="宋体" w:cs="宋体"/>
          <w:color w:val="auto"/>
          <w:sz w:val="24"/>
          <w:szCs w:val="24"/>
          <w:highlight w:val="none"/>
        </w:rPr>
      </w:pPr>
      <w:r/>
      <w:bookmarkStart w:id="12" w:name="OLE_LINK7"/>
      <w:r/>
      <w:bookmarkStart w:id="13" w:name="OLE_LINK8"/>
      <w:r>
        <w:rPr>
          <w:rFonts w:hint="eastAsia" w:ascii="宋体" w:hAnsi="宋体" w:eastAsia="宋体" w:cs="宋体"/>
          <w:color w:val="auto"/>
          <w:sz w:val="24"/>
          <w:szCs w:val="24"/>
          <w:highlight w:val="none"/>
        </w:rPr>
        <w:t xml:space="preserve">（2）中标单位需做好施工现场道路的施工和维护工作。</w:t>
      </w:r>
      <w:bookmarkEnd w:id="12"/>
      <w:r/>
      <w:bookmarkEnd w:id="13"/>
      <w:r/>
      <w:r/>
    </w:p>
    <w:p>
      <w:pPr>
        <w:ind w:firstLine="480"/>
        <w:spacing w:line="360" w:lineRule="auto"/>
        <w:rPr>
          <w:rFonts w:ascii="宋体" w:hAnsi="宋体" w:eastAsia="宋体" w:cs="宋体"/>
          <w:color w:val="auto"/>
          <w:sz w:val="24"/>
          <w:szCs w:val="24"/>
          <w:highlight w:val="none"/>
        </w:rPr>
      </w:pPr>
      <w:r/>
      <w:bookmarkStart w:id="14" w:name="OLE_LINK194"/>
      <w:r/>
      <w:bookmarkStart w:id="15" w:name="OLE_LINK195"/>
      <w:r>
        <w:rPr>
          <w:rFonts w:hint="eastAsia" w:ascii="宋体" w:hAnsi="宋体" w:eastAsia="宋体" w:cs="宋体"/>
          <w:color w:val="auto"/>
          <w:sz w:val="24"/>
          <w:szCs w:val="24"/>
          <w:highlight w:val="none"/>
        </w:rPr>
        <w:t xml:space="preserve">合同履行期限：</w:t>
      </w:r>
      <w:bookmarkStart w:id="16" w:name="OLE_LINK16"/>
      <w:r>
        <w:rPr>
          <w:rFonts w:hint="eastAsia" w:ascii="宋体" w:hAnsi="宋体" w:eastAsia="宋体" w:cs="宋体"/>
          <w:color w:val="auto"/>
          <w:sz w:val="24"/>
          <w:szCs w:val="24"/>
          <w:highlight w:val="none"/>
        </w:rPr>
        <w:t xml:space="preserve">暂定34个月，计划自2024年</w:t>
      </w:r>
      <w:bookmarkStart w:id="17" w:name="OLE_LINK173"/>
      <w:r/>
      <w:bookmarkStart w:id="18" w:name="OLE_LINK174"/>
      <w:r>
        <w:rPr>
          <w:rFonts w:hint="eastAsia" w:ascii="宋体" w:hAnsi="宋体" w:eastAsia="宋体" w:cs="宋体"/>
          <w:color w:val="auto"/>
          <w:sz w:val="24"/>
          <w:szCs w:val="24"/>
          <w:highlight w:val="none"/>
        </w:rPr>
        <w:t xml:space="preserve">12月1</w:t>
      </w:r>
      <w:bookmarkEnd w:id="17"/>
      <w:r/>
      <w:bookmarkEnd w:id="18"/>
      <w:r>
        <w:rPr>
          <w:rFonts w:hint="eastAsia" w:ascii="宋体" w:hAnsi="宋体" w:eastAsia="宋体" w:cs="宋体"/>
          <w:color w:val="auto"/>
          <w:sz w:val="24"/>
          <w:szCs w:val="24"/>
          <w:highlight w:val="none"/>
        </w:rPr>
        <w:t xml:space="preserve">日至2027年9月30日</w:t>
      </w:r>
      <w:bookmarkEnd w:id="16"/>
      <w:r>
        <w:rPr>
          <w:rFonts w:hint="eastAsia" w:ascii="宋体" w:hAnsi="宋体" w:eastAsia="宋体" w:cs="宋体"/>
          <w:color w:val="auto"/>
          <w:sz w:val="24"/>
          <w:szCs w:val="24"/>
          <w:highlight w:val="none"/>
        </w:rPr>
        <w:t xml:space="preserve">，</w:t>
      </w:r>
      <w:bookmarkStart w:id="19" w:name="OLE_LINK24"/>
      <w:r/>
      <w:bookmarkStart w:id="20" w:name="OLE_LINK25"/>
      <w:r>
        <w:rPr>
          <w:rFonts w:hint="eastAsia" w:ascii="宋体" w:hAnsi="宋体" w:eastAsia="宋体" w:cs="宋体"/>
          <w:color w:val="auto"/>
          <w:sz w:val="24"/>
          <w:szCs w:val="24"/>
          <w:highlight w:val="none"/>
        </w:rPr>
        <w:t xml:space="preserve">具体进场时间以业主书面通知为准</w:t>
      </w:r>
      <w:bookmarkEnd w:id="19"/>
      <w:r/>
      <w:bookmarkEnd w:id="20"/>
      <w:r>
        <w:rPr>
          <w:rFonts w:hint="eastAsia" w:ascii="宋体" w:hAnsi="宋体" w:eastAsia="宋体" w:cs="宋体"/>
          <w:color w:val="auto"/>
          <w:sz w:val="24"/>
          <w:szCs w:val="24"/>
          <w:highlight w:val="none"/>
        </w:rPr>
        <w:t xml:space="preserve">。（其中绿化养护部分暂定30个月，计划自2025年4月1日至2027年9月30日）</w:t>
      </w:r>
      <w:bookmarkEnd w:id="14"/>
      <w:r/>
      <w:bookmarkEnd w:id="15"/>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本项目不接受联合体投标。</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938"/>
        <w:ind w:firstLine="480"/>
        <w:rPr>
          <w:color w:val="auto"/>
          <w:highlight w:val="none"/>
        </w:rPr>
      </w:pPr>
      <w:r>
        <w:rPr>
          <w:rFonts w:hint="eastAsia"/>
          <w:color w:val="auto"/>
          <w:highlight w:val="none"/>
        </w:rPr>
        <w:t xml:space="preserve">（1）具有独立承担民事责任的能力；</w:t>
      </w:r>
      <w:r/>
    </w:p>
    <w:p>
      <w:pPr>
        <w:pStyle w:val="938"/>
        <w:ind w:firstLine="480"/>
        <w:rPr>
          <w:color w:val="auto"/>
          <w:highlight w:val="none"/>
        </w:rPr>
      </w:pPr>
      <w:r>
        <w:rPr>
          <w:rFonts w:hint="eastAsia"/>
          <w:color w:val="auto"/>
          <w:highlight w:val="none"/>
        </w:rPr>
        <w:t xml:space="preserve">（2）具有良好的商业信誉和健全的财务会计制度；</w:t>
      </w:r>
      <w:r/>
    </w:p>
    <w:p>
      <w:pPr>
        <w:pStyle w:val="938"/>
        <w:ind w:firstLine="480"/>
        <w:rPr>
          <w:color w:val="auto"/>
          <w:highlight w:val="none"/>
        </w:rPr>
      </w:pPr>
      <w:r>
        <w:rPr>
          <w:rFonts w:hint="eastAsia"/>
          <w:color w:val="auto"/>
          <w:highlight w:val="none"/>
        </w:rPr>
        <w:t xml:space="preserve">（3）具有履行合同所必需的设备和专业技术能力；</w:t>
      </w:r>
      <w:r/>
    </w:p>
    <w:p>
      <w:pPr>
        <w:pStyle w:val="938"/>
        <w:ind w:firstLine="480"/>
        <w:rPr>
          <w:color w:val="auto"/>
          <w:highlight w:val="none"/>
        </w:rPr>
      </w:pPr>
      <w:r>
        <w:rPr>
          <w:rFonts w:hint="eastAsia"/>
          <w:color w:val="auto"/>
          <w:highlight w:val="none"/>
        </w:rPr>
        <w:t xml:space="preserve">（4）有依法缴纳税收和社会保障资金的良好记录；</w:t>
      </w:r>
      <w:r/>
    </w:p>
    <w:p>
      <w:pPr>
        <w:pStyle w:val="938"/>
        <w:ind w:firstLine="480"/>
        <w:rPr>
          <w:color w:val="auto"/>
          <w:highlight w:val="none"/>
        </w:rPr>
      </w:pPr>
      <w:r>
        <w:rPr>
          <w:rFonts w:hint="eastAsia"/>
          <w:color w:val="auto"/>
          <w:highlight w:val="none"/>
        </w:rPr>
        <w:t xml:space="preserve">（5）参加政府采购活动前三年内，在经营活动中没有重大违法记录；</w:t>
      </w:r>
      <w:r/>
    </w:p>
    <w:p>
      <w:pPr>
        <w:pStyle w:val="938"/>
        <w:ind w:firstLine="480"/>
        <w:rPr>
          <w:color w:val="auto"/>
          <w:highlight w:val="none"/>
        </w:rPr>
      </w:pPr>
      <w:r>
        <w:rPr>
          <w:rFonts w:hint="eastAsia"/>
          <w:color w:val="auto"/>
          <w:highlight w:val="none"/>
        </w:rPr>
        <w:t xml:space="preserve">（6）法律、行政法规规定的其他条件。</w:t>
      </w:r>
      <w:r/>
    </w:p>
    <w:p>
      <w:pPr>
        <w:pStyle w:val="938"/>
        <w:ind w:firstLine="480"/>
        <w:rPr>
          <w:color w:val="auto"/>
          <w:highlight w:val="none"/>
        </w:rPr>
      </w:pPr>
      <w:r>
        <w:rPr>
          <w:rFonts w:hint="eastAsia"/>
          <w:color w:val="auto"/>
          <w:highlight w:val="none"/>
        </w:rPr>
        <w:t xml:space="preserve">2、落实政府采购政策需满足的资格要求：</w:t>
      </w:r>
      <w:r/>
    </w:p>
    <w:p>
      <w:pPr>
        <w:pStyle w:val="938"/>
        <w:ind w:firstLine="480"/>
        <w:rPr>
          <w:color w:val="auto"/>
          <w:highlight w:val="none"/>
        </w:rPr>
      </w:pPr>
      <w:r>
        <w:rPr>
          <w:rFonts w:hint="eastAsia"/>
          <w:color w:val="auto"/>
          <w:highlight w:val="none"/>
        </w:rPr>
        <w:t xml:space="preserve">（1）本项目专门面向中小企业采购，所属行业为其他未列明行业，供应商须为中小微企业或监狱企业或残疾人福利性单位。</w:t>
      </w:r>
      <w:r/>
    </w:p>
    <w:p>
      <w:pPr>
        <w:pStyle w:val="938"/>
        <w:ind w:firstLine="480"/>
        <w:rPr>
          <w:color w:val="auto"/>
          <w:highlight w:val="none"/>
        </w:rPr>
      </w:pPr>
      <w:r>
        <w:rPr>
          <w:rFonts w:hint="eastAsia"/>
          <w:color w:val="auto"/>
          <w:highlight w:val="none"/>
        </w:rPr>
        <w:t xml:space="preserve">3、本项目的特定资格要求：无。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bookmarkStart w:id="21" w:name="_Hlk97035982"/>
      <w:r>
        <w:rPr>
          <w:rFonts w:hint="eastAsia" w:ascii="宋体" w:hAnsi="宋体" w:eastAsia="宋体" w:cs="宋体"/>
          <w:color w:val="auto"/>
          <w:sz w:val="24"/>
          <w:szCs w:val="24"/>
          <w:highlight w:val="none"/>
        </w:rPr>
        <w:t xml:space="preserve">1、时间：自招标公告发布之日起至2024年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2、地点：“苏采云”系统自行下载招标文件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苏州现场办理地址：苏州市姑苏区平泷路251号政务服务中心4楼公共交易中心窗口，咨询电话：0512-69820834。</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售价：0元</w:t>
      </w:r>
      <w:bookmarkEnd w:id="21"/>
      <w:r/>
      <w:r/>
    </w:p>
    <w:p>
      <w:pPr>
        <w:ind w:firstLine="48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1、提交投标文件截止时间：2024年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bookmarkStart w:id="219" w:name="_GoBack"/>
      <w:r/>
      <w:bookmarkEnd w:id="219"/>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日9点30分（北京时间）</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2、开标时间：2024年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日9点30分（北京时间）</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82"/>
          <w:rFonts w:hint="eastAsia" w:ascii="宋体" w:hAnsi="宋体" w:eastAsia="宋体" w:cs="宋体"/>
          <w:color w:val="auto"/>
          <w:sz w:val="24"/>
          <w:szCs w:val="24"/>
          <w:highlight w:val="none"/>
        </w:rPr>
        <w:t xml:space="preserve">http://jszfcg.jsczt.cn/）</w:t>
      </w:r>
      <w:r>
        <w:rPr>
          <w:rStyle w:val="982"/>
          <w:rFonts w:hint="eastAsia" w:ascii="宋体" w:hAnsi="宋体" w:eastAsia="宋体" w:cs="宋体"/>
          <w:color w:val="auto"/>
          <w:sz w:val="24"/>
          <w:szCs w:val="24"/>
          <w:highlight w:val="none"/>
        </w:rPr>
        <w:fldChar w:fldCharType="end"/>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4、线上参加开标会方式：供应商登录“苏采云”系统，点击“开标大厅”，选择对应项目，点击进入不见面开标系统。</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ind w:firstLine="482"/>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五、公告期限：自本公告发布之日起五个工作日。</w:t>
      </w:r>
      <w:r/>
    </w:p>
    <w:p>
      <w:pPr>
        <w:ind w:firstLine="48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1、为本项目提供整体设计、规范编制等服务的供应商：无。</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3、为本项目提供整体设计、规范编制或者项目管理、监理、监测等服务的供应商，不得再参加该采购项目及其他相关的采购活动。</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4、本公告同时在苏州市政府采购网、江苏省政府采购网、中国政府采购网上发布。</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6、如不同投标文件制作机器码一致，则投标无效。</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7、制作电子投标文件：</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eastAsia="宋体" w:cs="宋体"/>
          <w:b/>
          <w:color w:val="auto"/>
          <w:sz w:val="24"/>
          <w:szCs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8、供应商需保持“苏采云”系统不见面开标大厅在线状态，并按要求在规定时间内进行响应。在评审过程中系统如有特殊情况，工作人员会及时通过《投标供应商确认函》</w:t>
      </w:r>
      <w:bookmarkStart w:id="22" w:name="_Hlk154588759"/>
      <w:r>
        <w:rPr>
          <w:rFonts w:hint="eastAsia" w:ascii="宋体" w:hAnsi="宋体" w:eastAsia="宋体" w:cs="宋体"/>
          <w:color w:val="auto"/>
          <w:sz w:val="24"/>
          <w:szCs w:val="24"/>
          <w:highlight w:val="none"/>
        </w:rPr>
        <w:t xml:space="preserve">或法人授权委托书（如有）中</w:t>
      </w:r>
      <w:bookmarkEnd w:id="22"/>
      <w:r>
        <w:rPr>
          <w:rFonts w:hint="eastAsia" w:ascii="宋体" w:hAnsi="宋体" w:eastAsia="宋体" w:cs="宋体"/>
          <w:color w:val="auto"/>
          <w:sz w:val="24"/>
          <w:szCs w:val="24"/>
          <w:highlight w:val="none"/>
        </w:rPr>
        <w:t xml:space="preserve">留存的手机号与供应商联系。请供应商确保系统在线状态且该手机号开评标当日通讯畅通，否则导致的对供应商不利的后果由供应商自行承担。</w:t>
      </w:r>
      <w:r/>
    </w:p>
    <w:p>
      <w:pPr>
        <w:ind w:firstLine="480"/>
        <w:spacing w:line="360" w:lineRule="auto"/>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技术支持：</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 、13675197356、13675197221</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“苏采云”平台技术咨询电话：0512-69820854、0519-86722802、13914088964、18261002950</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10、政府采购监督电话：0512-66681110。</w:t>
      </w:r>
      <w:r/>
    </w:p>
    <w:p>
      <w:pPr>
        <w:ind w:firstLine="482"/>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称：苏州工业园区综合行政执法局</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址：苏州工业园区南施街233号城市管理大厦4楼</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联系方式：0512-62838430</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称：苏州市卫康招投标咨询服务有限公司</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址：苏州市姑苏区干将西路1296号深业姑苏中心1幢17层</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联系方式：0512-65158848</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项目联系人：陆宇、张田、李东</w:t>
      </w:r>
      <w:r/>
    </w:p>
    <w:p>
      <w:pPr>
        <w:ind w:firstLine="480"/>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电　　 话：0512-65237219</w:t>
      </w:r>
      <w:r/>
    </w:p>
    <w:p>
      <w:pPr>
        <w:ind w:firstLine="480"/>
        <w:rPr>
          <w:rFonts w:ascii="宋体" w:hAnsi="宋体"/>
          <w:color w:val="auto"/>
          <w:sz w:val="24"/>
          <w:highlight w:val="none"/>
        </w:rPr>
      </w:pPr>
      <w:r>
        <w:rPr>
          <w:rFonts w:ascii="宋体" w:hAnsi="宋体"/>
          <w:color w:val="auto"/>
          <w:sz w:val="24"/>
          <w:highlight w:val="none"/>
        </w:rPr>
        <w:br w:type="page" w:clear="all"/>
      </w:r>
      <w:r/>
    </w:p>
    <w:p>
      <w:pPr>
        <w:pStyle w:val="944"/>
        <w:ind w:firstLine="480"/>
        <w:rPr>
          <w:color w:val="auto"/>
          <w:highlight w:val="none"/>
        </w:rPr>
      </w:pPr>
      <w:r>
        <w:rPr>
          <w:color w:val="auto"/>
          <w:highlight w:val="none"/>
        </w:rPr>
      </w:r>
      <w:r/>
    </w:p>
    <w:p>
      <w:pPr>
        <w:ind w:right="-159" w:firstLine="482"/>
        <w:jc w:val="right"/>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r>
      <w:r/>
    </w:p>
    <w:p>
      <w:pPr>
        <w:pStyle w:val="946"/>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46"/>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46"/>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46"/>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46"/>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46"/>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46"/>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46"/>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ind w:firstLine="1044"/>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23" w:name="_Toc105940238"/>
      <w:r>
        <w:rPr>
          <w:rFonts w:hint="eastAsia" w:ascii="宋体" w:hAnsi="宋体" w:eastAsia="宋体" w:cs="Times New Roman"/>
          <w:b/>
          <w:color w:val="auto"/>
          <w:sz w:val="52"/>
          <w:szCs w:val="20"/>
          <w:highlight w:val="none"/>
          <w:shd w:val="clear" w:color="auto" w:fill="ffffff"/>
        </w:rPr>
        <w:t xml:space="preserve">第二章供应商须知</w:t>
      </w:r>
      <w:bookmarkEnd w:id="23"/>
      <w:r/>
      <w:r/>
    </w:p>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br w:type="page" w:clear="all"/>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一、说明和释义</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1.1本招标文件仅适用于本项目采购代理机构组织的招标活动。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1.3本招标文件的解释权属于本项目采购代理机构。</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2.词语释义</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2.4响应：供应商根据采购人或采购代理机构发布的招标文件，编制投标文件并按规定投标的行为。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2.11天：日历天。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2.18进口产品：通过中国海关报关验放进入中国境内且产自关境外的产品。</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2.19书面形式：指书面文字、合同书、信件和传真等可以有形地表现所载内容的形式。</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2.20核心产品：根据本项目技术构成、产品价格比重等合理确定的产品。</w:t>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二、供应商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3、供应商资格要求</w:t>
      </w:r>
      <w:r/>
    </w:p>
    <w:p>
      <w:pPr>
        <w:pStyle w:val="98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3.1 详见本项目招标公告中的“</w:t>
      </w:r>
      <w:r>
        <w:rPr>
          <w:rFonts w:hint="eastAsia" w:ascii="宋体" w:hAnsi="宋体" w:cs="宋体"/>
          <w:color w:val="auto"/>
          <w:sz w:val="24"/>
          <w:szCs w:val="24"/>
          <w:highlight w:val="none"/>
        </w:rPr>
        <w:t xml:space="preserve">申请人的资格要求</w:t>
      </w:r>
      <w:r>
        <w:rPr>
          <w:rFonts w:hint="eastAsia" w:ascii="宋体" w:hAnsi="宋体" w:cs="宋体"/>
          <w:color w:val="auto"/>
          <w:sz w:val="24"/>
          <w:szCs w:val="24"/>
          <w:highlight w:val="none"/>
          <w:lang w:val="en-US"/>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联合体投标（如有）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本项目招标公告中</w:t>
      </w:r>
      <w:r>
        <w:rPr>
          <w:rFonts w:hint="eastAsia" w:ascii="宋体" w:hAnsi="宋体" w:eastAsia="宋体" w:cs="宋体"/>
          <w:b/>
          <w:bCs/>
          <w:color w:val="auto"/>
          <w:sz w:val="24"/>
          <w:szCs w:val="24"/>
          <w:highlight w:val="none"/>
        </w:rPr>
        <w:t xml:space="preserve">若</w:t>
      </w:r>
      <w:r>
        <w:rPr>
          <w:rFonts w:hint="eastAsia" w:ascii="宋体" w:hAnsi="宋体" w:eastAsia="宋体" w:cs="宋体"/>
          <w:color w:val="auto"/>
          <w:sz w:val="24"/>
          <w:szCs w:val="24"/>
          <w:highlight w:val="none"/>
        </w:rPr>
        <w:t xml:space="preserve">规定接受联合体投标的，联合体除应符合上述资格要求外，还应遵守以下规定：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color w:val="auto"/>
          <w:sz w:val="24"/>
          <w:szCs w:val="24"/>
          <w:highlight w:val="none"/>
        </w:rPr>
      </w:pPr>
      <w:r/>
      <w:bookmarkStart w:id="24" w:name="OLE_LINK9"/>
      <w:r/>
      <w:bookmarkStart w:id="25" w:name="OLE_LINK10"/>
      <w:r>
        <w:rPr>
          <w:rFonts w:hint="eastAsia" w:ascii="宋体" w:hAnsi="宋体" w:eastAsia="宋体" w:cs="宋体"/>
          <w:color w:val="auto"/>
          <w:sz w:val="24"/>
          <w:szCs w:val="24"/>
          <w:highlight w:val="none"/>
        </w:rPr>
        <w:t xml:space="preserve">（2）本项目接受联合投标，但一个联合体最多接受</w:t>
      </w:r>
      <w:r>
        <w:rPr>
          <w:rFonts w:hint="eastAsia" w:ascii="宋体" w:hAnsi="宋体" w:eastAsia="宋体" w:cs="宋体"/>
          <w:b/>
          <w:bCs/>
          <w:color w:val="auto"/>
          <w:sz w:val="24"/>
          <w:szCs w:val="24"/>
          <w:highlight w:val="none"/>
          <w:u w:val="single"/>
        </w:rPr>
        <w:t xml:space="preserve">两个</w:t>
      </w:r>
      <w:r>
        <w:rPr>
          <w:rFonts w:hint="eastAsia" w:ascii="宋体" w:hAnsi="宋体" w:eastAsia="宋体" w:cs="宋体"/>
          <w:color w:val="auto"/>
          <w:sz w:val="24"/>
          <w:szCs w:val="24"/>
          <w:highlight w:val="none"/>
        </w:rPr>
        <w:t xml:space="preserve">单位进行联合投标</w:t>
      </w:r>
      <w:bookmarkEnd w:id="24"/>
      <w:r/>
      <w:bookmarkEnd w:id="25"/>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4.供应商代表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5.投标费用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6.联合投标</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本项目不接受联合体投标</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三、招标文件和投标文件的说明</w:t>
      </w:r>
      <w:r/>
    </w:p>
    <w:p>
      <w:pPr>
        <w:ind w:firstLine="482"/>
        <w:spacing w:line="360" w:lineRule="auto"/>
        <w:rPr>
          <w:rFonts w:ascii="宋体" w:hAnsi="宋体" w:eastAsia="宋体" w:cs="宋体"/>
          <w:b/>
          <w:color w:val="auto"/>
          <w:sz w:val="24"/>
          <w:szCs w:val="24"/>
          <w:highlight w:val="none"/>
          <w:shd w:val="clear" w:color="auto" w:fill="ffffff"/>
        </w:rPr>
      </w:pPr>
      <w:r/>
      <w:bookmarkStart w:id="26" w:name="OLE_LINK249"/>
      <w:r/>
      <w:bookmarkStart w:id="27" w:name="OLE_LINK250"/>
      <w:r>
        <w:rPr>
          <w:rFonts w:hint="eastAsia" w:ascii="宋体" w:hAnsi="宋体" w:eastAsia="宋体" w:cs="宋体"/>
          <w:b/>
          <w:color w:val="auto"/>
          <w:sz w:val="24"/>
          <w:szCs w:val="24"/>
          <w:highlight w:val="none"/>
          <w:shd w:val="clear" w:color="auto" w:fill="ffffff"/>
        </w:rPr>
        <w:t xml:space="preserve">7.招标文件</w:t>
      </w:r>
      <w:bookmarkEnd w:id="26"/>
      <w:r/>
      <w:bookmarkEnd w:id="27"/>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color w:val="auto"/>
          <w:sz w:val="24"/>
          <w:szCs w:val="24"/>
          <w:highlight w:val="none"/>
        </w:rPr>
        <w:t xml:space="preserve">该电子投标文件将被视为未实质性响应。</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7.2招标文件及其补充文件为未按规定的方式获得的，采购代理机构对招标文件及其补遗的真实性、完整性不承担任何责任。</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8.招标文件的询问</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9.招标文件的澄清或修改</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10.现场踏勘</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10.1根据自身投标需要，供应商对有关现场和周围环境进行踏勘，以获取编制投标文件和签署合同所需的信息。现场踏勘所发生的费用由供应商自己承担。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11.提示与要求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12.投标文件计量单位和使用文字</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13.投标文件的组成</w:t>
      </w:r>
      <w:r/>
    </w:p>
    <w:p>
      <w:pPr>
        <w:ind w:firstLine="482"/>
        <w:spacing w:line="360" w:lineRule="auto"/>
        <w:tabs>
          <w:tab w:val="left" w:pos="0" w:leader="none"/>
        </w:tabs>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13.1开标一览表（格式见第三章）；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13.2投标报价明细表（格式见第三章）；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13.3资格性审查文件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13.3.2具有良好的商业信誉和健全的财务会计制度的材料：</w:t>
      </w:r>
      <w:bookmarkStart w:id="28" w:name="_Hlk92792283"/>
      <w:r>
        <w:rPr>
          <w:rFonts w:hint="eastAsia" w:ascii="宋体" w:hAnsi="宋体" w:eastAsia="宋体" w:cs="宋体"/>
          <w:color w:val="auto"/>
          <w:sz w:val="24"/>
          <w:szCs w:val="24"/>
          <w:highlight w:val="none"/>
          <w:shd w:val="clear" w:color="auto" w:fill="ffffff"/>
        </w:rPr>
        <w:t xml:space="preserve">最近一期的财务报告，或银行出具的资信证明，或财政部门认可的政府采购专业担保机构出具的投标担保函；</w:t>
      </w:r>
      <w:bookmarkEnd w:id="28"/>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13.3.3具有履行合同所必需的设备和专业技术能力的证明材料；</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13.3.4有依法缴纳税收和社会保障资金的良好记录的材料：</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 xml:space="preserve">否则不予认可</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13.3.5参加政府采购活动前三年内在经营活动中没有重大违法记录的书面声明函（格式见第三章）；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13.3.6中小企业声明函（格式见第三章），未提供视为非中小企业，不享受中小企业扶持政策；</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13.3.7残疾人福利性单位声明函（如有）（格式见第三章），未提供视为非残疾人福利性单位，不视同小微企业，不享受残疾人福利性单位政策；</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13.3.8监狱企业证明文件（如有），由省级以上监狱管理局、戒毒管理局（含新疆生产建设兵团）出具，未提供视为非监狱企业，不视同小微企业，不享受监狱企业政策；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eastAsia="宋体" w:cs="宋体"/>
          <w:b/>
          <w:bCs/>
          <w:color w:val="auto"/>
          <w:sz w:val="24"/>
          <w:szCs w:val="24"/>
          <w:highlight w:val="none"/>
          <w:u w:val="single"/>
          <w:shd w:val="clear" w:color="auto" w:fill="ffffff"/>
        </w:rPr>
      </w:pPr>
      <w:r/>
      <w:bookmarkStart w:id="29" w:name="_Hlk158127728"/>
      <w:r>
        <w:rPr>
          <w:rFonts w:hint="eastAsia" w:ascii="宋体" w:hAnsi="宋体" w:eastAsia="宋体" w:cs="宋体"/>
          <w:b/>
          <w:bCs/>
          <w:color w:val="auto"/>
          <w:sz w:val="24"/>
          <w:szCs w:val="24"/>
          <w:highlight w:val="none"/>
          <w:u w:val="single"/>
          <w:shd w:val="clear" w:color="auto" w:fill="ffffff"/>
        </w:rPr>
        <w:t xml:space="preserve">以上13.3.1—13.3.5项是资格审查要求必须提供的材料。</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专门面向中小企业的采购项目，还必须提供13.3.6或13.3.7或13.3.8项资料，否则投标无效</w:t>
      </w:r>
      <w:bookmarkEnd w:id="29"/>
      <w:r>
        <w:rPr>
          <w:rFonts w:hint="eastAsia" w:ascii="宋体" w:hAnsi="宋体" w:eastAsia="宋体" w:cs="宋体"/>
          <w:b/>
          <w:bCs/>
          <w:color w:val="auto"/>
          <w:sz w:val="24"/>
          <w:szCs w:val="24"/>
          <w:highlight w:val="none"/>
          <w:u w:val="single"/>
          <w:shd w:val="clear" w:color="auto" w:fill="ffffff"/>
        </w:rPr>
        <w:t xml:space="preserve">；</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13.4符合性审查文件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13.4.1投标函（格式见第三章）；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13.4.2法人</w:t>
      </w:r>
      <w:r>
        <w:rPr>
          <w:rFonts w:hint="eastAsia" w:ascii="宋体" w:hAnsi="宋体" w:eastAsia="宋体" w:cs="宋体"/>
          <w:color w:val="auto"/>
          <w:sz w:val="24"/>
          <w:szCs w:val="24"/>
          <w:highlight w:val="none"/>
        </w:rPr>
        <w:t xml:space="preserve">授权委托书、供应商授权代理人身份证复印件（如有授权）；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13.4.3</w:t>
      </w:r>
      <w:r>
        <w:rPr>
          <w:rFonts w:hint="eastAsia" w:ascii="宋体" w:hAnsi="宋体" w:eastAsia="宋体" w:cs="宋体"/>
          <w:color w:val="auto"/>
          <w:sz w:val="24"/>
          <w:szCs w:val="24"/>
          <w:highlight w:val="none"/>
        </w:rPr>
        <w:t xml:space="preserve">供应商法定代表人身份证复印件；</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13.4.4《</w:t>
      </w:r>
      <w:r>
        <w:rPr>
          <w:rFonts w:hint="eastAsia" w:ascii="宋体" w:hAnsi="宋体" w:eastAsia="宋体" w:cs="宋体"/>
          <w:color w:val="auto"/>
          <w:sz w:val="24"/>
          <w:szCs w:val="24"/>
          <w:highlight w:val="none"/>
          <w:shd w:val="clear" w:color="auto" w:fill="ffffff"/>
        </w:rPr>
        <w:t xml:space="preserve">资格文件的声明函》</w:t>
      </w:r>
      <w:r>
        <w:rPr>
          <w:rFonts w:hint="eastAsia" w:ascii="宋体" w:hAnsi="宋体" w:eastAsia="宋体" w:cs="宋体"/>
          <w:color w:val="auto"/>
          <w:sz w:val="24"/>
          <w:szCs w:val="24"/>
          <w:highlight w:val="none"/>
        </w:rPr>
        <w:t xml:space="preserve">（格式见第三章）；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13.4.5《供应商与其他单位存在直接控股、管理关系情况表》（格式见第三章）；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 xml:space="preserve">13.4.6</w:t>
      </w:r>
      <w:r>
        <w:rPr>
          <w:rFonts w:hint="eastAsia" w:ascii="宋体" w:hAnsi="宋体" w:eastAsia="宋体" w:cs="宋体"/>
          <w:color w:val="auto"/>
          <w:sz w:val="24"/>
          <w:szCs w:val="24"/>
          <w:highlight w:val="none"/>
          <w:shd w:val="clear" w:color="auto" w:fill="ffffff"/>
        </w:rPr>
        <w:t xml:space="preserve">《服务或技术要求偏离表》、《商务条款偏离表》（格式见第三章）；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13.4.7《拟投入项目组人员一览表》、《拟投入作业人员配备承诺书》（格式见第三章）；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13.4.8《拟投入现自有或已租赁车辆配备一览表》、《拟投入本标段设备承诺书》、《拟投入人员、设备不与其他项目重复承诺书》、《项目组办公场所承诺书》、《开设人员工资专户承诺书》（格式见第三章）；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13.4.9采购需求中所涉及到的或供应商认为需加以说明或证明的其他有关符合性证明材料、证明（如有）；</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以上13.4.1—13.4.9为符合性审查必须提供的资料，否则投标无效。</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13.5综合评审文件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13.5.1评分标准中所涉及到针对本项目的各项服务实施方案、相关制度、证书、业绩、承诺函及其他材料、证明等（部分格式见第三章）。</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color w:val="auto"/>
          <w:sz w:val="24"/>
          <w:szCs w:val="24"/>
          <w:highlight w:val="none"/>
          <w:shd w:val="clear" w:color="auto" w:fill="ffffff"/>
        </w:rPr>
      </w:pPr>
      <w:r/>
      <w:bookmarkStart w:id="30" w:name="_Hlk158131259"/>
      <w:r>
        <w:rPr>
          <w:rFonts w:hint="eastAsia" w:ascii="宋体" w:hAnsi="宋体" w:eastAsia="宋体" w:cs="宋体"/>
          <w:color w:val="auto"/>
          <w:sz w:val="24"/>
          <w:szCs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如供应商投标文件中某些条款不响应招标文件提出的全部服务内容与要求，须在偏离表中逐条列出，未列出的视同响应。</w:t>
      </w:r>
      <w:bookmarkEnd w:id="30"/>
      <w:r/>
      <w:r/>
    </w:p>
    <w:p>
      <w:pPr>
        <w:ind w:firstLine="482"/>
        <w:spacing w:line="360" w:lineRule="auto"/>
        <w:tabs>
          <w:tab w:val="left" w:pos="142"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14.电子投标文件的编制与</w:t>
      </w:r>
      <w:bookmarkStart w:id="31" w:name="_Hlk158131382"/>
      <w:r>
        <w:rPr>
          <w:rFonts w:hint="eastAsia" w:ascii="宋体" w:hAnsi="宋体" w:eastAsia="宋体" w:cs="宋体"/>
          <w:b/>
          <w:color w:val="auto"/>
          <w:sz w:val="24"/>
          <w:szCs w:val="24"/>
          <w:highlight w:val="none"/>
          <w:shd w:val="clear" w:color="auto" w:fill="ffffff"/>
        </w:rPr>
        <w:t xml:space="preserve">递交</w:t>
      </w:r>
      <w:bookmarkEnd w:id="31"/>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bookmarkStart w:id="32" w:name="_Hlk140247794"/>
      <w:r>
        <w:rPr>
          <w:rFonts w:hint="eastAsia" w:ascii="宋体" w:hAnsi="宋体" w:eastAsia="宋体" w:cs="宋体"/>
          <w:color w:val="auto"/>
          <w:sz w:val="24"/>
          <w:szCs w:val="24"/>
          <w:highlight w:val="none"/>
        </w:rPr>
        <w:t xml:space="preserve">14.1电子投标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bookmarkStart w:id="33" w:name="_Hlk158134955"/>
      <w:r>
        <w:rPr>
          <w:rFonts w:hint="eastAsia" w:ascii="宋体" w:hAnsi="宋体" w:eastAsia="宋体" w:cs="宋体"/>
          <w:color w:val="auto"/>
          <w:sz w:val="24"/>
          <w:szCs w:val="24"/>
          <w:highlight w:val="none"/>
        </w:rPr>
        <w:t xml:space="preserve">14.4联合体投标：如招标公告中允许联合体投标，联合体投标的投标文件制作上传操作如下：</w:t>
      </w:r>
      <w:r/>
    </w:p>
    <w:p>
      <w:pPr>
        <w:pStyle w:val="944"/>
        <w:ind w:left="0" w:firstLine="48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第一步：在投标文件中上传联合体投标协议书。</w:t>
      </w:r>
      <w:r>
        <w:rPr>
          <w:rFonts w:hint="eastAsia" w:ascii="宋体" w:hAnsi="宋体" w:eastAsia="宋体" w:cs="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第二步；由联合体中的牵头人制作并上传投标文件。</w:t>
      </w:r>
      <w:bookmarkEnd w:id="33"/>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14.5如投标文件制作机器码信息一致，视为不同投标供应商使用同一台电脑编制投标文件，投标无效。</w:t>
      </w:r>
      <w:bookmarkEnd w:id="32"/>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15.投标报价（编制）要求的说明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15.3一项投标内容只允许一个报价，采购人或采购代理机构不接受任何有选择性的投标报价。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15.4投标文件报价中的单价和总价全部采用人民币表示，除非合同的特殊条款另有规定。</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16.投标保证金：无。</w:t>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17.投标文件的有效期</w:t>
      </w:r>
      <w:r/>
    </w:p>
    <w:p>
      <w:pPr>
        <w:ind w:firstLine="480"/>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17.1自投标截止日起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天内，投标文件应保持有效。</w:t>
      </w:r>
      <w:r>
        <w:rPr>
          <w:rFonts w:hint="eastAsia" w:ascii="宋体" w:hAnsi="宋体" w:eastAsia="宋体" w:cs="宋体"/>
          <w:b/>
          <w:bCs/>
          <w:color w:val="auto"/>
          <w:sz w:val="24"/>
          <w:szCs w:val="24"/>
          <w:highlight w:val="none"/>
          <w:shd w:val="clear" w:color="auto" w:fill="ffffff"/>
        </w:rPr>
        <w:t xml:space="preserve">有效期短于规定期限的投标将被拒绝。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rPr>
        <w:t xml:space="preserve">投标截止时间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18.2在投标截止时间止采购人或采购代理机构收到的某标段投标文件少于三份，采购人或采购代理机构有权宣布该标段本次招标失败。</w:t>
      </w:r>
      <w:bookmarkStart w:id="34" w:name="_Hlk116314345"/>
      <w:r/>
      <w:bookmarkStart w:id="35" w:name="_Hlk117242692"/>
      <w:r/>
      <w:bookmarkEnd w:id="34"/>
      <w:r/>
      <w:bookmarkEnd w:id="35"/>
      <w:r/>
      <w:r/>
    </w:p>
    <w:p>
      <w:pPr>
        <w:ind w:firstLine="482"/>
        <w:spacing w:line="360" w:lineRule="auto"/>
        <w:rPr>
          <w:rFonts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shd w:val="clear" w:color="auto" w:fill="ffffff"/>
        </w:rPr>
        <w:t xml:space="preserve">四、开标和评标</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19.开标</w:t>
      </w:r>
      <w:r/>
    </w:p>
    <w:p>
      <w:pPr>
        <w:ind w:firstLine="480"/>
        <w:spacing w:line="360" w:lineRule="auto"/>
        <w:rPr>
          <w:rFonts w:ascii="宋体" w:hAnsi="宋体" w:eastAsia="宋体" w:cs="宋体"/>
          <w:color w:val="auto"/>
          <w:sz w:val="24"/>
          <w:szCs w:val="24"/>
          <w:highlight w:val="none"/>
        </w:rPr>
      </w:pPr>
      <w:r/>
      <w:bookmarkStart w:id="36" w:name="_Hlk92794076"/>
      <w:r>
        <w:rPr>
          <w:rFonts w:hint="eastAsia" w:ascii="宋体" w:hAnsi="宋体" w:eastAsia="宋体" w:cs="宋体"/>
          <w:color w:val="auto"/>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color w:val="auto"/>
          <w:sz w:val="24"/>
          <w:szCs w:val="24"/>
          <w:highlight w:val="none"/>
        </w:rPr>
      </w:pPr>
      <w:r/>
      <w:bookmarkStart w:id="37" w:name="_Hlk90652960"/>
      <w:r>
        <w:rPr>
          <w:rFonts w:hint="eastAsia" w:ascii="宋体" w:hAnsi="宋体" w:eastAsia="宋体" w:cs="宋体"/>
          <w:color w:val="auto"/>
          <w:sz w:val="24"/>
          <w:szCs w:val="24"/>
          <w:highlight w:val="none"/>
        </w:rPr>
        <w:t xml:space="preserve">19.2线上参加（观看）开标（开启）会方式：登录“苏采云”系统，点击“开标大厅”，选择对应项目，点击进入不见面开标系统。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7"/>
      <w:r/>
      <w:r/>
    </w:p>
    <w:p>
      <w:pPr>
        <w:ind w:firstLine="480"/>
        <w:spacing w:line="360" w:lineRule="auto"/>
        <w:rPr>
          <w:rFonts w:ascii="宋体" w:hAnsi="宋体" w:eastAsia="宋体" w:cs="宋体"/>
          <w:color w:val="auto"/>
          <w:sz w:val="24"/>
          <w:szCs w:val="24"/>
          <w:highlight w:val="none"/>
        </w:rPr>
      </w:pPr>
      <w:r/>
      <w:bookmarkStart w:id="38" w:name="_Hlk158135485"/>
      <w:r>
        <w:rPr>
          <w:rFonts w:hint="eastAsia" w:ascii="宋体" w:hAnsi="宋体" w:eastAsia="宋体" w:cs="宋体"/>
          <w:color w:val="auto"/>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38"/>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19.5供应商在“苏采云”系统规定的时间内未成功解密电子投标文件的，投标无效。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bookmarkStart w:id="39" w:name="_Hlk90653182"/>
      <w:r>
        <w:rPr>
          <w:rFonts w:hint="eastAsia" w:ascii="宋体" w:hAnsi="宋体" w:eastAsia="宋体" w:cs="宋体"/>
          <w:color w:val="auto"/>
          <w:sz w:val="24"/>
          <w:szCs w:val="24"/>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3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19.8至投标文件提交截止时间，递交投标文件的供应商不足三家的，不得开标。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19.9开标在招标文件规定的时间、地点进行，由采购人或采购代理机构主持，供应商参加（观看），评标委员会成员不得参加开标活动。</w:t>
      </w:r>
      <w:bookmarkEnd w:id="36"/>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20.1查询时间：投标文件提交截止时间。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20.2查询渠道：通过“信用中国”、“信用江苏”及“中国政府采购网”上的信用信息查询供应商的信用记录。</w:t>
      </w:r>
      <w:r/>
    </w:p>
    <w:p>
      <w:pPr>
        <w:ind w:firstLine="480"/>
        <w:spacing w:line="360" w:lineRule="auto"/>
        <w:rPr>
          <w:rFonts w:ascii="宋体" w:hAnsi="宋体" w:eastAsia="宋体" w:cs="宋体"/>
          <w:color w:val="auto"/>
          <w:sz w:val="24"/>
          <w:szCs w:val="24"/>
          <w:highlight w:val="none"/>
        </w:rPr>
      </w:pPr>
      <w:r/>
      <w:bookmarkStart w:id="40" w:name="_Hlk92794284"/>
      <w:r>
        <w:rPr>
          <w:rFonts w:hint="eastAsia" w:ascii="宋体" w:hAnsi="宋体" w:eastAsia="宋体" w:cs="宋体"/>
          <w:color w:val="auto"/>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color w:val="auto"/>
          <w:sz w:val="24"/>
          <w:szCs w:val="24"/>
          <w:highlight w:val="none"/>
          <w:lang w:val="zh-CN"/>
        </w:rPr>
        <w:t xml:space="preserve">采购代理机构工作人员应登陆到来源网站页面进行复核并打印，</w:t>
      </w:r>
      <w:r>
        <w:rPr>
          <w:rFonts w:hint="eastAsia" w:ascii="宋体" w:hAnsi="宋体" w:eastAsia="宋体" w:cs="宋体"/>
          <w:color w:val="auto"/>
          <w:sz w:val="24"/>
          <w:szCs w:val="24"/>
          <w:highlight w:val="none"/>
        </w:rPr>
        <w:t xml:space="preserve">作为证据留存。</w:t>
      </w:r>
      <w:bookmarkEnd w:id="4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ascii="宋体" w:hAnsi="宋体" w:eastAsia="宋体" w:cs="宋体"/>
          <w:color w:val="auto"/>
          <w:sz w:val="24"/>
          <w:szCs w:val="24"/>
          <w:highlight w:val="none"/>
        </w:rPr>
      </w:pPr>
      <w:r/>
      <w:bookmarkStart w:id="41" w:name="_Hlk92794378"/>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41"/>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21.评标委员会</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21.1评标委员会由采购人或采购代理机构依法组建。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21.2评标委员会负责具体的评标事务，并独立履行以下职责：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21.2.1审查、评价投标文件是否符合招标文件的商务、技术等实质性要求；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21.2.2要求供应商对投标文件有关事项作出澄清或者说明；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21.2.3对投标文件进行比较和评价；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21.2.5向采购人、采购代理机构或者有关部门报告评标中发现的违法行为；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21.3评标委员会成员应当履行下列义务：</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21.3.1遵纪守法，客观、公正、廉洁地履行职责；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21.3.2按照招标文件规定的评标办法和评标标准进行评标，对评审意见承担个人责任；</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21.3.3对评标过程和结果，以及供应商的商业秘密保密；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21.3.4参与评审报告的起草；</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21.3.5配合相关部门的投诉处理工作；</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21.3.6配合采购人或采购代理机构答复投标供应商提出的质疑。</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22.评标内容的保密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22.3在评标期间，采购人或采购代理机构将通过指定联络人与供应商进行联系。</w:t>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23.对投标文件初审</w:t>
      </w:r>
      <w:r/>
    </w:p>
    <w:p>
      <w:pPr>
        <w:ind w:firstLine="480"/>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23.1开标结束后，采购人依法对供应商的资格进行审查。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23.2资格审查后，评标委员会在初审过程中有权拒绝有下列情况之一的投标文件：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23.2.1供应商的投标文件未按照本须知规定制作的；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23.2.2与招标文件有重大偏离；</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23.2.3供应商拒绝修正错误；</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23.2.4供应商的报价是选择性的；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23.2.5供应商的报价只投了部分内容；</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23.2.6供应商的投标文件出现了评标委员会认为不应当雷同的情况；</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23.2.7其他被评标委员会认定无效的情况。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（二）大写金额和小写金额不一致的，以大写金额为准；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（四）总价金额与按单价汇总金额不一致的，以单价金额计算结果为准。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23.7供应商不同意以上修正，则其投标将被拒绝。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23.8评标委员会认为供应商的报价明显低于其他通过符合性审查供应商的报价，有可能影响产品质量或者不能诚信履约的，应当要求其在评标现场合理的时间内提供书面说明</w:t>
      </w:r>
      <w:bookmarkStart w:id="42"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42"/>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23.9评标委员会对投标文件的判定，只依据投标内容本身，不依靠开标后的任何外来证明。</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24.投标的澄清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shd w:val="clear" w:color="auto" w:fill="ffffff"/>
        </w:rPr>
      </w:pPr>
      <w:r/>
      <w:bookmarkStart w:id="43" w:name="_Hlk158140503"/>
      <w:r/>
      <w:bookmarkStart w:id="44" w:name="_Hlk158140452"/>
      <w:r/>
      <w:bookmarkStart w:id="45" w:name="_Hlk90656398"/>
      <w:r>
        <w:rPr>
          <w:rFonts w:hint="eastAsia" w:ascii="宋体" w:hAnsi="宋体" w:eastAsia="宋体" w:cs="宋体"/>
          <w:color w:val="auto"/>
          <w:sz w:val="24"/>
          <w:szCs w:val="24"/>
          <w:highlight w:val="none"/>
          <w:shd w:val="clear" w:color="auto" w:fill="ffffff"/>
        </w:rPr>
        <w:t xml:space="preserve">24.2本项目采用线上澄清</w:t>
      </w:r>
      <w:bookmarkEnd w:id="43"/>
      <w:r>
        <w:rPr>
          <w:rFonts w:hint="eastAsia" w:ascii="宋体" w:hAnsi="宋体" w:eastAsia="宋体" w:cs="宋体"/>
          <w:color w:val="auto"/>
          <w:sz w:val="24"/>
          <w:szCs w:val="24"/>
          <w:highlight w:val="none"/>
          <w:shd w:val="clear" w:color="auto" w:fill="ffffff"/>
        </w:rPr>
        <w:t xml:space="preserve">。</w:t>
      </w:r>
      <w:bookmarkEnd w:id="44"/>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24.2.2接到评标委员会澄清、说明和更正要求的供应商如未按规定做出澄清、说明和更正，其风险由供应商自行承担。</w:t>
      </w:r>
      <w:bookmarkEnd w:id="45"/>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25.1在招标过程中，出现下列情况之一的，应予废标：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25.1.1符合专业条件的供应商或者对招标文件作实质响应的供应商不足三家的；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25.1.2出现影响采购公正的违法、违规行为的；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25.1.3供应商的报价均超过了采购预算，采购人不能支付的；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25.1.4因重大变故，采购任务取消的；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25.2废标后，采购代理机构将把废标的理由通知所有供应商。</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26.投标文件的评价和比较</w:t>
      </w:r>
      <w:r/>
    </w:p>
    <w:p>
      <w:pPr>
        <w:ind w:firstLine="480"/>
        <w:spacing w:line="360" w:lineRule="auto"/>
        <w:tabs>
          <w:tab w:val="left" w:pos="142" w:leader="none"/>
          <w:tab w:val="left" w:pos="60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26.2.1投标者的资信情况和履约能力；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26.2.2投标者提供的其他优惠条件；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26.3最低的投标报价或最高的折扣比例是中标的重要条件，但不是唯一条件。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27.中标供应商的确认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五、授予合同</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28.合同授予标准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29.中标通知书</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29.2采购人或采购代理机构对未中标供应商不承担解释未中标原因的义务。</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29.3中标通知书将成为合同的组成部分。</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30.合同的签订</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30.2签订合同及合同条款应以招标文件和中标供应商的投标文件及其澄清文件为依据。</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31.履约保证金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31.1中标供应商应按前附表的规定提交履约保证金。</w:t>
      </w:r>
      <w:r/>
    </w:p>
    <w:p>
      <w:pPr>
        <w:ind w:firstLine="480"/>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31.2在中标通知书发出的七天内，中标供应商应当以支票、汇票、本票或者金融机构、担保机构出具的保函（如选择保函，履约保函的金额、担保方式等实质性内容需满足招标文件附件《履约保函》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户：苏州工业园区国库支付中心</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开户行：农行苏州工业园区支行营业部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号：550101040132474</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31.4履约保证金（无息）在服务期满且服务缺陷更正后，中标方配合采购人和新中标供应商办理移交手续，由采购人签发《</w:t>
      </w:r>
      <w:r>
        <w:rPr>
          <w:rFonts w:hint="eastAsia" w:ascii="宋体" w:hAnsi="宋体" w:eastAsia="宋体" w:cs="宋体"/>
          <w:color w:val="auto"/>
          <w:sz w:val="24"/>
          <w:szCs w:val="24"/>
          <w:highlight w:val="none"/>
        </w:rPr>
        <w:t xml:space="preserve">项目履约验收证书</w:t>
      </w:r>
      <w:r>
        <w:rPr>
          <w:rFonts w:hint="eastAsia" w:ascii="宋体" w:hAnsi="宋体" w:eastAsia="宋体" w:cs="宋体"/>
          <w:color w:val="auto"/>
          <w:sz w:val="24"/>
          <w:szCs w:val="24"/>
          <w:highlight w:val="none"/>
          <w:shd w:val="clear" w:color="auto" w:fill="ffffff"/>
        </w:rPr>
        <w:t xml:space="preserve">》后退还。如中标方对服务缺陷不予更正，采购人有权另请其他单位更正，所发生的费用在履约保证金中扣除。</w:t>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六、其他事项</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②对采购过程提出质疑的，为各采购程序环节结束之日；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③对中标结果提出质疑的，为中标结果公告期限届满之日。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rPr>
        <w:t xml:space="preserve">32.7</w:t>
      </w:r>
      <w:r>
        <w:rPr>
          <w:rFonts w:hint="eastAsia" w:ascii="宋体" w:hAnsi="宋体" w:eastAsia="宋体" w:cs="宋体"/>
          <w:color w:val="auto"/>
          <w:sz w:val="24"/>
          <w:szCs w:val="24"/>
          <w:highlight w:val="none"/>
          <w:shd w:val="clear" w:color="auto" w:fill="ffffff"/>
          <w:lang w:val="zh-CN"/>
        </w:rPr>
        <w:t xml:space="preserve">质疑递交地点：</w:t>
      </w:r>
      <w:r/>
    </w:p>
    <w:p>
      <w:pPr>
        <w:ind w:firstLine="480"/>
        <w:spacing w:line="360" w:lineRule="auto"/>
        <w:rPr>
          <w:rFonts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联系地址：苏州市姑苏区干将西路1296号深业姑苏中心1幢17层</w:t>
      </w:r>
      <w:r/>
    </w:p>
    <w:p>
      <w:pPr>
        <w:ind w:firstLine="480"/>
        <w:spacing w:line="360" w:lineRule="auto"/>
        <w:rPr>
          <w:rFonts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电话：0512-69165625</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传真：0512-6916</w:t>
      </w:r>
      <w:r>
        <w:rPr>
          <w:rFonts w:hint="eastAsia" w:ascii="宋体" w:hAnsi="宋体" w:eastAsia="宋体" w:cs="宋体"/>
          <w:color w:val="auto"/>
          <w:sz w:val="24"/>
          <w:szCs w:val="24"/>
          <w:highlight w:val="none"/>
          <w:shd w:val="clear" w:color="auto" w:fill="ffffff"/>
        </w:rPr>
        <w:t xml:space="preserve">3553</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联系人：</w:t>
      </w:r>
      <w:r>
        <w:rPr>
          <w:rFonts w:hint="eastAsia" w:ascii="宋体" w:hAnsi="宋体" w:eastAsia="宋体" w:cs="宋体"/>
          <w:color w:val="auto"/>
          <w:sz w:val="24"/>
          <w:szCs w:val="24"/>
          <w:highlight w:val="none"/>
          <w:shd w:val="clear" w:color="auto" w:fill="ffffff"/>
        </w:rPr>
        <w:t xml:space="preserve">祝丽林</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33.1中标供应商须按前附表的规定计算并支付代理服务费，该费用应在领取合同前付清。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33.2中标供应商如果未按规定缴纳代理服务费，采购代理机构将保留诉讼的权利。</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34.监督和公证</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34.2采购代理机构的招标过程将通过公证机关进行公证。</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r/>
    </w:p>
    <w:p>
      <w:pPr>
        <w:ind w:firstLine="520"/>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26"/>
          <w:szCs w:val="20"/>
          <w:highlight w:val="none"/>
          <w:shd w:val="clear" w:color="auto" w:fill="ffffff"/>
        </w:rPr>
        <w:br w:type="page" w:clear="all"/>
      </w:r>
      <w:r/>
    </w:p>
    <w:p>
      <w:pPr>
        <w:ind w:firstLine="640"/>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ind w:firstLine="640"/>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ind w:firstLine="640"/>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ind w:firstLine="640"/>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ind w:firstLine="640"/>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ind w:firstLine="1044"/>
        <w:jc w:val="center"/>
        <w:keepLines/>
        <w:keepNext/>
        <w:spacing w:before="340" w:after="330" w:line="360" w:lineRule="auto"/>
        <w:rPr>
          <w:rFonts w:ascii="宋体" w:hAnsi="宋体" w:eastAsia="宋体" w:cs="Times New Roman"/>
          <w:color w:val="auto"/>
          <w:sz w:val="52"/>
          <w:szCs w:val="20"/>
          <w:highlight w:val="none"/>
          <w:shd w:val="clear" w:color="auto" w:fill="ffffff"/>
        </w:rPr>
        <w:outlineLvl w:val="0"/>
      </w:pPr>
      <w:r/>
      <w:bookmarkStart w:id="46" w:name="_Toc105940239"/>
      <w:r>
        <w:rPr>
          <w:rFonts w:hint="eastAsia" w:ascii="宋体" w:hAnsi="宋体" w:eastAsia="宋体" w:cs="Times New Roman"/>
          <w:b/>
          <w:color w:val="auto"/>
          <w:sz w:val="52"/>
          <w:szCs w:val="20"/>
          <w:highlight w:val="none"/>
          <w:shd w:val="clear" w:color="auto" w:fill="ffffff"/>
        </w:rPr>
        <w:t xml:space="preserve">第三章投标文件格式</w:t>
      </w:r>
      <w:bookmarkEnd w:id="46"/>
      <w:r/>
      <w:r/>
    </w:p>
    <w:p>
      <w:pPr>
        <w:ind w:firstLine="482"/>
        <w:jc w:val="left"/>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说明：</w:t>
      </w:r>
      <w:r/>
    </w:p>
    <w:p>
      <w:pPr>
        <w:ind w:firstLine="482"/>
        <w:jc w:val="left"/>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1"/>
          <w:highlight w:val="non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color w:val="auto"/>
          <w:sz w:val="24"/>
          <w:szCs w:val="20"/>
          <w:highlight w:val="none"/>
          <w:shd w:val="clear" w:color="auto" w:fill="ffffff"/>
        </w:rPr>
        <w:t xml:space="preserve">。</w:t>
      </w:r>
      <w:r/>
    </w:p>
    <w:p>
      <w:pPr>
        <w:ind w:firstLine="56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Times New Roman"/>
          <w:b/>
          <w:color w:val="auto"/>
          <w:sz w:val="28"/>
          <w:szCs w:val="20"/>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1、（供应商）法定代表人授权委托书</w:t>
      </w:r>
      <w:r/>
    </w:p>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2"/>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授权委托书</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bookmarkStart w:id="47" w:name="_Hlk117242496"/>
      <w:r>
        <w:rPr>
          <w:rFonts w:hint="eastAsia" w:ascii="宋体" w:hAnsi="宋体" w:eastAsia="宋体" w:cs="宋体"/>
          <w:color w:val="auto"/>
          <w:sz w:val="24"/>
          <w:szCs w:val="24"/>
          <w:highlight w:val="none"/>
        </w:rPr>
        <w:t xml:space="preserve">本授权委托书声明：我（姓名）系（供应商名称）的法定代表人，现授权委托（供应商名称）的 （姓名+手机号码）为本公司代理人，以本公司的名义参加本项目采购代理机构组织实施的编号为号的招标活动。代理人在开标、评标、合同招标过程中所签署的一切文件和处理与这有关的一切事务，我均予以承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bookmarkEnd w:id="47"/>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rPr>
          <w:rFonts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2、投标函</w:t>
      </w:r>
      <w:r/>
    </w:p>
    <w:p>
      <w:pPr>
        <w:ind w:firstLine="48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投标函</w:t>
      </w:r>
      <w:r/>
    </w:p>
    <w:p>
      <w:pPr>
        <w:ind w:firstLine="482"/>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本公司收到贵司号招标文件，经仔细阅读和研究，本公司决定参加投标。</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我们愿意按照招标文件的一切要求，提供完成该项目的全部内容，我们的投标报价包括完成该标段所有服务管理内容所需的人工费、施工费、损耗费、运输保管费、安装调试费、质量保证费、售后服务费（含培训费）、财务成本、管理成本、各种税费、保险、劳保、利润、税金、政策性文件规定及合同包含的所有风险、责任等各项应有费用。</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2、如果本公司的投标文件被接受，本公司将严格履行招标文件中规定的每一项要求，按期、按质、按量履行合同的义务。</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3、本公司已详细审查全部招标文件，包括补充文件（更正公告）(如有)。本公司完全理解并同意放弃对这方面有不明及误解的权力。</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4、本公司同意按招标文件中的规定，本投标文件的有效期限为投标截止日起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5、本公司愿意提供采购人或采购代理机构在招标文件中要求的所有资料。</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本公司声明：本公司在参加本次政府采购活动前3年内在经营活动中没有重大违法记录。</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7、本公司愿意遵守招标公告及招标文件中所列的收费标准。</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8、本公司承诺该项投标在开标后的全过程中保持有效，不作任何更改和变动。</w:t>
      </w:r>
      <w:r/>
    </w:p>
    <w:p>
      <w:pPr>
        <w:ind w:firstLine="482"/>
        <w:spacing w:line="400" w:lineRule="exact"/>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9、本公司同意并接受采购人在招标文件、签约合同以及未来合同履行过程中设定的所有日常考核及综合考核制度，并无条件接受及承担因考核不达标或不合格产生的一切责任及后果。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10、如果本公司中标，本公司愿意按招标文件规定支付履约保证金和代理服务费。</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4"/>
          <w:highlight w:val="none"/>
          <w:shd w:val="clear" w:color="auto" w:fill="ffffff"/>
        </w:rPr>
        <w:t xml:space="preserve">的要求，若与真实情况不符，本公司愿意承担由此而产生的一切后果。</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12、综合说明：</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（1）伴随服务及配合措施；</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（2）要求甲方提供的配合；</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（3）对招标文件有不同意见的偏离说明；</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（4）其它说明。</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所有有关标书的函电，请按下列地址联系：</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 xml:space="preserve">联系人：</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地址：</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 xml:space="preserve">邮政编码：</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联系电话：</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 xml:space="preserve">传真：</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公司电子邮箱：</w:t>
      </w:r>
      <w:r/>
    </w:p>
    <w:p>
      <w:pPr>
        <w:ind w:right="105" w:firstLine="48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7"/>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6"/>
        <w:ind w:firstLine="48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938"/>
        <w:ind w:firstLine="480"/>
        <w:rPr>
          <w:color w:val="auto"/>
          <w:highlight w:val="none"/>
        </w:rPr>
      </w:pPr>
      <w:r>
        <w:rPr>
          <w:rFonts w:hint="eastAsia"/>
          <w:color w:val="auto"/>
          <w:highlight w:val="none"/>
        </w:rPr>
        <w:t xml:space="preserve">3、开标一览表</w:t>
      </w:r>
      <w:r/>
    </w:p>
    <w:p>
      <w:pPr>
        <w:pStyle w:val="1079"/>
        <w:ind w:firstLine="482"/>
        <w:jc w:val="center"/>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开标一览表（总报价）</w:t>
      </w:r>
      <w:r/>
    </w:p>
    <w:p>
      <w:pPr>
        <w:ind w:firstLine="48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供应商全称：</w:t>
      </w:r>
      <w:bookmarkStart w:id="48" w:name="TBR"/>
      <w:r/>
      <w:bookmarkEnd w:id="48"/>
      <w:r/>
      <w:r/>
    </w:p>
    <w:p>
      <w:pPr>
        <w:ind w:firstLine="48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49" w:name="XMBH"/>
      <w:r/>
      <w:bookmarkEnd w:id="49"/>
      <w:r/>
      <w:r/>
    </w:p>
    <w:tbl>
      <w:tblPr>
        <w:tblStyle w:val="934"/>
        <w:tblW w:w="98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8"/>
        <w:gridCol w:w="5386"/>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ind w:firstLine="480"/>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ind w:firstLine="480"/>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ind w:firstLine="480"/>
              <w:jc w:val="center"/>
              <w:widowControl/>
              <w:rPr>
                <w:rFonts w:ascii="宋体" w:hAnsi="宋体" w:eastAsia="宋体" w:cs="宋体"/>
                <w:color w:val="auto"/>
                <w:sz w:val="24"/>
                <w:szCs w:val="24"/>
                <w:highlight w:val="none"/>
              </w:rPr>
            </w:pPr>
            <w:r/>
            <w:bookmarkStart w:id="50" w:name="XMMC"/>
            <w:r/>
            <w:bookmarkEnd w:id="50"/>
            <w:r>
              <w:rPr>
                <w:rFonts w:hint="eastAsia" w:ascii="宋体" w:hAnsi="宋体" w:eastAsia="宋体" w:cs="宋体"/>
                <w:color w:val="auto"/>
                <w:sz w:val="24"/>
                <w:szCs w:val="24"/>
                <w:highlight w:val="none"/>
              </w:rPr>
              <w:t xml:space="preserve">2024年园区界浦河种植项目</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ind w:firstLine="480"/>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51" w:name="JEXX"/>
            <w:r/>
            <w:bookmarkEnd w:id="51"/>
            <w:r>
              <w:rPr>
                <w:rFonts w:hint="eastAsia" w:ascii="宋体" w:hAnsi="宋体" w:eastAsia="宋体" w:cs="宋体"/>
                <w:color w:val="auto"/>
                <w:sz w:val="24"/>
                <w:szCs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ind w:firstLine="480"/>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ind w:firstLine="480"/>
              <w:spacing w:line="600" w:lineRule="exact"/>
              <w:widowControl/>
              <w:rPr>
                <w:rFonts w:ascii="宋体" w:hAnsi="宋体" w:eastAsia="宋体" w:cs="宋体"/>
                <w:color w:val="auto"/>
                <w:sz w:val="24"/>
                <w:szCs w:val="24"/>
                <w:highlight w:val="none"/>
              </w:rPr>
            </w:pPr>
            <w:r/>
            <w:bookmarkStart w:id="52" w:name="JEDX"/>
            <w:r/>
            <w:bookmarkEnd w:id="52"/>
            <w:r/>
            <w:r/>
          </w:p>
        </w:tc>
      </w:tr>
    </w:tbl>
    <w:p>
      <w:pPr>
        <w:ind w:left="1024" w:firstLine="480"/>
        <w:spacing w:line="60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4、</w:t>
      </w:r>
      <w:r>
        <w:rPr>
          <w:rFonts w:hint="eastAsia" w:ascii="宋体" w:hAnsi="宋体" w:eastAsia="宋体" w:cs="宋体"/>
          <w:b/>
          <w:bCs/>
          <w:color w:val="auto"/>
          <w:sz w:val="24"/>
          <w:szCs w:val="24"/>
          <w:highlight w:val="none"/>
          <w:shd w:val="clear" w:color="auto" w:fill="ffffff"/>
        </w:rPr>
        <w:t xml:space="preserve">投标报价分析表</w:t>
      </w:r>
      <w:r/>
    </w:p>
    <w:p>
      <w:pPr>
        <w:pStyle w:val="935"/>
        <w:ind w:firstLine="480"/>
        <w:rPr>
          <w:color w:val="auto"/>
          <w:highlight w:val="none"/>
        </w:rPr>
      </w:pPr>
      <w:r>
        <w:rPr>
          <w:color w:val="auto"/>
          <w:highlight w:val="none"/>
        </w:rPr>
      </w:r>
      <w:r/>
    </w:p>
    <w:p>
      <w:pPr>
        <w:ind w:firstLine="482"/>
        <w:jc w:val="center"/>
        <w:rPr>
          <w:b/>
          <w:bCs/>
          <w:color w:val="auto"/>
          <w:highlight w:val="none"/>
        </w:rPr>
      </w:pPr>
      <w:r>
        <w:rPr>
          <w:rFonts w:hint="eastAsia"/>
          <w:b/>
          <w:bCs/>
          <w:color w:val="auto"/>
          <w:highlight w:val="none"/>
        </w:rPr>
        <w:t xml:space="preserve">投标报价分析表</w:t>
      </w:r>
      <w:r/>
    </w:p>
    <w:p>
      <w:pPr>
        <w:pStyle w:val="935"/>
        <w:ind w:firstLine="480"/>
        <w:rPr>
          <w:color w:val="auto"/>
          <w:highlight w:val="none"/>
        </w:rPr>
      </w:pPr>
      <w:r>
        <w:rPr>
          <w:rFonts w:hint="eastAsia"/>
          <w:color w:val="auto"/>
          <w:highlight w:val="none"/>
        </w:rPr>
        <w:t xml:space="preserve">项目编号：</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rPr>
        <w:t xml:space="preserve">单位（人民币）：元</w:t>
      </w:r>
      <w:r/>
    </w:p>
    <w:tbl>
      <w:tblPr>
        <w:tblStyle w:val="934"/>
        <w:tblW w:w="9102" w:type="dxa"/>
        <w:jc w:val="center"/>
        <w:tblLayout w:type="autofit"/>
        <w:tblCellMar>
          <w:left w:w="108" w:type="dxa"/>
          <w:top w:w="0" w:type="dxa"/>
          <w:right w:w="108" w:type="dxa"/>
          <w:bottom w:w="0" w:type="dxa"/>
        </w:tblCellMar>
        <w:tblLook w:val="04A0" w:firstRow="1" w:lastRow="0" w:firstColumn="1" w:lastColumn="0" w:noHBand="0" w:noVBand="1"/>
      </w:tblPr>
      <w:tblGrid>
        <w:gridCol w:w="1101"/>
        <w:gridCol w:w="3246"/>
        <w:gridCol w:w="2385"/>
        <w:gridCol w:w="2370"/>
      </w:tblGrid>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480"/>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ind w:firstLine="480"/>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480"/>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分项报价</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最高限价</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480"/>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ind w:firstLine="480"/>
              <w:jc w:val="left"/>
              <w:widowControl/>
              <w:rPr>
                <w:rFonts w:ascii="宋体" w:hAnsi="宋体" w:eastAsia="宋体" w:cs="宋体"/>
                <w:color w:val="auto"/>
                <w:szCs w:val="21"/>
                <w:highlight w:val="none"/>
              </w:rPr>
            </w:pPr>
            <w:r/>
            <w:bookmarkStart w:id="53" w:name="OLE_LINK57"/>
            <w:r/>
            <w:bookmarkStart w:id="54" w:name="OLE_LINK58"/>
            <w:r>
              <w:rPr>
                <w:rFonts w:hint="eastAsia" w:ascii="宋体" w:hAnsi="宋体" w:eastAsia="宋体" w:cs="宋体"/>
                <w:color w:val="auto"/>
                <w:szCs w:val="21"/>
                <w:highlight w:val="none"/>
              </w:rPr>
              <w:t xml:space="preserve">土壤改</w:t>
            </w:r>
            <w:bookmarkEnd w:id="53"/>
            <w:r/>
            <w:bookmarkEnd w:id="54"/>
            <w:r>
              <w:rPr>
                <w:rFonts w:hint="eastAsia" w:ascii="宋体" w:hAnsi="宋体" w:eastAsia="宋体" w:cs="宋体"/>
                <w:color w:val="auto"/>
                <w:szCs w:val="21"/>
                <w:highlight w:val="none"/>
              </w:rPr>
              <w:t xml:space="preserve">良</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480"/>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rPr>
                <w:rFonts w:ascii="宋体" w:hAnsi="宋体" w:eastAsia="宋体" w:cs="宋体"/>
                <w:color w:val="auto"/>
                <w:szCs w:val="21"/>
                <w:highlight w:val="none"/>
              </w:rPr>
            </w:pPr>
            <w:r>
              <w:rPr>
                <w:rFonts w:hint="eastAsia"/>
                <w:color w:val="auto"/>
                <w:szCs w:val="21"/>
                <w:highlight w:val="none"/>
              </w:rPr>
              <w:t xml:space="preserve">970000.00 </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480"/>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ind w:firstLine="480"/>
              <w:jc w:val="left"/>
              <w:rPr>
                <w:rFonts w:ascii="宋体" w:hAnsi="宋体" w:eastAsia="宋体" w:cs="宋体"/>
                <w:color w:val="auto"/>
                <w:sz w:val="20"/>
                <w:szCs w:val="20"/>
                <w:highlight w:val="none"/>
              </w:rPr>
            </w:pPr>
            <w:r>
              <w:rPr>
                <w:rFonts w:hint="eastAsia" w:ascii="宋体" w:hAnsi="宋体" w:eastAsia="宋体" w:cs="宋体"/>
                <w:color w:val="auto"/>
                <w:szCs w:val="21"/>
                <w:highlight w:val="none"/>
              </w:rPr>
              <w:t xml:space="preserve">农作物种植</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480"/>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rPr>
                <w:rFonts w:ascii="宋体" w:hAnsi="宋体" w:eastAsia="宋体" w:cs="宋体"/>
                <w:color w:val="auto"/>
                <w:szCs w:val="21"/>
                <w:highlight w:val="none"/>
              </w:rPr>
            </w:pPr>
            <w:r/>
            <w:bookmarkStart w:id="55" w:name="OLE_LINK176"/>
            <w:r/>
            <w:bookmarkStart w:id="56" w:name="OLE_LINK177"/>
            <w:r>
              <w:rPr>
                <w:rFonts w:hint="eastAsia"/>
                <w:color w:val="auto"/>
                <w:szCs w:val="21"/>
                <w:highlight w:val="none"/>
              </w:rPr>
              <w:t xml:space="preserve">28300</w:t>
            </w:r>
            <w:bookmarkEnd w:id="55"/>
            <w:r/>
            <w:bookmarkEnd w:id="56"/>
            <w:r>
              <w:rPr>
                <w:rFonts w:hint="eastAsia"/>
                <w:color w:val="auto"/>
                <w:szCs w:val="21"/>
                <w:highlight w:val="none"/>
              </w:rPr>
              <w:t xml:space="preserve">00.00</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480"/>
              <w:jc w:val="center"/>
              <w:widowControl/>
              <w:rPr>
                <w:rFonts w:ascii="宋体" w:hAnsi="宋体" w:eastAsia="宋体" w:cs="宋体"/>
                <w:color w:val="auto"/>
                <w:szCs w:val="21"/>
                <w:highlight w:val="none"/>
              </w:rPr>
            </w:pPr>
            <w:r/>
            <w:bookmarkStart w:id="57" w:name="_Hlk179362208"/>
            <w:r>
              <w:rPr>
                <w:rFonts w:hint="eastAsia" w:ascii="宋体" w:hAnsi="宋体" w:eastAsia="宋体" w:cs="宋体"/>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ind w:firstLine="480"/>
              <w:jc w:val="left"/>
              <w:widowControl/>
              <w:rPr>
                <w:rFonts w:ascii="宋体" w:hAnsi="宋体" w:eastAsia="宋体" w:cs="宋体"/>
                <w:color w:val="auto"/>
                <w:sz w:val="20"/>
                <w:szCs w:val="20"/>
                <w:highlight w:val="none"/>
              </w:rPr>
            </w:pPr>
            <w:r>
              <w:rPr>
                <w:rFonts w:hint="eastAsia" w:ascii="宋体" w:hAnsi="宋体" w:eastAsia="宋体" w:cs="宋体"/>
                <w:color w:val="auto"/>
                <w:szCs w:val="21"/>
                <w:highlight w:val="none"/>
              </w:rPr>
              <w:t xml:space="preserve">绿化养护及场地维护维修等</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480"/>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rPr>
                <w:color w:val="auto"/>
                <w:szCs w:val="21"/>
                <w:highlight w:val="none"/>
              </w:rPr>
            </w:pPr>
            <w:r>
              <w:rPr>
                <w:rFonts w:hint="eastAsia"/>
                <w:color w:val="auto"/>
                <w:szCs w:val="21"/>
                <w:highlight w:val="none"/>
              </w:rPr>
              <w:t xml:space="preserve">3170000.00</w:t>
            </w:r>
            <w:bookmarkEnd w:id="57"/>
            <w:r/>
            <w:r/>
          </w:p>
        </w:tc>
      </w:tr>
      <w:tr>
        <w:trPr>
          <w:jc w:val="center"/>
          <w:trHeight w:val="645"/>
        </w:trPr>
        <w:tc>
          <w:tcPr>
            <w:gridSpan w:val="4"/>
            <w:shd w:val="clear" w:color="auto" w:fill="auto"/>
            <w:tcBorders>
              <w:top w:val="single" w:color="000000" w:sz="4" w:space="0"/>
              <w:left w:val="single" w:color="000000" w:sz="4" w:space="0"/>
              <w:bottom w:val="single" w:color="000000" w:sz="4" w:space="0"/>
              <w:right w:val="single" w:color="000000" w:sz="4" w:space="0"/>
            </w:tcBorders>
            <w:tcW w:w="9102" w:type="dxa"/>
            <w:vAlign w:val="center"/>
            <w:textDirection w:val="lrTb"/>
            <w:noWrap w:val="false"/>
          </w:tcPr>
          <w:p>
            <w:pPr>
              <w:ind w:firstLine="480"/>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投标总报价：</w:t>
            </w:r>
            <w:r/>
          </w:p>
        </w:tc>
      </w:tr>
    </w:tbl>
    <w:p>
      <w:pPr>
        <w:ind w:firstLine="482"/>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注：</w:t>
      </w:r>
      <w:r>
        <w:rPr>
          <w:rFonts w:hint="eastAsia" w:ascii="宋体" w:hAnsi="宋体" w:eastAsia="宋体" w:cs="宋体"/>
          <w:b/>
          <w:bCs/>
          <w:color w:val="auto"/>
          <w:sz w:val="24"/>
          <w:szCs w:val="24"/>
          <w:highlight w:val="none"/>
          <w:shd w:val="clear" w:color="auto" w:fill="ffffff"/>
        </w:rPr>
        <w:tab/>
      </w:r>
      <w:r>
        <w:rPr>
          <w:rFonts w:hint="eastAsia" w:ascii="宋体" w:hAnsi="宋体" w:eastAsia="宋体" w:cs="宋体"/>
          <w:b/>
          <w:bCs/>
          <w:color w:val="auto"/>
          <w:sz w:val="24"/>
          <w:szCs w:val="24"/>
          <w:highlight w:val="none"/>
          <w:shd w:val="clear" w:color="auto" w:fill="ffffff"/>
        </w:rPr>
        <w:tab/>
      </w:r>
      <w:r>
        <w:rPr>
          <w:rFonts w:hint="eastAsia" w:ascii="宋体" w:hAnsi="宋体" w:eastAsia="宋体" w:cs="宋体"/>
          <w:b/>
          <w:bCs/>
          <w:color w:val="auto"/>
          <w:sz w:val="24"/>
          <w:szCs w:val="24"/>
          <w:highlight w:val="none"/>
          <w:shd w:val="clear" w:color="auto" w:fill="ffffff"/>
        </w:rPr>
        <w:tab/>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1、单项总价与投标总报价都不可超最高限价，否则响应无效。</w:t>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2、本表中各单项总价须与下述对应单项的明细报价表中合计金额一致；本表中的投标总报价须与《开标一览表》中的投标总报价一致。</w:t>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3、单项总价、投标总报价均须以人民币（元）表示，各金额均须用小写填写，并精确到小数点后2位。</w:t>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4、未按上述要求填报的视为响应无效。</w:t>
      </w:r>
      <w:r/>
    </w:p>
    <w:p>
      <w:pPr>
        <w:ind w:firstLine="482"/>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480"/>
        <w:jc w:val="right"/>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color w:val="auto"/>
          <w:sz w:val="24"/>
          <w:szCs w:val="24"/>
          <w:highlight w:val="none"/>
        </w:rPr>
        <w:t xml:space="preserve">日期：　　　年　　月　　日</w:t>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ind w:firstLine="482"/>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spacing w:line="360" w:lineRule="auto"/>
        <w:rPr>
          <w:rFonts w:ascii="宋体" w:hAnsi="宋体" w:eastAsia="宋体" w:cs="宋体"/>
          <w:b/>
          <w:bCs/>
          <w:color w:val="auto"/>
          <w:sz w:val="24"/>
          <w:szCs w:val="24"/>
          <w:highlight w:val="none"/>
          <w:shd w:val="clear" w:color="auto" w:fill="ffffff"/>
        </w:rPr>
        <w:outlineLvl w:val="1"/>
      </w:pPr>
      <w:r>
        <w:rPr>
          <w:rFonts w:ascii="宋体" w:hAnsi="宋体" w:eastAsia="宋体" w:cs="宋体"/>
          <w:b/>
          <w:bCs/>
          <w:color w:val="auto"/>
          <w:sz w:val="24"/>
          <w:szCs w:val="24"/>
          <w:highlight w:val="none"/>
          <w:shd w:val="clear" w:color="auto" w:fill="ffffff"/>
        </w:rPr>
      </w:r>
      <w:r/>
    </w:p>
    <w:p>
      <w:pPr>
        <w:ind w:firstLine="482"/>
        <w:spacing w:line="360" w:lineRule="auto"/>
        <w:rPr>
          <w:rFonts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shd w:val="clear" w:color="auto" w:fill="ffffff"/>
        </w:rPr>
        <w:t xml:space="preserve">5、</w:t>
      </w:r>
      <w:bookmarkStart w:id="58" w:name="OLE_LINK23"/>
      <w:r/>
      <w:bookmarkStart w:id="59" w:name="OLE_LINK22"/>
      <w:r>
        <w:rPr>
          <w:rFonts w:hint="eastAsia" w:ascii="宋体" w:hAnsi="宋体" w:eastAsia="宋体" w:cs="宋体"/>
          <w:b/>
          <w:bCs/>
          <w:color w:val="auto"/>
          <w:sz w:val="24"/>
          <w:szCs w:val="24"/>
          <w:highlight w:val="none"/>
          <w:shd w:val="clear" w:color="auto" w:fill="ffffff"/>
        </w:rPr>
        <w:t xml:space="preserve">投标报价明细表</w:t>
      </w:r>
      <w:bookmarkEnd w:id="58"/>
      <w:r/>
      <w:bookmarkEnd w:id="59"/>
      <w:r/>
      <w:r/>
    </w:p>
    <w:tbl>
      <w:tblPr>
        <w:tblStyle w:val="934"/>
        <w:tblpPr w:horzAnchor="page" w:tblpXSpec="center" w:vertAnchor="text" w:tblpY="446" w:leftFromText="180" w:topFromText="0" w:rightFromText="180" w:bottomFromText="0"/>
        <w:tblW w:w="10397" w:type="dxa"/>
        <w:jc w:val="center"/>
        <w:tblLayout w:type="fixed"/>
        <w:tblCellMar>
          <w:left w:w="108" w:type="dxa"/>
          <w:top w:w="0" w:type="dxa"/>
          <w:right w:w="108" w:type="dxa"/>
          <w:bottom w:w="0" w:type="dxa"/>
        </w:tblCellMar>
        <w:tblLook w:val="04A0" w:firstRow="1" w:lastRow="0" w:firstColumn="1" w:lastColumn="0" w:noHBand="0" w:noVBand="1"/>
      </w:tblPr>
      <w:tblGrid>
        <w:gridCol w:w="681"/>
        <w:gridCol w:w="1090"/>
        <w:gridCol w:w="2317"/>
        <w:gridCol w:w="736"/>
        <w:gridCol w:w="832"/>
        <w:gridCol w:w="1540"/>
        <w:gridCol w:w="968"/>
        <w:gridCol w:w="1163"/>
        <w:gridCol w:w="1070"/>
      </w:tblGrid>
      <w:tr>
        <w:trPr>
          <w:jc w:val="cente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773" w:type="dxa"/>
            <w:vAlign w:val="center"/>
            <w:textDirection w:val="lrTb"/>
            <w:noWrap/>
          </w:tcPr>
          <w:p>
            <w:pPr>
              <w:ind w:firstLine="360"/>
              <w:jc w:val="righ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项目编号：</w:t>
            </w:r>
            <w:r/>
          </w:p>
        </w:tc>
        <w:tc>
          <w:tcPr>
            <w:shd w:val="clear" w:color="auto" w:fill="auto"/>
            <w:tcBorders>
              <w:top w:val="none" w:color="000000" w:sz="4" w:space="0"/>
              <w:left w:val="none" w:color="000000" w:sz="4" w:space="0"/>
              <w:bottom w:val="none" w:color="000000" w:sz="4" w:space="0"/>
              <w:right w:val="none" w:color="000000" w:sz="4" w:space="0"/>
            </w:tcBorders>
            <w:tcW w:w="2318" w:type="dxa"/>
            <w:vAlign w:val="center"/>
            <w:textDirection w:val="lrTb"/>
            <w:noWrap/>
          </w:tcPr>
          <w:p>
            <w:pPr>
              <w:ind w:firstLine="360"/>
              <w:jc w:val="lef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736" w:type="dxa"/>
            <w:vAlign w:val="center"/>
            <w:textDirection w:val="lrTb"/>
            <w:noWrap/>
          </w:tcPr>
          <w:p>
            <w:pPr>
              <w:ind w:firstLine="360"/>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832" w:type="dxa"/>
            <w:vAlign w:val="center"/>
            <w:textDirection w:val="lrTb"/>
            <w:noWrap/>
          </w:tcPr>
          <w:p>
            <w:pPr>
              <w:ind w:firstLine="360"/>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541" w:type="dxa"/>
            <w:vAlign w:val="center"/>
            <w:textDirection w:val="lrTb"/>
            <w:noWrap/>
          </w:tcPr>
          <w:p>
            <w:pPr>
              <w:ind w:firstLine="360"/>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shd w:val="clear" w:color="auto" w:fill="auto"/>
            <w:tcBorders>
              <w:top w:val="none" w:color="000000" w:sz="4" w:space="0"/>
              <w:left w:val="none" w:color="000000" w:sz="4" w:space="0"/>
              <w:bottom w:val="single" w:color="000000" w:sz="4" w:space="0"/>
              <w:right w:val="none" w:color="000000" w:sz="4" w:space="0"/>
            </w:tcBorders>
            <w:tcW w:w="2127" w:type="dxa"/>
            <w:vAlign w:val="center"/>
            <w:textDirection w:val="lrTb"/>
            <w:noWrap/>
          </w:tcPr>
          <w:p>
            <w:pPr>
              <w:ind w:firstLine="360"/>
              <w:jc w:val="center"/>
              <w:widowControl/>
              <w:rPr>
                <w:rFonts w:ascii="宋体" w:hAnsi="宋体" w:eastAsia="宋体" w:cs="宋体"/>
                <w:color w:val="auto"/>
                <w:sz w:val="18"/>
                <w:szCs w:val="18"/>
                <w:highlight w:val="none"/>
              </w:rPr>
            </w:pPr>
            <w:r/>
            <w:bookmarkStart w:id="60" w:name="OLE_LINK139"/>
            <w:r/>
            <w:bookmarkStart w:id="61" w:name="OLE_LINK140"/>
            <w:r/>
            <w:bookmarkStart w:id="62" w:name="OLE_LINK168"/>
            <w:r>
              <w:rPr>
                <w:rFonts w:hint="eastAsia" w:ascii="宋体" w:hAnsi="宋体" w:eastAsia="宋体" w:cs="宋体"/>
                <w:color w:val="auto"/>
                <w:sz w:val="18"/>
                <w:szCs w:val="18"/>
                <w:highlight w:val="none"/>
              </w:rPr>
              <w:t xml:space="preserve">单位（人民币）：元</w:t>
            </w:r>
            <w:bookmarkEnd w:id="60"/>
            <w:r/>
            <w:bookmarkEnd w:id="61"/>
            <w:r/>
            <w:bookmarkEnd w:id="62"/>
            <w:r/>
            <w:r/>
          </w:p>
        </w:tc>
        <w:tc>
          <w:tcPr>
            <w:shd w:val="clear" w:color="auto" w:fill="auto"/>
            <w:tcBorders>
              <w:top w:val="none" w:color="000000" w:sz="4" w:space="0"/>
              <w:left w:val="none" w:color="000000" w:sz="4" w:space="0"/>
              <w:bottom w:val="none" w:color="000000" w:sz="4" w:space="0"/>
              <w:right w:val="none" w:color="000000" w:sz="4" w:space="0"/>
            </w:tcBorders>
            <w:tcW w:w="1070"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375"/>
        </w:trPr>
        <w:tc>
          <w:tcPr>
            <w:shd w:val="clear" w:color="auto" w:fill="ffffff"/>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jc w:val="both"/>
              <w:widowControl/>
              <w:rPr>
                <w:rFonts w:ascii="宋体" w:hAnsi="宋体" w:eastAsia="宋体" w:cs="宋体"/>
                <w:color w:val="auto"/>
                <w:sz w:val="18"/>
                <w:szCs w:val="18"/>
                <w:highlight w:val="none"/>
              </w:rPr>
            </w:pPr>
            <w:r/>
            <w:bookmarkStart w:id="63" w:name="_Hlk180063837"/>
            <w:r>
              <w:rPr>
                <w:rFonts w:hint="eastAsia" w:ascii="宋体" w:hAnsi="宋体" w:eastAsia="宋体" w:cs="宋体"/>
                <w:color w:val="auto"/>
                <w:sz w:val="18"/>
                <w:szCs w:val="18"/>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vMerge w:val="restart"/>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2318" w:type="dxa"/>
            <w:vAlign w:val="center"/>
            <w:vMerge w:val="restart"/>
            <w:textDirection w:val="lrTb"/>
            <w:noWrap w:val="false"/>
          </w:tcPr>
          <w:p>
            <w:pPr>
              <w:ind w:firstLine="360"/>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项目特征描述</w:t>
            </w:r>
            <w:r/>
          </w:p>
        </w:tc>
        <w:tc>
          <w:tcPr>
            <w:shd w:val="clear" w:color="auto" w:fill="ffffff"/>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计量单位</w:t>
            </w:r>
            <w:r/>
          </w:p>
        </w:tc>
        <w:tc>
          <w:tcPr>
            <w:shd w:val="clear" w:color="auto" w:fill="ffffff"/>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工程量（A)</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vMerge w:val="restart"/>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投标单价</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(B）</w:t>
            </w:r>
            <w:r/>
          </w:p>
        </w:tc>
        <w:tc>
          <w:tcPr>
            <w:shd w:val="clear" w:color="auto" w:fill="ffffff"/>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投标合价</w:t>
            </w:r>
            <w:r/>
          </w:p>
        </w:tc>
        <w:tc>
          <w:tcPr>
            <w:shd w:val="clear" w:color="auto" w:fill="ffffff"/>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最高限价（单价）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18"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C =A*B</w:t>
            </w:r>
            <w:r/>
          </w:p>
        </w:tc>
        <w:tc>
          <w:tcPr>
            <w:shd w:val="clear" w:color="auto" w:fill="ffffff"/>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420"/>
        </w:trPr>
        <w:tc>
          <w:tcPr>
            <w:shd w:val="clear" w:color="auto" w:fill="ffff00"/>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widowControl/>
              <w:rPr>
                <w:rFonts w:ascii="宋体" w:hAnsi="宋体" w:eastAsia="宋体" w:cs="宋体"/>
                <w:b/>
                <w:bCs/>
                <w:color w:val="auto"/>
                <w:sz w:val="18"/>
                <w:szCs w:val="18"/>
                <w:highlight w:val="none"/>
              </w:rPr>
            </w:pPr>
            <w:r/>
            <w:bookmarkStart w:id="64" w:name="_Hlk179363333"/>
            <w:r>
              <w:rPr>
                <w:rFonts w:hint="eastAsia" w:ascii="宋体" w:hAnsi="宋体" w:eastAsia="宋体" w:cs="宋体"/>
                <w:b/>
                <w:bCs/>
                <w:color w:val="auto"/>
                <w:sz w:val="18"/>
                <w:szCs w:val="18"/>
                <w:highlight w:val="none"/>
              </w:rPr>
              <w:t xml:space="preserve">（一）</w:t>
            </w:r>
            <w:r/>
          </w:p>
        </w:tc>
        <w:tc>
          <w:tcPr>
            <w:gridSpan w:val="6"/>
            <w:shd w:val="clear" w:color="auto" w:fill="ffff00"/>
            <w:tcBorders>
              <w:top w:val="single" w:color="000000" w:sz="4" w:space="0"/>
              <w:left w:val="single" w:color="000000" w:sz="4" w:space="0"/>
              <w:bottom w:val="single" w:color="000000" w:sz="4" w:space="0"/>
              <w:right w:val="single" w:color="000000" w:sz="4" w:space="0"/>
            </w:tcBorders>
            <w:tcW w:w="7486" w:type="dxa"/>
            <w:vAlign w:val="center"/>
            <w:textDirection w:val="lrTb"/>
            <w:noWrap w:val="false"/>
          </w:tcPr>
          <w:p>
            <w:pPr>
              <w:ind w:firstLine="1440"/>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土壤改良</w:t>
            </w:r>
            <w:r/>
          </w:p>
        </w:tc>
        <w:tc>
          <w:tcPr>
            <w:shd w:val="clear" w:color="auto" w:fill="ffff00"/>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firstLine="360"/>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970000</w:t>
            </w:r>
            <w:r/>
          </w:p>
        </w:tc>
        <w:tc>
          <w:tcPr>
            <w:shd w:val="clear" w:color="auto" w:fill="ffff00"/>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bookmarkEnd w:id="64"/>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both"/>
              <w:rPr>
                <w:rFonts w:ascii="宋体" w:hAnsi="宋体" w:eastAsia="宋体" w:cs="宋体"/>
                <w:color w:val="auto"/>
                <w:sz w:val="18"/>
                <w:szCs w:val="18"/>
                <w:highlight w:val="none"/>
              </w:rPr>
            </w:pPr>
            <w:r/>
            <w:bookmarkStart w:id="65" w:name="OLE_LINK80"/>
            <w:r/>
            <w:bookmarkStart w:id="66" w:name="OLE_LINK81"/>
            <w:r>
              <w:rPr>
                <w:rFonts w:hint="eastAsia" w:ascii="宋体" w:hAnsi="宋体" w:eastAsia="宋体" w:cs="宋体"/>
                <w:color w:val="auto"/>
                <w:sz w:val="18"/>
                <w:szCs w:val="18"/>
                <w:highlight w:val="none"/>
              </w:rPr>
              <w:t xml:space="preserve">1</w:t>
            </w:r>
            <w:bookmarkEnd w:id="65"/>
            <w:r/>
            <w:bookmarkEnd w:id="66"/>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土壤改良</w:t>
            </w:r>
            <w:r/>
          </w:p>
        </w:tc>
        <w:tc>
          <w:tcPr>
            <w:shd w:val="clear" w:color="auto" w:fill="ffffff"/>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回填土质要求：东北泥炭土：脱盐椰糠：珍珠岩：羊粪=6：2：1：1，详见技术要求。</w:t>
            </w:r>
            <w:r/>
          </w:p>
        </w:tc>
        <w:tc>
          <w:tcPr>
            <w:shd w:val="clear" w:color="auto" w:fill="ffffff"/>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7000</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firstLine="360"/>
              <w:jc w:val="righ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970000</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固定单价，工程量按实结算</w:t>
            </w:r>
            <w:bookmarkEnd w:id="63"/>
            <w:r/>
            <w:r/>
          </w:p>
        </w:tc>
      </w:tr>
      <w:tr>
        <w:trPr>
          <w:jc w:val="center"/>
          <w:trHeight w:val="420"/>
        </w:trPr>
        <w:tc>
          <w:tcPr>
            <w:gridSpan w:val="6"/>
            <w:shd w:val="clear" w:color="auto" w:fill="ffffff"/>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ind w:firstLine="360"/>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（一）土壤改良总费用小计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480"/>
        </w:trPr>
        <w:tc>
          <w:tcPr>
            <w:shd w:val="clear" w:color="auto" w:fill="ffff00"/>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widowControl/>
              <w:rPr>
                <w:rFonts w:ascii="宋体" w:hAnsi="宋体" w:eastAsia="宋体" w:cs="宋体"/>
                <w:b/>
                <w:bCs/>
                <w:color w:val="auto"/>
                <w:sz w:val="18"/>
                <w:szCs w:val="18"/>
                <w:highlight w:val="none"/>
              </w:rPr>
            </w:pPr>
            <w:r/>
            <w:bookmarkStart w:id="67" w:name="OLE_LINK63"/>
            <w:r>
              <w:rPr>
                <w:rFonts w:hint="eastAsia" w:ascii="宋体" w:hAnsi="宋体" w:eastAsia="宋体" w:cs="宋体"/>
                <w:b/>
                <w:bCs/>
                <w:color w:val="auto"/>
                <w:sz w:val="18"/>
                <w:szCs w:val="18"/>
                <w:highlight w:val="none"/>
              </w:rPr>
              <w:t xml:space="preserve">（二）</w:t>
            </w:r>
            <w:bookmarkEnd w:id="67"/>
            <w:r/>
            <w:r/>
          </w:p>
        </w:tc>
        <w:tc>
          <w:tcPr>
            <w:gridSpan w:val="4"/>
            <w:shd w:val="clear" w:color="auto" w:fill="ffff00"/>
            <w:tcBorders>
              <w:top w:val="single" w:color="000000" w:sz="4" w:space="0"/>
              <w:left w:val="single" w:color="000000" w:sz="4" w:space="0"/>
              <w:bottom w:val="single" w:color="000000" w:sz="4" w:space="0"/>
              <w:right w:val="none" w:color="000000" w:sz="4" w:space="0"/>
            </w:tcBorders>
            <w:tcW w:w="4977" w:type="dxa"/>
            <w:vAlign w:val="center"/>
            <w:textDirection w:val="lrTb"/>
            <w:noWrap/>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农作物种植及场地维护等</w:t>
            </w:r>
            <w:r/>
          </w:p>
        </w:tc>
        <w:tc>
          <w:tcPr>
            <w:gridSpan w:val="3"/>
            <w:shd w:val="clear" w:color="auto" w:fill="ffff00"/>
            <w:tcBorders>
              <w:top w:val="single" w:color="000000" w:sz="4" w:space="0"/>
              <w:left w:val="none" w:color="000000" w:sz="4" w:space="0"/>
              <w:bottom w:val="single" w:color="000000" w:sz="4" w:space="0"/>
              <w:right w:val="none" w:color="000000" w:sz="4" w:space="0"/>
            </w:tcBorders>
            <w:tcW w:w="3668" w:type="dxa"/>
            <w:vAlign w:val="center"/>
            <w:textDirection w:val="lrTb"/>
            <w:noWrap/>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2830000</w:t>
            </w:r>
            <w:r/>
          </w:p>
        </w:tc>
        <w:tc>
          <w:tcPr>
            <w:shd w:val="clear" w:color="auto" w:fill="ffff00"/>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ind w:firstLine="360"/>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103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整理用地</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捡石机对地块内石块进行清理；植株收割后，每季种植前整理绿化用地等。详见招标技术要求。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firstLine="360"/>
              <w:jc w:val="righ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费用包干</w:t>
            </w:r>
            <w:r/>
          </w:p>
        </w:tc>
      </w:tr>
      <w:tr>
        <w:trPr>
          <w:jc w:val="center"/>
          <w:trHeight w:val="175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观赏区农业种植</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每年轮种油菜、高粱各一季，</w:t>
            </w:r>
            <w:bookmarkStart w:id="68" w:name="OLE_LINK141"/>
            <w:r/>
            <w:bookmarkStart w:id="69" w:name="OLE_LINK142"/>
            <w:r>
              <w:rPr>
                <w:rFonts w:hint="eastAsia" w:ascii="宋体" w:hAnsi="宋体" w:eastAsia="宋体" w:cs="宋体"/>
                <w:color w:val="auto"/>
                <w:sz w:val="18"/>
                <w:szCs w:val="18"/>
                <w:highlight w:val="none"/>
              </w:rPr>
              <w:t xml:space="preserve">服务期内种植6季</w:t>
            </w:r>
            <w:bookmarkEnd w:id="68"/>
            <w:r/>
            <w:bookmarkEnd w:id="69"/>
            <w:r>
              <w:rPr>
                <w:rFonts w:hint="eastAsia" w:ascii="宋体" w:hAnsi="宋体" w:eastAsia="宋体" w:cs="宋体"/>
                <w:color w:val="auto"/>
                <w:sz w:val="18"/>
                <w:szCs w:val="18"/>
                <w:highlight w:val="none"/>
              </w:rPr>
              <w:t xml:space="preserve">。进场后油菜首次种植须采用育苗方式，25株/m²，后续可采用籽播3千克/亩；高粱可采用籽播3千克/亩。成熟后打碎还田处理，不允出售。含种子、田间管理，追肥、收割、还田等所有费用。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widowControl/>
              <w:rPr>
                <w:rFonts w:ascii="宋体" w:hAnsi="宋体" w:eastAsia="宋体" w:cs="宋体"/>
                <w:color w:val="auto"/>
                <w:sz w:val="18"/>
                <w:szCs w:val="18"/>
                <w:highlight w:val="none"/>
              </w:rPr>
            </w:pPr>
            <w:r/>
            <w:bookmarkStart w:id="70" w:name="OLE_LINK82"/>
            <w:r/>
            <w:bookmarkStart w:id="71" w:name="OLE_LINK83"/>
            <w:r>
              <w:rPr>
                <w:rFonts w:hint="eastAsia" w:ascii="宋体" w:hAnsi="宋体" w:eastAsia="宋体" w:cs="宋体"/>
                <w:color w:val="auto"/>
                <w:sz w:val="18"/>
                <w:szCs w:val="18"/>
                <w:highlight w:val="none"/>
              </w:rPr>
              <w:t xml:space="preserve">202</w:t>
            </w:r>
            <w:bookmarkEnd w:id="70"/>
            <w:r/>
            <w:bookmarkEnd w:id="71"/>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2600000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固定单价，工程量按实结算</w:t>
            </w:r>
            <w:r/>
          </w:p>
        </w:tc>
      </w:tr>
      <w:tr>
        <w:trPr>
          <w:jc w:val="center"/>
          <w:trHeight w:val="450"/>
        </w:trPr>
        <w:tc>
          <w:tcPr>
            <w:gridSpan w:val="6"/>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（二）农作物种植及场地维护总费用小计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lef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450"/>
        </w:trPr>
        <w:tc>
          <w:tcPr>
            <w:gridSpan w:val="6"/>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农作物种植及场地维护折合单价（每季费用）：（二）/6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lef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465"/>
        </w:trPr>
        <w:tc>
          <w:tcPr>
            <w:shd w:val="clear" w:color="auto" w:fill="ffff00"/>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（三）</w:t>
            </w:r>
            <w:r/>
          </w:p>
        </w:tc>
        <w:tc>
          <w:tcPr>
            <w:gridSpan w:val="4"/>
            <w:shd w:val="clear" w:color="auto" w:fill="ffff00"/>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绿化养护</w:t>
            </w:r>
            <w:r/>
          </w:p>
        </w:tc>
        <w:tc>
          <w:tcPr>
            <w:gridSpan w:val="3"/>
            <w:shd w:val="clear" w:color="auto" w:fill="ffff00"/>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3170000</w:t>
            </w:r>
            <w:r/>
          </w:p>
        </w:tc>
        <w:tc>
          <w:tcPr>
            <w:shd w:val="clear" w:color="auto" w:fill="ffff00"/>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righ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360"/>
              <w:jc w:val="center"/>
              <w:widowControl/>
              <w:rPr>
                <w:rFonts w:hint="eastAsia" w:ascii="宋体" w:hAnsi="宋体" w:eastAsia="宋体" w:cs="宋体"/>
                <w:color w:val="auto"/>
                <w:sz w:val="18"/>
                <w:szCs w:val="18"/>
                <w:highlight w:val="none"/>
              </w:rPr>
            </w:pPr>
            <w:r/>
            <w:bookmarkStart w:id="72" w:name="_Hlk179364545"/>
            <w:r/>
            <w:bookmarkStart w:id="73" w:name="_Hlk180064005"/>
            <w:r>
              <w:rPr>
                <w:rFonts w:hint="eastAsia" w:ascii="宋体" w:hAnsi="宋体" w:eastAsia="宋体" w:cs="宋体"/>
                <w:color w:val="auto"/>
                <w:sz w:val="18"/>
                <w:szCs w:val="18"/>
                <w:highlight w:val="none"/>
              </w:rPr>
              <w:t xml:space="preserve">1</w:t>
            </w:r>
            <w:r/>
          </w:p>
        </w:tc>
        <w:tc>
          <w:tcPr>
            <w:shd w:val="clear" w:color="auto" w:fill="auto"/>
            <w:tcBorders>
              <w:top w:val="none" w:color="000000" w:sz="4" w:space="0"/>
              <w:left w:val="single" w:color="000000" w:sz="4" w:space="0"/>
              <w:bottom w:val="single" w:color="000000" w:sz="4" w:space="0"/>
              <w:right w:val="none" w:color="000000" w:sz="4" w:space="0"/>
            </w:tcBorders>
            <w:tcW w:w="1091" w:type="dxa"/>
            <w:vAlign w:val="center"/>
            <w:textDirection w:val="lrTb"/>
            <w:noWrap w:val="false"/>
          </w:tcPr>
          <w:p>
            <w:pPr>
              <w:rPr>
                <w:rFonts w:ascii="宋体" w:hAnsi="宋体" w:eastAsia="宋体" w:cs="宋体"/>
                <w:color w:val="auto"/>
                <w:sz w:val="20"/>
                <w:szCs w:val="20"/>
                <w:highlight w:val="none"/>
              </w:rPr>
            </w:pPr>
            <w:r>
              <w:rPr>
                <w:rFonts w:hint="eastAsia"/>
                <w:color w:val="auto"/>
                <w:sz w:val="20"/>
                <w:szCs w:val="20"/>
                <w:highlight w:val="none"/>
              </w:rPr>
              <w:t xml:space="preserve">乔木、灌木养护</w:t>
            </w:r>
            <w:r/>
          </w:p>
        </w:tc>
        <w:tc>
          <w:tcPr>
            <w:shd w:val="clear" w:color="auto" w:fill="auto"/>
            <w:tcBorders>
              <w:top w:val="none" w:color="000000" w:sz="4" w:space="0"/>
              <w:left w:val="single" w:color="000000" w:sz="4" w:space="0"/>
              <w:bottom w:val="single" w:color="000000" w:sz="4" w:space="0"/>
              <w:right w:val="none" w:color="000000" w:sz="4" w:space="0"/>
            </w:tcBorders>
            <w:tcW w:w="2318" w:type="dxa"/>
            <w:vAlign w:val="center"/>
            <w:textDirection w:val="lrTb"/>
            <w:noWrap w:val="false"/>
          </w:tcPr>
          <w:p>
            <w:pPr>
              <w:rPr>
                <w:rFonts w:ascii="宋体" w:hAnsi="宋体" w:eastAsia="宋体" w:cs="宋体"/>
                <w:color w:val="auto"/>
                <w:sz w:val="18"/>
                <w:szCs w:val="18"/>
                <w:highlight w:val="none"/>
              </w:rPr>
            </w:pPr>
            <w:r>
              <w:rPr>
                <w:rFonts w:hint="eastAsia"/>
                <w:color w:val="auto"/>
                <w:sz w:val="18"/>
                <w:szCs w:val="18"/>
                <w:highlight w:val="none"/>
              </w:rPr>
              <w:t xml:space="preserve">养护期：30个月，三级养护；详见招标技术要求。</w:t>
            </w:r>
            <w:r/>
          </w:p>
        </w:tc>
        <w:tc>
          <w:tcPr>
            <w:shd w:val="clear" w:color="auto" w:fill="auto"/>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jc w:val="both"/>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株</w:t>
            </w:r>
            <w:r/>
          </w:p>
        </w:tc>
        <w:tc>
          <w:tcPr>
            <w:shd w:val="clear" w:color="auto" w:fill="auto"/>
            <w:tcBorders>
              <w:top w:val="none" w:color="000000" w:sz="4" w:space="0"/>
              <w:left w:val="single" w:color="000000" w:sz="4" w:space="0"/>
              <w:bottom w:val="single" w:color="000000" w:sz="4" w:space="0"/>
              <w:right w:val="single" w:color="000000" w:sz="4" w:space="0"/>
            </w:tcBorders>
            <w:tcW w:w="832" w:type="dxa"/>
            <w:vAlign w:val="center"/>
            <w:textDirection w:val="lrTb"/>
            <w:noWrap w:val="false"/>
          </w:tcPr>
          <w:p>
            <w:pPr>
              <w:jc w:val="both"/>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2348</w:t>
            </w:r>
            <w:r/>
          </w:p>
        </w:tc>
        <w:tc>
          <w:tcPr>
            <w:shd w:val="clear" w:color="auto" w:fill="auto"/>
            <w:tcBorders>
              <w:top w:val="none" w:color="000000" w:sz="4" w:space="0"/>
              <w:left w:val="single" w:color="000000" w:sz="4" w:space="0"/>
              <w:bottom w:val="single" w:color="000000" w:sz="4" w:space="0"/>
              <w:right w:val="single" w:color="000000" w:sz="4" w:space="0"/>
            </w:tcBorders>
            <w:tcW w:w="1541"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968"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vMerge w:val="restart"/>
            <w:textDirection w:val="lrTb"/>
            <w:noWrap/>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3020000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固定单价，工程量按实结算，以测绘报告面积为准，以实际养护期为准。</w:t>
            </w:r>
            <w:r/>
          </w:p>
        </w:tc>
      </w:tr>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36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rPr>
                <w:rFonts w:ascii="宋体" w:hAnsi="宋体" w:eastAsia="宋体" w:cs="宋体"/>
                <w:color w:val="auto"/>
                <w:sz w:val="20"/>
                <w:szCs w:val="20"/>
                <w:highlight w:val="none"/>
              </w:rPr>
            </w:pPr>
            <w:r>
              <w:rPr>
                <w:rFonts w:hint="eastAsia"/>
                <w:color w:val="auto"/>
                <w:sz w:val="20"/>
                <w:szCs w:val="20"/>
                <w:highlight w:val="none"/>
              </w:rPr>
              <w:t xml:space="preserve">色块、地被养护</w:t>
            </w:r>
            <w:r/>
          </w:p>
        </w:tc>
        <w:tc>
          <w:tcPr>
            <w:shd w:val="clear" w:color="auto" w:fill="auto"/>
            <w:tcBorders>
              <w:top w:val="none" w:color="000000" w:sz="4" w:space="0"/>
              <w:left w:val="single" w:color="000000" w:sz="4" w:space="0"/>
              <w:bottom w:val="single" w:color="000000" w:sz="4" w:space="0"/>
              <w:right w:val="none" w:color="000000" w:sz="4" w:space="0"/>
            </w:tcBorders>
            <w:tcW w:w="2318" w:type="dxa"/>
            <w:vAlign w:val="center"/>
            <w:textDirection w:val="lrTb"/>
            <w:noWrap w:val="false"/>
          </w:tcPr>
          <w:p>
            <w:pPr>
              <w:rPr>
                <w:rFonts w:ascii="宋体" w:hAnsi="宋体" w:eastAsia="宋体" w:cs="宋体"/>
                <w:color w:val="auto"/>
                <w:sz w:val="18"/>
                <w:szCs w:val="18"/>
                <w:highlight w:val="none"/>
              </w:rPr>
            </w:pPr>
            <w:r>
              <w:rPr>
                <w:rFonts w:hint="eastAsia"/>
                <w:color w:val="auto"/>
                <w:sz w:val="18"/>
                <w:szCs w:val="18"/>
                <w:highlight w:val="none"/>
              </w:rPr>
              <w:t xml:space="preserve">养护期：30个月，三级养护；详见招标技术要求。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both"/>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both"/>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22072.84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vMerge w:val="continue"/>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36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rPr>
                <w:rFonts w:ascii="宋体" w:hAnsi="宋体" w:eastAsia="宋体" w:cs="宋体"/>
                <w:color w:val="auto"/>
                <w:sz w:val="20"/>
                <w:szCs w:val="20"/>
                <w:highlight w:val="none"/>
              </w:rPr>
            </w:pPr>
            <w:r>
              <w:rPr>
                <w:rFonts w:hint="eastAsia"/>
                <w:color w:val="auto"/>
                <w:sz w:val="20"/>
                <w:szCs w:val="20"/>
                <w:highlight w:val="none"/>
              </w:rPr>
              <w:t xml:space="preserve">保留芦苇养护</w:t>
            </w:r>
            <w:r/>
          </w:p>
        </w:tc>
        <w:tc>
          <w:tcPr>
            <w:shd w:val="clear" w:color="auto" w:fill="auto"/>
            <w:tcBorders>
              <w:top w:val="none" w:color="000000" w:sz="4" w:space="0"/>
              <w:left w:val="single" w:color="000000" w:sz="4" w:space="0"/>
              <w:bottom w:val="single" w:color="000000" w:sz="4" w:space="0"/>
              <w:right w:val="none" w:color="000000" w:sz="4" w:space="0"/>
            </w:tcBorders>
            <w:tcW w:w="2318" w:type="dxa"/>
            <w:vAlign w:val="center"/>
            <w:textDirection w:val="lrTb"/>
            <w:noWrap w:val="false"/>
          </w:tcPr>
          <w:p>
            <w:pPr>
              <w:rPr>
                <w:rFonts w:ascii="宋体" w:hAnsi="宋体" w:eastAsia="宋体" w:cs="宋体"/>
                <w:color w:val="auto"/>
                <w:sz w:val="18"/>
                <w:szCs w:val="18"/>
                <w:highlight w:val="none"/>
              </w:rPr>
            </w:pPr>
            <w:r>
              <w:rPr>
                <w:rFonts w:hint="eastAsia"/>
                <w:color w:val="auto"/>
                <w:sz w:val="18"/>
                <w:szCs w:val="18"/>
                <w:highlight w:val="none"/>
              </w:rPr>
              <w:t xml:space="preserve">养护期：30个月，三级养护；详见招标技术要求。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both"/>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both"/>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85369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vMerge w:val="continue"/>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36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rPr>
                <w:rFonts w:ascii="宋体" w:hAnsi="宋体" w:eastAsia="宋体" w:cs="宋体"/>
                <w:color w:val="auto"/>
                <w:sz w:val="20"/>
                <w:szCs w:val="20"/>
                <w:highlight w:val="none"/>
              </w:rPr>
            </w:pPr>
            <w:r>
              <w:rPr>
                <w:rFonts w:hint="eastAsia"/>
                <w:color w:val="auto"/>
                <w:sz w:val="20"/>
                <w:szCs w:val="20"/>
                <w:highlight w:val="none"/>
              </w:rPr>
              <w:t xml:space="preserve">草坪养护</w:t>
            </w:r>
            <w:r/>
          </w:p>
        </w:tc>
        <w:tc>
          <w:tcPr>
            <w:shd w:val="clear" w:color="auto" w:fill="auto"/>
            <w:tcBorders>
              <w:top w:val="none" w:color="000000" w:sz="4" w:space="0"/>
              <w:left w:val="single" w:color="000000" w:sz="4" w:space="0"/>
              <w:bottom w:val="single" w:color="000000" w:sz="4" w:space="0"/>
              <w:right w:val="none" w:color="000000" w:sz="4" w:space="0"/>
            </w:tcBorders>
            <w:tcW w:w="2318" w:type="dxa"/>
            <w:vAlign w:val="center"/>
            <w:textDirection w:val="lrTb"/>
            <w:noWrap w:val="false"/>
          </w:tcPr>
          <w:p>
            <w:pPr>
              <w:rPr>
                <w:rFonts w:ascii="宋体" w:hAnsi="宋体" w:eastAsia="宋体" w:cs="宋体"/>
                <w:color w:val="auto"/>
                <w:sz w:val="18"/>
                <w:szCs w:val="18"/>
                <w:highlight w:val="none"/>
              </w:rPr>
            </w:pPr>
            <w:r>
              <w:rPr>
                <w:rFonts w:hint="eastAsia"/>
                <w:color w:val="auto"/>
                <w:sz w:val="18"/>
                <w:szCs w:val="18"/>
                <w:highlight w:val="none"/>
              </w:rPr>
              <w:t xml:space="preserve">养护期：30个月，三级养护；详见招标技术要求。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both"/>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both"/>
              <w:widowControl/>
              <w:rPr>
                <w:rFonts w:hint="eastAsia" w:ascii="宋体" w:hAnsi="宋体" w:eastAsia="宋体" w:cs="宋体"/>
                <w:color w:val="auto"/>
                <w:sz w:val="18"/>
                <w:szCs w:val="18"/>
                <w:highlight w:val="none"/>
              </w:rPr>
            </w:pPr>
            <w:r/>
            <w:bookmarkStart w:id="74" w:name="OLE_LINK86"/>
            <w:r/>
            <w:bookmarkStart w:id="75" w:name="OLE_LINK87"/>
            <w:r>
              <w:rPr>
                <w:rFonts w:hint="eastAsia" w:ascii="宋体" w:hAnsi="宋体" w:eastAsia="宋体" w:cs="宋体"/>
                <w:color w:val="auto"/>
                <w:sz w:val="18"/>
                <w:szCs w:val="18"/>
                <w:highlight w:val="none"/>
              </w:rPr>
              <w:t xml:space="preserve">176024.1</w:t>
            </w:r>
            <w:bookmarkEnd w:id="74"/>
            <w:r/>
            <w:bookmarkEnd w:id="75"/>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vMerge w:val="continue"/>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bookmarkEnd w:id="72"/>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36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rPr>
                <w:rFonts w:ascii="宋体" w:hAnsi="宋体" w:eastAsia="宋体" w:cs="宋体"/>
                <w:color w:val="auto"/>
                <w:sz w:val="20"/>
                <w:szCs w:val="20"/>
                <w:highlight w:val="none"/>
              </w:rPr>
            </w:pPr>
            <w:r>
              <w:rPr>
                <w:rFonts w:hint="eastAsia"/>
                <w:color w:val="auto"/>
                <w:sz w:val="20"/>
                <w:szCs w:val="20"/>
                <w:highlight w:val="none"/>
              </w:rPr>
              <w:t xml:space="preserve">林地养护</w:t>
            </w:r>
            <w:r/>
          </w:p>
        </w:tc>
        <w:tc>
          <w:tcPr>
            <w:shd w:val="clear" w:color="auto" w:fill="auto"/>
            <w:tcBorders>
              <w:top w:val="none" w:color="000000" w:sz="4" w:space="0"/>
              <w:left w:val="single" w:color="000000" w:sz="4" w:space="0"/>
              <w:bottom w:val="single" w:color="000000" w:sz="4" w:space="0"/>
              <w:right w:val="none" w:color="000000" w:sz="4" w:space="0"/>
            </w:tcBorders>
            <w:tcW w:w="2318" w:type="dxa"/>
            <w:vAlign w:val="center"/>
            <w:textDirection w:val="lrTb"/>
            <w:noWrap w:val="false"/>
          </w:tcPr>
          <w:p>
            <w:pPr>
              <w:rPr>
                <w:rFonts w:ascii="宋体" w:hAnsi="宋体" w:eastAsia="宋体" w:cs="宋体"/>
                <w:color w:val="auto"/>
                <w:sz w:val="18"/>
                <w:szCs w:val="18"/>
                <w:highlight w:val="none"/>
              </w:rPr>
            </w:pPr>
            <w:r>
              <w:rPr>
                <w:rFonts w:hint="eastAsia"/>
                <w:color w:val="auto"/>
                <w:sz w:val="18"/>
                <w:szCs w:val="18"/>
                <w:highlight w:val="none"/>
              </w:rPr>
              <w:t xml:space="preserve">养护期：30个月，三级养护；详见招标技术要求。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both"/>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both"/>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14792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vMerge w:val="continue"/>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bookmarkEnd w:id="73"/>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36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rPr>
                <w:rFonts w:ascii="宋体" w:hAnsi="宋体" w:eastAsia="宋体" w:cs="宋体"/>
                <w:color w:val="auto"/>
                <w:sz w:val="20"/>
                <w:szCs w:val="20"/>
                <w:highlight w:val="none"/>
              </w:rPr>
            </w:pPr>
            <w:r>
              <w:rPr>
                <w:rFonts w:hint="eastAsia"/>
                <w:color w:val="auto"/>
                <w:sz w:val="20"/>
                <w:szCs w:val="20"/>
                <w:highlight w:val="none"/>
              </w:rPr>
              <w:t xml:space="preserve">场地维护维修</w:t>
            </w:r>
            <w:r/>
          </w:p>
        </w:tc>
        <w:tc>
          <w:tcPr>
            <w:shd w:val="clear" w:color="auto" w:fill="auto"/>
            <w:tcBorders>
              <w:top w:val="none" w:color="000000" w:sz="4" w:space="0"/>
              <w:left w:val="single" w:color="000000" w:sz="4" w:space="0"/>
              <w:bottom w:val="single" w:color="000000" w:sz="4" w:space="0"/>
              <w:right w:val="none" w:color="000000" w:sz="4" w:space="0"/>
            </w:tcBorders>
            <w:tcW w:w="2318" w:type="dxa"/>
            <w:vAlign w:val="center"/>
            <w:textDirection w:val="lrTb"/>
            <w:noWrap w:val="false"/>
          </w:tcPr>
          <w:p>
            <w:pPr>
              <w:rPr>
                <w:rFonts w:ascii="宋体" w:hAnsi="宋体" w:eastAsia="宋体" w:cs="宋体"/>
                <w:color w:val="auto"/>
                <w:sz w:val="18"/>
                <w:szCs w:val="18"/>
                <w:highlight w:val="none"/>
              </w:rPr>
            </w:pPr>
            <w:r>
              <w:rPr>
                <w:rFonts w:hint="eastAsia"/>
                <w:color w:val="auto"/>
                <w:sz w:val="18"/>
                <w:szCs w:val="18"/>
                <w:highlight w:val="none"/>
              </w:rPr>
              <w:t xml:space="preserve">场地配套设施的日常看护、维护等。详见招标技术要求。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both"/>
              <w:widowControl/>
              <w:rPr>
                <w:rFonts w:hint="eastAsia" w:ascii="宋体" w:hAnsi="宋体" w:eastAsia="宋体" w:cs="宋体"/>
                <w:color w:val="auto"/>
                <w:sz w:val="18"/>
                <w:szCs w:val="18"/>
                <w:highlight w:val="none"/>
              </w:rPr>
            </w:pPr>
            <w:r/>
            <w:bookmarkStart w:id="76" w:name="OLE_LINK186"/>
            <w:r/>
            <w:bookmarkStart w:id="77" w:name="OLE_LINK187"/>
            <w:r>
              <w:rPr>
                <w:rFonts w:hint="eastAsia" w:ascii="宋体" w:hAnsi="宋体" w:eastAsia="宋体" w:cs="宋体"/>
                <w:color w:val="auto"/>
                <w:sz w:val="18"/>
                <w:szCs w:val="18"/>
                <w:highlight w:val="none"/>
              </w:rPr>
              <w:t xml:space="preserve">项</w:t>
            </w:r>
            <w:bookmarkEnd w:id="76"/>
            <w:r/>
            <w:bookmarkEnd w:id="77"/>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both"/>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tcPr>
          <w:p>
            <w:pPr>
              <w:jc w:val="both"/>
              <w:rPr>
                <w:rFonts w:ascii="宋体" w:hAnsi="宋体" w:eastAsia="宋体" w:cs="宋体"/>
                <w:color w:val="auto"/>
                <w:sz w:val="18"/>
                <w:szCs w:val="18"/>
                <w:highlight w:val="none"/>
              </w:rPr>
            </w:pPr>
            <w:r/>
            <w:bookmarkStart w:id="78" w:name="OLE_LINK182"/>
            <w:r/>
            <w:bookmarkStart w:id="79" w:name="OLE_LINK183"/>
            <w:r>
              <w:rPr>
                <w:rFonts w:hint="eastAsia" w:ascii="宋体" w:hAnsi="宋体" w:eastAsia="宋体" w:cs="宋体"/>
                <w:color w:val="auto"/>
                <w:sz w:val="18"/>
                <w:szCs w:val="18"/>
                <w:highlight w:val="none"/>
              </w:rPr>
              <w:t xml:space="preserve">150000</w:t>
            </w:r>
            <w:bookmarkEnd w:id="78"/>
            <w:r/>
            <w:bookmarkEnd w:id="79"/>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both"/>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费用包干</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（三）绿化养护总费用小计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lef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tcPr>
          <w:p>
            <w:pPr>
              <w:ind w:firstLine="360"/>
              <w:jc w:val="center"/>
              <w:widowControl/>
              <w:rPr>
                <w:rFonts w:ascii="宋体" w:hAnsi="宋体" w:eastAsia="宋体" w:cs="宋体"/>
                <w:color w:val="auto"/>
                <w:sz w:val="18"/>
                <w:szCs w:val="18"/>
                <w:highlight w:val="none"/>
              </w:rPr>
            </w:pPr>
            <w:r>
              <w:rPr>
                <w:rStyle w:val="1095"/>
                <w:rFonts w:hint="default"/>
                <w:color w:val="auto"/>
                <w:sz w:val="18"/>
                <w:szCs w:val="18"/>
                <w:highlight w:val="none"/>
              </w:rPr>
              <w:t xml:space="preserve">绿化养护折合单价（每月费用）：</w:t>
            </w:r>
            <w:r>
              <w:rPr>
                <w:rStyle w:val="1096"/>
                <w:rFonts w:hint="default"/>
                <w:color w:val="auto"/>
                <w:sz w:val="18"/>
                <w:szCs w:val="18"/>
                <w:highlight w:val="none"/>
              </w:rPr>
              <w:t xml:space="preserve">（三）/30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lef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480"/>
        </w:trPr>
        <w:tc>
          <w:tcPr>
            <w:gridSpan w:val="6"/>
            <w:shd w:val="clear" w:color="auto" w:fill="ffff00"/>
            <w:tcBorders>
              <w:top w:val="single" w:color="000000" w:sz="4" w:space="0"/>
              <w:left w:val="single" w:color="000000" w:sz="4" w:space="0"/>
              <w:bottom w:val="single" w:color="000000" w:sz="4" w:space="0"/>
              <w:right w:val="single" w:color="000000" w:sz="4" w:space="0"/>
            </w:tcBorders>
            <w:tcW w:w="7196" w:type="dxa"/>
            <w:vAlign w:val="center"/>
            <w:textDirection w:val="lrTb"/>
            <w:noWrap w:val="false"/>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合计（一+二+三）</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bl>
    <w:p>
      <w:pPr>
        <w:pStyle w:val="946"/>
        <w:ind w:left="0" w:right="-607" w:firstLine="482"/>
        <w:rPr>
          <w:rFonts w:hint="default" w:ascii="宋体" w:hAnsi="宋体" w:eastAsia="宋体" w:cs="宋体"/>
          <w:b/>
          <w:bCs/>
          <w:color w:val="auto"/>
          <w:sz w:val="24"/>
          <w:szCs w:val="24"/>
          <w:highlight w:val="none"/>
          <w:shd w:val="clear" w:color="auto" w:fill="ffffff"/>
        </w:rPr>
      </w:pPr>
      <w:r>
        <w:rPr>
          <w:rFonts w:hint="default" w:ascii="宋体" w:hAnsi="宋体" w:eastAsia="宋体" w:cs="宋体"/>
          <w:b/>
          <w:bCs/>
          <w:color w:val="auto"/>
          <w:sz w:val="24"/>
          <w:szCs w:val="24"/>
          <w:highlight w:val="none"/>
          <w:shd w:val="clear" w:color="auto" w:fill="ffffff"/>
        </w:rPr>
        <w:tab/>
      </w:r>
      <w:r>
        <w:rPr>
          <w:rFonts w:hint="default" w:ascii="宋体" w:hAnsi="宋体" w:eastAsia="宋体" w:cs="宋体"/>
          <w:b/>
          <w:bCs/>
          <w:color w:val="auto"/>
          <w:sz w:val="24"/>
          <w:szCs w:val="24"/>
          <w:highlight w:val="none"/>
          <w:shd w:val="clear" w:color="auto" w:fill="ffffff"/>
        </w:rPr>
        <w:tab/>
      </w:r>
      <w:r>
        <w:rPr>
          <w:rFonts w:hint="default" w:ascii="宋体" w:hAnsi="宋体" w:eastAsia="宋体" w:cs="宋体"/>
          <w:b/>
          <w:bCs/>
          <w:color w:val="auto"/>
          <w:sz w:val="24"/>
          <w:szCs w:val="24"/>
          <w:highlight w:val="none"/>
          <w:shd w:val="clear" w:color="auto" w:fill="ffffff"/>
        </w:rPr>
        <w:tab/>
      </w:r>
      <w:r>
        <w:rPr>
          <w:rFonts w:hint="default" w:ascii="宋体" w:hAnsi="宋体" w:eastAsia="宋体" w:cs="宋体"/>
          <w:b/>
          <w:bCs/>
          <w:color w:val="auto"/>
          <w:sz w:val="24"/>
          <w:szCs w:val="24"/>
          <w:highlight w:val="none"/>
          <w:shd w:val="clear" w:color="auto" w:fill="ffffff"/>
        </w:rPr>
        <w:tab/>
      </w:r>
      <w:r>
        <w:rPr>
          <w:rFonts w:hint="default" w:ascii="宋体" w:hAnsi="宋体" w:eastAsia="宋体" w:cs="宋体"/>
          <w:b/>
          <w:bCs/>
          <w:color w:val="auto"/>
          <w:sz w:val="24"/>
          <w:szCs w:val="24"/>
          <w:highlight w:val="none"/>
          <w:shd w:val="clear" w:color="auto" w:fill="ffffff"/>
        </w:rPr>
        <w:tab/>
      </w:r>
      <w:r>
        <w:rPr>
          <w:rFonts w:hint="default" w:ascii="宋体" w:hAnsi="宋体" w:eastAsia="宋体" w:cs="宋体"/>
          <w:b/>
          <w:bCs/>
          <w:color w:val="auto"/>
          <w:sz w:val="24"/>
          <w:szCs w:val="24"/>
          <w:highlight w:val="none"/>
          <w:shd w:val="clear" w:color="auto" w:fill="ffffff"/>
        </w:rPr>
        <w:tab/>
      </w:r>
      <w:r/>
    </w:p>
    <w:p>
      <w:pPr>
        <w:pStyle w:val="946"/>
        <w:ind w:left="0" w:right="-607" w:firstLine="482"/>
        <w:rPr>
          <w:rFonts w:hint="default" w:ascii="宋体" w:hAnsi="宋体" w:eastAsia="宋体" w:cs="宋体"/>
          <w:b/>
          <w:bCs/>
          <w:color w:val="auto"/>
          <w:sz w:val="24"/>
          <w:szCs w:val="24"/>
          <w:highlight w:val="none"/>
          <w:shd w:val="clear" w:color="auto" w:fill="ffffff"/>
        </w:rPr>
      </w:pPr>
      <w:r>
        <w:rPr>
          <w:rFonts w:hint="default" w:ascii="宋体" w:hAnsi="宋体" w:eastAsia="宋体" w:cs="宋体"/>
          <w:b/>
          <w:bCs/>
          <w:color w:val="auto"/>
          <w:sz w:val="24"/>
          <w:szCs w:val="24"/>
          <w:highlight w:val="none"/>
          <w:shd w:val="clear" w:color="auto" w:fill="ffffff"/>
        </w:rPr>
        <w:t xml:space="preserve">注：</w:t>
      </w:r>
      <w:r/>
    </w:p>
    <w:p>
      <w:pPr>
        <w:pStyle w:val="946"/>
        <w:ind w:left="0" w:right="-607" w:firstLine="482"/>
        <w:rPr>
          <w:rFonts w:hint="default" w:ascii="宋体" w:hAnsi="宋体" w:eastAsia="宋体" w:cs="宋体"/>
          <w:b/>
          <w:bCs/>
          <w:color w:val="auto"/>
          <w:sz w:val="24"/>
          <w:szCs w:val="24"/>
          <w:highlight w:val="none"/>
          <w:shd w:val="clear" w:color="auto" w:fill="ffffff"/>
        </w:rPr>
      </w:pPr>
      <w:r>
        <w:rPr>
          <w:rFonts w:hint="default" w:ascii="宋体" w:hAnsi="宋体" w:eastAsia="宋体" w:cs="宋体"/>
          <w:b/>
          <w:bCs/>
          <w:color w:val="auto"/>
          <w:sz w:val="24"/>
          <w:szCs w:val="24"/>
          <w:highlight w:val="none"/>
          <w:shd w:val="clear" w:color="auto" w:fill="ffffff"/>
        </w:rPr>
        <w:t xml:space="preserve">1、投标单价为全费用综合单价，包括了所需要的人工费、施工费、损耗费、运输保管费、安装调</w:t>
      </w:r>
      <w:bookmarkStart w:id="80" w:name="OLE_LINK20"/>
      <w:r/>
      <w:bookmarkStart w:id="81" w:name="OLE_LINK19"/>
      <w:r>
        <w:rPr>
          <w:rFonts w:hint="default" w:ascii="宋体" w:hAnsi="宋体" w:eastAsia="宋体" w:cs="宋体"/>
          <w:b/>
          <w:bCs/>
          <w:color w:val="auto"/>
          <w:sz w:val="24"/>
          <w:szCs w:val="24"/>
          <w:highlight w:val="none"/>
          <w:shd w:val="clear" w:color="auto" w:fill="ffffff"/>
        </w:rPr>
        <w:t xml:space="preserve">试费、质量保</w:t>
      </w:r>
      <w:bookmarkEnd w:id="80"/>
      <w:r/>
      <w:bookmarkEnd w:id="81"/>
      <w:r>
        <w:rPr>
          <w:rFonts w:hint="default" w:ascii="宋体" w:hAnsi="宋体" w:eastAsia="宋体" w:cs="宋体"/>
          <w:b/>
          <w:bCs/>
          <w:color w:val="auto"/>
          <w:sz w:val="24"/>
          <w:szCs w:val="24"/>
          <w:highlight w:val="none"/>
          <w:shd w:val="clear" w:color="auto" w:fill="ffffff"/>
        </w:rPr>
        <w:t xml:space="preserve">证费、售后服务费（含培训费）、财务成本、管理成本、各种税费、保险、劳保、利润、税金、政策性文件规定及合同包含的所有风险、责任等各项应有费用。</w:t>
      </w:r>
      <w:r/>
    </w:p>
    <w:p>
      <w:pPr>
        <w:pStyle w:val="946"/>
        <w:ind w:left="0" w:right="-607" w:firstLine="482"/>
        <w:rPr>
          <w:rFonts w:hint="default"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 xml:space="preserve">2、场地维护维修是指做好地块及周边市容环境管理，负责地块围栏及内部设施的管护及基本维修。</w:t>
      </w:r>
      <w:r/>
    </w:p>
    <w:p>
      <w:pPr>
        <w:pStyle w:val="946"/>
        <w:ind w:left="0" w:right="-607" w:firstLine="482"/>
        <w:rPr>
          <w:rFonts w:hint="default"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 xml:space="preserve">3</w:t>
      </w:r>
      <w:r>
        <w:rPr>
          <w:rFonts w:hint="default" w:ascii="宋体" w:hAnsi="宋体" w:eastAsia="宋体" w:cs="宋体"/>
          <w:b/>
          <w:bCs/>
          <w:color w:val="auto"/>
          <w:sz w:val="24"/>
          <w:szCs w:val="24"/>
          <w:highlight w:val="none"/>
          <w:shd w:val="clear" w:color="auto" w:fill="ffffff"/>
        </w:rPr>
        <w:t xml:space="preserve">、该表中所列的项目名称、工程量仅</w:t>
      </w:r>
      <w:bookmarkStart w:id="82" w:name="OLE_LINK34"/>
      <w:r/>
      <w:bookmarkStart w:id="83" w:name="OLE_LINK35"/>
      <w:r>
        <w:rPr>
          <w:rFonts w:hint="default" w:ascii="宋体" w:hAnsi="宋体" w:eastAsia="宋体" w:cs="宋体"/>
          <w:b/>
          <w:bCs/>
          <w:color w:val="auto"/>
          <w:sz w:val="24"/>
          <w:szCs w:val="24"/>
          <w:highlight w:val="none"/>
          <w:shd w:val="clear" w:color="auto" w:fill="ffffff"/>
        </w:rPr>
        <w:t xml:space="preserve">作为投标的</w:t>
      </w:r>
      <w:bookmarkStart w:id="84" w:name="OLE_LINK28"/>
      <w:r/>
      <w:bookmarkStart w:id="85" w:name="OLE_LINK29"/>
      <w:r>
        <w:rPr>
          <w:rFonts w:hint="default" w:ascii="宋体" w:hAnsi="宋体" w:eastAsia="宋体" w:cs="宋体"/>
          <w:b/>
          <w:bCs/>
          <w:color w:val="auto"/>
          <w:sz w:val="24"/>
          <w:szCs w:val="24"/>
          <w:highlight w:val="none"/>
          <w:shd w:val="clear" w:color="auto" w:fill="ffffff"/>
        </w:rPr>
        <w:t xml:space="preserve">共同</w:t>
      </w:r>
      <w:bookmarkEnd w:id="82"/>
      <w:r/>
      <w:bookmarkEnd w:id="83"/>
      <w:r>
        <w:rPr>
          <w:rFonts w:hint="default" w:ascii="宋体" w:hAnsi="宋体" w:eastAsia="宋体" w:cs="宋体"/>
          <w:b/>
          <w:bCs/>
          <w:color w:val="auto"/>
          <w:sz w:val="24"/>
          <w:szCs w:val="24"/>
          <w:highlight w:val="none"/>
          <w:shd w:val="clear" w:color="auto" w:fill="ffffff"/>
        </w:rPr>
        <w:t xml:space="preserve">基础，以实际</w:t>
      </w:r>
      <w:bookmarkEnd w:id="84"/>
      <w:r/>
      <w:bookmarkEnd w:id="85"/>
      <w:r>
        <w:rPr>
          <w:rFonts w:hint="default" w:ascii="宋体" w:hAnsi="宋体" w:eastAsia="宋体" w:cs="宋体"/>
          <w:b/>
          <w:bCs/>
          <w:color w:val="auto"/>
          <w:sz w:val="24"/>
          <w:szCs w:val="24"/>
          <w:highlight w:val="none"/>
          <w:shd w:val="clear" w:color="auto" w:fill="ffffff"/>
        </w:rPr>
        <w:t xml:space="preserve">实施的情况并经审计后为准（注明费用包干的除外）。本表中未单独列项但属于本项目服务内容的相关费用在投标报价中综合考虑，不再增加费用。</w:t>
      </w:r>
      <w:r/>
    </w:p>
    <w:p>
      <w:pPr>
        <w:pStyle w:val="946"/>
        <w:ind w:left="0" w:right="-607" w:firstLine="482"/>
        <w:rPr>
          <w:rFonts w:hint="default"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 xml:space="preserve">4</w:t>
      </w:r>
      <w:r>
        <w:rPr>
          <w:rFonts w:hint="default" w:ascii="宋体" w:hAnsi="宋体" w:eastAsia="宋体" w:cs="宋体"/>
          <w:b/>
          <w:bCs/>
          <w:color w:val="auto"/>
          <w:sz w:val="24"/>
          <w:szCs w:val="24"/>
          <w:highlight w:val="none"/>
          <w:shd w:val="clear" w:color="auto" w:fill="ffffff"/>
        </w:rPr>
        <w:t xml:space="preserve">、投标人应对采购方提供的清单中的全部项目填报单价和合价。清单中的每一单项均应计算并填写单价和合价。每一项只允许有一个报价。任何有选择的报价将不予接受。投标人未填单价或合价的项目，在实施后，采购方将不予支付，并视为该项费用已包括在其它有价款的单价或合价内。</w:t>
      </w:r>
      <w:r/>
    </w:p>
    <w:p>
      <w:pPr>
        <w:pStyle w:val="946"/>
        <w:ind w:left="0" w:right="-607" w:firstLine="482"/>
        <w:rPr>
          <w:rFonts w:hint="default"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 xml:space="preserve">5</w:t>
      </w:r>
      <w:r>
        <w:rPr>
          <w:rFonts w:hint="default" w:ascii="宋体" w:hAnsi="宋体" w:eastAsia="宋体" w:cs="宋体"/>
          <w:b/>
          <w:bCs/>
          <w:color w:val="auto"/>
          <w:sz w:val="24"/>
          <w:szCs w:val="24"/>
          <w:highlight w:val="none"/>
          <w:shd w:val="clear" w:color="auto" w:fill="ffffff"/>
        </w:rPr>
        <w:t xml:space="preserve">、单价、小计、合计均须以人民币元表示，各金额均须用小写填写，并精确到小数点后2位。</w:t>
      </w:r>
      <w:r/>
    </w:p>
    <w:p>
      <w:pPr>
        <w:pStyle w:val="946"/>
        <w:ind w:left="0" w:right="-607" w:firstLine="482"/>
        <w:rPr>
          <w:rFonts w:hint="default"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 xml:space="preserve">6</w:t>
      </w:r>
      <w:r>
        <w:rPr>
          <w:rFonts w:hint="default" w:ascii="宋体" w:hAnsi="宋体" w:eastAsia="宋体" w:cs="宋体"/>
          <w:b/>
          <w:bCs/>
          <w:color w:val="auto"/>
          <w:sz w:val="24"/>
          <w:szCs w:val="24"/>
          <w:highlight w:val="none"/>
          <w:shd w:val="clear" w:color="auto" w:fill="ffffff"/>
        </w:rPr>
        <w:t xml:space="preserve">、上述内容未按要求填报的，视为无效响应。</w:t>
      </w:r>
      <w:r/>
    </w:p>
    <w:p>
      <w:pPr>
        <w:ind w:firstLine="482"/>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pStyle w:val="935"/>
        <w:ind w:firstLine="480"/>
        <w:rPr>
          <w:color w:val="auto"/>
          <w:highlight w:val="none"/>
        </w:rPr>
      </w:pPr>
      <w:r/>
      <w:bookmarkStart w:id="86" w:name="OLE_LINK169"/>
      <w:r/>
      <w:bookmarkStart w:id="87" w:name="OLE_LINK172"/>
      <w:r>
        <w:rPr>
          <w:rFonts w:hint="eastAsia"/>
          <w:color w:val="auto"/>
          <w:highlight w:val="none"/>
        </w:rPr>
        <w:t xml:space="preserve">经济型农业种植收益表</w:t>
      </w:r>
      <w:r/>
    </w:p>
    <w:tbl>
      <w:tblPr>
        <w:tblStyle w:val="934"/>
        <w:tblpPr w:horzAnchor="page" w:tblpXSpec="center" w:vertAnchor="text" w:tblpY="446" w:leftFromText="180" w:topFromText="0" w:rightFromText="180" w:bottomFromText="0"/>
        <w:tblW w:w="10397"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091"/>
        <w:gridCol w:w="2318"/>
        <w:gridCol w:w="736"/>
        <w:gridCol w:w="832"/>
        <w:gridCol w:w="1541"/>
        <w:gridCol w:w="968"/>
        <w:gridCol w:w="1159"/>
        <w:gridCol w:w="1070"/>
      </w:tblGrid>
      <w:tr>
        <w:trPr>
          <w:jc w:val="center"/>
          <w:trHeight w:val="375"/>
        </w:trPr>
        <w:tc>
          <w:tcPr>
            <w:shd w:val="clear" w:color="auto" w:fill="ffffff"/>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vMerge w:val="restart"/>
            <w:textDirection w:val="lrTb"/>
            <w:noWrap w:val="false"/>
          </w:tcPr>
          <w:p>
            <w:pP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2318" w:type="dxa"/>
            <w:vAlign w:val="center"/>
            <w:vMerge w:val="restart"/>
            <w:textDirection w:val="lrTb"/>
            <w:noWrap w:val="false"/>
          </w:tcPr>
          <w:p>
            <w:pPr>
              <w:ind w:firstLine="360"/>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项目特征描述</w:t>
            </w:r>
            <w:r/>
          </w:p>
        </w:tc>
        <w:tc>
          <w:tcPr>
            <w:shd w:val="clear" w:color="auto" w:fill="ffffff"/>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计量单位</w:t>
            </w:r>
            <w:r/>
          </w:p>
        </w:tc>
        <w:tc>
          <w:tcPr>
            <w:shd w:val="clear" w:color="auto" w:fill="ffffff"/>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工程量（A)</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vMerge w:val="restart"/>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投标单价</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(B）</w:t>
            </w:r>
            <w:r/>
          </w:p>
        </w:tc>
        <w:tc>
          <w:tcPr>
            <w:shd w:val="clear" w:color="auto" w:fill="ffffff"/>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投标合价</w:t>
            </w:r>
            <w:r/>
          </w:p>
        </w:tc>
        <w:tc>
          <w:tcPr>
            <w:shd w:val="clear" w:color="auto" w:fill="ffffff"/>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最低限价（总价）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18"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C =A*B</w:t>
            </w:r>
            <w:r/>
          </w:p>
        </w:tc>
        <w:tc>
          <w:tcPr>
            <w:shd w:val="clear" w:color="auto" w:fill="ffffff"/>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ind w:firstLine="360"/>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经济型农业种植</w:t>
            </w:r>
            <w:r/>
          </w:p>
        </w:tc>
        <w:tc>
          <w:tcPr>
            <w:shd w:val="clear" w:color="auto" w:fill="ffffff"/>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每年轮种水稻、小麦，服务期内种植6季，单位面积株数：籽播3千克/亩。含种子、田间管理，追肥、收割，种植成本与收益相抵，剩余收益上交国库。</w:t>
            </w:r>
            <w:r/>
          </w:p>
        </w:tc>
        <w:tc>
          <w:tcPr>
            <w:shd w:val="clear" w:color="auto" w:fill="ffffff"/>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firstLine="360"/>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亩</w:t>
            </w:r>
            <w:r/>
          </w:p>
        </w:tc>
        <w:tc>
          <w:tcPr>
            <w:shd w:val="clear" w:color="auto" w:fill="ffffff"/>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180"/>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ind w:firstLine="360"/>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firstLine="360"/>
              <w:jc w:val="both"/>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12000</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firstLine="360"/>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bookmarkEnd w:id="86"/>
            <w:r/>
            <w:bookmarkEnd w:id="87"/>
            <w:r/>
            <w:r/>
          </w:p>
        </w:tc>
      </w:tr>
    </w:tbl>
    <w:p>
      <w:pPr>
        <w:pStyle w:val="935"/>
        <w:rPr>
          <w:color w:val="auto"/>
          <w:highlight w:val="none"/>
        </w:rPr>
      </w:pPr>
      <w:r/>
      <w:bookmarkStart w:id="88" w:name="OLE_LINK166"/>
      <w:r/>
      <w:bookmarkStart w:id="89" w:name="OLE_LINK167"/>
      <w:r/>
      <w:bookmarkStart w:id="90" w:name="OLE_LINK127"/>
      <w:r/>
      <w:bookmarkStart w:id="91" w:name="OLE_LINK128"/>
      <w:r>
        <w:rPr>
          <w:rFonts w:hint="eastAsia"/>
          <w:color w:val="auto"/>
          <w:sz w:val="18"/>
          <w:szCs w:val="18"/>
          <w:highlight w:val="none"/>
        </w:rPr>
        <w:t xml:space="preserve">                                                                       单位（人民币）：元</w:t>
      </w:r>
      <w:bookmarkEnd w:id="88"/>
      <w:r/>
      <w:bookmarkEnd w:id="89"/>
      <w:r/>
      <w:r/>
    </w:p>
    <w:p>
      <w:pPr>
        <w:rPr>
          <w:color w:val="auto"/>
          <w:highlight w:val="none"/>
        </w:rPr>
      </w:pPr>
      <w:r>
        <w:rPr>
          <w:color w:val="auto"/>
          <w:highlight w:val="none"/>
        </w:rPr>
      </w:r>
      <w:r/>
    </w:p>
    <w:p>
      <w:pPr>
        <w:rPr>
          <w:color w:val="auto"/>
          <w:highlight w:val="none"/>
        </w:rPr>
      </w:pPr>
      <w:r>
        <w:rPr>
          <w:color w:val="auto"/>
          <w:highlight w:val="none"/>
        </w:rPr>
      </w:r>
      <w:bookmarkEnd w:id="90"/>
      <w:r/>
      <w:bookmarkEnd w:id="91"/>
      <w:r/>
      <w:r/>
    </w:p>
    <w:p>
      <w:pPr>
        <w:ind w:firstLine="482"/>
        <w:spacing w:line="360" w:lineRule="auto"/>
        <w:rPr>
          <w:rFonts w:hint="eastAsia" w:ascii="宋体" w:hAnsi="宋体" w:eastAsia="宋体" w:cs="宋体"/>
          <w:b/>
          <w:color w:val="auto"/>
          <w:sz w:val="24"/>
          <w:szCs w:val="24"/>
          <w:highlight w:val="none"/>
          <w:shd w:val="clear" w:color="auto" w:fill="ffffff"/>
        </w:rPr>
        <w:outlineLvl w:val="1"/>
      </w:pPr>
      <w:r/>
      <w:bookmarkStart w:id="92" w:name="OLE_LINK193"/>
      <w:r/>
      <w:bookmarkStart w:id="93" w:name="OLE_LINK192"/>
      <w:r>
        <w:rPr>
          <w:rFonts w:hint="eastAsia" w:ascii="宋体" w:hAnsi="宋体" w:eastAsia="宋体" w:cs="宋体"/>
          <w:b/>
          <w:color w:val="auto"/>
          <w:sz w:val="24"/>
          <w:szCs w:val="24"/>
          <w:highlight w:val="none"/>
          <w:shd w:val="clear" w:color="auto" w:fill="ffffff"/>
        </w:rPr>
        <w:t xml:space="preserve">注：</w:t>
      </w:r>
      <w:r/>
    </w:p>
    <w:p>
      <w:pPr>
        <w:ind w:firstLine="482"/>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1、经济型农作物种植净收益（总收益扣除种植成本后）的报价不低于12000元，该收益由中标单位上交园区国库。</w:t>
      </w:r>
      <w:r/>
    </w:p>
    <w:p>
      <w:pPr>
        <w:ind w:firstLine="482"/>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2、单价、小计、合计均须以人民币元表示，各金额均须用小写填写，并精确到小数点后2位。</w:t>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3、上述内容未按要求填报的，视为无效响应。</w:t>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bookmarkEnd w:id="92"/>
      <w:r/>
      <w:bookmarkEnd w:id="93"/>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6、针对本项目制定的服务实施方案</w:t>
      </w:r>
      <w:r/>
    </w:p>
    <w:p>
      <w:pPr>
        <w:ind w:firstLine="482"/>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针对本项目制定的服务实施方案</w:t>
      </w:r>
      <w:r/>
    </w:p>
    <w:tbl>
      <w:tblPr>
        <w:tblStyle w:val="934"/>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ind w:firstLine="480"/>
              <w:jc w:val="left"/>
              <w:spacing w:line="360" w:lineRule="auto"/>
              <w:tabs>
                <w:tab w:val="left" w:pos="132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rPr>
              <w:t xml:space="preserve">供应商应根据本次采购项目要求，对服务实施方案等进行详细的说明与描述。</w:t>
            </w:r>
            <w:r>
              <w:rPr>
                <w:rFonts w:hint="eastAsia" w:ascii="宋体" w:hAnsi="宋体" w:eastAsia="宋体" w:cs="宋体"/>
                <w:color w:val="auto"/>
                <w:sz w:val="24"/>
                <w:szCs w:val="24"/>
                <w:highlight w:val="none"/>
                <w:shd w:val="clear" w:color="auto" w:fill="ffffff"/>
              </w:rPr>
              <w:t xml:space="preserve">供应商可根据自身情况编写，本页不够可另加页附后。</w:t>
            </w:r>
            <w:r/>
          </w:p>
          <w:p>
            <w:pPr>
              <w:ind w:firstLine="482"/>
              <w:jc w:val="left"/>
              <w:spacing w:line="360" w:lineRule="auto"/>
              <w:tabs>
                <w:tab w:val="left" w:pos="0" w:leader="none"/>
              </w:tabs>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4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4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bCs/>
          <w:color w:val="auto"/>
          <w:sz w:val="24"/>
          <w:szCs w:val="24"/>
          <w:highlight w:val="none"/>
          <w:shd w:val="clear" w:color="auto" w:fill="ffffff"/>
          <w:lang w:val="zh-CN"/>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7、服务或技术要求偏离表</w:t>
      </w:r>
      <w:r/>
    </w:p>
    <w:p>
      <w:pPr>
        <w:ind w:firstLine="482"/>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9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both"/>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800" w:type="dxa"/>
            <w:vAlign w:val="center"/>
            <w:textDirection w:val="lrTb"/>
            <w:noWrap w:val="false"/>
          </w:tcPr>
          <w:p>
            <w:pPr>
              <w:ind w:firstLine="480"/>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w:t>
            </w:r>
            <w:r/>
          </w:p>
        </w:tc>
        <w:tc>
          <w:tcPr>
            <w:tcW w:w="1620" w:type="dxa"/>
            <w:vAlign w:val="center"/>
            <w:textDirection w:val="lrTb"/>
            <w:noWrap w:val="false"/>
          </w:tcPr>
          <w:p>
            <w:pPr>
              <w:jc w:val="both"/>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招标要求</w:t>
            </w:r>
            <w:r/>
          </w:p>
        </w:tc>
        <w:tc>
          <w:tcPr>
            <w:tcW w:w="1440" w:type="dxa"/>
            <w:vAlign w:val="center"/>
            <w:textDirection w:val="lrTb"/>
            <w:noWrap w:val="false"/>
          </w:tcPr>
          <w:p>
            <w:pPr>
              <w:jc w:val="both"/>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投标要求</w:t>
            </w:r>
            <w:r/>
          </w:p>
        </w:tc>
        <w:tc>
          <w:tcPr>
            <w:tcW w:w="1699" w:type="dxa"/>
            <w:vAlign w:val="center"/>
            <w:textDirection w:val="lrTb"/>
            <w:noWrap w:val="false"/>
          </w:tcPr>
          <w:p>
            <w:pPr>
              <w:jc w:val="both"/>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偏离/响应</w:t>
            </w:r>
            <w:r/>
          </w:p>
        </w:tc>
        <w:tc>
          <w:tcPr>
            <w:tcW w:w="1757" w:type="dxa"/>
            <w:vAlign w:val="center"/>
            <w:textDirection w:val="lrTb"/>
            <w:noWrap w:val="false"/>
          </w:tcPr>
          <w:p>
            <w:pPr>
              <w:ind w:firstLine="480"/>
              <w:jc w:val="both"/>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828"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0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2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4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99"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0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2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4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99"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0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2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4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99"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0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2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4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99"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0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2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4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99"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0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2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4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99"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0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2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4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99"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0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2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4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99"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0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2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4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99"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0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2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40"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699"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textDirection w:val="lrTb"/>
            <w:noWrap w:val="false"/>
          </w:tcPr>
          <w:p>
            <w:pPr>
              <w:ind w:firstLine="480"/>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注：1、供应商应对照招标文件要求，所提供的服务与招标文件的规定有偏离的，应在此表中申明与招标要求的偏差和例外。</w:t>
      </w:r>
      <w:r/>
    </w:p>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2、未在上表中说明的，如在响应文件其他内容中已有文字说明的，则以已有文字说明为准，否则，将被认为完全响应招标文件的规定。但该表不作为供应商对所投服务要求详细描述和说明的替代。</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8、商务条款偏离表</w:t>
      </w:r>
      <w:r/>
    </w:p>
    <w:p>
      <w:pPr>
        <w:ind w:firstLine="48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商务条款偏离表</w:t>
      </w:r>
      <w:r/>
    </w:p>
    <w:tbl>
      <w:tblPr>
        <w:tblStyle w:val="9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920"/>
        <w:gridCol w:w="2400"/>
        <w:gridCol w:w="2400"/>
        <w:gridCol w:w="1097"/>
      </w:tblGrid>
      <w:tr>
        <w:trPr>
          <w:jc w:val="center"/>
        </w:trPr>
        <w:tc>
          <w:tcPr>
            <w:tcW w:w="1430" w:type="dxa"/>
            <w:textDirection w:val="lrTb"/>
            <w:noWrap w:val="false"/>
          </w:tcPr>
          <w:p>
            <w:pPr>
              <w:ind w:firstLine="480"/>
              <w:jc w:val="both"/>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920" w:type="dxa"/>
            <w:textDirection w:val="lrTb"/>
            <w:noWrap w:val="false"/>
          </w:tcPr>
          <w:p>
            <w:pPr>
              <w:jc w:val="both"/>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招标文件条目号</w:t>
            </w:r>
            <w:r/>
          </w:p>
        </w:tc>
        <w:tc>
          <w:tcPr>
            <w:tcW w:w="2400" w:type="dxa"/>
            <w:textDirection w:val="lrTb"/>
            <w:noWrap w:val="false"/>
          </w:tcPr>
          <w:p>
            <w:pPr>
              <w:jc w:val="both"/>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招标文件的商务条款</w:t>
            </w:r>
            <w:r/>
          </w:p>
        </w:tc>
        <w:tc>
          <w:tcPr>
            <w:tcW w:w="2400" w:type="dxa"/>
            <w:textDirection w:val="lrTb"/>
            <w:noWrap w:val="false"/>
          </w:tcPr>
          <w:p>
            <w:pPr>
              <w:jc w:val="both"/>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投标文件的商务条款</w:t>
            </w:r>
            <w:r/>
          </w:p>
        </w:tc>
        <w:tc>
          <w:tcPr>
            <w:tcW w:w="1097" w:type="dxa"/>
            <w:textDirection w:val="lrTb"/>
            <w:noWrap w:val="false"/>
          </w:tcPr>
          <w:p>
            <w:pPr>
              <w:jc w:val="both"/>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143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92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92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92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92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92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92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92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92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92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92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400"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textDirection w:val="lrTb"/>
            <w:noWrap w:val="false"/>
          </w:tcPr>
          <w:p>
            <w:pPr>
              <w:ind w:firstLine="480"/>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供应商的投标文件（除服务要求部分）与招标文件规定的有偏离的，应在此表中说明。未在上表中说明的，如在响应文件其他内容中已有文字说明的，则以已有文字说明为准，否则，将被认为完全响应招标文件的规定。但该表不作为供应商对所投标的物关于商务条款等详细描述和说明的替代。</w:t>
      </w:r>
      <w:r/>
    </w:p>
    <w:p>
      <w:pPr>
        <w:ind w:firstLine="482"/>
        <w:spacing w:line="360" w:lineRule="auto"/>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9、拟投入项目组人员一览表</w:t>
      </w:r>
      <w:r/>
    </w:p>
    <w:p>
      <w:pPr>
        <w:ind w:firstLine="482"/>
        <w:jc w:val="cente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9.1拟投入项目组人员一览表</w:t>
      </w:r>
      <w:r/>
    </w:p>
    <w:tbl>
      <w:tblPr>
        <w:tblStyle w:val="934"/>
        <w:tblW w:w="9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003"/>
        <w:gridCol w:w="993"/>
        <w:gridCol w:w="1275"/>
        <w:gridCol w:w="709"/>
        <w:gridCol w:w="851"/>
        <w:gridCol w:w="1744"/>
        <w:gridCol w:w="802"/>
      </w:tblGrid>
      <w:tr>
        <w:trPr>
          <w:jc w:val="center"/>
          <w:trHeight w:val="627"/>
        </w:trPr>
        <w:tc>
          <w:tcPr>
            <w:tcW w:w="675" w:type="dxa"/>
            <w:vAlign w:val="center"/>
            <w:textDirection w:val="lrTb"/>
            <w:noWrap w:val="false"/>
          </w:tcPr>
          <w:p>
            <w:pP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序号</w:t>
            </w:r>
            <w:r/>
          </w:p>
        </w:tc>
        <w:tc>
          <w:tcPr>
            <w:tcW w:w="2003" w:type="dxa"/>
            <w:vAlign w:val="center"/>
            <w:textDirection w:val="lrTb"/>
            <w:noWrap w:val="false"/>
          </w:tcPr>
          <w:p>
            <w:pP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在本项目中岗位</w:t>
            </w:r>
            <w:r/>
          </w:p>
        </w:tc>
        <w:tc>
          <w:tcPr>
            <w:tcW w:w="993" w:type="dxa"/>
            <w:vAlign w:val="center"/>
            <w:textDirection w:val="lrTb"/>
            <w:noWrap w:val="false"/>
          </w:tcPr>
          <w:p>
            <w:pP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姓名</w:t>
            </w:r>
            <w:r/>
          </w:p>
        </w:tc>
        <w:tc>
          <w:tcPr>
            <w:tcW w:w="1275" w:type="dxa"/>
            <w:vAlign w:val="center"/>
            <w:textDirection w:val="lrTb"/>
            <w:noWrap w:val="false"/>
          </w:tcPr>
          <w:p>
            <w:pP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身份证号码</w:t>
            </w:r>
            <w:r/>
          </w:p>
        </w:tc>
        <w:tc>
          <w:tcPr>
            <w:tcW w:w="709" w:type="dxa"/>
            <w:vAlign w:val="center"/>
            <w:textDirection w:val="lrTb"/>
            <w:noWrap w:val="false"/>
          </w:tcPr>
          <w:p>
            <w:pP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年龄</w:t>
            </w:r>
            <w:r/>
          </w:p>
        </w:tc>
        <w:tc>
          <w:tcPr>
            <w:tcW w:w="851" w:type="dxa"/>
            <w:vAlign w:val="center"/>
            <w:textDirection w:val="lrTb"/>
            <w:noWrap w:val="false"/>
          </w:tcPr>
          <w:p>
            <w:pP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学历</w:t>
            </w:r>
            <w:r/>
          </w:p>
        </w:tc>
        <w:tc>
          <w:tcPr>
            <w:tcW w:w="1744" w:type="dxa"/>
            <w:vAlign w:val="center"/>
            <w:textDirection w:val="lrTb"/>
            <w:noWrap w:val="false"/>
          </w:tcPr>
          <w:p>
            <w:pP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从事本工作时间</w:t>
            </w:r>
            <w:r/>
          </w:p>
        </w:tc>
        <w:tc>
          <w:tcPr>
            <w:tcW w:w="802" w:type="dxa"/>
            <w:vAlign w:val="center"/>
            <w:textDirection w:val="lrTb"/>
            <w:noWrap w:val="false"/>
          </w:tcPr>
          <w:p>
            <w:pP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备注</w:t>
            </w:r>
            <w:r/>
          </w:p>
        </w:tc>
      </w:tr>
      <w:tr>
        <w:trPr>
          <w:jc w:val="center"/>
          <w:trHeight w:val="651"/>
        </w:trPr>
        <w:tc>
          <w:tcPr>
            <w:tcW w:w="675" w:type="dxa"/>
            <w:vAlign w:val="center"/>
            <w:textDirection w:val="lrTb"/>
            <w:noWrap w:val="false"/>
          </w:tcPr>
          <w:p>
            <w:pPr>
              <w:jc w:val="both"/>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2003" w:type="dxa"/>
            <w:vAlign w:val="center"/>
            <w:textDirection w:val="lrTb"/>
            <w:noWrap w:val="false"/>
          </w:tcPr>
          <w:p>
            <w:pPr>
              <w:ind w:firstLine="440"/>
              <w:jc w:val="left"/>
              <w:widowControl/>
              <w:rPr>
                <w:rFonts w:ascii="宋体" w:hAnsi="宋体" w:eastAsia="宋体" w:cs="宋体"/>
                <w:bCs/>
                <w:color w:val="auto"/>
                <w:sz w:val="24"/>
                <w:szCs w:val="24"/>
                <w:highlight w:val="none"/>
                <w:shd w:val="clear" w:color="auto" w:fill="ffffff"/>
              </w:rPr>
            </w:pPr>
            <w:r>
              <w:rPr>
                <w:rFonts w:hint="eastAsia" w:ascii="宋体" w:hAnsi="宋体" w:eastAsia="宋体" w:cs="宋体"/>
                <w:color w:val="auto"/>
                <w:sz w:val="22"/>
                <w:highlight w:val="none"/>
              </w:rPr>
              <w:t xml:space="preserve">项目经理</w:t>
            </w:r>
            <w:r/>
          </w:p>
        </w:tc>
        <w:tc>
          <w:tcPr>
            <w:tcW w:w="993"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75"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709"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51"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44" w:type="dxa"/>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02" w:type="dxa"/>
            <w:vAlign w:val="center"/>
            <w:textDirection w:val="lrTb"/>
            <w:noWrap w:val="false"/>
          </w:tcPr>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607"/>
        </w:trPr>
        <w:tc>
          <w:tcPr>
            <w:tcW w:w="675" w:type="dxa"/>
            <w:vAlign w:val="center"/>
            <w:textDirection w:val="lrTb"/>
            <w:noWrap w:val="false"/>
          </w:tcPr>
          <w:p>
            <w:pPr>
              <w:jc w:val="both"/>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2003" w:type="dxa"/>
            <w:vAlign w:val="center"/>
            <w:textDirection w:val="lrTb"/>
            <w:noWrap w:val="false"/>
          </w:tcPr>
          <w:p>
            <w:pPr>
              <w:ind w:firstLine="440"/>
              <w:jc w:val="left"/>
              <w:widowControl/>
              <w:rPr>
                <w:rFonts w:ascii="宋体" w:hAnsi="宋体" w:eastAsia="宋体" w:cs="宋体"/>
                <w:bCs/>
                <w:color w:val="auto"/>
                <w:sz w:val="24"/>
                <w:szCs w:val="24"/>
                <w:highlight w:val="none"/>
                <w:shd w:val="clear" w:color="auto" w:fill="ffffff"/>
              </w:rPr>
            </w:pPr>
            <w:r>
              <w:rPr>
                <w:rFonts w:hint="eastAsia" w:ascii="宋体" w:hAnsi="宋体" w:eastAsia="宋体" w:cs="宋体"/>
                <w:color w:val="auto"/>
                <w:sz w:val="22"/>
                <w:highlight w:val="none"/>
              </w:rPr>
              <w:t xml:space="preserve">技术负责人</w:t>
            </w:r>
            <w:r/>
          </w:p>
        </w:tc>
        <w:tc>
          <w:tcPr>
            <w:tcW w:w="993"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75"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709"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51"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44" w:type="dxa"/>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02"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627"/>
        </w:trPr>
        <w:tc>
          <w:tcPr>
            <w:tcW w:w="675" w:type="dxa"/>
            <w:vAlign w:val="center"/>
            <w:textDirection w:val="lrTb"/>
            <w:noWrap w:val="false"/>
          </w:tcPr>
          <w:p>
            <w:pPr>
              <w:jc w:val="both"/>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tcW w:w="2003" w:type="dxa"/>
            <w:vAlign w:val="center"/>
            <w:textDirection w:val="lrTb"/>
            <w:noWrap w:val="false"/>
          </w:tcPr>
          <w:p>
            <w:pPr>
              <w:ind w:firstLine="440"/>
              <w:jc w:val="left"/>
              <w:widowControl/>
              <w:rPr>
                <w:rFonts w:ascii="宋体" w:hAnsi="宋体" w:eastAsia="宋体" w:cs="宋体"/>
                <w:bCs/>
                <w:color w:val="auto"/>
                <w:sz w:val="24"/>
                <w:szCs w:val="24"/>
                <w:highlight w:val="none"/>
                <w:shd w:val="clear" w:color="auto" w:fill="ffffff"/>
              </w:rPr>
            </w:pPr>
            <w:r>
              <w:rPr>
                <w:rFonts w:hint="eastAsia" w:ascii="宋体" w:hAnsi="宋体" w:eastAsia="宋体" w:cs="宋体"/>
                <w:color w:val="auto"/>
                <w:sz w:val="22"/>
                <w:highlight w:val="none"/>
              </w:rPr>
              <w:t xml:space="preserve">专职安全员</w:t>
            </w:r>
            <w:r/>
          </w:p>
        </w:tc>
        <w:tc>
          <w:tcPr>
            <w:tcW w:w="993"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75"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709"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51"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44" w:type="dxa"/>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02"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1、本表人员信息为拟投入本项目的项目组人员：项目经理、技术负责人、专职安全员。</w:t>
      </w:r>
      <w:r/>
    </w:p>
    <w:p>
      <w:pPr>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2、投标文件中提供供应商为项目组人员缴纳的最近一期的社保证明扫描件（有社保局盖章）和身份证扫描件，</w:t>
      </w:r>
      <w:r>
        <w:rPr>
          <w:rFonts w:hint="eastAsia" w:ascii="宋体" w:hAnsi="宋体" w:eastAsia="宋体" w:cs="宋体"/>
          <w:b/>
          <w:bCs/>
          <w:color w:val="auto"/>
          <w:sz w:val="24"/>
          <w:szCs w:val="24"/>
          <w:highlight w:val="none"/>
        </w:rPr>
        <w:t xml:space="preserve">同时项目经理及技术负责人须提供职称证书扫描件和学历证书扫描件，专职安全员须提供政府安监部门（应急管理部门）或其认可的相关培训机构颁发的安全员证书。</w:t>
      </w:r>
      <w:r>
        <w:rPr>
          <w:rFonts w:hint="eastAsia" w:ascii="宋体" w:hAnsi="宋体" w:eastAsia="宋体" w:cs="宋体"/>
          <w:b/>
          <w:color w:val="auto"/>
          <w:sz w:val="24"/>
          <w:szCs w:val="24"/>
          <w:highlight w:val="none"/>
        </w:rPr>
        <w:t xml:space="preserve">上述证明材料未提供或提供不完整的视为未实质性响应，为无效标。</w:t>
      </w:r>
      <w:r/>
    </w:p>
    <w:p>
      <w:pPr>
        <w:ind w:right="105" w:firstLine="48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jc w:val="cente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9.2项目经理情况一览表</w:t>
      </w:r>
      <w:r/>
    </w:p>
    <w:tbl>
      <w:tblPr>
        <w:tblStyle w:val="9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1851"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姓名</w:t>
            </w:r>
            <w:r/>
          </w:p>
        </w:tc>
        <w:tc>
          <w:tcPr>
            <w:gridSpan w:val="2"/>
            <w:tcW w:w="2394" w:type="dxa"/>
            <w:vAlign w:val="center"/>
            <w:textDirection w:val="lrTb"/>
            <w:noWrap w:val="false"/>
          </w:tcPr>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83" w:type="dxa"/>
            <w:vAlign w:val="center"/>
            <w:textDirection w:val="lrTb"/>
            <w:noWrap w:val="false"/>
          </w:tcPr>
          <w:p>
            <w:pPr>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性   别</w:t>
            </w:r>
            <w:r/>
          </w:p>
        </w:tc>
        <w:tc>
          <w:tcPr>
            <w:gridSpan w:val="2"/>
            <w:tcW w:w="3072" w:type="dxa"/>
            <w:vAlign w:val="center"/>
            <w:textDirection w:val="lrTb"/>
            <w:noWrap w:val="false"/>
          </w:tcPr>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645"/>
        </w:trPr>
        <w:tc>
          <w:tcPr>
            <w:tcW w:w="628" w:type="dxa"/>
            <w:vAlign w:val="center"/>
            <w:textDirection w:val="lrTb"/>
            <w:noWrap w:val="false"/>
          </w:tcPr>
          <w:p>
            <w:pPr>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1851"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身份证号码</w:t>
            </w:r>
            <w:r/>
          </w:p>
        </w:tc>
        <w:tc>
          <w:tcPr>
            <w:gridSpan w:val="3"/>
            <w:tcW w:w="3477" w:type="dxa"/>
            <w:vAlign w:val="center"/>
            <w:textDirection w:val="lrTb"/>
            <w:noWrap w:val="false"/>
          </w:tcPr>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54" w:type="dxa"/>
            <w:vAlign w:val="center"/>
            <w:textDirection w:val="lrTb"/>
            <w:noWrap w:val="false"/>
          </w:tcPr>
          <w:p>
            <w:pPr>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出生年月</w:t>
            </w:r>
            <w:r/>
          </w:p>
        </w:tc>
        <w:tc>
          <w:tcPr>
            <w:tcW w:w="1818" w:type="dxa"/>
            <w:vAlign w:val="center"/>
            <w:textDirection w:val="lrTb"/>
            <w:noWrap w:val="false"/>
          </w:tcPr>
          <w:p>
            <w:pPr>
              <w:ind w:firstLine="480"/>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年   月</w:t>
            </w:r>
            <w:r/>
          </w:p>
        </w:tc>
      </w:tr>
      <w:tr>
        <w:trPr>
          <w:jc w:val="center"/>
          <w:trHeight w:val="645"/>
        </w:trPr>
        <w:tc>
          <w:tcPr>
            <w:tcW w:w="628" w:type="dxa"/>
            <w:vAlign w:val="center"/>
            <w:textDirection w:val="lrTb"/>
            <w:noWrap w:val="false"/>
          </w:tcPr>
          <w:p>
            <w:pPr>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gridSpan w:val="2"/>
            <w:tcW w:w="3180"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联系电话：</w:t>
            </w:r>
            <w:r/>
          </w:p>
        </w:tc>
        <w:tc>
          <w:tcPr>
            <w:gridSpan w:val="2"/>
            <w:tcW w:w="2148"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传真：</w:t>
            </w:r>
            <w:r/>
          </w:p>
        </w:tc>
        <w:tc>
          <w:tcPr>
            <w:gridSpan w:val="2"/>
            <w:tcW w:w="3072"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电子邮箱：</w:t>
            </w:r>
            <w:r/>
          </w:p>
        </w:tc>
      </w:tr>
      <w:tr>
        <w:trPr>
          <w:cantSplit/>
          <w:jc w:val="center"/>
          <w:trHeight w:val="645"/>
        </w:trPr>
        <w:tc>
          <w:tcPr>
            <w:tcW w:w="628" w:type="dxa"/>
            <w:vAlign w:val="center"/>
            <w:textDirection w:val="lrTb"/>
            <w:noWrap w:val="false"/>
          </w:tcPr>
          <w:p>
            <w:pPr>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gridSpan w:val="6"/>
            <w:tcW w:w="8400"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从事类似项目工作时间：</w:t>
            </w:r>
            <w:r/>
          </w:p>
        </w:tc>
      </w:tr>
      <w:tr>
        <w:trPr>
          <w:cantSplit/>
          <w:jc w:val="center"/>
          <w:trHeight w:val="625"/>
        </w:trPr>
        <w:tc>
          <w:tcPr>
            <w:tcW w:w="628" w:type="dxa"/>
            <w:vAlign w:val="center"/>
            <w:textDirection w:val="lrTb"/>
            <w:noWrap w:val="false"/>
          </w:tcPr>
          <w:p>
            <w:pPr>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gridSpan w:val="6"/>
            <w:tcW w:w="8400"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拥有的职称：</w:t>
            </w:r>
            <w:r/>
          </w:p>
        </w:tc>
      </w:tr>
      <w:tr>
        <w:trPr>
          <w:cantSplit/>
          <w:jc w:val="center"/>
          <w:trHeight w:val="1854"/>
        </w:trPr>
        <w:tc>
          <w:tcPr>
            <w:tcW w:w="628" w:type="dxa"/>
            <w:vAlign w:val="center"/>
            <w:textDirection w:val="lrTb"/>
            <w:noWrap w:val="false"/>
          </w:tcPr>
          <w:p>
            <w:pPr>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p>
        </w:tc>
        <w:tc>
          <w:tcPr>
            <w:gridSpan w:val="6"/>
            <w:tcW w:w="8400" w:type="dxa"/>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曾获得的奖励情况：</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 __________________________________________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3、__________________________________________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1133"/>
        </w:trPr>
        <w:tc>
          <w:tcPr>
            <w:tcW w:w="628" w:type="dxa"/>
            <w:vAlign w:val="center"/>
            <w:textDirection w:val="lrTb"/>
            <w:noWrap w:val="false"/>
          </w:tcPr>
          <w:p>
            <w:pPr>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w:t>
            </w:r>
            <w:r/>
          </w:p>
        </w:tc>
        <w:tc>
          <w:tcPr>
            <w:gridSpan w:val="6"/>
            <w:tcW w:w="8400" w:type="dxa"/>
            <w:textDirection w:val="lrTb"/>
            <w:noWrap w:val="false"/>
          </w:tcPr>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本公司承诺：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该项目经理在从业经历中没有任何违法、违规而被查处的不良记录。</w:t>
            </w:r>
            <w:r/>
          </w:p>
        </w:tc>
      </w:tr>
      <w:tr>
        <w:trPr>
          <w:jc w:val="center"/>
          <w:trHeight w:val="2846"/>
        </w:trPr>
        <w:tc>
          <w:tcPr>
            <w:tcW w:w="628" w:type="dxa"/>
            <w:vAlign w:val="center"/>
            <w:textDirection w:val="lrTb"/>
            <w:noWrap w:val="false"/>
          </w:tcPr>
          <w:p>
            <w:pPr>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w:t>
            </w:r>
            <w:r/>
          </w:p>
        </w:tc>
        <w:tc>
          <w:tcPr>
            <w:gridSpan w:val="6"/>
            <w:tcW w:w="8400" w:type="dxa"/>
            <w:textDirection w:val="lrTb"/>
            <w:noWrap w:val="false"/>
          </w:tcPr>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r>
    </w:tbl>
    <w:p>
      <w:pPr>
        <w:ind w:firstLine="482"/>
        <w:spacing w:line="360" w:lineRule="auto"/>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pStyle w:val="935"/>
        <w:ind w:firstLine="480"/>
        <w:rPr>
          <w:color w:val="auto"/>
          <w:highlight w:val="none"/>
        </w:rPr>
      </w:pPr>
      <w:r>
        <w:rPr>
          <w:color w:val="auto"/>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9.3项目经理类似业绩情况表（如有）</w:t>
      </w:r>
      <w:r/>
    </w:p>
    <w:p>
      <w:pPr>
        <w:ind w:firstLine="482"/>
        <w:jc w:val="cente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tbl>
      <w:tblPr>
        <w:tblStyle w:val="934"/>
        <w:tblW w:w="93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422"/>
        <w:gridCol w:w="1540"/>
        <w:gridCol w:w="2300"/>
        <w:gridCol w:w="2010"/>
        <w:gridCol w:w="142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firstLine="1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合同履行完成日期</w:t>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注：具体要求详见评分标准。</w:t>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pStyle w:val="935"/>
        <w:ind w:firstLine="480"/>
        <w:rPr>
          <w:color w:val="auto"/>
          <w:highlight w:val="none"/>
        </w:rPr>
      </w:pPr>
      <w:r>
        <w:rPr>
          <w:color w:val="auto"/>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10、拟投入作业人员配备承诺书</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投入作业人员配备承诺书</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516"/>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本公司收到贵司号招标文件，经仔细阅读和研究，本公司承诺：投入作业人员相应作业时段的每班最低人数不低于招标文件附件《</w:t>
      </w:r>
      <w:r>
        <w:rPr>
          <w:rFonts w:hint="eastAsia" w:ascii="宋体" w:hAnsi="宋体" w:eastAsia="宋体" w:cs="宋体"/>
          <w:color w:val="auto"/>
          <w:sz w:val="24"/>
          <w:szCs w:val="24"/>
          <w:highlight w:val="none"/>
          <w:lang w:eastAsia="zh-CN"/>
        </w:rPr>
        <w:t xml:space="preserve">人员设备配备要求一览表</w:t>
      </w:r>
      <w:r>
        <w:rPr>
          <w:rFonts w:hint="eastAsia" w:ascii="宋体" w:hAnsi="宋体" w:eastAsia="宋体" w:cs="宋体"/>
          <w:color w:val="auto"/>
          <w:sz w:val="24"/>
          <w:szCs w:val="24"/>
          <w:highlight w:val="none"/>
        </w:rPr>
        <w:t xml:space="preserve">》中的作业人员配置的要求。</w:t>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若本公司中标进场后，不提供或提供的作业人员相应作业时段的每班最低人数不符合招标文件要求的，采购人有权终止合同。</w:t>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本公司承诺，用人管理遵守国家相关规定，如有违反，接受采购人对本公司做出的相关扣款等违约处理。</w:t>
      </w:r>
      <w:r/>
    </w:p>
    <w:p>
      <w:pPr>
        <w:pStyle w:val="986"/>
        <w:ind w:firstLine="516"/>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41"/>
        <w:ind w:firstLine="482"/>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以上特此承诺。</w:t>
      </w:r>
      <w:r/>
    </w:p>
    <w:p>
      <w:pPr>
        <w:ind w:right="105" w:firstLine="48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11、拟投入专用设备承诺书 </w:t>
      </w:r>
      <w:r/>
    </w:p>
    <w:p>
      <w:pPr>
        <w:ind w:firstLine="482"/>
        <w:jc w:val="center"/>
        <w:spacing w:line="360" w:lineRule="auto"/>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p>
      <w:pPr>
        <w:ind w:firstLine="482"/>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投入专用设备承诺书</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本公司收到贵司号招标文件，经仔细阅读和研究，本公司承诺：投入专用设备的型号规格及配备数量、进场时间要求不低于招标文件附件《</w:t>
      </w:r>
      <w:r>
        <w:rPr>
          <w:rFonts w:hint="eastAsia" w:ascii="宋体" w:hAnsi="宋体" w:eastAsia="宋体" w:cs="宋体"/>
          <w:color w:val="auto"/>
          <w:sz w:val="24"/>
          <w:szCs w:val="24"/>
          <w:highlight w:val="none"/>
          <w:lang w:eastAsia="zh-CN"/>
        </w:rPr>
        <w:t xml:space="preserve">人员设备配备要求一览表</w:t>
      </w:r>
      <w:r>
        <w:rPr>
          <w:rFonts w:hint="eastAsia" w:ascii="宋体" w:hAnsi="宋体" w:eastAsia="宋体" w:cs="宋体"/>
          <w:color w:val="auto"/>
          <w:sz w:val="24"/>
          <w:szCs w:val="24"/>
          <w:highlight w:val="none"/>
        </w:rPr>
        <w:t xml:space="preserve">》中的专用设备配备要求。</w:t>
      </w:r>
      <w:r/>
    </w:p>
    <w:p>
      <w:pPr>
        <w:pStyle w:val="1041"/>
        <w:ind w:firstLine="482"/>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以上特此承诺。</w:t>
      </w:r>
      <w:r/>
    </w:p>
    <w:p>
      <w:pPr>
        <w:pStyle w:val="1041"/>
        <w:ind w:firstLine="482"/>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41"/>
        <w:ind w:firstLine="482"/>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12、拟投入人员、设备不与其他项目重复承诺书</w:t>
      </w:r>
      <w:r/>
    </w:p>
    <w:p>
      <w:pPr>
        <w:pStyle w:val="986"/>
        <w:spacing w:line="360" w:lineRule="auto"/>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ind w:firstLine="482"/>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拟投入本标段人员、设备不与其他项目重复承诺书</w:t>
      </w:r>
      <w:r/>
    </w:p>
    <w:p>
      <w:pPr>
        <w:pStyle w:val="986"/>
        <w:spacing w:line="360" w:lineRule="auto"/>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ind w:firstLine="482"/>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本公司承诺：在投标文件中承诺配置的项目组人员、车辆（设备）信息（发动机号、车架号等任一项）与</w:t>
      </w:r>
      <w:r>
        <w:rPr>
          <w:rFonts w:hint="eastAsia" w:ascii="宋体" w:hAnsi="宋体" w:eastAsia="宋体" w:cs="宋体"/>
          <w:b/>
          <w:bCs/>
          <w:color w:val="auto"/>
          <w:sz w:val="24"/>
          <w:szCs w:val="24"/>
          <w:highlight w:val="none"/>
        </w:rPr>
        <w:t xml:space="preserve">2024年12月1日</w:t>
      </w:r>
      <w:r>
        <w:rPr>
          <w:rFonts w:hint="eastAsia" w:ascii="宋体" w:hAnsi="宋体" w:eastAsia="宋体" w:cs="宋体"/>
          <w:color w:val="auto"/>
          <w:sz w:val="24"/>
          <w:szCs w:val="24"/>
          <w:highlight w:val="none"/>
        </w:rPr>
        <w:t xml:space="preserve">后（含）仍在履行的其他项目中所配备的人员或设备信息不重复。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投标文件中承诺为本本标段配置的项目组人员为非变更后无在养项目，若为其他项目中已变更或被更换的，原项目合同在</w:t>
      </w:r>
      <w:r>
        <w:rPr>
          <w:rFonts w:hint="eastAsia" w:ascii="宋体" w:hAnsi="宋体" w:eastAsia="宋体" w:cs="宋体"/>
          <w:b/>
          <w:bCs/>
          <w:color w:val="auto"/>
          <w:sz w:val="24"/>
          <w:szCs w:val="24"/>
          <w:highlight w:val="none"/>
        </w:rPr>
        <w:t xml:space="preserve">2024年12月1日</w:t>
      </w:r>
      <w:r>
        <w:rPr>
          <w:rFonts w:hint="eastAsia" w:ascii="宋体" w:hAnsi="宋体" w:eastAsia="宋体" w:cs="宋体"/>
          <w:color w:val="auto"/>
          <w:sz w:val="24"/>
          <w:szCs w:val="24"/>
          <w:highlight w:val="none"/>
        </w:rPr>
        <w:t xml:space="preserve">前已履行完成。</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13、开设人员工资专户承诺书 </w:t>
      </w:r>
      <w:r/>
    </w:p>
    <w:p>
      <w:pPr>
        <w:ind w:firstLine="482"/>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jc w:val="center"/>
        <w:spacing w:line="360" w:lineRule="auto"/>
        <w:rPr>
          <w:rFonts w:ascii="宋体" w:hAnsi="宋体" w:eastAsia="宋体" w:cs="宋体"/>
          <w:b/>
          <w:bCs/>
          <w:color w:val="auto"/>
          <w:sz w:val="24"/>
          <w:szCs w:val="24"/>
          <w:highlight w:val="none"/>
        </w:rPr>
      </w:pPr>
      <w:r/>
      <w:bookmarkStart w:id="94" w:name="OLE_LINK211"/>
      <w:r/>
      <w:bookmarkStart w:id="95" w:name="OLE_LINK212"/>
      <w:r>
        <w:rPr>
          <w:rFonts w:hint="eastAsia" w:ascii="宋体" w:hAnsi="宋体" w:eastAsia="宋体" w:cs="宋体"/>
          <w:b/>
          <w:bCs/>
          <w:color w:val="auto"/>
          <w:sz w:val="24"/>
          <w:szCs w:val="24"/>
          <w:highlight w:val="none"/>
        </w:rPr>
        <w:t xml:space="preserve">开设人员工资专户承诺书</w:t>
      </w:r>
      <w:r/>
    </w:p>
    <w:p>
      <w:pPr>
        <w:ind w:firstLine="482"/>
        <w:jc w:val="cente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480"/>
        <w:spacing w:line="360" w:lineRule="auto"/>
        <w:rPr>
          <w:rFonts w:ascii="宋体" w:hAnsi="宋体" w:eastAsia="宋体" w:cs="Times New Roman"/>
          <w:color w:val="auto"/>
          <w:sz w:val="24"/>
          <w:szCs w:val="20"/>
          <w:highlight w:val="none"/>
        </w:rPr>
      </w:pPr>
      <w:r/>
      <w:bookmarkStart w:id="96" w:name="OLE_LINK214"/>
      <w:r/>
      <w:bookmarkStart w:id="97" w:name="OLE_LINK213"/>
      <w:r/>
      <w:bookmarkStart w:id="98" w:name="OLE_LINK215"/>
      <w:r>
        <w:rPr>
          <w:rFonts w:hint="eastAsia" w:ascii="宋体" w:hAnsi="宋体" w:eastAsia="宋体" w:cs="Times New Roman"/>
          <w:color w:val="auto"/>
          <w:sz w:val="24"/>
          <w:szCs w:val="20"/>
          <w:highlight w:val="none"/>
        </w:rPr>
        <w:t xml:space="preserve">本公司承诺：若本公司中标，中标后将按苏州工业园区城维工资专户管理的相</w:t>
      </w:r>
      <w:bookmarkEnd w:id="94"/>
      <w:r/>
      <w:bookmarkEnd w:id="95"/>
      <w:r>
        <w:rPr>
          <w:rFonts w:hint="eastAsia" w:ascii="宋体" w:hAnsi="宋体" w:eastAsia="宋体" w:cs="Times New Roman"/>
          <w:color w:val="auto"/>
          <w:sz w:val="24"/>
          <w:szCs w:val="20"/>
          <w:highlight w:val="none"/>
        </w:rPr>
        <w:t xml:space="preserve">关要求办理相关事宜，包括但不限于与采购人、合作银行签订《工资专用账户资金监管协议》、为该项目管理及作业人员全员足额开设工资专户且每期（月）存入工资专户。</w:t>
      </w:r>
      <w:bookmarkEnd w:id="96"/>
      <w:r/>
      <w:bookmarkEnd w:id="97"/>
      <w:r/>
      <w:bookmarkEnd w:id="98"/>
      <w:r/>
      <w:r/>
    </w:p>
    <w:p>
      <w:pPr>
        <w:pStyle w:val="935"/>
        <w:ind w:firstLine="480"/>
        <w:rPr>
          <w:color w:val="auto"/>
          <w:highlight w:val="none"/>
        </w:rPr>
      </w:pPr>
      <w:r>
        <w:rPr>
          <w:color w:val="auto"/>
          <w:highlight w:val="none"/>
        </w:rPr>
      </w:r>
      <w:r/>
    </w:p>
    <w:p>
      <w:pPr>
        <w:ind w:firstLine="480"/>
        <w:rPr>
          <w:color w:val="auto"/>
          <w:highlight w:val="none"/>
        </w:rPr>
      </w:pPr>
      <w:r>
        <w:rPr>
          <w:color w:val="auto"/>
          <w:highlight w:val="none"/>
        </w:rPr>
      </w:r>
      <w:r/>
    </w:p>
    <w:p>
      <w:pPr>
        <w:pStyle w:val="935"/>
        <w:ind w:firstLine="480"/>
        <w:rPr>
          <w:color w:val="auto"/>
          <w:highlight w:val="none"/>
        </w:rPr>
      </w:pPr>
      <w:r>
        <w:rPr>
          <w:color w:val="auto"/>
          <w:highlight w:val="none"/>
        </w:rPr>
      </w:r>
      <w:r/>
    </w:p>
    <w:p>
      <w:pPr>
        <w:ind w:firstLine="480"/>
        <w:rPr>
          <w:color w:val="auto"/>
          <w:highlight w:val="none"/>
        </w:rPr>
      </w:pPr>
      <w:r>
        <w:rPr>
          <w:color w:val="auto"/>
          <w:highlight w:val="none"/>
        </w:rPr>
      </w:r>
      <w:r/>
    </w:p>
    <w:p>
      <w:pPr>
        <w:pStyle w:val="935"/>
        <w:ind w:firstLine="480"/>
        <w:rPr>
          <w:color w:val="auto"/>
          <w:highlight w:val="none"/>
        </w:rPr>
      </w:pPr>
      <w:r>
        <w:rPr>
          <w:color w:val="auto"/>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14、项目组办公场所承诺书</w:t>
      </w:r>
      <w:r/>
    </w:p>
    <w:p>
      <w:pPr>
        <w:ind w:firstLine="482"/>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项目组办公场所承诺书</w:t>
      </w:r>
      <w:r/>
    </w:p>
    <w:p>
      <w:pPr>
        <w:ind w:firstLine="482"/>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516"/>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本公司收到贵司</w:t>
      </w:r>
      <w:r>
        <w:rPr>
          <w:rFonts w:hint="eastAsia" w:ascii="宋体" w:hAnsi="宋体" w:eastAsia="宋体" w:cs="宋体"/>
          <w:color w:val="auto"/>
          <w:sz w:val="24"/>
          <w:szCs w:val="24"/>
          <w:highlight w:val="none"/>
          <w:u w:val="single"/>
        </w:rPr>
        <w:t xml:space="preserve">               号</w:t>
      </w:r>
      <w:r>
        <w:rPr>
          <w:rFonts w:hint="eastAsia" w:ascii="宋体" w:hAnsi="宋体" w:eastAsia="宋体" w:cs="宋体"/>
          <w:color w:val="auto"/>
          <w:sz w:val="24"/>
          <w:szCs w:val="24"/>
          <w:highlight w:val="none"/>
        </w:rPr>
        <w:t xml:space="preserve">招标文件，经仔细阅读和研究，本公司承诺：若本公司中标，中标后在距项目5km范围内设有固定的项目组办公场所，办公场所面积不小于50平方米。相关证明材料须在进场核验时向采购人提交。</w:t>
      </w:r>
      <w:r/>
    </w:p>
    <w:p>
      <w:pPr>
        <w:ind w:firstLine="516"/>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15、类似业绩情况表</w:t>
      </w:r>
      <w:r/>
    </w:p>
    <w:p>
      <w:pPr>
        <w:ind w:firstLine="482"/>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类似业绩情况表（如有）</w:t>
      </w:r>
      <w:r/>
    </w:p>
    <w:p>
      <w:pPr>
        <w:pStyle w:val="946"/>
        <w:ind w:firstLine="48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bl>
      <w:tblPr>
        <w:tblStyle w:val="934"/>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422"/>
        <w:gridCol w:w="1540"/>
        <w:gridCol w:w="2300"/>
        <w:gridCol w:w="2010"/>
        <w:gridCol w:w="130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合同履行完成日期</w:t>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rPr>
        <w:t xml:space="preserve">16、资格证明文件</w:t>
      </w:r>
      <w:r/>
    </w:p>
    <w:p>
      <w:pPr>
        <w:ind w:firstLine="482"/>
        <w:spacing w:line="360" w:lineRule="auto"/>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（1）资格文件的声明函</w:t>
      </w:r>
      <w:r/>
    </w:p>
    <w:p>
      <w:pPr>
        <w:ind w:firstLine="482"/>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资格文件的声明函</w:t>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本公司愿就由贵司组织实施的编号为号的招标活动进行投标。本公司所提交的投标文件中所有关于投标资格的文件、证明和陈述均是真实的、准确的。若与真实情况不符，本公司愿意承担由此而产生的一切后果。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（2）中小企业声明函</w:t>
      </w:r>
      <w:r/>
    </w:p>
    <w:p>
      <w:pPr>
        <w:ind w:firstLine="480"/>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2"/>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 xml:space="preserve">（单位名称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（项目名称       ）</w:t>
      </w:r>
      <w:r>
        <w:rPr>
          <w:rFonts w:hint="eastAsia" w:ascii="宋体" w:hAnsi="宋体" w:eastAsia="宋体" w:cs="宋体"/>
          <w:color w:val="auto"/>
          <w:sz w:val="24"/>
          <w:szCs w:val="24"/>
          <w:highlight w:val="non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3"/>
        </w:numPr>
        <w:ind w:firstLine="482"/>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u w:val="single"/>
          <w:shd w:val="clear" w:color="auto" w:fill="ffffff"/>
        </w:rPr>
        <w:t xml:space="preserve">2024年园区界浦河种植项目，</w:t>
      </w:r>
      <w:r>
        <w:rPr>
          <w:rFonts w:hint="eastAsia" w:ascii="宋体" w:hAnsi="宋体" w:eastAsia="宋体" w:cs="宋体"/>
          <w:color w:val="auto"/>
          <w:sz w:val="24"/>
          <w:szCs w:val="24"/>
          <w:highlight w:val="none"/>
          <w:shd w:val="clear" w:color="auto" w:fill="ffffff"/>
        </w:rPr>
        <w:t xml:space="preserve">属于</w:t>
      </w:r>
      <w:r>
        <w:rPr>
          <w:rFonts w:hint="eastAsia" w:ascii="宋体" w:hAnsi="宋体" w:eastAsia="宋体" w:cs="宋体"/>
          <w:b/>
          <w:color w:val="auto"/>
          <w:sz w:val="24"/>
          <w:szCs w:val="24"/>
          <w:highlight w:val="none"/>
          <w:u w:val="single"/>
          <w:shd w:val="clear" w:color="auto" w:fill="ffffff"/>
        </w:rPr>
        <w:t xml:space="preserve">其他未列明行业</w:t>
      </w:r>
      <w:r>
        <w:rPr>
          <w:rFonts w:hint="eastAsia" w:ascii="宋体" w:hAnsi="宋体" w:eastAsia="宋体" w:cs="宋体"/>
          <w:color w:val="auto"/>
          <w:sz w:val="24"/>
          <w:szCs w:val="24"/>
          <w:highlight w:val="none"/>
          <w:shd w:val="clear" w:color="auto" w:fill="ffffff"/>
        </w:rPr>
        <w:t xml:space="preserve">；承建（承接）企业为</w:t>
      </w:r>
      <w:r>
        <w:rPr>
          <w:rFonts w:hint="eastAsia" w:ascii="宋体" w:hAnsi="宋体" w:eastAsia="宋体" w:cs="宋体"/>
          <w:color w:val="auto"/>
          <w:sz w:val="24"/>
          <w:szCs w:val="24"/>
          <w:highlight w:val="none"/>
          <w:u w:val="single"/>
          <w:shd w:val="clear" w:color="auto" w:fill="ffffff"/>
        </w:rPr>
        <w:t xml:space="preserve">（企业名称）</w:t>
      </w:r>
      <w:r>
        <w:rPr>
          <w:rFonts w:hint="eastAsia" w:ascii="宋体" w:hAnsi="宋体" w:eastAsia="宋体" w:cs="宋体"/>
          <w:color w:val="auto"/>
          <w:sz w:val="24"/>
          <w:szCs w:val="24"/>
          <w:highlight w:val="none"/>
          <w:shd w:val="clear" w:color="auto" w:fill="ffffff"/>
        </w:rPr>
        <w:t xml:space="preserve">，从业人员人，营业收入为万元，资产总额为万元，属于</w:t>
      </w:r>
      <w:r>
        <w:rPr>
          <w:rFonts w:hint="eastAsia" w:ascii="宋体" w:hAnsi="宋体" w:eastAsia="宋体" w:cs="宋体"/>
          <w:color w:val="auto"/>
          <w:sz w:val="24"/>
          <w:szCs w:val="24"/>
          <w:highlight w:val="none"/>
          <w:u w:val="single"/>
          <w:shd w:val="clear" w:color="auto" w:fill="ffffff"/>
        </w:rPr>
        <w:t xml:space="preserve">     （中型企业、小型企业、微型企业）</w:t>
      </w:r>
      <w:r>
        <w:rPr>
          <w:rFonts w:hint="eastAsia" w:ascii="宋体" w:hAnsi="宋体" w:eastAsia="宋体" w:cs="宋体"/>
          <w:color w:val="auto"/>
          <w:sz w:val="24"/>
          <w:szCs w:val="24"/>
          <w:highlight w:val="none"/>
          <w:shd w:val="clear" w:color="auto" w:fill="ffffff"/>
        </w:rPr>
        <w:t xml:space="preserve">；注：（企业类型选填一项）</w:t>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以上企业，不属于大企业的分支机构，不存在控股股东</w:t>
      </w:r>
      <w:r>
        <w:rPr>
          <w:rFonts w:hint="eastAsia" w:ascii="宋体" w:hAnsi="宋体" w:eastAsia="宋体" w:cs="宋体"/>
          <w:color w:val="auto"/>
          <w:sz w:val="24"/>
          <w:szCs w:val="24"/>
          <w:highlight w:val="none"/>
          <w:shd w:val="clear" w:color="auto" w:fill="ffffff"/>
        </w:rPr>
        <w:t xml:space="preserve">为大企业的情形，也不存在与大企业的负责人为同一人的情形。</w:t>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企业名称（盖章）：</w:t>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ind w:firstLine="482"/>
        <w:spacing w:line="380" w:lineRule="exact"/>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rPr>
        <w:t xml:space="preserve">备注：</w:t>
      </w:r>
      <w:r/>
    </w:p>
    <w:p>
      <w:pPr>
        <w:numPr>
          <w:ilvl w:val="255"/>
          <w:numId w:val="0"/>
        </w:numPr>
        <w:spacing w:line="38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1、从业人员、营业收入、资产总额填报上一年度数据，无上一年度数据的新成立企业可不填报。</w:t>
      </w:r>
      <w:r/>
    </w:p>
    <w:p>
      <w:pPr>
        <w:numPr>
          <w:ilvl w:val="255"/>
          <w:numId w:val="0"/>
        </w:numPr>
        <w:spacing w:line="38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numPr>
          <w:ilvl w:val="255"/>
          <w:numId w:val="0"/>
        </w:numPr>
        <w:spacing w:line="38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99" w:name="_Hlk72923453"/>
      <w:r>
        <w:rPr>
          <w:rFonts w:hint="eastAsia" w:ascii="宋体" w:hAnsi="宋体" w:eastAsia="宋体" w:cs="宋体"/>
          <w:color w:val="auto"/>
          <w:sz w:val="24"/>
          <w:szCs w:val="24"/>
          <w:highlight w:val="none"/>
          <w:lang w:val="zh-CN"/>
        </w:rPr>
        <w:t xml:space="preserve">符合中小企业划分标准的个体工商户，在政府采购活动中视同中小企业</w:t>
      </w:r>
      <w:bookmarkEnd w:id="99"/>
      <w:r>
        <w:rPr>
          <w:rFonts w:hint="eastAsia" w:ascii="宋体" w:hAnsi="宋体" w:eastAsia="宋体" w:cs="宋体"/>
          <w:color w:val="auto"/>
          <w:sz w:val="24"/>
          <w:szCs w:val="24"/>
          <w:highlight w:val="none"/>
          <w:lang w:val="zh-CN"/>
        </w:rPr>
        <w:t xml:space="preserve">。</w:t>
      </w:r>
      <w:r/>
    </w:p>
    <w:p>
      <w:pPr>
        <w:numPr>
          <w:ilvl w:val="255"/>
          <w:numId w:val="0"/>
        </w:numPr>
        <w:spacing w:line="380" w:lineRule="exact"/>
        <w:rPr>
          <w:rFonts w:ascii="宋体" w:hAnsi="宋体" w:eastAsia="宋体" w:cs="宋体"/>
          <w:b/>
          <w:bCs/>
          <w:color w:val="auto"/>
          <w:sz w:val="24"/>
          <w:szCs w:val="24"/>
          <w:highlight w:val="none"/>
          <w:lang w:val="zh-CN"/>
        </w:rPr>
      </w:pPr>
      <w:r/>
      <w:bookmarkStart w:id="100" w:name="_Hlk94450593"/>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zh-CN"/>
        </w:rPr>
        <w:t xml:space="preserve">投标文件中的电子签章视为供应商对本声明进行了签署盖章并承担相应责任。</w:t>
      </w:r>
      <w:bookmarkEnd w:id="100"/>
      <w:r/>
      <w:r/>
    </w:p>
    <w:p>
      <w:pPr>
        <w:ind w:firstLine="480"/>
        <w:spacing w:line="38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ind w:firstLine="482"/>
        <w:spacing w:before="156" w:line="2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附：中小企业划型标准规定（工信部联企业〔2011〕300号）</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ind w:firstLine="480"/>
        <w:spacing w:before="156" w:line="2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570"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（3）残疾人福利性单位声明函</w:t>
      </w:r>
      <w:r/>
    </w:p>
    <w:p>
      <w:pPr>
        <w:ind w:firstLine="482"/>
        <w:jc w:val="center"/>
        <w:spacing w:before="100" w:after="100" w:line="360" w:lineRule="auto"/>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单位名称（盖章）：</w:t>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2"/>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bookmarkStart w:id="101" w:name="_Hlk158140990"/>
      <w:r>
        <w:rPr>
          <w:rFonts w:hint="eastAsia" w:ascii="宋体" w:hAnsi="宋体" w:eastAsia="宋体" w:cs="宋体"/>
          <w:b/>
          <w:color w:val="auto"/>
          <w:sz w:val="24"/>
          <w:szCs w:val="24"/>
          <w:highlight w:val="none"/>
        </w:rPr>
        <w:t xml:space="preserve">投标文件中的电子签章视为供应商对本声明进行了签署盖章并承担相应责任</w:t>
      </w:r>
      <w:bookmarkEnd w:id="101"/>
      <w:r>
        <w:rPr>
          <w:rFonts w:hint="eastAsia" w:ascii="宋体" w:hAnsi="宋体" w:eastAsia="宋体" w:cs="宋体"/>
          <w:b/>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jc w:val="left"/>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（4）供应商与其他单位存在直接控股、管理关系情况表</w:t>
      </w:r>
      <w:r/>
    </w:p>
    <w:p>
      <w:pPr>
        <w:ind w:firstLine="482"/>
        <w:jc w:val="center"/>
        <w:spacing w:line="360" w:lineRule="auto"/>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ind w:firstLine="482"/>
        <w:jc w:val="center"/>
        <w:spacing w:line="360" w:lineRule="auto"/>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供应商与其他单位存在直接控股、管理关系情况表</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bl>
      <w:tblPr>
        <w:tblStyle w:val="9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15"/>
        <w:gridCol w:w="1331"/>
        <w:gridCol w:w="1090"/>
        <w:gridCol w:w="1166"/>
        <w:gridCol w:w="1345"/>
        <w:gridCol w:w="2067"/>
      </w:tblGrid>
      <w:tr>
        <w:trPr>
          <w:jc w:val="center"/>
          <w:trHeight w:val="766"/>
        </w:trPr>
        <w:tc>
          <w:tcPr>
            <w:gridSpan w:val="4"/>
            <w:tcW w:w="4835" w:type="dxa"/>
            <w:vAlign w:val="center"/>
            <w:textDirection w:val="lrTb"/>
            <w:noWrap w:val="false"/>
          </w:tcPr>
          <w:p>
            <w:pPr>
              <w:ind w:firstLine="482"/>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与供应商存在直接股权关系</w:t>
            </w:r>
            <w:r/>
          </w:p>
        </w:tc>
        <w:tc>
          <w:tcPr>
            <w:gridSpan w:val="3"/>
            <w:tcW w:w="4452" w:type="dxa"/>
            <w:vAlign w:val="center"/>
            <w:textDirection w:val="lrTb"/>
            <w:noWrap w:val="false"/>
          </w:tcPr>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与供应商存在直接管理关系</w:t>
            </w:r>
            <w:r/>
          </w:p>
        </w:tc>
      </w:tr>
      <w:tr>
        <w:trPr>
          <w:jc w:val="center"/>
          <w:trHeight w:val="991"/>
        </w:trPr>
        <w:tc>
          <w:tcPr>
            <w:tcW w:w="1028" w:type="dxa"/>
            <w:vAlign w:val="center"/>
            <w:textDirection w:val="lrTb"/>
            <w:noWrap w:val="false"/>
          </w:tcPr>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329" w:type="dxa"/>
            <w:vAlign w:val="center"/>
            <w:textDirection w:val="lrTb"/>
            <w:noWrap w:val="false"/>
          </w:tcPr>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347" w:type="dxa"/>
            <w:vAlign w:val="center"/>
            <w:textDirection w:val="lrTb"/>
            <w:noWrap w:val="false"/>
          </w:tcPr>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是否直接控股</w:t>
            </w:r>
            <w:r/>
          </w:p>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131" w:type="dxa"/>
            <w:vAlign w:val="center"/>
            <w:textDirection w:val="lrTb"/>
            <w:noWrap w:val="false"/>
          </w:tcPr>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1240" w:type="dxa"/>
            <w:vAlign w:val="center"/>
            <w:textDirection w:val="lrTb"/>
            <w:noWrap w:val="false"/>
          </w:tcPr>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362" w:type="dxa"/>
            <w:vAlign w:val="center"/>
            <w:textDirection w:val="lrTb"/>
            <w:noWrap w:val="false"/>
          </w:tcPr>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0" w:type="auto"/>
            <w:vAlign w:val="center"/>
            <w:textDirection w:val="lrTb"/>
            <w:noWrap w:val="false"/>
          </w:tcPr>
          <w:p>
            <w:pPr>
              <w:jc w:val="both"/>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1028"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29"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7"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131"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40"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r>
        <w:trPr>
          <w:jc w:val="center"/>
          <w:trHeight w:val="850"/>
        </w:trPr>
        <w:tc>
          <w:tcPr>
            <w:tcW w:w="1028"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29"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7"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131"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40"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r>
        <w:trPr>
          <w:jc w:val="center"/>
          <w:trHeight w:val="850"/>
        </w:trPr>
        <w:tc>
          <w:tcPr>
            <w:tcW w:w="1028"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29"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7"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131"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40"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r>
        <w:trPr>
          <w:jc w:val="center"/>
          <w:trHeight w:val="850"/>
        </w:trPr>
        <w:tc>
          <w:tcPr>
            <w:tcW w:w="1028"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29"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7"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131"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40"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r>
        <w:trPr>
          <w:jc w:val="center"/>
          <w:trHeight w:val="850"/>
        </w:trPr>
        <w:tc>
          <w:tcPr>
            <w:tcW w:w="1028"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29"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7"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131"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40"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r>
        <w:trPr>
          <w:jc w:val="center"/>
          <w:trHeight w:val="850"/>
        </w:trPr>
        <w:tc>
          <w:tcPr>
            <w:tcW w:w="1028"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29"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7"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131"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40"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val="false"/>
          </w:tcPr>
          <w:p>
            <w:pPr>
              <w:ind w:firstLine="482"/>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bl>
    <w:p>
      <w:pPr>
        <w:ind w:firstLine="566"/>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注：1、本表仅须填写与供应商存在直接股权、管理关系的企业情况。供应商应按上表要求据实填写</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如填写“无”或不填写，均视为供应商声明不存在有关情形。</w:t>
      </w:r>
      <w:r/>
    </w:p>
    <w:p>
      <w:pPr>
        <w:pStyle w:val="944"/>
        <w:ind w:left="0" w:firstLine="566"/>
        <w:spacing w:line="360" w:lineRule="auto"/>
        <w:rPr>
          <w:rFonts w:ascii="宋体" w:hAnsi="宋体" w:eastAsia="宋体" w:cs="宋体"/>
          <w:color w:val="auto"/>
          <w:szCs w:val="24"/>
          <w:highlight w:val="none"/>
        </w:rPr>
      </w:pPr>
      <w:r>
        <w:rPr>
          <w:rFonts w:hint="eastAsia" w:ascii="宋体" w:hAnsi="宋体" w:eastAsia="宋体" w:cs="宋体"/>
          <w:b/>
          <w:color w:val="auto"/>
          <w:szCs w:val="24"/>
          <w:highlight w:val="none"/>
          <w:shd w:val="clear" w:color="auto" w:fill="ffffff"/>
        </w:rPr>
        <w:t xml:space="preserve">2、其中“直接控股”是指供应商与大型企业之间存在直接投资并控股（非普通持股）的关系。</w:t>
      </w:r>
      <w:r/>
    </w:p>
    <w:p>
      <w:pPr>
        <w:ind w:firstLine="480"/>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2"/>
        <w:jc w:val="left"/>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（5）参加政府采购活动前三年内，在经营活动中没有重大违法记录声明</w:t>
      </w:r>
      <w:r/>
    </w:p>
    <w:p>
      <w:pPr>
        <w:pStyle w:val="944"/>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480"/>
        <w:spacing w:line="360" w:lineRule="auto"/>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 在参加政府采购活动前三年内，没有重大违法记录，特此声明。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若采购代理机构在本项目采购过程中发现本公司近三年内在经营活动中有重大违法记录，本公司将无条件退出本项目的投标，并承担因此引起的一起后果。</w:t>
      </w:r>
      <w:r/>
    </w:p>
    <w:p>
      <w:pPr>
        <w:pStyle w:val="977"/>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br w:type="page" w:clear="all"/>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pStyle w:val="946"/>
        <w:ind w:firstLine="600"/>
        <w:rPr>
          <w:rFonts w:hint="default" w:ascii="宋体" w:hAnsi="宋体" w:eastAsia="宋体"/>
          <w:color w:val="auto"/>
          <w:sz w:val="30"/>
          <w:szCs w:val="30"/>
          <w:highlight w:val="none"/>
          <w:shd w:val="clear" w:color="auto" w:fill="ffffff"/>
        </w:rPr>
      </w:pPr>
      <w:r>
        <w:rPr>
          <w:rFonts w:hint="default" w:ascii="宋体" w:hAnsi="宋体" w:eastAsia="宋体"/>
          <w:color w:val="auto"/>
          <w:sz w:val="30"/>
          <w:szCs w:val="30"/>
          <w:highlight w:val="none"/>
          <w:shd w:val="clear" w:color="auto" w:fill="ffffff"/>
        </w:rPr>
      </w:r>
      <w:r/>
    </w:p>
    <w:p>
      <w:pPr>
        <w:pStyle w:val="946"/>
        <w:ind w:firstLine="600"/>
        <w:rPr>
          <w:rFonts w:hint="default" w:ascii="宋体" w:hAnsi="宋体" w:eastAsia="宋体"/>
          <w:color w:val="auto"/>
          <w:sz w:val="30"/>
          <w:szCs w:val="30"/>
          <w:highlight w:val="none"/>
          <w:shd w:val="clear" w:color="auto" w:fill="ffffff"/>
        </w:rPr>
      </w:pPr>
      <w:r>
        <w:rPr>
          <w:rFonts w:hint="default" w:ascii="宋体" w:hAnsi="宋体" w:eastAsia="宋体"/>
          <w:color w:val="auto"/>
          <w:sz w:val="30"/>
          <w:szCs w:val="30"/>
          <w:highlight w:val="none"/>
          <w:shd w:val="clear" w:color="auto" w:fill="ffffff"/>
        </w:rPr>
      </w:r>
      <w:r/>
    </w:p>
    <w:p>
      <w:pPr>
        <w:ind w:firstLine="600"/>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1044"/>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102" w:name="_Toc13642115"/>
      <w:r/>
      <w:bookmarkStart w:id="103" w:name="_Toc105940240"/>
      <w:r>
        <w:rPr>
          <w:rFonts w:hint="eastAsia" w:ascii="宋体" w:hAnsi="宋体" w:eastAsia="宋体" w:cs="Times New Roman"/>
          <w:b/>
          <w:color w:val="auto"/>
          <w:sz w:val="52"/>
          <w:szCs w:val="20"/>
          <w:highlight w:val="none"/>
          <w:shd w:val="clear" w:color="auto" w:fill="ffffff"/>
        </w:rPr>
        <w:t xml:space="preserve">第四章 招标书</w:t>
      </w:r>
      <w:bookmarkEnd w:id="102"/>
      <w:r/>
      <w:bookmarkEnd w:id="103"/>
      <w:r/>
      <w:r/>
    </w:p>
    <w:p>
      <w:pPr>
        <w:ind w:firstLine="964"/>
        <w:jc w:val="center"/>
        <w:spacing w:line="360" w:lineRule="auto"/>
        <w:rPr>
          <w:rFonts w:ascii="宋体" w:hAnsi="宋体" w:eastAsia="宋体" w:cs="Times New Roman"/>
          <w:b/>
          <w:color w:val="auto"/>
          <w:sz w:val="48"/>
          <w:szCs w:val="48"/>
          <w:highlight w:val="none"/>
          <w:shd w:val="clear" w:color="auto" w:fill="ffffff"/>
        </w:rPr>
      </w:pPr>
      <w:r/>
      <w:bookmarkStart w:id="104" w:name="_Toc13543212"/>
      <w:r>
        <w:rPr>
          <w:rFonts w:ascii="宋体" w:hAnsi="宋体" w:eastAsia="宋体" w:cs="Times New Roman"/>
          <w:b/>
          <w:color w:val="auto"/>
          <w:sz w:val="48"/>
          <w:szCs w:val="48"/>
          <w:highlight w:val="none"/>
          <w:shd w:val="clear" w:color="auto" w:fill="ffffff"/>
        </w:rPr>
        <w:br w:type="page" w:clear="all"/>
      </w:r>
      <w:r>
        <w:rPr>
          <w:rFonts w:hint="eastAsia" w:ascii="宋体" w:hAnsi="宋体" w:eastAsia="宋体" w:cs="Times New Roman"/>
          <w:b/>
          <w:color w:val="auto"/>
          <w:sz w:val="48"/>
          <w:szCs w:val="48"/>
          <w:highlight w:val="none"/>
          <w:shd w:val="clear" w:color="auto" w:fill="ffffff"/>
        </w:rPr>
        <w:t xml:space="preserve">招标书</w:t>
      </w:r>
      <w:bookmarkEnd w:id="104"/>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苏州市卫康招投标咨询服务有限公司受苏州工业园区综合行政执法局的委托，就其所需的2024年园区界浦河种植项目项目进行国内公开招标。欢迎有资格的供应商前来参加投标。</w:t>
      </w:r>
      <w:r/>
    </w:p>
    <w:p>
      <w:pPr>
        <w:ind w:firstLine="482"/>
        <w:jc w:val="left"/>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一、招标编号：</w:t>
      </w:r>
      <w:bookmarkStart w:id="105" w:name="OLE_LINK1"/>
      <w:r>
        <w:rPr>
          <w:rFonts w:hint="eastAsia" w:ascii="宋体" w:hAnsi="宋体" w:eastAsia="宋体" w:cs="宋体"/>
          <w:color w:val="auto"/>
          <w:sz w:val="24"/>
          <w:szCs w:val="24"/>
          <w:highlight w:val="none"/>
          <w:shd w:val="clear" w:color="auto" w:fill="ffffff"/>
          <w:lang w:eastAsia="zh-CN"/>
        </w:rPr>
        <w:t xml:space="preserve">JSZC-320591-SZWK-G2024-0347</w:t>
      </w:r>
      <w:r>
        <w:rPr>
          <w:rFonts w:hint="eastAsia" w:ascii="宋体" w:hAnsi="宋体" w:eastAsia="宋体" w:cs="宋体"/>
          <w:color w:val="auto"/>
          <w:sz w:val="24"/>
          <w:szCs w:val="24"/>
          <w:highlight w:val="none"/>
          <w:shd w:val="clear" w:color="auto" w:fill="ffffff"/>
        </w:rPr>
        <w:t xml:space="preserve">号</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二、采购需求</w:t>
      </w:r>
      <w:r/>
    </w:p>
    <w:p>
      <w:pPr>
        <w:ind w:firstLine="482"/>
        <w:jc w:val="left"/>
        <w:spacing w:line="40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（一）服务内容</w:t>
      </w:r>
      <w:r/>
    </w:p>
    <w:p>
      <w:pPr>
        <w:ind w:firstLine="480"/>
        <w:jc w:val="left"/>
        <w:spacing w:line="400" w:lineRule="exact"/>
        <w:widowControl/>
        <w:rPr>
          <w:rFonts w:ascii="宋体" w:hAnsi="宋体" w:eastAsia="宋体" w:cs="宋体"/>
          <w:color w:val="auto"/>
          <w:sz w:val="24"/>
          <w:szCs w:val="24"/>
          <w:highlight w:val="none"/>
        </w:rPr>
      </w:pPr>
      <w:r/>
      <w:bookmarkStart w:id="106" w:name="OLE_LINK152"/>
      <w:r/>
      <w:bookmarkStart w:id="107" w:name="OLE_LINK153"/>
      <w:r/>
      <w:bookmarkStart w:id="108" w:name="OLE_LINK154"/>
      <w:r/>
      <w:bookmarkStart w:id="109" w:name="OLE_LINK155"/>
      <w:r/>
      <w:bookmarkStart w:id="110" w:name="_Hlk117240744"/>
      <w:r>
        <w:rPr>
          <w:rFonts w:hint="eastAsia" w:ascii="宋体" w:hAnsi="宋体" w:eastAsia="宋体" w:cs="宋体"/>
          <w:color w:val="auto"/>
          <w:sz w:val="24"/>
          <w:szCs w:val="24"/>
          <w:highlight w:val="none"/>
        </w:rPr>
        <w:t xml:space="preserve">2024年园区界浦河种植项目位于苏州工业园区胜浦街道，界浦河沿岸、中新大道南北两侧，主要含农作物种植、土壤改良、绿化养护等内容</w:t>
      </w:r>
      <w:bookmarkEnd w:id="106"/>
      <w:r/>
      <w:bookmarkEnd w:id="107"/>
      <w:r/>
      <w:bookmarkEnd w:id="108"/>
      <w:r/>
      <w:bookmarkEnd w:id="109"/>
      <w:r>
        <w:rPr>
          <w:rFonts w:hint="eastAsia" w:ascii="宋体" w:hAnsi="宋体" w:eastAsia="宋体" w:cs="宋体"/>
          <w:color w:val="auto"/>
          <w:sz w:val="24"/>
          <w:szCs w:val="24"/>
          <w:highlight w:val="none"/>
        </w:rPr>
        <w:t xml:space="preserve">。</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1、改良农地土壤</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清理杂物，回填东北泥炭土等。</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2、农作物种植</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采用轮作模式，中新大道南侧东西两侧格田采用油菜花和高粱品种轮作，1—5号鱼塘采用水稻和小麦等大田作物轮作，做好日常看护、维护。</w:t>
      </w:r>
      <w:r/>
    </w:p>
    <w:p>
      <w:pPr>
        <w:ind w:firstLine="480"/>
        <w:jc w:val="left"/>
        <w:spacing w:line="400" w:lineRule="exact"/>
        <w:widowControl/>
        <w:rPr>
          <w:rFonts w:ascii="宋体" w:hAnsi="宋体" w:eastAsia="宋体" w:cs="宋体"/>
          <w:color w:val="auto"/>
          <w:sz w:val="24"/>
          <w:szCs w:val="24"/>
          <w:highlight w:val="none"/>
        </w:rPr>
      </w:pPr>
      <w:r/>
      <w:bookmarkStart w:id="111" w:name="OLE_LINK244"/>
      <w:r/>
      <w:bookmarkStart w:id="112" w:name="OLE_LINK243"/>
      <w:r>
        <w:rPr>
          <w:rFonts w:hint="eastAsia" w:ascii="宋体" w:hAnsi="宋体" w:eastAsia="宋体" w:cs="宋体"/>
          <w:color w:val="auto"/>
          <w:sz w:val="24"/>
          <w:szCs w:val="24"/>
          <w:highlight w:val="none"/>
        </w:rPr>
        <w:t xml:space="preserve">3、绿化养护</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农田周边乔灌木、色块、地被、草坪、林地进行养护管理。</w:t>
      </w:r>
      <w:bookmarkEnd w:id="111"/>
      <w:r/>
      <w:bookmarkEnd w:id="112"/>
      <w:r/>
      <w:r/>
    </w:p>
    <w:p>
      <w:pPr>
        <w:ind w:firstLine="480"/>
        <w:jc w:val="left"/>
        <w:spacing w:line="400" w:lineRule="exact"/>
        <w:widowControl/>
        <w:rPr>
          <w:rFonts w:ascii="宋体" w:hAnsi="宋体" w:eastAsia="宋体" w:cs="宋体"/>
          <w:color w:val="auto"/>
          <w:sz w:val="24"/>
          <w:szCs w:val="24"/>
          <w:highlight w:val="none"/>
        </w:rPr>
      </w:pPr>
      <w:r/>
      <w:bookmarkStart w:id="113" w:name="OLE_LINK247"/>
      <w:r/>
      <w:bookmarkStart w:id="114" w:name="OLE_LINK248"/>
      <w:r>
        <w:rPr>
          <w:rFonts w:hint="eastAsia" w:ascii="宋体" w:hAnsi="宋体" w:eastAsia="宋体" w:cs="宋体"/>
          <w:color w:val="auto"/>
          <w:sz w:val="24"/>
          <w:szCs w:val="24"/>
          <w:highlight w:val="none"/>
        </w:rPr>
        <w:t xml:space="preserve">4、场地维护维修</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ascii="宋体" w:hAnsi="宋体" w:eastAsia="宋体" w:cs="宋体"/>
          <w:color w:val="auto"/>
          <w:sz w:val="24"/>
          <w:szCs w:val="24"/>
          <w:highlight w:val="none"/>
        </w:rPr>
        <w:t xml:space="preserve">场地配套设施</w:t>
      </w:r>
      <w:r>
        <w:rPr>
          <w:rFonts w:hint="eastAsia" w:ascii="宋体" w:hAnsi="宋体" w:eastAsia="宋体" w:cs="宋体"/>
          <w:color w:val="auto"/>
          <w:sz w:val="24"/>
          <w:szCs w:val="24"/>
          <w:highlight w:val="none"/>
        </w:rPr>
        <w:t xml:space="preserve">进行</w:t>
      </w:r>
      <w:r>
        <w:rPr>
          <w:rFonts w:ascii="宋体" w:hAnsi="宋体" w:eastAsia="宋体" w:cs="宋体"/>
          <w:color w:val="auto"/>
          <w:sz w:val="24"/>
          <w:szCs w:val="24"/>
          <w:highlight w:val="none"/>
        </w:rPr>
        <w:t xml:space="preserve">日常看护、</w:t>
      </w:r>
      <w:r>
        <w:rPr>
          <w:rFonts w:hint="eastAsia" w:ascii="宋体" w:hAnsi="宋体" w:eastAsia="宋体" w:cs="宋体"/>
          <w:color w:val="auto"/>
          <w:sz w:val="24"/>
          <w:szCs w:val="24"/>
          <w:highlight w:val="none"/>
        </w:rPr>
        <w:t xml:space="preserve">发现故障能及时维修，确保正常使用。</w:t>
      </w:r>
      <w:bookmarkEnd w:id="113"/>
      <w:r/>
      <w:bookmarkEnd w:id="114"/>
      <w:r/>
      <w:r/>
    </w:p>
    <w:p>
      <w:pPr>
        <w:ind w:firstLine="480"/>
        <w:jc w:val="left"/>
        <w:spacing w:line="400" w:lineRule="exact"/>
        <w:widowControl/>
        <w:rPr>
          <w:rFonts w:ascii="宋体" w:hAnsi="宋体" w:eastAsia="宋体" w:cs="宋体"/>
          <w:color w:val="auto"/>
          <w:sz w:val="24"/>
          <w:szCs w:val="24"/>
          <w:highlight w:val="none"/>
        </w:rPr>
      </w:pPr>
      <w:r/>
      <w:bookmarkStart w:id="115" w:name="OLE_LINK101"/>
      <w:r/>
      <w:bookmarkStart w:id="116" w:name="OLE_LINK102"/>
      <w:r>
        <w:rPr>
          <w:rFonts w:hint="eastAsia" w:ascii="宋体" w:hAnsi="宋体" w:eastAsia="宋体" w:cs="宋体"/>
          <w:color w:val="auto"/>
          <w:sz w:val="24"/>
          <w:szCs w:val="24"/>
          <w:highlight w:val="none"/>
        </w:rPr>
        <w:t xml:space="preserve">5、其余相关工作</w:t>
      </w:r>
      <w:r/>
    </w:p>
    <w:p>
      <w:pPr>
        <w:ind w:firstLine="480"/>
        <w:jc w:val="left"/>
        <w:spacing w:line="400" w:lineRule="exact"/>
        <w:widowControl/>
        <w:rPr>
          <w:rFonts w:ascii="宋体" w:hAnsi="宋体" w:eastAsia="宋体" w:cs="宋体"/>
          <w:color w:val="auto"/>
          <w:sz w:val="24"/>
          <w:szCs w:val="24"/>
          <w:highlight w:val="none"/>
        </w:rPr>
      </w:pPr>
      <w:r/>
      <w:bookmarkStart w:id="117" w:name="OLE_LINK99"/>
      <w:r/>
      <w:bookmarkStart w:id="118" w:name="OLE_LINK100"/>
      <w:r/>
      <w:bookmarkStart w:id="119" w:name="OLE_LINK105"/>
      <w:r>
        <w:rPr>
          <w:rFonts w:hint="eastAsia" w:ascii="宋体" w:hAnsi="宋体" w:eastAsia="宋体" w:cs="宋体"/>
          <w:color w:val="auto"/>
          <w:sz w:val="24"/>
          <w:szCs w:val="24"/>
          <w:highlight w:val="none"/>
        </w:rPr>
        <w:t xml:space="preserve">（1）中标单位须自行解决现场施工中可能需要使用的水电、车辆通行证、垃圾清运、占道审批，及与本项目周边相关设施权属单位的沟通工作等事宜，相关费用含在报价中。</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（2）中标单位需做好施工现场道路的施工和维护工作。</w:t>
      </w:r>
      <w:bookmarkEnd w:id="115"/>
      <w:r/>
      <w:bookmarkEnd w:id="116"/>
      <w:r/>
      <w:bookmarkEnd w:id="117"/>
      <w:r/>
      <w:bookmarkEnd w:id="118"/>
      <w:r/>
      <w:bookmarkEnd w:id="119"/>
      <w:r/>
      <w:r/>
    </w:p>
    <w:p>
      <w:pPr>
        <w:ind w:firstLine="482"/>
        <w:jc w:val="left"/>
        <w:spacing w:line="40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(二)服务期限</w:t>
      </w:r>
      <w:r/>
    </w:p>
    <w:p>
      <w:pPr>
        <w:ind w:firstLine="480"/>
        <w:jc w:val="left"/>
        <w:spacing w:line="400" w:lineRule="exact"/>
        <w:widowControl/>
        <w:rPr>
          <w:rFonts w:ascii="宋体" w:hAnsi="宋体" w:eastAsia="宋体" w:cs="宋体"/>
          <w:color w:val="auto"/>
          <w:sz w:val="24"/>
          <w:szCs w:val="24"/>
          <w:highlight w:val="none"/>
        </w:rPr>
      </w:pPr>
      <w:r/>
      <w:bookmarkStart w:id="120" w:name="OLE_LINK32"/>
      <w:r/>
      <w:bookmarkStart w:id="121" w:name="OLE_LINK33"/>
      <w:r/>
      <w:bookmarkStart w:id="122" w:name="OLE_LINK30"/>
      <w:r/>
      <w:bookmarkStart w:id="123" w:name="OLE_LINK31"/>
      <w:r/>
      <w:bookmarkStart w:id="124" w:name="OLE_LINK111"/>
      <w:r/>
      <w:bookmarkStart w:id="125" w:name="OLE_LINK112"/>
      <w:r>
        <w:rPr>
          <w:rFonts w:hint="eastAsia" w:ascii="宋体" w:hAnsi="宋体" w:eastAsia="宋体" w:cs="宋体"/>
          <w:color w:val="auto"/>
          <w:sz w:val="24"/>
          <w:szCs w:val="24"/>
          <w:highlight w:val="none"/>
        </w:rPr>
        <w:t xml:space="preserve">暂定34个月，计划2024年12月1日</w:t>
      </w:r>
      <w:bookmarkEnd w:id="120"/>
      <w:r/>
      <w:bookmarkEnd w:id="121"/>
      <w:r>
        <w:rPr>
          <w:rFonts w:hint="eastAsia" w:ascii="宋体" w:hAnsi="宋体" w:eastAsia="宋体" w:cs="宋体"/>
          <w:color w:val="auto"/>
          <w:sz w:val="24"/>
          <w:szCs w:val="24"/>
          <w:highlight w:val="none"/>
        </w:rPr>
        <w:t xml:space="preserve">至2027年9月30日</w:t>
      </w:r>
      <w:bookmarkEnd w:id="122"/>
      <w:r/>
      <w:bookmarkEnd w:id="123"/>
      <w:r>
        <w:rPr>
          <w:rFonts w:hint="eastAsia" w:ascii="宋体" w:hAnsi="宋体" w:eastAsia="宋体" w:cs="宋体"/>
          <w:color w:val="auto"/>
          <w:sz w:val="24"/>
          <w:szCs w:val="24"/>
          <w:highlight w:val="none"/>
        </w:rPr>
        <w:t xml:space="preserve">，具体进场时间以业主书面通知为准，其中绿化养护暂定30个月，计划2025年4月1日至2027年9月30日。</w:t>
      </w:r>
      <w:bookmarkEnd w:id="110"/>
      <w:r/>
      <w:bookmarkEnd w:id="124"/>
      <w:r/>
      <w:bookmarkEnd w:id="125"/>
      <w:r/>
      <w:r/>
    </w:p>
    <w:p>
      <w:pPr>
        <w:ind w:firstLine="482"/>
        <w:jc w:val="left"/>
        <w:spacing w:line="400" w:lineRule="exact"/>
        <w:widowControl/>
        <w:rPr>
          <w:rFonts w:ascii="宋体" w:hAnsi="宋体" w:eastAsia="宋体" w:cs="宋体"/>
          <w:b/>
          <w:color w:val="auto"/>
          <w:sz w:val="24"/>
          <w:szCs w:val="24"/>
          <w:highlight w:val="none"/>
        </w:rPr>
      </w:pPr>
      <w:r/>
      <w:bookmarkStart w:id="126" w:name="OLE_LINK103"/>
      <w:r/>
      <w:bookmarkStart w:id="127" w:name="OLE_LINK104"/>
      <w:r/>
      <w:bookmarkStart w:id="128" w:name="OLE_LINK106"/>
      <w:r>
        <w:rPr>
          <w:rFonts w:hint="eastAsia" w:ascii="宋体" w:hAnsi="宋体" w:eastAsia="宋体" w:cs="宋体"/>
          <w:b/>
          <w:color w:val="auto"/>
          <w:sz w:val="24"/>
          <w:szCs w:val="24"/>
          <w:highlight w:val="none"/>
        </w:rPr>
        <w:t xml:space="preserve">三、服务（技术）要求及考核</w:t>
      </w:r>
      <w:bookmarkEnd w:id="126"/>
      <w:r/>
      <w:bookmarkEnd w:id="127"/>
      <w:r/>
      <w:bookmarkEnd w:id="128"/>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详见附件</w:t>
      </w: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lang w:eastAsia="zh-CN"/>
        </w:rPr>
        <w:t xml:space="preserve">附件二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养护清单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、附件三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人员设备配备要求一览表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、附件四</w:t>
      </w:r>
      <w:r>
        <w:rPr>
          <w:rFonts w:hint="eastAsia" w:ascii="宋体" w:hAnsi="宋体" w:eastAsia="宋体" w:cs="宋体"/>
          <w:color w:val="auto"/>
          <w:sz w:val="24"/>
          <w:szCs w:val="24"/>
          <w:highlight w:val="none"/>
        </w:rPr>
        <w:t xml:space="preserve">《保险要求》、附件</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《农民工工资专户要求》、附件</w:t>
      </w: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《考核表》、附件</w:t>
      </w: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《安全文明施工要求》</w:t>
      </w:r>
      <w:r>
        <w:rPr>
          <w:rFonts w:hint="eastAsia" w:ascii="宋体" w:hAnsi="宋体" w:eastAsia="宋体" w:cs="宋体"/>
          <w:color w:val="auto"/>
          <w:sz w:val="24"/>
          <w:szCs w:val="24"/>
          <w:highlight w:val="none"/>
          <w:lang w:eastAsia="zh-CN"/>
        </w:rPr>
        <w:t xml:space="preserve">、附件八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绿化养护肥料使用要求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、附件九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绿化养护农药使用要求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、附件十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黑麦草施播范围</w:t>
      </w:r>
      <w:r>
        <w:rPr>
          <w:rFonts w:hint="eastAsia" w:ascii="宋体" w:hAnsi="宋体" w:eastAsia="宋体" w:cs="宋体"/>
          <w:color w:val="auto"/>
          <w:sz w:val="24"/>
          <w:szCs w:val="24"/>
          <w:highlight w:val="none"/>
        </w:rPr>
        <w:t xml:space="preserve">》。</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四、人员、设备配备基本要求</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（一）人员配备基本要求</w:t>
      </w:r>
      <w:r/>
    </w:p>
    <w:p>
      <w:pPr>
        <w:pStyle w:val="94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详见附件《</w:t>
      </w:r>
      <w:bookmarkStart w:id="129" w:name="OLE_LINK107"/>
      <w:r/>
      <w:bookmarkStart w:id="130" w:name="OLE_LINK108"/>
      <w:r>
        <w:rPr>
          <w:rFonts w:hint="eastAsia" w:ascii="宋体" w:hAnsi="宋体" w:eastAsia="宋体" w:cs="宋体"/>
          <w:color w:val="auto"/>
          <w:sz w:val="24"/>
          <w:szCs w:val="24"/>
          <w:highlight w:val="none"/>
        </w:rPr>
        <w:t xml:space="preserve">人员设备配备一览表</w:t>
      </w:r>
      <w:bookmarkEnd w:id="129"/>
      <w:r/>
      <w:bookmarkEnd w:id="130"/>
      <w:r>
        <w:rPr>
          <w:rFonts w:hint="eastAsia" w:ascii="宋体" w:hAnsi="宋体" w:eastAsia="宋体" w:cs="宋体"/>
          <w:color w:val="auto"/>
          <w:sz w:val="24"/>
          <w:szCs w:val="24"/>
          <w:highlight w:val="none"/>
        </w:rPr>
        <w:t xml:space="preserve">》</w:t>
      </w:r>
      <w:r/>
    </w:p>
    <w:p>
      <w:pPr>
        <w:contextualSpacing/>
        <w:ind w:firstLine="480"/>
        <w:spacing w:line="360" w:lineRule="auto"/>
        <w:rPr>
          <w:rFonts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拟投入人员须满足招标文件的要求，</w:t>
      </w:r>
      <w:r>
        <w:rPr>
          <w:rFonts w:hint="eastAsia" w:ascii="宋体" w:hAnsi="宋体" w:eastAsia="宋体" w:cs="宋体"/>
          <w:b/>
          <w:bCs/>
          <w:color w:val="auto"/>
          <w:sz w:val="24"/>
          <w:szCs w:val="24"/>
          <w:highlight w:val="none"/>
          <w:u w:val="single"/>
        </w:rPr>
        <w:t xml:space="preserve">低于招标文件要求的视为未实质性响应招标文件要求，为无效标。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本标段项目组人员含</w:t>
      </w:r>
      <w:r>
        <w:rPr>
          <w:rFonts w:hint="eastAsia" w:ascii="宋体" w:hAnsi="宋体" w:eastAsia="宋体" w:cs="宋体"/>
          <w:color w:val="auto"/>
          <w:sz w:val="24"/>
          <w:szCs w:val="24"/>
          <w:highlight w:val="none"/>
          <w:u w:val="single"/>
        </w:rPr>
        <w:t xml:space="preserve">项目经理、技术负责人、专职安全员</w:t>
      </w:r>
      <w:r>
        <w:rPr>
          <w:rFonts w:hint="eastAsia" w:ascii="宋体" w:hAnsi="宋体" w:eastAsia="宋体" w:cs="宋体"/>
          <w:color w:val="auto"/>
          <w:sz w:val="24"/>
          <w:szCs w:val="24"/>
          <w:highlight w:val="none"/>
        </w:rPr>
        <w:t xml:space="preserve">。</w:t>
      </w:r>
      <w:r/>
    </w:p>
    <w:p>
      <w:pPr>
        <w:pStyle w:val="935"/>
        <w:ind w:firstLine="480"/>
        <w:jc w:val="both"/>
        <w:spacing w:line="360" w:lineRule="auto"/>
        <w:rPr>
          <w:color w:val="auto"/>
          <w:highlight w:val="none"/>
        </w:rPr>
      </w:pPr>
      <w:r>
        <w:rPr>
          <w:rFonts w:hint="eastAsia"/>
          <w:color w:val="auto"/>
          <w:highlight w:val="none"/>
        </w:rPr>
        <w:t xml:space="preserve">农忙或应急时期人员设备应按需增配，该部分费用纳入投标报价统筹考虑。</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提供供应商为项目组人员缴纳的近一期的社保证明扫描件（有社保局盖章）和身份证扫描件，同时项目经理及技术负责人须提供职称证书扫描件和学历证书扫描件，专职安全员须提供政府安监部门（应急管理部门）或其认可的相关培训机构颁发的安全员证书。上述证明材料未提供或提供不完整的视为未实质性响应，为无效标。</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（二）设备配备基本要求</w:t>
      </w:r>
      <w:r/>
    </w:p>
    <w:p>
      <w:pPr>
        <w:pStyle w:val="94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详见附件《人员设备配备一览表》</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拟投入车辆、设备（包括数量及规格参数等）须满足招标文件的要求，低于招标文件要求的视为未实质性响应招标文件要求，为无效标。</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五、人员、车辆设备、项目办公场所专用原则：</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1、项目组人员专用原则：</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项目组人员包含《项目组成员配备一览表》中承诺的所有人员。</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项目组人员必须专门服务于本标段，不得用于其他项目中，且原则上不得更换。项目组人员均应为非变更后无在养项目，或是变更后无在养项目（必须是原合同养护期已满）。</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中标后项目组人员未按投标承诺到位或供应商未经采购人批准私自更换的，一经发现处罚35万元/人·次，同时供应商仍应按投标承诺将人员配备到位。</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如需更换项目组人员，应向采购人提出书面申请，经采购人批准后方可进行更换，所更换人员资格不得低于其投标文件承诺；中标后由于项目组人员现场管理工作不到位，或无法起到应有的作用，视为不称职，采购人将要求供应商更换项目组人员，且所更换人员不得低于其投标文件承诺。无论供应商申请更换或因不称职更换项目组人员均视为供应商违约行为，采购人将向供应商收取违约金</w:t>
      </w:r>
      <w:bookmarkStart w:id="131" w:name="_Hlk116314410"/>
      <w:r>
        <w:rPr>
          <w:rFonts w:hint="eastAsia" w:ascii="宋体" w:hAnsi="宋体" w:eastAsia="宋体" w:cs="宋体"/>
          <w:color w:val="auto"/>
          <w:sz w:val="24"/>
          <w:szCs w:val="24"/>
          <w:highlight w:val="none"/>
        </w:rPr>
        <w:t xml:space="preserve">，进场前及履约服务开始十二个月内（含）更换项目经理30万元/人·次、更换项目组其他人员18万元/人·次，履约服务后第十三个月至履约结束更换项目经理15万元/人·次、更换项目组其他人员9万元/人·次。</w:t>
      </w:r>
      <w:bookmarkEnd w:id="131"/>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2、车辆、设备专用原则：</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按照招标文件要求配备相关车辆（设备），并承诺投入车辆（设备）均为该项目（标段）专用，不得用于其他标段或其他项目且原则上不得更换。在合同履行过程中，如发现专用车辆（设备）用于其它项目的，或在检查过程中有车辆（设备）不到位现象的，或未经采购人同意更换车辆（设备）的，将被视为违约，采购人有权对中标人收取违约金10000元/台·次。若出现三台·次（含）以上该类违约现象，采购人有权解除合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（2）供应商现自有或已租赁专用车辆（设备）（投标时承诺配置的“现自有或已租赁”设备）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开始时，供应商应按照其投标文件承诺将“现自有或已租赁”车辆（设备）配备到位。若合同开始时投入本项目的现自有或已租赁车辆（设备）未到位的，则采购人有权取消其中标资格（已签订合同的终止合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（3）供应商承诺设备（投标时承诺在中标后配备的车辆（设备））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在规定时间前将承诺配置的车辆（设备）配备到位，否则，无论采购人是否同意供应商进场服务，供应商均应按照采购人进场核验报告中明确的限期整改期限，将设备配备到位，并支付违约金。整改期限届满，如仍未配备到位，采购人有权解除合同。</w:t>
      </w:r>
      <w:r/>
    </w:p>
    <w:p>
      <w:pPr>
        <w:numPr>
          <w:ilvl w:val="0"/>
          <w:numId w:val="4"/>
        </w:num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过程中，供应商如需更换本项目专用车辆（设备），应向采购人提出书面申请，经采购人批准后方可进行更换，所更换车辆（设备）的型号、参数、性能等不得低于其投标文件承诺，且机动车登记证书的初次登记日期不得早于被更换车辆，供应商更换车辆的，采购人有权对中标人收取违约金10000元/台·次。</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（5）设备外观要求标识统一，中标后，必须按采购人要求进行设备涂装，相关费用包含于投标报价内。</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合同履行期间，供应商应做好设备的维护保养工作，若机械化作业设备、专用设备出现故障，供应商应及时维修或采用临时提供备用设备来进行工作，若经维修后仍无法满足保洁要求的，供应商应及时进行更换，并报请采购人同意，所更换设备的型号、参数、性能等不得低于其投标文件承诺，且机动车登记证书的初次登记日期不得早于被更换车辆。供应商拒绝更换或更换不及时的，将视为违约，采购人有权对中标人收取违约金（机械化作业设备收取违约金5000元/辆·天，专用设备收取2000元/台·天）。若出现三次（含）以上该违约现象，采购人有权解除合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（7）在服务期内，供应商有义务无条件接受由采购人采购并投入的设备，同时做好设备的使用、维护等工作。</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3、人员、设备不得与其他项目重复的要求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供应商在投标文件中承诺配置的项目组人员、车辆（设备）信息（发动机号、车架号等任一项）与</w:t>
      </w:r>
      <w:r>
        <w:rPr>
          <w:rFonts w:hint="eastAsia" w:ascii="宋体" w:hAnsi="宋体" w:eastAsia="宋体" w:cs="宋体"/>
          <w:color w:val="auto"/>
          <w:sz w:val="24"/>
          <w:szCs w:val="24"/>
          <w:highlight w:val="none"/>
          <w:u w:val="single"/>
        </w:rPr>
        <w:t xml:space="preserve">2024年12月1日</w:t>
      </w:r>
      <w:r>
        <w:rPr>
          <w:rFonts w:hint="eastAsia" w:ascii="宋体" w:hAnsi="宋体" w:eastAsia="宋体" w:cs="宋体"/>
          <w:color w:val="auto"/>
          <w:sz w:val="24"/>
          <w:szCs w:val="24"/>
          <w:highlight w:val="none"/>
        </w:rPr>
        <w:t xml:space="preserve">后（含）仍在履行的其他项目中所配备的人员或设备信息有重复的，</w:t>
      </w:r>
      <w:r>
        <w:rPr>
          <w:rFonts w:hint="eastAsia" w:ascii="宋体" w:hAnsi="宋体" w:eastAsia="宋体" w:cs="宋体"/>
          <w:b/>
          <w:bCs/>
          <w:color w:val="auto"/>
          <w:sz w:val="24"/>
          <w:szCs w:val="24"/>
          <w:highlight w:val="none"/>
        </w:rPr>
        <w:t xml:space="preserve">则视为未实质性响应，投标文件中关于人员与设备的承诺不作为该情形的弥补。</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投标文件中承诺为本标段配置的项目组人员及车辆（设备）如为其他项目中已变更或被更换的，原项目合同必须在</w:t>
      </w:r>
      <w:r>
        <w:rPr>
          <w:rFonts w:hint="eastAsia" w:ascii="宋体" w:hAnsi="宋体" w:eastAsia="宋体" w:cs="宋体"/>
          <w:color w:val="auto"/>
          <w:sz w:val="24"/>
          <w:szCs w:val="24"/>
          <w:highlight w:val="none"/>
          <w:u w:val="single"/>
        </w:rPr>
        <w:t xml:space="preserve">2024年12月1日</w:t>
      </w:r>
      <w:r>
        <w:rPr>
          <w:rFonts w:hint="eastAsia" w:ascii="宋体" w:hAnsi="宋体" w:eastAsia="宋体" w:cs="宋体"/>
          <w:color w:val="auto"/>
          <w:sz w:val="24"/>
          <w:szCs w:val="24"/>
          <w:highlight w:val="none"/>
        </w:rPr>
        <w:t xml:space="preserve">前已履行完成，</w:t>
      </w:r>
      <w:r>
        <w:rPr>
          <w:rFonts w:hint="eastAsia" w:ascii="宋体" w:hAnsi="宋体" w:eastAsia="宋体" w:cs="宋体"/>
          <w:b/>
          <w:bCs/>
          <w:color w:val="auto"/>
          <w:sz w:val="24"/>
          <w:szCs w:val="24"/>
          <w:highlight w:val="none"/>
        </w:rPr>
        <w:t xml:space="preserve">否则视为与其他项目中人员或设备有重复，则视为未实质性响应。</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投标文件中的涉及的人员、车辆（设备）等至少需在投标有效期内保持其承诺的原状态。如果上述人员、车辆（设备）等响应内容状态发生了变化，使得实际响应的人员、车辆（设备）等已不符合招标文件的实质性要求，采购人（代理机构）有权根据招标文件的规定，对供应商做出判定其投标文件非实质性响应招标文件、投标无效、取消中</w:t>
      </w:r>
      <w:bookmarkStart w:id="132" w:name="OLE_LINK251"/>
      <w:r/>
      <w:bookmarkStart w:id="133" w:name="OLE_LINK252"/>
      <w:r>
        <w:rPr>
          <w:rFonts w:hint="eastAsia" w:ascii="宋体" w:hAnsi="宋体" w:eastAsia="宋体" w:cs="宋体"/>
          <w:b/>
          <w:bCs/>
          <w:color w:val="auto"/>
          <w:sz w:val="24"/>
          <w:szCs w:val="24"/>
          <w:highlight w:val="none"/>
        </w:rPr>
        <w:t xml:space="preserve">标资格等处理。</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5、项目组固定办公场所原则</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供应商应在距项目5km范围内设有固定的项目组办公场所，办公场所</w:t>
      </w:r>
      <w:r>
        <w:rPr>
          <w:rFonts w:hint="eastAsia" w:ascii="宋体" w:hAnsi="宋体" w:eastAsia="宋体" w:cs="宋体"/>
          <w:color w:val="auto"/>
          <w:sz w:val="24"/>
          <w:szCs w:val="24"/>
          <w:highlight w:val="none"/>
        </w:rPr>
        <w:t xml:space="preserve">面积不小于50平方米，且承诺办公场所为该项目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其它项目的，或在检查过程中有项目组办公场所不到位现象的，或未经采购人同意更换项目组办公场所的，将被视为违约，采购人有权按10000元/次的标准对供应商收取违约金。若出现三次（含）以上该违约现象，采购人有权解除合同</w:t>
      </w:r>
      <w:r>
        <w:rPr>
          <w:rFonts w:hint="eastAsia" w:ascii="宋体" w:hAnsi="宋体" w:eastAsia="宋体" w:cs="宋体"/>
          <w:b/>
          <w:bCs/>
          <w:color w:val="auto"/>
          <w:sz w:val="24"/>
          <w:szCs w:val="24"/>
          <w:highlight w:val="none"/>
        </w:rPr>
        <w:t xml:space="preserve">。</w:t>
      </w:r>
      <w:bookmarkEnd w:id="132"/>
      <w:r/>
      <w:bookmarkEnd w:id="133"/>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六、进场核验要求：见合同条款</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七、防暑降温用品发放要求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供应商需在夏季高温期间，为作业工人发放防暑降温用品。如有因防暑降温用品发放问题导致的劳务纠纷均由供应商负责并承担相应责任。防暑降温物品要求详见附件。</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八、综合说明及其他要求</w:t>
      </w:r>
      <w:r/>
    </w:p>
    <w:p>
      <w:pPr>
        <w:ind w:firstLine="480"/>
        <w:jc w:val="left"/>
        <w:spacing w:line="360" w:lineRule="auto"/>
        <w:rPr>
          <w:rFonts w:ascii="宋体" w:hAnsi="宋体" w:eastAsia="宋体" w:cs="Times New Roman"/>
          <w:color w:val="auto"/>
          <w:sz w:val="24"/>
          <w:szCs w:val="24"/>
          <w:highlight w:val="none"/>
        </w:rPr>
      </w:pPr>
      <w:r/>
      <w:bookmarkStart w:id="134" w:name="_Hlk117243055"/>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管理</w:t>
      </w:r>
      <w:r>
        <w:rPr>
          <w:rFonts w:ascii="宋体" w:hAnsi="宋体" w:eastAsia="宋体" w:cs="Times New Roman"/>
          <w:color w:val="auto"/>
          <w:sz w:val="24"/>
          <w:szCs w:val="24"/>
          <w:highlight w:val="none"/>
        </w:rPr>
        <w:t xml:space="preserve">交接时间：</w:t>
      </w:r>
      <w:r>
        <w:rPr>
          <w:rFonts w:hint="eastAsia" w:ascii="宋体" w:hAnsi="宋体" w:eastAsia="宋体" w:cs="Times New Roman"/>
          <w:color w:val="auto"/>
          <w:sz w:val="24"/>
          <w:szCs w:val="24"/>
          <w:highlight w:val="none"/>
        </w:rPr>
        <w:t xml:space="preserve">中标后，由采购人根据实际进度，书面通知进场时间，并按实际服务期结算费用</w:t>
      </w:r>
      <w:r>
        <w:rPr>
          <w:rFonts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shd w:val="clear" w:color="auto" w:fill="ffffff"/>
        </w:rPr>
      </w:pPr>
      <w:r/>
      <w:bookmarkStart w:id="135" w:name="_Toc437620747"/>
      <w:r>
        <w:rPr>
          <w:rFonts w:hint="eastAsia" w:ascii="宋体" w:hAnsi="宋体" w:eastAsia="宋体" w:cs="Times New Roman"/>
          <w:color w:val="auto"/>
          <w:sz w:val="24"/>
          <w:szCs w:val="24"/>
          <w:highlight w:val="none"/>
        </w:rPr>
        <w:t xml:space="preserve">2、合同</w:t>
      </w:r>
      <w:r>
        <w:rPr>
          <w:rFonts w:ascii="宋体" w:hAnsi="宋体" w:eastAsia="宋体" w:cs="Times New Roman"/>
          <w:color w:val="auto"/>
          <w:sz w:val="24"/>
          <w:szCs w:val="24"/>
          <w:highlight w:val="none"/>
        </w:rPr>
        <w:t xml:space="preserve">履行期间将按照</w:t>
      </w:r>
      <w:r>
        <w:rPr>
          <w:rFonts w:hint="eastAsia" w:ascii="宋体" w:hAnsi="宋体" w:eastAsia="宋体" w:cs="Times New Roman"/>
          <w:color w:val="auto"/>
          <w:sz w:val="24"/>
          <w:szCs w:val="24"/>
          <w:highlight w:val="none"/>
        </w:rPr>
        <w:t xml:space="preserve">附件《考核办法》</w:t>
      </w:r>
      <w:r>
        <w:rPr>
          <w:rFonts w:ascii="宋体" w:hAnsi="宋体" w:eastAsia="宋体" w:cs="Times New Roman"/>
          <w:color w:val="auto"/>
          <w:sz w:val="24"/>
          <w:szCs w:val="24"/>
          <w:highlight w:val="none"/>
        </w:rPr>
        <w:t xml:space="preserve">对该项目</w:t>
      </w:r>
      <w:r>
        <w:rPr>
          <w:rFonts w:hint="eastAsia" w:ascii="宋体" w:hAnsi="宋体" w:eastAsia="宋体" w:cs="Times New Roman"/>
          <w:color w:val="auto"/>
          <w:sz w:val="24"/>
          <w:szCs w:val="24"/>
          <w:highlight w:val="none"/>
        </w:rPr>
        <w:t xml:space="preserve">服务</w:t>
      </w:r>
      <w:r>
        <w:rPr>
          <w:rFonts w:ascii="宋体" w:hAnsi="宋体" w:eastAsia="宋体" w:cs="Times New Roman"/>
          <w:color w:val="auto"/>
          <w:sz w:val="24"/>
          <w:szCs w:val="24"/>
          <w:highlight w:val="none"/>
        </w:rPr>
        <w:t xml:space="preserve">进行检查考核。</w:t>
      </w:r>
      <w:bookmarkEnd w:id="135"/>
      <w:r>
        <w:rPr>
          <w:rFonts w:hint="eastAsia" w:ascii="宋体" w:hAnsi="宋体" w:eastAsia="宋体" w:cs="Times New Roman"/>
          <w:color w:val="auto"/>
          <w:sz w:val="24"/>
          <w:szCs w:val="24"/>
          <w:highlight w:val="none"/>
        </w:rPr>
        <w:t xml:space="preserve">在合同履行期间，甲方有权根据实际情况对考核方式及考核内容作出变更，乙方应无条件接受。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3、供应商必须承诺招标文件中提出的全部管理要求，如果其中某些条款不响应时，应在文件中逐条列出，未列出的视同响应。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4、供应商应对所投标段的全部内</w:t>
      </w:r>
      <w:r>
        <w:rPr>
          <w:rFonts w:hint="eastAsia" w:ascii="宋体" w:hAnsi="宋体" w:eastAsia="宋体" w:cs="宋体"/>
          <w:color w:val="auto"/>
          <w:sz w:val="24"/>
          <w:szCs w:val="24"/>
          <w:highlight w:val="none"/>
        </w:rPr>
        <w:t xml:space="preserve">容进行报价，只投其中部分内容者，其投标文件将被拒绝。投标总报价一次报定，包括完成本招标项目所需的人工、机械设备、工具器具、耗材、通讯、服装、胸卡、办公设备、巡检器材、保险、劳保、防疫、高温费、防暑降温物品费用、维护、技术支持与培训及相关劳务支出等工作所发生的全部费用以及投标人企业管理费、利润、各种税金和政策性文件规定及合同包含的所有风险、责任等各项应有费用。重大活动举行时的人员增派等可能产生的费用、在服务期内完成招标工作要求及投标承诺事项所需的一切费用均由投标人自行考虑，费用包含在投标报价中，不再另行结算。</w:t>
      </w:r>
      <w:r/>
    </w:p>
    <w:p>
      <w:pPr>
        <w:ind w:firstLine="480"/>
        <w:spacing w:line="360" w:lineRule="auto"/>
        <w:rPr>
          <w:rFonts w:ascii="宋体" w:hAnsi="宋体" w:eastAsia="宋体" w:cs="宋体"/>
          <w:color w:val="auto"/>
          <w:sz w:val="24"/>
          <w:szCs w:val="24"/>
          <w:highlight w:val="none"/>
        </w:rPr>
      </w:pPr>
      <w:r/>
      <w:bookmarkStart w:id="136" w:name="_Hlk116479062"/>
      <w:r>
        <w:rPr>
          <w:rFonts w:hint="eastAsia" w:ascii="宋体" w:hAnsi="宋体" w:eastAsia="宋体" w:cs="宋体"/>
          <w:color w:val="auto"/>
          <w:sz w:val="24"/>
          <w:szCs w:val="24"/>
          <w:highlight w:val="none"/>
        </w:rPr>
        <w:t xml:space="preserve">5、本项目服务期间，供应商用人管理制度应当遵守国家相关规定。</w:t>
      </w:r>
      <w:bookmarkEnd w:id="13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6、本项目的安全生产费用应按国家相关规定提取，并考虑在投标总价中。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8、验收标准：根据《苏州工业园区政府采购履约验收管理暂行办法》、招标文件中的服务要求、考核标准（详见附件）</w:t>
      </w:r>
      <w:r>
        <w:rPr>
          <w:rFonts w:hint="eastAsia" w:ascii="宋体" w:hAnsi="宋体" w:eastAsia="宋体" w:cs="Times New Roman"/>
          <w:color w:val="auto"/>
          <w:sz w:val="24"/>
          <w:szCs w:val="24"/>
          <w:highlight w:val="none"/>
        </w:rPr>
        <w:t xml:space="preserve">及投标响应承诺中的较高标准。</w:t>
      </w:r>
      <w:r>
        <w:rPr>
          <w:rFonts w:hint="eastAsia" w:ascii="宋体" w:hAnsi="宋体" w:eastAsia="宋体" w:cs="宋体"/>
          <w:color w:val="auto"/>
          <w:sz w:val="24"/>
          <w:szCs w:val="24"/>
          <w:highlight w:val="none"/>
          <w:shd w:val="clear" w:color="auto" w:fill="ffffff"/>
        </w:rPr>
        <w:t xml:space="preserve">由采购人验收通过，在服务过程中，采购人有权根据实际情况对考核办法作出适当修改，中标供应商须无条件接受。</w:t>
      </w:r>
      <w:r/>
    </w:p>
    <w:p>
      <w:pPr>
        <w:ind w:firstLine="480"/>
        <w:spacing w:line="360" w:lineRule="auto"/>
        <w:rPr>
          <w:color w:val="auto"/>
          <w:highlight w:val="none"/>
        </w:rPr>
      </w:pPr>
      <w:r>
        <w:rPr>
          <w:rFonts w:hint="eastAsia" w:ascii="宋体" w:hAnsi="宋体" w:eastAsia="宋体" w:cs="宋体"/>
          <w:color w:val="auto"/>
          <w:sz w:val="24"/>
          <w:szCs w:val="24"/>
          <w:highlight w:val="none"/>
          <w:shd w:val="clear" w:color="auto" w:fill="ffffff"/>
        </w:rPr>
        <w:t xml:space="preserve">9、付款方式：见合同条款。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10、</w:t>
      </w:r>
      <w:r>
        <w:rPr>
          <w:rFonts w:hint="eastAsia" w:ascii="宋体" w:hAnsi="宋体" w:eastAsia="宋体" w:cs="宋体"/>
          <w:color w:val="auto"/>
          <w:sz w:val="24"/>
          <w:szCs w:val="24"/>
          <w:highlight w:val="none"/>
        </w:rPr>
        <w:t xml:space="preserve">供应商提供的服务能够至少达到以上要求，同时明确详细的服务方案。</w:t>
      </w:r>
      <w:r/>
    </w:p>
    <w:p>
      <w:pPr>
        <w:ind w:firstLine="480"/>
        <w:jc w:val="left"/>
        <w:spacing w:line="360" w:lineRule="auto"/>
        <w:rPr>
          <w:rFonts w:ascii="宋体" w:hAnsi="宋体" w:eastAsia="宋体" w:cs="Times New Roman"/>
          <w:color w:val="auto"/>
          <w:sz w:val="24"/>
          <w:szCs w:val="24"/>
          <w:highlight w:val="none"/>
          <w:shd w:val="clear" w:color="auto" w:fill="ffffff"/>
          <w:lang w:val="zh-CN"/>
        </w:rPr>
      </w:pPr>
      <w:r>
        <w:rPr>
          <w:rFonts w:hint="eastAsia" w:ascii="宋体" w:hAnsi="宋体" w:eastAsia="宋体" w:cs="Times New Roman"/>
          <w:color w:val="auto"/>
          <w:sz w:val="24"/>
          <w:szCs w:val="24"/>
          <w:highlight w:val="none"/>
          <w:shd w:val="clear" w:color="auto" w:fill="ffffff"/>
        </w:rPr>
        <w:t xml:space="preserve">11、凡涉及招标文件的补充说明和修改，均以苏州市政府采购网发布的内容为准。</w:t>
      </w:r>
      <w:bookmarkEnd w:id="134"/>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br w:type="page" w:clear="all"/>
      </w:r>
      <w:r/>
    </w:p>
    <w:p>
      <w:pPr>
        <w:ind w:firstLine="964"/>
        <w:jc w:val="center"/>
        <w:keepLines/>
        <w:keepNext/>
        <w:spacing w:before="340" w:after="330" w:line="360" w:lineRule="auto"/>
        <w:rPr>
          <w:rFonts w:ascii="宋体" w:hAnsi="宋体" w:eastAsia="宋体" w:cs="Times New Roman"/>
          <w:b/>
          <w:color w:val="auto"/>
          <w:sz w:val="48"/>
          <w:szCs w:val="48"/>
          <w:highlight w:val="none"/>
          <w:shd w:val="clear" w:color="auto" w:fill="ffffff"/>
        </w:rPr>
        <w:outlineLvl w:val="0"/>
      </w:pPr>
      <w:r/>
      <w:bookmarkStart w:id="137" w:name="_Toc396747046"/>
      <w:r/>
      <w:bookmarkStart w:id="138" w:name="_Toc105940241"/>
      <w:r>
        <w:rPr>
          <w:rFonts w:hint="eastAsia" w:ascii="宋体" w:hAnsi="宋体" w:eastAsia="宋体" w:cs="Times New Roman"/>
          <w:b/>
          <w:color w:val="auto"/>
          <w:sz w:val="48"/>
          <w:szCs w:val="48"/>
          <w:highlight w:val="none"/>
          <w:shd w:val="clear" w:color="auto" w:fill="ffffff"/>
        </w:rPr>
        <w:t xml:space="preserve">第五章 合同主要条款</w:t>
      </w:r>
      <w:bookmarkEnd w:id="137"/>
      <w:r/>
      <w:bookmarkEnd w:id="138"/>
      <w:r/>
      <w:bookmarkEnd w:id="105"/>
      <w:r/>
      <w:r/>
    </w:p>
    <w:p>
      <w:pPr>
        <w:ind w:firstLine="643"/>
        <w:jc w:val="center"/>
        <w:spacing w:line="360" w:lineRule="auto"/>
        <w:rPr>
          <w:rFonts w:ascii="宋体" w:hAnsi="宋体" w:eastAsia="宋体" w:cs="宋体"/>
          <w:color w:val="auto"/>
          <w:sz w:val="32"/>
          <w:szCs w:val="32"/>
          <w:highlight w:val="none"/>
        </w:rPr>
      </w:pPr>
      <w:r/>
      <w:bookmarkStart w:id="139" w:name="_Toc13889378"/>
      <w:r/>
      <w:bookmarkStart w:id="140" w:name="_Toc13642118"/>
      <w:r>
        <w:rPr>
          <w:rFonts w:hint="eastAsia" w:ascii="宋体" w:hAnsi="宋体" w:eastAsia="宋体" w:cs="宋体"/>
          <w:b/>
          <w:bCs/>
          <w:color w:val="auto"/>
          <w:sz w:val="32"/>
          <w:szCs w:val="32"/>
          <w:highlight w:val="none"/>
        </w:rPr>
        <w:t xml:space="preserve">2024年园区界浦河种植项目</w:t>
      </w:r>
      <w:r/>
    </w:p>
    <w:p>
      <w:pPr>
        <w:ind w:firstLine="643"/>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政府采购合同书</w:t>
      </w:r>
      <w:r/>
    </w:p>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2"/>
        <w:spacing w:before="100" w:beforeAutospacing="1"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手机号码：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办公电话：                    电子邮件:</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bookmarkStart w:id="141" w:name="OLE_LINK117"/>
      <w:r/>
      <w:bookmarkStart w:id="142" w:name="OLE_LINK118"/>
      <w:r>
        <w:rPr>
          <w:rFonts w:hint="eastAsia" w:ascii="宋体" w:hAnsi="宋体" w:eastAsia="宋体" w:cs="宋体"/>
          <w:color w:val="auto"/>
          <w:sz w:val="24"/>
          <w:szCs w:val="24"/>
          <w:highlight w:val="none"/>
        </w:rPr>
        <w:t xml:space="preserve">根</w:t>
      </w:r>
      <w:bookmarkStart w:id="143" w:name="OLE_LINK115"/>
      <w:r/>
      <w:bookmarkStart w:id="144" w:name="OLE_LINK116"/>
      <w:r>
        <w:rPr>
          <w:rFonts w:hint="eastAsia" w:ascii="宋体" w:hAnsi="宋体" w:eastAsia="宋体" w:cs="宋体"/>
          <w:color w:val="auto"/>
          <w:sz w:val="24"/>
          <w:szCs w:val="24"/>
          <w:highlight w:val="none"/>
        </w:rPr>
        <w:t xml:space="preserve">据招标编号为</w:t>
      </w:r>
      <w:r>
        <w:rPr>
          <w:rFonts w:hint="eastAsia" w:ascii="宋体" w:hAnsi="宋体" w:eastAsia="宋体" w:cs="宋体"/>
          <w:color w:val="auto"/>
          <w:sz w:val="24"/>
          <w:szCs w:val="24"/>
          <w:highlight w:val="none"/>
          <w:u w:val="single"/>
          <w:lang w:eastAsia="zh-CN"/>
        </w:rPr>
        <w:t xml:space="preserve">JSZC-320591-SZWK-G2024-0347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的招标文件及该文件的投标文件和中标通知书，甲乙双方根据《中华人民共和国民法典》之规定，甲乙双方在平等、自愿、互利的基础上就此次中标的标的物采购事宜，签订本合同书。</w:t>
      </w:r>
      <w:bookmarkEnd w:id="141"/>
      <w:r/>
      <w:bookmarkEnd w:id="142"/>
      <w:r/>
      <w:bookmarkEnd w:id="143"/>
      <w:r/>
      <w:bookmarkEnd w:id="144"/>
      <w:r/>
      <w:r/>
    </w:p>
    <w:p>
      <w:pPr>
        <w:ind w:firstLine="482"/>
        <w:spacing w:line="360" w:lineRule="auto"/>
        <w:rPr>
          <w:rFonts w:ascii="宋体" w:hAnsi="宋体" w:eastAsia="宋体" w:cs="宋体"/>
          <w:b/>
          <w:color w:val="auto"/>
          <w:sz w:val="24"/>
          <w:szCs w:val="24"/>
          <w:highlight w:val="none"/>
        </w:rPr>
        <w:outlineLvl w:val="0"/>
      </w:pPr>
      <w:r/>
      <w:bookmarkStart w:id="145" w:name="_Toc153983281"/>
      <w:r>
        <w:rPr>
          <w:rFonts w:hint="eastAsia" w:ascii="宋体" w:hAnsi="宋体" w:eastAsia="宋体" w:cs="宋体"/>
          <w:b/>
          <w:color w:val="auto"/>
          <w:sz w:val="24"/>
          <w:szCs w:val="24"/>
          <w:highlight w:val="none"/>
        </w:rPr>
        <w:t xml:space="preserve">一、合同的主要内容</w:t>
      </w:r>
      <w:bookmarkEnd w:id="145"/>
      <w:r/>
      <w:r/>
    </w:p>
    <w:p>
      <w:pPr>
        <w:ind w:firstLine="480"/>
        <w:spacing w:line="360" w:lineRule="auto"/>
        <w:rPr>
          <w:rFonts w:ascii="宋体" w:hAnsi="宋体" w:eastAsia="宋体" w:cs="宋体"/>
          <w:color w:val="auto"/>
          <w:sz w:val="24"/>
          <w:szCs w:val="24"/>
          <w:highlight w:val="none"/>
        </w:rPr>
        <w:outlineLvl w:val="1"/>
      </w:pPr>
      <w:r/>
      <w:bookmarkStart w:id="146" w:name="_Toc153983282"/>
      <w:r>
        <w:rPr>
          <w:rFonts w:hint="eastAsia" w:ascii="宋体" w:hAnsi="宋体" w:eastAsia="宋体" w:cs="宋体"/>
          <w:color w:val="auto"/>
          <w:sz w:val="24"/>
          <w:szCs w:val="24"/>
          <w:highlight w:val="none"/>
        </w:rPr>
        <w:t xml:space="preserve">1、合同标的</w:t>
      </w:r>
      <w:bookmarkEnd w:id="146"/>
      <w:r/>
      <w:r/>
    </w:p>
    <w:p>
      <w:pPr>
        <w:ind w:firstLine="480"/>
        <w:spacing w:line="360" w:lineRule="auto"/>
        <w:rPr>
          <w:rFonts w:ascii="宋体" w:hAnsi="宋体" w:eastAsia="宋体" w:cs="宋体"/>
          <w:color w:val="auto"/>
          <w:sz w:val="24"/>
          <w:szCs w:val="24"/>
          <w:highlight w:val="none"/>
        </w:rPr>
        <w:outlineLvl w:val="1"/>
      </w:pPr>
      <w:r/>
      <w:bookmarkStart w:id="147" w:name="_Toc153983283"/>
      <w:r>
        <w:rPr>
          <w:rFonts w:hint="eastAsia" w:ascii="宋体" w:hAnsi="宋体" w:eastAsia="宋体" w:cs="宋体"/>
          <w:color w:val="auto"/>
          <w:sz w:val="24"/>
          <w:szCs w:val="24"/>
          <w:highlight w:val="none"/>
          <w:u w:val="single"/>
        </w:rPr>
        <w:t xml:space="preserve">2024年园区界浦河种植项目</w:t>
      </w:r>
      <w:r/>
    </w:p>
    <w:p>
      <w:pPr>
        <w:ind w:firstLine="480"/>
        <w:spacing w:line="360" w:lineRule="auto"/>
        <w:rPr>
          <w:rFonts w:ascii="宋体" w:hAnsi="宋体" w:eastAsia="宋体" w:cs="宋体"/>
          <w:color w:val="auto"/>
          <w:sz w:val="24"/>
          <w:szCs w:val="24"/>
          <w:highlight w:val="none"/>
        </w:rPr>
        <w:outlineLvl w:val="1"/>
      </w:pPr>
      <w:r/>
      <w:bookmarkStart w:id="148" w:name="OLE_LINK119"/>
      <w:r/>
      <w:bookmarkStart w:id="149" w:name="OLE_LINK120"/>
      <w:r>
        <w:rPr>
          <w:rFonts w:hint="eastAsia" w:ascii="宋体" w:hAnsi="宋体" w:eastAsia="宋体" w:cs="宋体"/>
          <w:color w:val="auto"/>
          <w:sz w:val="24"/>
          <w:szCs w:val="24"/>
          <w:highlight w:val="none"/>
        </w:rPr>
        <w:t xml:space="preserve">2、</w:t>
      </w:r>
      <w:bookmarkEnd w:id="147"/>
      <w:r>
        <w:rPr>
          <w:rFonts w:hint="eastAsia" w:ascii="宋体" w:hAnsi="宋体" w:eastAsia="宋体" w:cs="宋体"/>
          <w:color w:val="auto"/>
          <w:sz w:val="24"/>
          <w:szCs w:val="24"/>
          <w:highlight w:val="none"/>
        </w:rPr>
        <w:t xml:space="preserve">服务期限</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暂定34个月，计划2024年</w:t>
      </w:r>
      <w:bookmarkStart w:id="150" w:name="OLE_LINK188"/>
      <w:r/>
      <w:bookmarkStart w:id="151" w:name="OLE_LINK189"/>
      <w:r>
        <w:rPr>
          <w:rFonts w:hint="eastAsia" w:ascii="宋体" w:hAnsi="宋体" w:eastAsia="宋体" w:cs="宋体"/>
          <w:color w:val="auto"/>
          <w:sz w:val="24"/>
          <w:szCs w:val="24"/>
          <w:highlight w:val="none"/>
        </w:rPr>
        <w:t xml:space="preserve">12月1</w:t>
      </w:r>
      <w:bookmarkEnd w:id="150"/>
      <w:r/>
      <w:bookmarkEnd w:id="151"/>
      <w:r>
        <w:rPr>
          <w:rFonts w:hint="eastAsia" w:ascii="宋体" w:hAnsi="宋体" w:eastAsia="宋体" w:cs="宋体"/>
          <w:color w:val="auto"/>
          <w:sz w:val="24"/>
          <w:szCs w:val="24"/>
          <w:highlight w:val="none"/>
        </w:rPr>
        <w:t xml:space="preserve">日至2027年9月30日，具体进场时间以业主书面通知为准，其中绿化养护暂定30个月，计划2025年4月1日至2027年9月30日。</w:t>
      </w:r>
      <w:r/>
    </w:p>
    <w:p>
      <w:pPr>
        <w:ind w:firstLine="482"/>
        <w:spacing w:line="360" w:lineRule="auto"/>
        <w:rPr>
          <w:rFonts w:ascii="宋体" w:hAnsi="宋体" w:eastAsia="宋体" w:cs="宋体"/>
          <w:b/>
          <w:color w:val="auto"/>
          <w:sz w:val="24"/>
          <w:szCs w:val="24"/>
          <w:highlight w:val="none"/>
        </w:rPr>
        <w:outlineLvl w:val="0"/>
      </w:pPr>
      <w:r/>
      <w:bookmarkStart w:id="152" w:name="_Toc153983284"/>
      <w:r>
        <w:rPr>
          <w:rFonts w:hint="eastAsia" w:ascii="宋体" w:hAnsi="宋体" w:eastAsia="宋体" w:cs="宋体"/>
          <w:b/>
          <w:color w:val="auto"/>
          <w:sz w:val="24"/>
          <w:szCs w:val="24"/>
          <w:highlight w:val="none"/>
        </w:rPr>
        <w:t xml:space="preserve">二、合同价款的构成及支付</w:t>
      </w:r>
      <w:bookmarkEnd w:id="152"/>
      <w:r/>
      <w:bookmarkEnd w:id="148"/>
      <w:r/>
      <w:bookmarkEnd w:id="149"/>
      <w:r/>
      <w:r/>
    </w:p>
    <w:p>
      <w:pPr>
        <w:ind w:firstLine="48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1、合同价款及构成</w:t>
      </w:r>
      <w:r/>
    </w:p>
    <w:p>
      <w:pPr>
        <w:ind w:firstLine="48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暂定为人民币（大写）</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费用包括完成该标段所有服务管理内容所需的人工、机械设备、工具器具、耗材、通讯、服装、胸卡、办公设备、巡检器材、保险、劳保、防疫、高温费、防暑降温物品费用、维护、技术支持与培训及相关劳务支出等工作所发生的全部费用以及投标人企业管理费、利润、各种税金和政策性文件规定及合同包含的所有风险、责任等各项应有费用。重大活动举行时的人员增派等可能产生的费用、在服务期内完成招标工作要求及投标承诺事项所需的一切费用均由投标人自行考虑，费用包含在投标报价中，不再另行结算。</w:t>
      </w:r>
      <w:r/>
    </w:p>
    <w:p>
      <w:pPr>
        <w:ind w:firstLine="480"/>
        <w:spacing w:line="360" w:lineRule="auto"/>
        <w:rPr>
          <w:rFonts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2、服务费支付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Start w:id="153" w:name="OLE_LINK305"/>
      <w:r/>
      <w:bookmarkStart w:id="154" w:name="OLE_LINK306"/>
      <w:r>
        <w:rPr>
          <w:rFonts w:hint="eastAsia" w:ascii="宋体" w:hAnsi="宋体" w:eastAsia="宋体" w:cs="宋体"/>
          <w:color w:val="auto"/>
          <w:sz w:val="24"/>
          <w:szCs w:val="24"/>
          <w:highlight w:val="none"/>
        </w:rPr>
        <w:t xml:space="preserve">1</w:t>
      </w:r>
      <w:bookmarkEnd w:id="153"/>
      <w:r/>
      <w:bookmarkEnd w:id="154"/>
      <w:r>
        <w:rPr>
          <w:rFonts w:hint="eastAsia" w:ascii="宋体" w:hAnsi="宋体" w:eastAsia="宋体" w:cs="宋体"/>
          <w:color w:val="auto"/>
          <w:sz w:val="24"/>
          <w:szCs w:val="24"/>
          <w:highlight w:val="none"/>
        </w:rPr>
        <w:t xml:space="preserve">、改良土壤：土壤改良相关工作完成后支付65%进度款，审计后支付剩余尾款。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2.2、农作物种植：每季种植完</w:t>
      </w:r>
      <w:bookmarkStart w:id="155" w:name="OLE_LINK145"/>
      <w:r/>
      <w:bookmarkStart w:id="156" w:name="OLE_LINK146"/>
      <w:r>
        <w:rPr>
          <w:rFonts w:hint="eastAsia" w:ascii="宋体" w:hAnsi="宋体" w:eastAsia="宋体" w:cs="宋体"/>
          <w:color w:val="auto"/>
          <w:sz w:val="24"/>
          <w:szCs w:val="24"/>
          <w:highlight w:val="none"/>
        </w:rPr>
        <w:t xml:space="preserve">成、收割后</w:t>
      </w:r>
      <w:bookmarkEnd w:id="155"/>
      <w:r/>
      <w:bookmarkEnd w:id="156"/>
      <w:r>
        <w:rPr>
          <w:rFonts w:hint="eastAsia" w:ascii="宋体" w:hAnsi="宋体" w:eastAsia="宋体" w:cs="宋体"/>
          <w:color w:val="auto"/>
          <w:sz w:val="24"/>
          <w:szCs w:val="24"/>
          <w:highlight w:val="none"/>
        </w:rPr>
        <w:t xml:space="preserve">支付65%进度款(含整理用地和场地维护费），审计后</w:t>
      </w:r>
      <w:bookmarkStart w:id="157" w:name="OLE_LINK151"/>
      <w:r/>
      <w:bookmarkStart w:id="158" w:name="OLE_LINK156"/>
      <w:r>
        <w:rPr>
          <w:rFonts w:hint="eastAsia" w:ascii="宋体" w:hAnsi="宋体" w:eastAsia="宋体" w:cs="宋体"/>
          <w:color w:val="auto"/>
          <w:sz w:val="24"/>
          <w:szCs w:val="24"/>
          <w:highlight w:val="none"/>
        </w:rPr>
        <w:t xml:space="preserve">且经济型农业种植收益上交国库后</w:t>
      </w:r>
      <w:bookmarkEnd w:id="157"/>
      <w:r/>
      <w:bookmarkEnd w:id="158"/>
      <w:r>
        <w:rPr>
          <w:rFonts w:hint="eastAsia" w:ascii="宋体" w:hAnsi="宋体" w:eastAsia="宋体" w:cs="宋体"/>
          <w:color w:val="auto"/>
          <w:sz w:val="24"/>
          <w:szCs w:val="24"/>
          <w:highlight w:val="none"/>
        </w:rPr>
        <w:t xml:space="preserve">支付剩余种植款。</w:t>
      </w:r>
      <w:bookmarkStart w:id="159" w:name="OLE_LINK149"/>
      <w:r/>
      <w:bookmarkStart w:id="160" w:name="OLE_LINK150"/>
      <w:r/>
      <w:bookmarkEnd w:id="159"/>
      <w:r/>
      <w:bookmarkEnd w:id="16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2.3、绿化养护：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（1）承包人在进场后15天内填写《养护工作量确认表》,完成首次养护工作量的确认。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养护工作量以发包人提供的测绘报告（成果）及承包人实际养护进场区域为准。发包人未提供测绘报告的养护区域，进场后由承包人委托发包人认可的测绘机构对色块、草坪养护面积进行测绘（测绘费用由承包人承担，含在投标报价中）。承包人对发包人提供的测绘成果有异议的，应在收到测绘成果14天内向发包人提出（逾期发包人不再受理），并自行委托发包人认可的第三方测绘机构重新测绘（费用由承包人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委托测绘的，测绘成果经发包人认可后填写《养护工作量确认表》，据此确认养护工作量。养护工作量确认工作应在进场后15天内完成，否则发包人有权按逾期500元/天的标准向承包人收取违约金，违约金在应付款项中扣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养护费进度款支付：进度款按季度支付，承包人按已确认的养护工作量（以《养护工作量确认单》为依据）编制季度养护完工额，发起进度款支付申请，经发包人审核后按不高于季度养护完工额的65%并结合日常考核结果支付每季度养护进度款。养护工作量确认前如承包人提出进度款支付申请，经发包人同意后可按不高于合同季度养护费用的50%支付养护进度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养护费尾款支付：养护工作完成（总合同期结束），竣工验收合格并办理移交手续后，发包人根据审定金额支付尾款，支付尾款总额=养护费审定结算金额（扣除缺陷苗木应扣款及考核扣款后）-已支付养护费进度款总额。</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如遇政府征用土地、土地性质及规划用途调整变化或其他甲方不可预见的情形发生致使本合同无法履行，乙方应无条件立即退场，退场前实际发生复垦费用由甲方按月进行支付结算。</w:t>
      </w:r>
      <w:r/>
    </w:p>
    <w:p>
      <w:pPr>
        <w:ind w:firstLine="480"/>
        <w:spacing w:line="360" w:lineRule="auto"/>
        <w:rPr>
          <w:rFonts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2.4、支付流程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乙方每期工作完成，并达到合同约定的支付条件后，于次月5日前向甲方提交完整的付款申请资料，经甲方审核，双方确认支付金额， 60天内完成支付工作。支付前乙方应向甲方开具相应金额的增值税普通发票。因上级部门流转审批致使超出前述期限的甲方不构成违约。</w:t>
      </w:r>
      <w:r/>
    </w:p>
    <w:p>
      <w:pPr>
        <w:ind w:firstLine="480"/>
        <w:spacing w:line="360" w:lineRule="auto"/>
        <w:rPr>
          <w:rFonts w:ascii="宋体" w:hAnsi="宋体" w:eastAsia="宋体" w:cs="宋体"/>
          <w:color w:val="auto"/>
          <w:sz w:val="24"/>
          <w:szCs w:val="24"/>
          <w:highlight w:val="none"/>
        </w:rPr>
        <w:outlineLvl w:val="4"/>
      </w:pPr>
      <w:r/>
      <w:bookmarkStart w:id="161" w:name="OLE_LINK328"/>
      <w:r/>
      <w:bookmarkStart w:id="162" w:name="OLE_LINK329"/>
      <w:r>
        <w:rPr>
          <w:rFonts w:hint="eastAsia" w:ascii="宋体" w:hAnsi="宋体" w:eastAsia="宋体" w:cs="宋体"/>
          <w:color w:val="auto"/>
          <w:sz w:val="24"/>
          <w:szCs w:val="24"/>
          <w:highlight w:val="none"/>
        </w:rPr>
        <w:t xml:space="preserve">2.5、支付材料</w:t>
      </w:r>
      <w:bookmarkEnd w:id="161"/>
      <w:r/>
      <w:bookmarkEnd w:id="162"/>
      <w:r/>
      <w:r/>
    </w:p>
    <w:p>
      <w:pPr>
        <w:ind w:firstLine="480"/>
        <w:spacing w:line="360" w:lineRule="auto"/>
        <w:rPr>
          <w:rFonts w:ascii="宋体" w:hAnsi="宋体" w:eastAsia="宋体" w:cs="宋体"/>
          <w:color w:val="auto"/>
          <w:sz w:val="24"/>
          <w:szCs w:val="24"/>
          <w:highlight w:val="none"/>
        </w:rPr>
      </w:pPr>
      <w:r/>
      <w:bookmarkStart w:id="163" w:name="OLE_LINK326"/>
      <w:r/>
      <w:bookmarkStart w:id="164" w:name="OLE_LINK327"/>
      <w:r>
        <w:rPr>
          <w:rFonts w:hint="eastAsia" w:ascii="宋体" w:hAnsi="宋体" w:eastAsia="宋体" w:cs="宋体"/>
          <w:color w:val="auto"/>
          <w:sz w:val="24"/>
          <w:szCs w:val="24"/>
          <w:highlight w:val="none"/>
        </w:rPr>
        <w:t xml:space="preserve">在首次付款前，乙方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bookmarkEnd w:id="163"/>
      <w:r/>
      <w:bookmarkEnd w:id="164"/>
      <w:r/>
      <w:r/>
    </w:p>
    <w:p>
      <w:pPr>
        <w:ind w:firstLine="480"/>
        <w:spacing w:line="360" w:lineRule="auto"/>
        <w:rPr>
          <w:rFonts w:ascii="宋体" w:hAnsi="宋体" w:eastAsia="宋体" w:cs="宋体"/>
          <w:color w:val="auto"/>
          <w:sz w:val="24"/>
          <w:szCs w:val="24"/>
          <w:highlight w:val="none"/>
        </w:rPr>
        <w:outlineLvl w:val="4"/>
      </w:pPr>
      <w:r/>
      <w:bookmarkStart w:id="165" w:name="OLE_LINK330"/>
      <w:r/>
      <w:bookmarkStart w:id="166" w:name="OLE_LINK331"/>
      <w:r>
        <w:rPr>
          <w:rFonts w:hint="eastAsia" w:ascii="宋体" w:hAnsi="宋体" w:eastAsia="宋体" w:cs="宋体"/>
          <w:color w:val="auto"/>
          <w:sz w:val="24"/>
          <w:szCs w:val="24"/>
          <w:highlight w:val="none"/>
        </w:rPr>
        <w:t xml:space="preserve">2.6、结算送审要求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分期送审结算，每一年送审一次，每一年工作完成后60天内承包人向发包人提交已完成的工程完整结算资料；合同期</w:t>
      </w:r>
      <w:bookmarkStart w:id="167" w:name="OLE_LINK332"/>
      <w:r/>
      <w:bookmarkStart w:id="168" w:name="OLE_LINK333"/>
      <w:r>
        <w:rPr>
          <w:rFonts w:hint="eastAsia" w:ascii="宋体" w:hAnsi="宋体" w:eastAsia="宋体" w:cs="宋体"/>
          <w:color w:val="auto"/>
          <w:sz w:val="24"/>
          <w:szCs w:val="24"/>
          <w:highlight w:val="none"/>
        </w:rPr>
        <w:t xml:space="preserve">最后一批结算资料最迟应在合同结束日期起60日内提交发包人。完整的结算送审资料提交发包人并经</w:t>
      </w:r>
      <w:bookmarkEnd w:id="167"/>
      <w:r/>
      <w:bookmarkEnd w:id="168"/>
      <w:r>
        <w:rPr>
          <w:rFonts w:hint="eastAsia" w:ascii="宋体" w:hAnsi="宋体" w:eastAsia="宋体" w:cs="宋体"/>
          <w:color w:val="auto"/>
          <w:sz w:val="24"/>
          <w:szCs w:val="24"/>
          <w:highlight w:val="none"/>
        </w:rPr>
        <w:t xml:space="preserve">审核通过，在审计结束后，经承包人申请，发包人办理支付至审定价的100%。所有款项均不计算利息。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送审资料应包括的内容：（1）工程结算审计工作单和结算送审金额汇总表（按申请养护完工额依次汇总，同时包括考核扣款材料）；（2）合同；（3）招标文件及答疑；（4）中标通知书；（5）投标文件；（6）测绘报告及实际养护进场区域材料；（7）维护变更报批单、竣工验收鉴定书；（8）工程保险保单；（9）缺陷苗木清单；（10）其他资料（所有资料一式二份）。</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承包人未在上述规定时间内提交完整结算资料的，每拖延1天应向发包人支付500元违约金</w:t>
      </w:r>
      <w:r>
        <w:rPr>
          <w:rFonts w:hint="eastAsia" w:ascii="宋体" w:hAnsi="宋体" w:eastAsia="宋体" w:cs="宋体"/>
          <w:color w:val="auto"/>
          <w:sz w:val="24"/>
          <w:szCs w:val="24"/>
          <w:highlight w:val="none"/>
        </w:rPr>
        <w:t xml:space="preserve">。</w:t>
      </w:r>
      <w:bookmarkEnd w:id="165"/>
      <w:r/>
      <w:bookmarkEnd w:id="166"/>
      <w:r/>
      <w:r/>
    </w:p>
    <w:p>
      <w:pPr>
        <w:ind w:firstLine="482"/>
        <w:spacing w:line="360" w:lineRule="auto"/>
        <w:rPr>
          <w:rFonts w:ascii="宋体" w:hAnsi="宋体" w:eastAsia="宋体" w:cs="宋体"/>
          <w:b/>
          <w:color w:val="auto"/>
          <w:sz w:val="24"/>
          <w:szCs w:val="24"/>
          <w:highlight w:val="none"/>
        </w:rPr>
        <w:outlineLvl w:val="0"/>
      </w:pPr>
      <w:r/>
      <w:bookmarkStart w:id="169" w:name="_Toc153983285"/>
      <w:r>
        <w:rPr>
          <w:rFonts w:hint="eastAsia" w:ascii="宋体" w:hAnsi="宋体" w:eastAsia="宋体" w:cs="宋体"/>
          <w:b/>
          <w:color w:val="auto"/>
          <w:sz w:val="24"/>
          <w:szCs w:val="24"/>
          <w:highlight w:val="none"/>
        </w:rPr>
        <w:t xml:space="preserve">三、合同的履行</w:t>
      </w:r>
      <w:bookmarkEnd w:id="169"/>
      <w:r/>
      <w:r/>
    </w:p>
    <w:p>
      <w:pPr>
        <w:ind w:firstLine="480"/>
        <w:spacing w:line="360" w:lineRule="auto"/>
        <w:rPr>
          <w:rFonts w:ascii="宋体" w:hAnsi="宋体" w:eastAsia="宋体" w:cs="宋体"/>
          <w:color w:val="auto"/>
          <w:sz w:val="24"/>
          <w:szCs w:val="24"/>
          <w:highlight w:val="none"/>
        </w:rPr>
        <w:outlineLvl w:val="1"/>
      </w:pPr>
      <w:r/>
      <w:bookmarkStart w:id="170" w:name="_Toc153983286"/>
      <w:r>
        <w:rPr>
          <w:rFonts w:hint="eastAsia" w:ascii="宋体" w:hAnsi="宋体" w:eastAsia="宋体" w:cs="宋体"/>
          <w:color w:val="auto"/>
          <w:sz w:val="24"/>
          <w:szCs w:val="24"/>
          <w:highlight w:val="none"/>
        </w:rPr>
        <w:t xml:space="preserve">1、服务内容及要求、服务工作管理及考核</w:t>
      </w:r>
      <w:bookmarkEnd w:id="17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详见附件二《技术要求》、附件三《保险要求》、附件四《农民工工资专户要求》、附件五《考核表》、附件六《安全文明施工要求》。</w:t>
      </w:r>
      <w:r/>
    </w:p>
    <w:p>
      <w:pPr>
        <w:ind w:firstLine="480"/>
        <w:spacing w:line="360" w:lineRule="auto"/>
        <w:rPr>
          <w:rFonts w:ascii="宋体" w:hAnsi="宋体" w:eastAsia="宋体" w:cs="宋体"/>
          <w:color w:val="auto"/>
          <w:sz w:val="24"/>
          <w:szCs w:val="24"/>
          <w:highlight w:val="none"/>
        </w:rPr>
        <w:outlineLvl w:val="1"/>
      </w:pPr>
      <w:r/>
      <w:bookmarkStart w:id="171" w:name="_Toc153983287"/>
      <w:r>
        <w:rPr>
          <w:rFonts w:hint="eastAsia" w:ascii="宋体" w:hAnsi="宋体" w:eastAsia="宋体" w:cs="宋体"/>
          <w:color w:val="auto"/>
          <w:sz w:val="24"/>
          <w:szCs w:val="24"/>
          <w:highlight w:val="none"/>
        </w:rPr>
        <w:t xml:space="preserve">2、乙方人员及设备配备</w:t>
      </w:r>
      <w:bookmarkEnd w:id="171"/>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2.1、本项目乙方委派的项目组成员</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szCs w:val="24"/>
          <w:highlight w:val="none"/>
          <w:u w:val="single"/>
        </w:rPr>
        <w:t xml:space="preserve">姓名****，身份证号********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项目组其他人员详见合同附件。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2.2、本项目乙方投入的车辆、设备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详见合同附件。</w:t>
      </w:r>
      <w:r/>
    </w:p>
    <w:p>
      <w:pPr>
        <w:ind w:firstLine="480"/>
        <w:spacing w:line="360" w:lineRule="auto"/>
        <w:rPr>
          <w:rFonts w:ascii="宋体" w:hAnsi="宋体" w:eastAsia="宋体" w:cs="宋体"/>
          <w:color w:val="auto"/>
          <w:sz w:val="24"/>
          <w:szCs w:val="24"/>
          <w:highlight w:val="none"/>
        </w:rPr>
        <w:outlineLvl w:val="1"/>
      </w:pPr>
      <w:r/>
      <w:bookmarkStart w:id="172" w:name="_Toc153983288"/>
      <w:r>
        <w:rPr>
          <w:rFonts w:hint="eastAsia" w:ascii="宋体" w:hAnsi="宋体" w:eastAsia="宋体" w:cs="宋体"/>
          <w:color w:val="auto"/>
          <w:sz w:val="24"/>
          <w:szCs w:val="24"/>
          <w:highlight w:val="none"/>
        </w:rPr>
        <w:t xml:space="preserve">3、进场核验</w:t>
      </w:r>
      <w:bookmarkEnd w:id="17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场核验的时间期间为中标通知书发出之日起，至合同计划履行起始日前，由乙方报请甲方进行核验（一般应于收到中标通知书之后20天内进行，并不晚于计划进场服务日期前10天）。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整改期限，不得晚于合同计划履行起始日），出具相应的进场核验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合同履行起始之日起，乙方未持有甲方出具“合格”进场核验报告的，视为乙方未按照合同约定履约，甲方按合同金额的万分之四/日向乙方收取违约金；未持有甲方出具“合格”进场核验报告的状态满15日的，甲方有权随时解除合同；合同解除的，乙方将自合同解除之日起，三年内不得参加甲方所有的招标项目。</w:t>
      </w:r>
      <w:r/>
    </w:p>
    <w:p>
      <w:pPr>
        <w:ind w:firstLine="480"/>
        <w:spacing w:line="360" w:lineRule="auto"/>
        <w:rPr>
          <w:rFonts w:ascii="宋体" w:hAnsi="宋体" w:eastAsia="宋体" w:cs="宋体"/>
          <w:color w:val="auto"/>
          <w:sz w:val="24"/>
          <w:szCs w:val="24"/>
          <w:highlight w:val="none"/>
        </w:rPr>
        <w:outlineLvl w:val="1"/>
      </w:pPr>
      <w:r/>
      <w:bookmarkStart w:id="173" w:name="_Toc153983289"/>
      <w:r>
        <w:rPr>
          <w:rFonts w:hint="eastAsia" w:ascii="宋体" w:hAnsi="宋体" w:eastAsia="宋体" w:cs="宋体"/>
          <w:color w:val="auto"/>
          <w:sz w:val="24"/>
          <w:szCs w:val="24"/>
          <w:highlight w:val="none"/>
        </w:rPr>
        <w:t xml:space="preserve">4、双方权利和义务</w:t>
      </w:r>
      <w:bookmarkEnd w:id="173"/>
      <w:r/>
      <w:r/>
    </w:p>
    <w:p>
      <w:pPr>
        <w:ind w:firstLine="48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4.1、甲方权利和义务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(1)甲方有根据合同对乙方的作业量和作业质量进行检查和考核的权利；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(2)甲方有权自行或邀请第三方或接受社会监督等形式对履约质量进行监管。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(3)乙方未按合同规定的标准作业，甲方有要求乙方整改的权利；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(4)甲方有根据考核结果核减乙方作业费用的权利;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(5)有向乙方通告检查及考核结果的义务;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(6)甲方有向乙方解释作业标准及相关工艺的义务；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(7)甲方有按时支付价款的义务，因上级部门流转审批致使超出前述期限的甲方免责。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4.2、乙方权利义务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(1)乙方有自主经营，组织生产的权利；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(2)乙方有对作业标准、检查结果要求甲方进行解释说明的权利；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(3)乙方在合同规定的作业范围进行规范操作，如遇到影响作业的外界因素，可以请甲方进行协调；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（4）乙方应严格落实安全生产主体责任,确保做好安全生产管理工作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间，因养护施工不力导致第三方损失的，乙方应及时妥善处理。①乙方应优先调解处理。第三方要求甲方及相关方赔偿损失的，乙方应主动参与纠纷处理，引导第三方，将矛盾转移到乙方，并承担全部法律责任和经济赔偿责任。②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(7)乙方有保存相关资料，配合甲方进行检查并提供相关报告的义务；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(8)乙方负责对作业范围内产生的市民投诉、舆情应对及其他应急突发事件处理等工作。</w:t>
      </w:r>
      <w:r/>
    </w:p>
    <w:p>
      <w:pPr>
        <w:ind w:firstLine="480"/>
        <w:spacing w:line="360" w:lineRule="auto"/>
        <w:rPr>
          <w:rFonts w:ascii="宋体" w:hAnsi="宋体" w:eastAsia="宋体" w:cs="宋体"/>
          <w:color w:val="auto"/>
          <w:sz w:val="24"/>
          <w:szCs w:val="24"/>
          <w:highlight w:val="none"/>
        </w:rPr>
        <w:outlineLvl w:val="1"/>
      </w:pPr>
      <w:r/>
      <w:bookmarkStart w:id="174" w:name="_Toc153983290"/>
      <w:r>
        <w:rPr>
          <w:rFonts w:hint="eastAsia" w:ascii="宋体" w:hAnsi="宋体" w:eastAsia="宋体" w:cs="宋体"/>
          <w:color w:val="auto"/>
          <w:sz w:val="24"/>
          <w:szCs w:val="24"/>
          <w:highlight w:val="none"/>
        </w:rPr>
        <w:t xml:space="preserve">5、验收与移交 </w:t>
      </w:r>
      <w:bookmarkEnd w:id="17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5.1、养护验收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本项目的验收适用《苏州工业园区政府采购履约验收管理暂行办法》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合同到期前30日，乙方向甲方提出书面的养护验收申请，乙方与甲方进行养护验收，甲方出具验收情况的书面意见，明确整改内容和期限，乙方应按时完成整改。如乙方未提出申请，经甲方催告后仍不申请的，甲方有权单独或会同新乙方进行现场查看，单独完成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5.2、移交条件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全部绿化种植及养护工作、设施设备完好均按合同要求或业主要求完成。移交验收发现的缺陷已更正，任何死亡或生长不良的植物已按规定的种类、规格进行更换、补种；并按规定提供全部的竣工资料。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5.3、移交与退费</w:t>
      </w:r>
      <w:r/>
    </w:p>
    <w:p>
      <w:pPr>
        <w:ind w:firstLine="480"/>
        <w:spacing w:line="360" w:lineRule="auto"/>
        <w:rPr>
          <w:rFonts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乙方履行完毕上述全部义务后（包括水、电费乙方已付清），甲方出具《养护移交单（养护项目）》、《项目履约验收证书》与乙方办理移交。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如乙方未按约履行上述义务，甲方有权与新乙方直接办理移交。乙方合同到期日起满一年仍未办理移交的，视为乙方主动放弃该项目所有养护遗留尾款及履约保证金，甲方不再予以支付。</w:t>
      </w:r>
      <w:r/>
    </w:p>
    <w:p>
      <w:pPr>
        <w:ind w:firstLine="480"/>
        <w:spacing w:line="360" w:lineRule="auto"/>
        <w:rPr>
          <w:rFonts w:ascii="宋体" w:hAnsi="宋体" w:eastAsia="宋体" w:cs="宋体"/>
          <w:color w:val="auto"/>
          <w:sz w:val="24"/>
          <w:szCs w:val="24"/>
          <w:highlight w:val="none"/>
        </w:rPr>
        <w:outlineLvl w:val="1"/>
      </w:pPr>
      <w:r/>
      <w:bookmarkStart w:id="175" w:name="_Toc153983291"/>
      <w:r>
        <w:rPr>
          <w:rFonts w:hint="eastAsia" w:ascii="宋体" w:hAnsi="宋体" w:eastAsia="宋体" w:cs="宋体"/>
          <w:color w:val="auto"/>
          <w:sz w:val="24"/>
          <w:szCs w:val="24"/>
          <w:highlight w:val="none"/>
        </w:rPr>
        <w:t xml:space="preserve">6、履约保证金退还</w:t>
      </w:r>
      <w:bookmarkEnd w:id="175"/>
      <w:r/>
      <w:r/>
    </w:p>
    <w:p>
      <w:pPr>
        <w:ind w:firstLine="48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本项目履约保证金金额为人民币（大写）：（小写：¥ 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无息）在服务期满且服务缺陷更正后，乙方配合甲方和新供应商办理移交手续，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82"/>
        <w:spacing w:line="360" w:lineRule="auto"/>
        <w:rPr>
          <w:rFonts w:ascii="宋体" w:hAnsi="宋体" w:eastAsia="宋体" w:cs="宋体"/>
          <w:color w:val="auto"/>
          <w:sz w:val="24"/>
          <w:szCs w:val="24"/>
          <w:highlight w:val="none"/>
        </w:rPr>
        <w:outlineLvl w:val="0"/>
      </w:pPr>
      <w:r/>
      <w:bookmarkStart w:id="176" w:name="_Toc153983292"/>
      <w:r>
        <w:rPr>
          <w:rFonts w:hint="eastAsia" w:ascii="宋体" w:hAnsi="宋体" w:eastAsia="宋体" w:cs="宋体"/>
          <w:b/>
          <w:color w:val="auto"/>
          <w:sz w:val="24"/>
          <w:szCs w:val="24"/>
          <w:highlight w:val="none"/>
        </w:rPr>
        <w:t xml:space="preserve">四、合同的变更、解除和终止</w:t>
      </w:r>
      <w:bookmarkEnd w:id="176"/>
      <w:r/>
      <w:r/>
    </w:p>
    <w:p>
      <w:pPr>
        <w:ind w:firstLine="480"/>
        <w:spacing w:line="360" w:lineRule="auto"/>
        <w:rPr>
          <w:rFonts w:ascii="宋体" w:hAnsi="宋体" w:eastAsia="宋体" w:cs="宋体"/>
          <w:color w:val="auto"/>
          <w:sz w:val="24"/>
          <w:szCs w:val="24"/>
          <w:highlight w:val="none"/>
        </w:rPr>
        <w:outlineLvl w:val="1"/>
      </w:pPr>
      <w:r/>
      <w:bookmarkStart w:id="177" w:name="_Toc153983293"/>
      <w:r>
        <w:rPr>
          <w:rFonts w:hint="eastAsia" w:ascii="宋体" w:hAnsi="宋体" w:eastAsia="宋体" w:cs="宋体"/>
          <w:color w:val="auto"/>
          <w:sz w:val="24"/>
          <w:szCs w:val="24"/>
          <w:highlight w:val="none"/>
        </w:rPr>
        <w:t xml:space="preserve">1、合同变更</w:t>
      </w:r>
      <w:bookmarkEnd w:id="177"/>
      <w:r/>
      <w:r/>
    </w:p>
    <w:p>
      <w:pPr>
        <w:ind w:firstLine="480"/>
        <w:spacing w:line="360" w:lineRule="auto"/>
        <w:rPr>
          <w:rFonts w:ascii="宋体" w:hAnsi="宋体" w:eastAsia="宋体" w:cs="宋体"/>
          <w:color w:val="auto"/>
          <w:sz w:val="24"/>
          <w:szCs w:val="24"/>
          <w:highlight w:val="none"/>
        </w:rPr>
        <w:outlineLvl w:val="1"/>
      </w:pPr>
      <w:r/>
      <w:bookmarkStart w:id="178" w:name="_Toc153983295"/>
      <w:r>
        <w:rPr>
          <w:rFonts w:hint="eastAsia" w:ascii="宋体" w:hAnsi="宋体" w:eastAsia="宋体" w:cs="宋体"/>
          <w:color w:val="auto"/>
          <w:sz w:val="24"/>
          <w:szCs w:val="24"/>
          <w:highlight w:val="none"/>
        </w:rPr>
        <w:t xml:space="preserve">1.1、服务内容的变更</w:t>
      </w:r>
      <w:bookmarkEnd w:id="178"/>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（1）变更要严格执行“先审批、后实施”的原则，随项目进展及时申报，及时批复。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（2）乙方应无条件服从甲方对于服务范围的增加或减少，并根据甲方出具的《维护变更报批单》要求的方案进行服务。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（3）变更费用的计算</w:t>
      </w:r>
      <w:r/>
    </w:p>
    <w:p>
      <w:pPr>
        <w:ind w:firstLine="480"/>
        <w:spacing w:line="360" w:lineRule="auto"/>
        <w:rPr>
          <w:rFonts w:ascii="宋体" w:hAnsi="宋体" w:eastAsia="宋体" w:cs="宋体"/>
          <w:color w:val="auto"/>
          <w:sz w:val="24"/>
          <w:szCs w:val="24"/>
          <w:highlight w:val="none"/>
        </w:rPr>
      </w:pPr>
      <w:r/>
      <w:bookmarkStart w:id="179" w:name="OLE_LINK342"/>
      <w:r/>
      <w:bookmarkStart w:id="180" w:name="OLE_LINK343"/>
      <w:r>
        <w:rPr>
          <w:rFonts w:hint="eastAsia" w:ascii="宋体" w:hAnsi="宋体" w:eastAsia="宋体" w:cs="宋体"/>
          <w:color w:val="auto"/>
          <w:sz w:val="24"/>
          <w:szCs w:val="24"/>
          <w:highlight w:val="none"/>
        </w:rPr>
        <w:t xml:space="preserve">服务期内根据甲方《维护变更报批单》的要求，服务范围有增、减变化时，按照本合同“二、合同价款的构成及支付”相关条款执行，最终以审计为准。</w:t>
      </w:r>
      <w:bookmarkStart w:id="181" w:name="OLE_LINK340"/>
      <w:r/>
      <w:bookmarkStart w:id="182" w:name="OLE_LINK341"/>
      <w:r/>
      <w:bookmarkEnd w:id="179"/>
      <w:r/>
      <w:bookmarkEnd w:id="180"/>
      <w:r/>
      <w:bookmarkEnd w:id="181"/>
      <w:r/>
      <w:bookmarkEnd w:id="182"/>
      <w:r/>
      <w:r/>
    </w:p>
    <w:p>
      <w:pPr>
        <w:ind w:firstLine="480"/>
        <w:spacing w:line="360" w:lineRule="auto"/>
        <w:rPr>
          <w:rFonts w:ascii="宋体" w:hAnsi="宋体" w:eastAsia="宋体" w:cs="宋体"/>
          <w:color w:val="auto"/>
          <w:sz w:val="24"/>
          <w:szCs w:val="24"/>
          <w:highlight w:val="none"/>
        </w:rPr>
        <w:outlineLvl w:val="1"/>
      </w:pPr>
      <w:r/>
      <w:bookmarkStart w:id="183" w:name="_Toc153983297"/>
      <w:r>
        <w:rPr>
          <w:rFonts w:hint="eastAsia" w:ascii="宋体" w:hAnsi="宋体" w:eastAsia="宋体" w:cs="宋体"/>
          <w:color w:val="auto"/>
          <w:sz w:val="24"/>
          <w:szCs w:val="24"/>
          <w:highlight w:val="none"/>
        </w:rPr>
        <w:t xml:space="preserve">变更部分根据甲方确定的服务方案及合同报价表中的综合单价进行计算，对于包干项目不得调整。</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对于合同报价表中没有的单价，按照以下方式处理：合同报价表中有相近或相似的子目单价，则以该单价作为参考进行换算；合同报价表中无相同或相似单价的，则套用现行预算定额，依据苏州市有关文件等计算项目单价作为结算单价。最终以甲方委托的第三方审计单位的审定价结算。</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（4）甲方如有本合同之外的委托，双方另行协商签订补充协议或另行签订合同，费用参照本合同标准执行，补充协议或另行签订合同的合计金额不超过本合同金额的10%。</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1.3、未经甲方书面允许，乙方不得转让、分包本合同，否则视为乙方违约。</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2、合同甲方主体的变更</w:t>
      </w:r>
      <w:bookmarkEnd w:id="183"/>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因上级政策、组织结构等调整，甲方有权概括转让本合同的权利义务，乙方须无条件接受；转让自甲方的书面通知送达乙方时生效。</w:t>
      </w:r>
      <w:r/>
    </w:p>
    <w:p>
      <w:pPr>
        <w:ind w:firstLine="480"/>
        <w:spacing w:line="360" w:lineRule="auto"/>
        <w:rPr>
          <w:rFonts w:ascii="宋体" w:hAnsi="宋体" w:eastAsia="宋体" w:cs="宋体"/>
          <w:color w:val="auto"/>
          <w:sz w:val="24"/>
          <w:szCs w:val="24"/>
          <w:highlight w:val="none"/>
        </w:rPr>
        <w:outlineLvl w:val="1"/>
      </w:pPr>
      <w:r/>
      <w:bookmarkStart w:id="184" w:name="_Toc153983298"/>
      <w:r>
        <w:rPr>
          <w:rFonts w:hint="eastAsia" w:ascii="宋体" w:hAnsi="宋体" w:eastAsia="宋体" w:cs="宋体"/>
          <w:color w:val="auto"/>
          <w:sz w:val="24"/>
          <w:szCs w:val="24"/>
          <w:highlight w:val="none"/>
        </w:rPr>
        <w:t xml:space="preserve">3、合同的解除和终止</w:t>
      </w:r>
      <w:bookmarkEnd w:id="18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3.1、甲方和乙方协商一致，可以解除合同。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3.2如本政府采购合同继续履行将损害国家利益和社会公共利益的，应当变更、中止或者终止、解除合同。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3.3、在合同期内，符合以下情形之一的，甲方有权单方面解除本合同：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(1)根据《园区城维项目承包企业履约评价及退出机制》及相关考核制度，乙方年度履约评价为D级的；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(2)根据《园区城维项目承包企业履约评价及退出机制》及相关考核制度，乙方连续两年履约评价结果为C级的；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(3)根据《园区城维项目承包企业履约评价及退出机制》及相关考核制度，乙方连续2个月日常考核分数低于60分的；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(4)乙方以联合体形式中标履约的，联合体成员一方破产或注销；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(6)甲方发现乙方可能存在以下情况，经甲方通知，乙方应于15日内向甲方提供书面说明，并提供相关证据材料、财务数据，如不能证明乙方经营状况良好的，甲方有权解除合同：①经营状况严重恶化; ②转移财产、抽逃资金,以逃避债务; ③丧失商业信誉; ④有丧失或者可能丧失履行债务能力的其他情形。</w:t>
      </w:r>
      <w:r/>
    </w:p>
    <w:p>
      <w:pPr>
        <w:ind w:firstLine="480"/>
        <w:spacing w:line="360" w:lineRule="auto"/>
        <w:rPr>
          <w:rFonts w:ascii="宋体" w:hAnsi="宋体" w:eastAsia="宋体" w:cs="宋体"/>
          <w:color w:val="auto"/>
          <w:sz w:val="24"/>
          <w:szCs w:val="24"/>
          <w:highlight w:val="none"/>
        </w:rPr>
        <w:outlineLvl w:val="1"/>
      </w:pPr>
      <w:r/>
      <w:bookmarkStart w:id="185" w:name="_Toc153983299"/>
      <w:r>
        <w:rPr>
          <w:rFonts w:hint="eastAsia" w:ascii="宋体" w:hAnsi="宋体" w:eastAsia="宋体" w:cs="宋体"/>
          <w:color w:val="auto"/>
          <w:sz w:val="24"/>
          <w:szCs w:val="24"/>
          <w:highlight w:val="none"/>
        </w:rPr>
        <w:t xml:space="preserve">4、不可抗力</w:t>
      </w:r>
      <w:bookmarkEnd w:id="18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4.1、因不可抗力不能履行本合同的，根据不可抗力的影响，部分或者全部免除责任。但合同一方迟延履行合同义务后发生不可抗力的，违约方不能免除责任。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4.2、合同一方因不可抗力不能履行本合同的，应当及时通知对方，以减轻可能给对方造成的损失，并应当在不可抗力发生之日起15日内提供权威部门出具的认定不可抗力的证明。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82"/>
        <w:spacing w:line="360" w:lineRule="auto"/>
        <w:rPr>
          <w:rFonts w:ascii="宋体" w:hAnsi="宋体" w:eastAsia="宋体" w:cs="宋体"/>
          <w:b/>
          <w:color w:val="auto"/>
          <w:sz w:val="24"/>
          <w:szCs w:val="24"/>
          <w:highlight w:val="none"/>
        </w:rPr>
        <w:outlineLvl w:val="0"/>
      </w:pPr>
      <w:r/>
      <w:bookmarkStart w:id="186" w:name="_Toc153983300"/>
      <w:r>
        <w:rPr>
          <w:rFonts w:hint="eastAsia" w:ascii="宋体" w:hAnsi="宋体" w:eastAsia="宋体" w:cs="宋体"/>
          <w:b/>
          <w:color w:val="auto"/>
          <w:sz w:val="24"/>
          <w:szCs w:val="24"/>
          <w:highlight w:val="none"/>
        </w:rPr>
        <w:t xml:space="preserve">五、违约责任</w:t>
      </w:r>
      <w:bookmarkEnd w:id="18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合同一方不履行合同义务或者履行合同义务不符合约定的，应当承担继续履行、采取补救措施或赔偿损失等违约责任。</w:t>
      </w:r>
      <w:r/>
    </w:p>
    <w:p>
      <w:pPr>
        <w:ind w:firstLine="480"/>
        <w:spacing w:line="360" w:lineRule="auto"/>
        <w:rPr>
          <w:rFonts w:ascii="宋体" w:hAnsi="宋体" w:eastAsia="宋体" w:cs="宋体"/>
          <w:color w:val="auto"/>
          <w:sz w:val="24"/>
          <w:szCs w:val="24"/>
          <w:highlight w:val="none"/>
        </w:rPr>
        <w:outlineLvl w:val="1"/>
      </w:pPr>
      <w:r/>
      <w:bookmarkStart w:id="187" w:name="_Toc153983301"/>
      <w:r>
        <w:rPr>
          <w:rFonts w:hint="eastAsia" w:ascii="宋体" w:hAnsi="宋体" w:eastAsia="宋体" w:cs="宋体"/>
          <w:color w:val="auto"/>
          <w:sz w:val="24"/>
          <w:szCs w:val="24"/>
          <w:highlight w:val="none"/>
        </w:rPr>
        <w:t xml:space="preserve">1、甲方违约责任</w:t>
      </w:r>
      <w:bookmarkEnd w:id="18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甲方未按照约定时间支付合同价款的，应当承担逾期付款违约责任。</w:t>
      </w:r>
      <w:r/>
    </w:p>
    <w:p>
      <w:pPr>
        <w:ind w:firstLine="480"/>
        <w:spacing w:line="360" w:lineRule="auto"/>
        <w:rPr>
          <w:rFonts w:ascii="宋体" w:hAnsi="宋体" w:eastAsia="宋体" w:cs="宋体"/>
          <w:color w:val="auto"/>
          <w:sz w:val="24"/>
          <w:szCs w:val="24"/>
          <w:highlight w:val="none"/>
        </w:rPr>
        <w:outlineLvl w:val="1"/>
      </w:pPr>
      <w:r/>
      <w:bookmarkStart w:id="188" w:name="_Toc153983302"/>
      <w:r>
        <w:rPr>
          <w:rFonts w:hint="eastAsia" w:ascii="宋体" w:hAnsi="宋体" w:eastAsia="宋体" w:cs="宋体"/>
          <w:color w:val="auto"/>
          <w:sz w:val="24"/>
          <w:szCs w:val="24"/>
          <w:highlight w:val="none"/>
        </w:rPr>
        <w:t xml:space="preserve">2、乙方违约责任</w:t>
      </w:r>
      <w:bookmarkEnd w:id="188"/>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2.1、甲方有权按照本合同规定对乙方进行考核，并按照考核办法的规定要求乙方承担相应责任。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2.2、乙方承担的违约金不足以赔偿甲方实际损失的，甲方有权要求乙方继续赔偿。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2.3、乙方履行合同不符合合同要求的，甲方有权责令乙方立即改正，乙方拒不改正或已经造成不良社会影响的，甲方有权要求乙方承担责任。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2.4、乙方履行合同不符合要求，被取消中标资格（或终止、解除合同）的，并不能免除其支付违约金的责任，且乙方将在三年内不得参与甲方所有招标项目的投标。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2.5、乙方在一个考核年度内未能完全履行相关义务造成服务中断、员工上访、罢工歇业、劳动合同争议或其他纠纷，甲方有权拒付当年度服务费尾款，并由乙方承担违约责任。</w:t>
      </w:r>
      <w:r/>
    </w:p>
    <w:p>
      <w:pPr>
        <w:ind w:firstLine="482"/>
        <w:spacing w:line="360" w:lineRule="auto"/>
        <w:rPr>
          <w:rFonts w:ascii="宋体" w:hAnsi="宋体" w:eastAsia="宋体" w:cs="宋体"/>
          <w:b/>
          <w:color w:val="auto"/>
          <w:sz w:val="24"/>
          <w:szCs w:val="24"/>
          <w:highlight w:val="none"/>
        </w:rPr>
        <w:outlineLvl w:val="0"/>
      </w:pPr>
      <w:r/>
      <w:bookmarkStart w:id="189" w:name="_Toc153983303"/>
      <w:r>
        <w:rPr>
          <w:rFonts w:hint="eastAsia" w:ascii="宋体" w:hAnsi="宋体" w:eastAsia="宋体" w:cs="宋体"/>
          <w:b/>
          <w:color w:val="auto"/>
          <w:sz w:val="24"/>
          <w:szCs w:val="24"/>
          <w:highlight w:val="none"/>
        </w:rPr>
        <w:t xml:space="preserve">六、合同的争议解决</w:t>
      </w:r>
      <w:bookmarkEnd w:id="189"/>
      <w:r/>
      <w:r/>
    </w:p>
    <w:p>
      <w:pPr>
        <w:ind w:firstLine="480"/>
        <w:spacing w:line="360" w:lineRule="auto"/>
        <w:rPr>
          <w:rFonts w:ascii="宋体" w:hAnsi="宋体" w:eastAsia="宋体" w:cs="宋体"/>
          <w:color w:val="auto"/>
          <w:sz w:val="24"/>
          <w:szCs w:val="24"/>
          <w:highlight w:val="none"/>
        </w:rPr>
        <w:outlineLvl w:val="1"/>
      </w:pPr>
      <w:r/>
      <w:bookmarkStart w:id="190" w:name="_Toc153983304"/>
      <w:r>
        <w:rPr>
          <w:rFonts w:hint="eastAsia" w:ascii="宋体" w:hAnsi="宋体" w:eastAsia="宋体" w:cs="宋体"/>
          <w:color w:val="auto"/>
          <w:sz w:val="24"/>
          <w:szCs w:val="24"/>
          <w:highlight w:val="none"/>
        </w:rPr>
        <w:t xml:space="preserve">1、管辖法院及送达</w:t>
      </w:r>
      <w:bookmarkEnd w:id="19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本合同未尽之处双方协商解决。本合同发生争议无法协商解决时，双方同意向甲方所在地有管辖权的人民法院诉讼解决。除有争议条款外，本合同其他条款继续履行。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2、乙方保证本合同中明确的通讯方式为乙方单位各类文书送达地址，如发生变化，乙方应提前3日书面加盖公章通知甲方。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3、甲方可选择邮寄（包括特快专递、平信邮寄、挂号邮寄）、传真、电子通讯方式或专人送达等任一方式送达乙方。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5、如甲乙之间因合同纠纷发生争议诉至法院，乙方确认本合同载明的上述地址为人民法院司法文书的送达地址。</w:t>
      </w:r>
      <w:r/>
    </w:p>
    <w:p>
      <w:pPr>
        <w:ind w:firstLine="482"/>
        <w:spacing w:line="360" w:lineRule="auto"/>
        <w:rPr>
          <w:rFonts w:ascii="宋体" w:hAnsi="宋体" w:eastAsia="宋体" w:cs="宋体"/>
          <w:color w:val="auto"/>
          <w:sz w:val="24"/>
          <w:szCs w:val="24"/>
          <w:highlight w:val="none"/>
        </w:rPr>
        <w:outlineLvl w:val="0"/>
      </w:pPr>
      <w:r/>
      <w:bookmarkStart w:id="191" w:name="_Toc153983305"/>
      <w:r>
        <w:rPr>
          <w:rFonts w:hint="eastAsia" w:ascii="宋体" w:hAnsi="宋体" w:eastAsia="宋体" w:cs="宋体"/>
          <w:b/>
          <w:color w:val="auto"/>
          <w:sz w:val="24"/>
          <w:szCs w:val="24"/>
          <w:highlight w:val="none"/>
        </w:rPr>
        <w:t xml:space="preserve">七、其他内容</w:t>
      </w:r>
      <w:bookmarkEnd w:id="191"/>
      <w:r/>
      <w:r/>
    </w:p>
    <w:p>
      <w:pPr>
        <w:ind w:firstLine="480"/>
        <w:spacing w:line="360" w:lineRule="auto"/>
        <w:rPr>
          <w:rFonts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1、关于不得拖欠作业工人劳动报酬的规定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按照相关法律法规要求，向其聘用、服务本项目的养护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80"/>
        <w:spacing w:line="360" w:lineRule="auto"/>
        <w:rPr>
          <w:rFonts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2、防暑降温用品发放要求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乙方需在夏季高温期间，为其聘用的作业人员发放防暑降温用品。如有因防暑降温用品发放问题导致的劳务纠纷均由乙方负责并承担相应责任。防暑降温物品要求详见附件。</w:t>
      </w:r>
      <w:r/>
    </w:p>
    <w:p>
      <w:pPr>
        <w:ind w:firstLine="48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3、中小企业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中小企业依据预留项目和价格扣除等优惠政策获取政府采购合同后，小型、微型企业不得分包或转包给大型、中型企业，中型企业不得分包或转包给大型企业。</w:t>
      </w:r>
      <w:r/>
    </w:p>
    <w:p>
      <w:pPr>
        <w:ind w:firstLine="48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4、“园采贷”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8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5、人员工资专户（养护类项目适用）</w:t>
      </w:r>
      <w:r/>
    </w:p>
    <w:p>
      <w:pPr>
        <w:ind w:firstLine="48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乙方应于本合同签订之日起30日内与甲方及甲方的合作银行签订《工资专用账户资金监管协议》，并开立作业工人工资专户，用于支付本合同的作业工人工资。</w:t>
      </w:r>
      <w:r>
        <w:rPr>
          <w:rFonts w:ascii="宋体" w:hAnsi="宋体" w:eastAsia="宋体" w:cs="宋体"/>
          <w:color w:val="auto"/>
          <w:sz w:val="24"/>
          <w:szCs w:val="24"/>
          <w:highlight w:val="none"/>
        </w:rPr>
        <w:t xml:space="preserve">每月进度款支付至乙方“工人工资专户”的金额为：</w:t>
      </w:r>
      <w:r>
        <w:rPr>
          <w:rFonts w:hint="eastAsia" w:ascii="宋体" w:hAnsi="宋体" w:eastAsia="宋体" w:cs="宋体"/>
          <w:color w:val="auto"/>
          <w:sz w:val="24"/>
          <w:szCs w:val="24"/>
          <w:highlight w:val="none"/>
        </w:rPr>
        <w:t xml:space="preserve">全员足额</w:t>
      </w:r>
      <w:r>
        <w:rPr>
          <w:rFonts w:ascii="宋体" w:hAnsi="宋体" w:eastAsia="宋体" w:cs="宋体"/>
          <w:color w:val="auto"/>
          <w:sz w:val="24"/>
          <w:szCs w:val="24"/>
          <w:highlight w:val="none"/>
        </w:rPr>
        <w:t xml:space="preserve">支付至乙方帐户的金额为“当月进度款-支付至“工人工资专户”的金额。</w:t>
      </w:r>
      <w:r/>
    </w:p>
    <w:p>
      <w:pPr>
        <w:ind w:firstLine="48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6、乙方帐号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82"/>
        <w:spacing w:line="360" w:lineRule="auto"/>
        <w:rPr>
          <w:rFonts w:ascii="宋体" w:hAnsi="宋体" w:eastAsia="宋体" w:cs="宋体"/>
          <w:b/>
          <w:color w:val="auto"/>
          <w:sz w:val="24"/>
          <w:szCs w:val="24"/>
          <w:highlight w:val="none"/>
        </w:rPr>
        <w:outlineLvl w:val="0"/>
      </w:pPr>
      <w:r/>
      <w:bookmarkStart w:id="192" w:name="_Toc153983306"/>
      <w:r>
        <w:rPr>
          <w:rFonts w:hint="eastAsia" w:ascii="宋体" w:hAnsi="宋体" w:eastAsia="宋体" w:cs="宋体"/>
          <w:b/>
          <w:color w:val="auto"/>
          <w:sz w:val="24"/>
          <w:szCs w:val="24"/>
          <w:highlight w:val="none"/>
        </w:rPr>
        <w:t xml:space="preserve">八、合同的生效、组成、解释及份数</w:t>
      </w:r>
      <w:bookmarkEnd w:id="192"/>
      <w:r/>
      <w:r/>
    </w:p>
    <w:p>
      <w:pPr>
        <w:ind w:firstLine="480"/>
        <w:spacing w:line="360" w:lineRule="auto"/>
        <w:rPr>
          <w:rFonts w:ascii="宋体" w:hAnsi="宋体" w:eastAsia="宋体" w:cs="宋体"/>
          <w:color w:val="auto"/>
          <w:sz w:val="24"/>
          <w:szCs w:val="24"/>
          <w:highlight w:val="none"/>
        </w:rPr>
        <w:outlineLvl w:val="1"/>
      </w:pPr>
      <w:r/>
      <w:bookmarkStart w:id="193" w:name="_Toc153983307"/>
      <w:r>
        <w:rPr>
          <w:rFonts w:hint="eastAsia" w:ascii="宋体" w:hAnsi="宋体" w:eastAsia="宋体" w:cs="宋体"/>
          <w:color w:val="auto"/>
          <w:sz w:val="24"/>
          <w:szCs w:val="24"/>
          <w:highlight w:val="none"/>
        </w:rPr>
        <w:t xml:space="preserve">1、合同的生效</w:t>
      </w:r>
      <w:bookmarkEnd w:id="193"/>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本合同在双方签字、盖章，乙方向苏州工业园区国库支付中心交纳履约保证金后生效。</w:t>
      </w:r>
      <w:r/>
    </w:p>
    <w:p>
      <w:pPr>
        <w:ind w:firstLine="480"/>
        <w:spacing w:line="360" w:lineRule="auto"/>
        <w:rPr>
          <w:rFonts w:ascii="宋体" w:hAnsi="宋体" w:eastAsia="宋体" w:cs="宋体"/>
          <w:color w:val="auto"/>
          <w:sz w:val="24"/>
          <w:szCs w:val="24"/>
          <w:highlight w:val="none"/>
        </w:rPr>
        <w:outlineLvl w:val="1"/>
      </w:pPr>
      <w:r/>
      <w:bookmarkStart w:id="194" w:name="_Toc153983308"/>
      <w:r>
        <w:rPr>
          <w:rFonts w:hint="eastAsia" w:ascii="宋体" w:hAnsi="宋体" w:eastAsia="宋体" w:cs="宋体"/>
          <w:color w:val="auto"/>
          <w:sz w:val="24"/>
          <w:szCs w:val="24"/>
          <w:highlight w:val="none"/>
        </w:rPr>
        <w:t xml:space="preserve">2、合同文件的组成</w:t>
      </w:r>
      <w:bookmarkEnd w:id="19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2.1.下列文件为本合同不可分割部分：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（3）乙方在招投标过程中所作的其它承诺、声明、书面澄清等；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（4）招标文件及其附件；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2.2、本合同履行过程中产生的纪要、协议以及中标通知书、投标文件和采购文件，双方有关本项目的洽商、变更等书面协议或文件视为本合同协议条款的组成部分，与合同具有同等效力。</w:t>
      </w:r>
      <w:r/>
    </w:p>
    <w:p>
      <w:pPr>
        <w:ind w:firstLine="480"/>
        <w:spacing w:line="360" w:lineRule="auto"/>
        <w:rPr>
          <w:rFonts w:ascii="宋体" w:hAnsi="宋体" w:eastAsia="宋体" w:cs="宋体"/>
          <w:color w:val="auto"/>
          <w:sz w:val="24"/>
          <w:szCs w:val="24"/>
          <w:highlight w:val="none"/>
        </w:rPr>
        <w:outlineLvl w:val="1"/>
      </w:pPr>
      <w:r/>
      <w:bookmarkStart w:id="195" w:name="_Toc153983309"/>
      <w:r>
        <w:rPr>
          <w:rFonts w:hint="eastAsia" w:ascii="宋体" w:hAnsi="宋体" w:eastAsia="宋体" w:cs="宋体"/>
          <w:color w:val="auto"/>
          <w:sz w:val="24"/>
          <w:szCs w:val="24"/>
          <w:highlight w:val="none"/>
        </w:rPr>
        <w:t xml:space="preserve">3、合同的文字和解释</w:t>
      </w:r>
      <w:bookmarkEnd w:id="19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本合同文件使用中文书写、解释和说明；本合同未尽事宜参照《中华人民共和国民法典》、《中华人民共和国政府采购法》以及其他相关法律、法规之规定。</w:t>
      </w:r>
      <w:r/>
    </w:p>
    <w:p>
      <w:pPr>
        <w:ind w:firstLine="480"/>
        <w:spacing w:line="360" w:lineRule="auto"/>
        <w:rPr>
          <w:rFonts w:ascii="宋体" w:hAnsi="宋体" w:eastAsia="宋体" w:cs="宋体"/>
          <w:color w:val="auto"/>
          <w:sz w:val="24"/>
          <w:szCs w:val="24"/>
          <w:highlight w:val="none"/>
        </w:rPr>
        <w:outlineLvl w:val="1"/>
      </w:pPr>
      <w:r/>
      <w:bookmarkStart w:id="196" w:name="_Toc153983310"/>
      <w:r>
        <w:rPr>
          <w:rFonts w:hint="eastAsia" w:ascii="宋体" w:hAnsi="宋体" w:eastAsia="宋体" w:cs="宋体"/>
          <w:color w:val="auto"/>
          <w:sz w:val="24"/>
          <w:szCs w:val="24"/>
          <w:highlight w:val="none"/>
        </w:rPr>
        <w:t xml:space="preserve">4、合同正本的数量</w:t>
      </w:r>
      <w:bookmarkEnd w:id="19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合同一式五份，甲方及相关部门执三份，乙方执一份，采购代理机构一份，各份具有同等法律效力。</w:t>
      </w:r>
      <w:r/>
    </w:p>
    <w:p>
      <w:pPr>
        <w:pStyle w:val="944"/>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2"/>
        <w:spacing w:line="360" w:lineRule="auto"/>
        <w:rPr>
          <w:rFonts w:ascii="宋体" w:hAnsi="宋体" w:eastAsia="宋体" w:cs="宋体"/>
          <w:b/>
          <w:color w:val="auto"/>
          <w:sz w:val="24"/>
          <w:szCs w:val="24"/>
          <w:highlight w:val="none"/>
        </w:rPr>
        <w:outlineLvl w:val="0"/>
      </w:pPr>
      <w:r/>
      <w:bookmarkStart w:id="197" w:name="_Toc153983311"/>
      <w:r>
        <w:rPr>
          <w:rFonts w:hint="eastAsia" w:ascii="宋体" w:hAnsi="宋体" w:eastAsia="宋体" w:cs="宋体"/>
          <w:b/>
          <w:color w:val="auto"/>
          <w:sz w:val="24"/>
          <w:szCs w:val="24"/>
          <w:highlight w:val="none"/>
        </w:rPr>
        <w:t xml:space="preserve">九、合同附件</w:t>
      </w:r>
      <w:bookmarkEnd w:id="19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1、廉政合同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2、项目安全协议书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（加盖公章或合同专用章）                    （加盖公章或合同专用章）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法定代表人签字或签章：                       法定代表人签字或签章：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年  月    日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合同签订地：苏州工业园区</w:t>
      </w:r>
      <w:r/>
    </w:p>
    <w:p>
      <w:pPr>
        <w:pStyle w:val="944"/>
        <w:ind w:firstLine="480"/>
        <w:spacing w:line="360" w:lineRule="auto"/>
        <w:rPr>
          <w:color w:val="auto"/>
          <w:highlight w:val="none"/>
        </w:rPr>
      </w:pPr>
      <w:r>
        <w:rPr>
          <w:color w:val="auto"/>
          <w:highlight w:val="none"/>
        </w:rPr>
        <w:br w:type="page" w:clear="all"/>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附件1：</w:t>
      </w:r>
      <w:r/>
    </w:p>
    <w:p>
      <w:pPr>
        <w:ind w:firstLine="482"/>
        <w:jc w:val="center"/>
        <w:spacing w:line="360" w:lineRule="auto"/>
        <w:rPr>
          <w:rFonts w:ascii="宋体" w:hAnsi="宋体"/>
          <w:b/>
          <w:color w:val="auto"/>
          <w:sz w:val="24"/>
          <w:highlight w:val="none"/>
        </w:rPr>
      </w:pPr>
      <w:r>
        <w:rPr>
          <w:rFonts w:hint="eastAsia" w:ascii="宋体" w:hAnsi="宋体"/>
          <w:b/>
          <w:color w:val="auto"/>
          <w:sz w:val="24"/>
          <w:highlight w:val="none"/>
        </w:rPr>
        <w:t xml:space="preserve">廉 政 协 议</w:t>
      </w:r>
      <w:r/>
    </w:p>
    <w:p>
      <w:pPr>
        <w:pStyle w:val="943"/>
        <w:rPr>
          <w:rFonts w:ascii="Tahoma" w:hAnsi="Tahoma"/>
          <w:color w:val="auto"/>
          <w:sz w:val="24"/>
          <w:highlight w:val="none"/>
        </w:rPr>
      </w:pPr>
      <w:r>
        <w:rPr>
          <w:rFonts w:ascii="Tahoma" w:hAnsi="Tahoma"/>
          <w:color w:val="auto"/>
          <w:sz w:val="24"/>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为了贯彻落实党中央、国务院《关于实行党风廉政建设责任制的规定》和国家及苏州市有关廉政建设的法律法规，加强廉洁自律的工作作风，防止各种不正当行为的发生，</w:t>
      </w:r>
      <w:r>
        <w:rPr>
          <w:rFonts w:hint="eastAsia" w:ascii="宋体" w:hAnsi="宋体" w:eastAsia="宋体" w:cs="宋体"/>
          <w:color w:val="auto"/>
          <w:szCs w:val="21"/>
          <w:highlight w:val="none"/>
          <w:u w:val="single"/>
        </w:rPr>
        <w:t xml:space="preserve">苏州工业园区综合行政执法局     </w:t>
      </w:r>
      <w:r>
        <w:rPr>
          <w:rFonts w:hint="eastAsia" w:ascii="宋体" w:hAnsi="宋体" w:eastAsia="宋体" w:cs="宋体"/>
          <w:color w:val="auto"/>
          <w:szCs w:val="21"/>
          <w:highlight w:val="none"/>
        </w:rPr>
        <w:t xml:space="preserve">（以下简称甲方）</w:t>
      </w:r>
      <w:r>
        <w:rPr>
          <w:rFonts w:hint="eastAsia" w:ascii="宋体" w:hAnsi="宋体" w:cs="宋体"/>
          <w:color w:val="auto"/>
          <w:szCs w:val="21"/>
          <w:highlight w:val="none"/>
        </w:rPr>
        <w:t xml:space="preserve">，与</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（以下简称乙方）</w:t>
      </w:r>
      <w:r>
        <w:rPr>
          <w:rFonts w:hint="eastAsia" w:ascii="宋体" w:hAnsi="宋体" w:cs="宋体"/>
          <w:color w:val="auto"/>
          <w:szCs w:val="21"/>
          <w:highlight w:val="none"/>
        </w:rPr>
        <w:t xml:space="preserve">订立如下协议：</w:t>
      </w:r>
      <w:r/>
    </w:p>
    <w:p>
      <w:pPr>
        <w:pStyle w:val="938"/>
        <w:ind w:firstLine="480"/>
        <w:rPr>
          <w:color w:val="auto"/>
          <w:highlight w:val="none"/>
        </w:rPr>
      </w:pPr>
      <w:r>
        <w:rPr>
          <w:color w:val="auto"/>
          <w:highlight w:val="none"/>
        </w:rPr>
      </w:r>
      <w:r/>
    </w:p>
    <w:p>
      <w:pPr>
        <w:numPr>
          <w:ilvl w:val="0"/>
          <w:numId w:val="5"/>
        </w:numPr>
        <w:ind w:left="0" w:firstLine="422"/>
        <w:spacing w:line="360" w:lineRule="auto"/>
        <w:tabs>
          <w:tab w:val="left" w:pos="955" w:leader="none"/>
          <w:tab w:val="left" w:pos="1146" w:leader="none"/>
          <w:tab w:val="left" w:pos="1528" w:leader="none"/>
        </w:tabs>
        <w:rPr>
          <w:rFonts w:ascii="宋体" w:hAnsi="宋体"/>
          <w:b/>
          <w:color w:val="auto"/>
          <w:szCs w:val="21"/>
          <w:highlight w:val="none"/>
        </w:rPr>
      </w:pPr>
      <w:r>
        <w:rPr>
          <w:rFonts w:hint="eastAsia" w:ascii="宋体" w:hAnsi="宋体"/>
          <w:b/>
          <w:color w:val="auto"/>
          <w:szCs w:val="21"/>
          <w:highlight w:val="none"/>
        </w:rPr>
        <w:t xml:space="preserve">甲乙双方约定</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color w:val="auto"/>
          <w:szCs w:val="21"/>
          <w:highlight w:val="none"/>
        </w:rPr>
        <w:t xml:space="preserve">甲乙双方应共同遵守国家和省、市、行业主管部门关于加强基础设施建设管理（政府采购）以及党风廉政建设的各项规定。</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color w:val="auto"/>
          <w:szCs w:val="21"/>
          <w:highlight w:val="none"/>
        </w:rPr>
        <w:t xml:space="preserve">甲乙双方应认真执行约定的合同文件，自觉按合同办事。</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color w:val="auto"/>
          <w:szCs w:val="21"/>
          <w:highlight w:val="none"/>
        </w:rPr>
        <w:t xml:space="preserve">除非法律认定的商业秘密和合同文件另有规定之外，甲乙双方的业务活动应坚持公开、公正、透明的原则，严禁搞损害国家和集体利益、违反工程建设管理（政府采购）规章制度的不正当交易。</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color w:val="auto"/>
          <w:szCs w:val="21"/>
          <w:highlight w:val="none"/>
        </w:rPr>
        <w:t xml:space="preserve">甲乙双方应加强对本方人员的廉政监督，建立和健全廉政制度，认真查处本方的违法违纪行为。</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color w:val="auto"/>
          <w:szCs w:val="21"/>
          <w:highlight w:val="none"/>
        </w:rPr>
        <w:t xml:space="preserve">甲乙双方有对本方人员开展廉政告知、廉政教育和职业道德教育的义务。</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color w:val="auto"/>
          <w:szCs w:val="21"/>
          <w:highlight w:val="none"/>
        </w:rPr>
        <w:t xml:space="preserve">甲乙双方如发现对方在业务活动中有不廉洁行为，有及时提醒对方并督促其纠正的权利和义务。</w:t>
      </w:r>
      <w:r/>
    </w:p>
    <w:p>
      <w:pPr>
        <w:numPr>
          <w:ilvl w:val="0"/>
          <w:numId w:val="5"/>
        </w:numPr>
        <w:ind w:left="0" w:firstLine="422"/>
        <w:spacing w:line="360" w:lineRule="auto"/>
        <w:tabs>
          <w:tab w:val="left" w:pos="993" w:leader="none"/>
        </w:tabs>
        <w:rPr>
          <w:rFonts w:ascii="宋体" w:hAnsi="宋体"/>
          <w:b/>
          <w:color w:val="auto"/>
          <w:szCs w:val="21"/>
          <w:highlight w:val="none"/>
        </w:rPr>
      </w:pPr>
      <w:r>
        <w:rPr>
          <w:rFonts w:hint="eastAsia" w:ascii="宋体" w:hAnsi="宋体"/>
          <w:b/>
          <w:color w:val="auto"/>
          <w:szCs w:val="21"/>
          <w:highlight w:val="none"/>
        </w:rPr>
        <w:t xml:space="preserve">甲方在廉政建设方面的责任</w:t>
      </w:r>
      <w:r/>
    </w:p>
    <w:p>
      <w:pPr>
        <w:numPr>
          <w:ilvl w:val="1"/>
          <w:numId w:val="5"/>
        </w:numPr>
        <w:ind w:left="0" w:firstLine="420"/>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color w:val="auto"/>
          <w:szCs w:val="21"/>
          <w:highlight w:val="none"/>
        </w:rPr>
        <w:t xml:space="preserve">甲方及其工作人员不得以任何形式向乙方索要和收受回扣。</w:t>
      </w:r>
      <w:r/>
    </w:p>
    <w:p>
      <w:pPr>
        <w:numPr>
          <w:ilvl w:val="1"/>
          <w:numId w:val="5"/>
        </w:numPr>
        <w:ind w:left="0" w:firstLine="420"/>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color w:val="auto"/>
          <w:szCs w:val="21"/>
          <w:highlight w:val="none"/>
        </w:rPr>
        <w:t xml:space="preserve">甲方及其工作人员不得接受乙方的礼金、有价证券和贵重物品，不得在乙方报销任何应由个人支付的费用。</w:t>
      </w:r>
      <w:r/>
    </w:p>
    <w:p>
      <w:pPr>
        <w:numPr>
          <w:ilvl w:val="1"/>
          <w:numId w:val="5"/>
        </w:numPr>
        <w:ind w:left="0" w:firstLine="420"/>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color w:val="auto"/>
          <w:szCs w:val="21"/>
          <w:highlight w:val="none"/>
        </w:rPr>
        <w:t xml:space="preserve">甲方工作人员不得参加可能对公正执行公务有影响的宴请和娱乐、旅游活动。</w:t>
      </w:r>
      <w:r/>
    </w:p>
    <w:p>
      <w:pPr>
        <w:numPr>
          <w:ilvl w:val="1"/>
          <w:numId w:val="5"/>
        </w:numPr>
        <w:ind w:left="0" w:firstLine="420"/>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color w:val="auto"/>
          <w:szCs w:val="21"/>
          <w:highlight w:val="none"/>
        </w:rPr>
        <w:t xml:space="preserve">甲方及其工作人员不得要求或者接受乙方为其住房装修、婚丧嫁娶、家属子女的工作安排以及出国等提供方便。</w:t>
      </w:r>
      <w:r/>
    </w:p>
    <w:p>
      <w:pPr>
        <w:numPr>
          <w:ilvl w:val="1"/>
          <w:numId w:val="5"/>
        </w:numPr>
        <w:ind w:left="0" w:firstLine="420"/>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color w:val="auto"/>
          <w:szCs w:val="21"/>
          <w:highlight w:val="none"/>
        </w:rPr>
        <w:t xml:space="preserve">甲方工作人员不得在家里或宿舍接待乙方有关项目事项的询访。</w:t>
      </w:r>
      <w:r/>
    </w:p>
    <w:p>
      <w:pPr>
        <w:numPr>
          <w:ilvl w:val="0"/>
          <w:numId w:val="5"/>
        </w:numPr>
        <w:ind w:left="0" w:firstLine="422"/>
        <w:spacing w:line="360" w:lineRule="auto"/>
        <w:tabs>
          <w:tab w:val="left" w:pos="993" w:leader="none"/>
        </w:tabs>
        <w:rPr>
          <w:rFonts w:ascii="宋体" w:hAnsi="宋体"/>
          <w:b/>
          <w:color w:val="auto"/>
          <w:szCs w:val="21"/>
          <w:highlight w:val="none"/>
        </w:rPr>
      </w:pPr>
      <w:r>
        <w:rPr>
          <w:rFonts w:hint="eastAsia" w:ascii="宋体" w:hAnsi="宋体"/>
          <w:b/>
          <w:color w:val="auto"/>
          <w:szCs w:val="21"/>
          <w:highlight w:val="none"/>
        </w:rPr>
        <w:t xml:space="preserve">乙方在廉政建设方面的责任</w:t>
      </w:r>
      <w:r/>
    </w:p>
    <w:p>
      <w:pPr>
        <w:numPr>
          <w:ilvl w:val="1"/>
          <w:numId w:val="5"/>
        </w:numPr>
        <w:ind w:left="0" w:firstLine="420"/>
        <w:spacing w:line="360" w:lineRule="auto"/>
        <w:tabs>
          <w:tab w:val="left" w:pos="1146" w:leader="none"/>
          <w:tab w:val="left" w:pos="2292" w:leader="none"/>
        </w:tabs>
        <w:rPr>
          <w:rFonts w:ascii="宋体" w:hAnsi="宋体"/>
          <w:color w:val="auto"/>
          <w:szCs w:val="21"/>
          <w:highlight w:val="none"/>
        </w:rPr>
      </w:pPr>
      <w:r>
        <w:rPr>
          <w:rFonts w:hint="eastAsia" w:ascii="宋体" w:hAnsi="宋体"/>
          <w:color w:val="auto"/>
          <w:szCs w:val="21"/>
          <w:highlight w:val="none"/>
        </w:rPr>
        <w:t xml:space="preserve">乙方不得以任何理由向甲方工作人员行贿或馈赠礼品。</w:t>
      </w:r>
      <w:r/>
    </w:p>
    <w:p>
      <w:pPr>
        <w:numPr>
          <w:ilvl w:val="1"/>
          <w:numId w:val="5"/>
        </w:numPr>
        <w:ind w:left="0" w:firstLine="420"/>
        <w:spacing w:line="360" w:lineRule="auto"/>
        <w:tabs>
          <w:tab w:val="left" w:pos="1146" w:leader="none"/>
          <w:tab w:val="left" w:pos="2292" w:leader="none"/>
        </w:tabs>
        <w:rPr>
          <w:rFonts w:ascii="宋体" w:hAnsi="宋体"/>
          <w:color w:val="auto"/>
          <w:szCs w:val="21"/>
          <w:highlight w:val="none"/>
        </w:rPr>
      </w:pPr>
      <w:r>
        <w:rPr>
          <w:rFonts w:hint="eastAsia" w:ascii="宋体" w:hAnsi="宋体"/>
          <w:color w:val="auto"/>
          <w:szCs w:val="21"/>
          <w:highlight w:val="none"/>
        </w:rPr>
        <w:t xml:space="preserve">乙方不得以任何名义为甲方及其工作人员报支需由其个人支付的任何费用。</w:t>
      </w:r>
      <w:r/>
    </w:p>
    <w:p>
      <w:pPr>
        <w:numPr>
          <w:ilvl w:val="1"/>
          <w:numId w:val="5"/>
        </w:numPr>
        <w:ind w:left="0" w:firstLine="420"/>
        <w:spacing w:line="360" w:lineRule="auto"/>
        <w:tabs>
          <w:tab w:val="left" w:pos="1146" w:leader="none"/>
          <w:tab w:val="left" w:pos="2292" w:leader="none"/>
        </w:tabs>
        <w:rPr>
          <w:rFonts w:ascii="宋体" w:hAnsi="宋体"/>
          <w:color w:val="auto"/>
          <w:szCs w:val="21"/>
          <w:highlight w:val="none"/>
        </w:rPr>
      </w:pPr>
      <w:r>
        <w:rPr>
          <w:rFonts w:hint="eastAsia" w:ascii="宋体" w:hAnsi="宋体"/>
          <w:color w:val="auto"/>
          <w:szCs w:val="21"/>
          <w:highlight w:val="none"/>
        </w:rPr>
        <w:t xml:space="preserve">乙方不得以任何理由邀请甲方工作人员参加由公款支付的娱乐性活动。</w:t>
      </w:r>
      <w:r/>
    </w:p>
    <w:p>
      <w:pPr>
        <w:numPr>
          <w:ilvl w:val="1"/>
          <w:numId w:val="5"/>
        </w:numPr>
        <w:ind w:left="0" w:firstLine="420"/>
        <w:spacing w:line="360" w:lineRule="auto"/>
        <w:tabs>
          <w:tab w:val="left" w:pos="1146" w:leader="none"/>
          <w:tab w:val="left" w:pos="2292" w:leader="none"/>
        </w:tabs>
        <w:rPr>
          <w:rFonts w:ascii="宋体" w:hAnsi="宋体"/>
          <w:color w:val="auto"/>
          <w:szCs w:val="21"/>
          <w:highlight w:val="none"/>
        </w:rPr>
      </w:pPr>
      <w:r>
        <w:rPr>
          <w:rFonts w:hint="eastAsia" w:ascii="宋体" w:hAnsi="宋体"/>
          <w:color w:val="auto"/>
          <w:szCs w:val="21"/>
          <w:highlight w:val="none"/>
        </w:rPr>
        <w:t xml:space="preserve">乙方不得为甲方单位和个人购置或提供通讯工具、交通工具、家电和高档办公用品。</w:t>
      </w:r>
      <w:r/>
    </w:p>
    <w:p>
      <w:pPr>
        <w:numPr>
          <w:ilvl w:val="1"/>
          <w:numId w:val="5"/>
        </w:numPr>
        <w:ind w:left="0" w:firstLine="420"/>
        <w:spacing w:line="360" w:lineRule="auto"/>
        <w:tabs>
          <w:tab w:val="left" w:pos="1146" w:leader="none"/>
          <w:tab w:val="left" w:pos="2292" w:leader="none"/>
        </w:tabs>
        <w:rPr>
          <w:rFonts w:ascii="宋体" w:hAnsi="宋体"/>
          <w:color w:val="auto"/>
          <w:szCs w:val="21"/>
          <w:highlight w:val="none"/>
        </w:rPr>
      </w:pPr>
      <w:r>
        <w:rPr>
          <w:rFonts w:hint="eastAsia" w:ascii="宋体" w:hAnsi="宋体"/>
          <w:color w:val="auto"/>
          <w:szCs w:val="21"/>
          <w:highlight w:val="none"/>
        </w:rPr>
        <w:t xml:space="preserve">乙方人员不得到甲方人员家里或宿舍里询访有关项目事项。</w:t>
      </w:r>
      <w:r/>
    </w:p>
    <w:p>
      <w:pPr>
        <w:numPr>
          <w:ilvl w:val="0"/>
          <w:numId w:val="5"/>
        </w:numPr>
        <w:ind w:left="0" w:firstLine="422"/>
        <w:spacing w:line="360" w:lineRule="auto"/>
        <w:tabs>
          <w:tab w:val="left" w:pos="709" w:leader="none"/>
          <w:tab w:val="left" w:pos="993" w:leader="none"/>
        </w:tabs>
        <w:rPr>
          <w:rFonts w:ascii="宋体" w:hAnsi="宋体"/>
          <w:b/>
          <w:color w:val="auto"/>
          <w:szCs w:val="21"/>
          <w:highlight w:val="none"/>
        </w:rPr>
      </w:pPr>
      <w:r>
        <w:rPr>
          <w:rFonts w:hint="eastAsia" w:ascii="宋体" w:hAnsi="宋体"/>
          <w:b/>
          <w:color w:val="auto"/>
          <w:szCs w:val="21"/>
          <w:highlight w:val="none"/>
        </w:rPr>
        <w:t xml:space="preserve">违约责任</w:t>
      </w:r>
      <w:r/>
    </w:p>
    <w:p>
      <w:pPr>
        <w:numPr>
          <w:ilvl w:val="1"/>
          <w:numId w:val="5"/>
        </w:numPr>
        <w:ind w:left="0" w:firstLine="420"/>
        <w:spacing w:line="360" w:lineRule="auto"/>
        <w:tabs>
          <w:tab w:val="left" w:pos="955" w:leader="none"/>
          <w:tab w:val="left" w:pos="1146" w:leader="none"/>
          <w:tab w:val="left" w:pos="2292" w:leader="none"/>
        </w:tabs>
        <w:rPr>
          <w:rFonts w:ascii="宋体" w:hAnsi="宋体"/>
          <w:color w:val="auto"/>
          <w:szCs w:val="21"/>
          <w:highlight w:val="none"/>
        </w:rPr>
      </w:pPr>
      <w:r>
        <w:rPr>
          <w:rFonts w:hint="eastAsia" w:ascii="宋体" w:hAnsi="宋体"/>
          <w:color w:val="auto"/>
          <w:szCs w:val="21"/>
          <w:highlight w:val="none"/>
        </w:rPr>
        <w:t xml:space="preserve">甲方有违反本廉政合同第一条第1至5款和第二条的，按甲方单位的廉政建设规定和有关行业规定进行处罚。</w:t>
      </w:r>
      <w:r/>
    </w:p>
    <w:p>
      <w:pPr>
        <w:numPr>
          <w:ilvl w:val="1"/>
          <w:numId w:val="5"/>
        </w:numPr>
        <w:ind w:left="0" w:firstLine="420"/>
        <w:spacing w:line="360" w:lineRule="auto"/>
        <w:tabs>
          <w:tab w:val="left" w:pos="955" w:leader="none"/>
          <w:tab w:val="left" w:pos="1146" w:leader="none"/>
          <w:tab w:val="left" w:pos="2292" w:leader="none"/>
        </w:tabs>
        <w:rPr>
          <w:rFonts w:ascii="宋体" w:hAnsi="宋体"/>
          <w:color w:val="auto"/>
          <w:szCs w:val="21"/>
          <w:highlight w:val="none"/>
        </w:rPr>
      </w:pPr>
      <w:r>
        <w:rPr>
          <w:rFonts w:hint="eastAsia" w:ascii="宋体" w:hAnsi="宋体"/>
          <w:color w:val="auto"/>
          <w:szCs w:val="21"/>
          <w:highlight w:val="none"/>
        </w:rPr>
        <w:t xml:space="preserve">乙方有违反合同第一条第1至5款和第三条的，除按乙方单位的廉政建设规定和有关行业规定处罚外，视情节轻重和造成损失大小分别给予签约合同价1%至5%（最高不超过签约合同价的5%）的违约罚款以及1-3年内不得进入苏州工业园区建设工程市场和政府采购的处罚。</w:t>
      </w:r>
      <w:r/>
    </w:p>
    <w:p>
      <w:pPr>
        <w:numPr>
          <w:ilvl w:val="0"/>
          <w:numId w:val="5"/>
        </w:numPr>
        <w:ind w:left="0" w:firstLine="422"/>
        <w:spacing w:line="360" w:lineRule="auto"/>
        <w:tabs>
          <w:tab w:val="left" w:pos="993" w:leader="none"/>
        </w:tabs>
        <w:rPr>
          <w:rFonts w:ascii="宋体" w:hAnsi="宋体"/>
          <w:b/>
          <w:color w:val="auto"/>
          <w:szCs w:val="21"/>
          <w:highlight w:val="none"/>
        </w:rPr>
      </w:pPr>
      <w:r>
        <w:rPr>
          <w:rFonts w:hint="eastAsia" w:ascii="宋体" w:hAnsi="宋体"/>
          <w:b/>
          <w:color w:val="auto"/>
          <w:szCs w:val="21"/>
          <w:highlight w:val="none"/>
        </w:rPr>
        <w:t xml:space="preserve">对见证单位的约定和授权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双方约定：本廉政合同的见证单位为园区纪检监察部门，双方授权见证单位主持本廉政合同执行情况的检查，提出在本廉政合同规定范围内的裁定意见，执行廉政合同第四条所规定的处罚。</w:t>
      </w:r>
      <w:r/>
    </w:p>
    <w:p>
      <w:pPr>
        <w:numPr>
          <w:ilvl w:val="0"/>
          <w:numId w:val="5"/>
        </w:numPr>
        <w:ind w:left="0" w:firstLine="422"/>
        <w:spacing w:line="360" w:lineRule="auto"/>
        <w:tabs>
          <w:tab w:val="left" w:pos="851" w:leader="none"/>
          <w:tab w:val="left" w:pos="993" w:leader="none"/>
        </w:tabs>
        <w:rPr>
          <w:rFonts w:ascii="宋体" w:hAnsi="宋体"/>
          <w:b/>
          <w:color w:val="auto"/>
          <w:szCs w:val="21"/>
          <w:highlight w:val="none"/>
        </w:rPr>
      </w:pPr>
      <w:r>
        <w:rPr>
          <w:rFonts w:hint="eastAsia" w:ascii="宋体" w:hAnsi="宋体"/>
          <w:b/>
          <w:color w:val="auto"/>
          <w:szCs w:val="21"/>
          <w:highlight w:val="none"/>
        </w:rPr>
        <w:t xml:space="preserve">检查方式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廉政合同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numPr>
          <w:ilvl w:val="2"/>
          <w:numId w:val="5"/>
        </w:numPr>
        <w:ind w:left="0" w:firstLine="422"/>
        <w:spacing w:line="360" w:lineRule="auto"/>
        <w:tabs>
          <w:tab w:val="left" w:pos="0" w:leader="none"/>
          <w:tab w:val="left" w:pos="955" w:leader="none"/>
          <w:tab w:val="left" w:pos="1255" w:leader="none"/>
        </w:tabs>
        <w:rPr>
          <w:rFonts w:ascii="宋体" w:hAnsi="宋体"/>
          <w:b/>
          <w:color w:val="auto"/>
          <w:szCs w:val="21"/>
          <w:highlight w:val="none"/>
        </w:rPr>
      </w:pPr>
      <w:r>
        <w:rPr>
          <w:rFonts w:hint="eastAsia" w:ascii="宋体" w:hAnsi="宋体"/>
          <w:b/>
          <w:color w:val="auto"/>
          <w:szCs w:val="21"/>
          <w:highlight w:val="none"/>
        </w:rPr>
        <w:t xml:space="preserve">其它</w:t>
      </w:r>
      <w:r/>
    </w:p>
    <w:p>
      <w:pPr>
        <w:ind w:firstLine="420"/>
        <w:spacing w:line="360" w:lineRule="auto"/>
        <w:tabs>
          <w:tab w:val="left" w:pos="0" w:leader="none"/>
          <w:tab w:val="left" w:pos="955" w:leader="none"/>
          <w:tab w:val="left" w:pos="1255" w:leader="none"/>
        </w:tabs>
        <w:rPr>
          <w:rFonts w:ascii="宋体" w:hAnsi="宋体"/>
          <w:color w:val="auto"/>
          <w:szCs w:val="21"/>
          <w:highlight w:val="none"/>
        </w:rPr>
      </w:pPr>
      <w:r>
        <w:rPr>
          <w:rFonts w:hint="eastAsia" w:ascii="宋体" w:hAnsi="宋体"/>
          <w:color w:val="auto"/>
          <w:szCs w:val="21"/>
          <w:highlight w:val="none"/>
        </w:rPr>
        <w:t xml:space="preserve">本廉政合同有效期为其甲乙双方签署之日起至该乙方负责的项目竣工验收后止。</w:t>
      </w:r>
      <w:r/>
    </w:p>
    <w:p>
      <w:pPr>
        <w:ind w:firstLine="420"/>
        <w:jc w:val="left"/>
        <w:spacing w:line="360" w:lineRule="auto"/>
        <w:tabs>
          <w:tab w:val="left" w:pos="0" w:leader="none"/>
          <w:tab w:val="left" w:pos="955" w:leader="none"/>
          <w:tab w:val="left" w:pos="1255" w:leader="none"/>
        </w:tabs>
        <w:rPr>
          <w:rFonts w:ascii="宋体" w:hAnsi="宋体"/>
          <w:color w:val="auto"/>
          <w:szCs w:val="21"/>
          <w:highlight w:val="none"/>
          <w:shd w:val="clear" w:color="auto" w:fill="ffffff"/>
        </w:rPr>
      </w:pPr>
      <w:r>
        <w:rPr>
          <w:rFonts w:hint="eastAsia" w:ascii="宋体" w:hAnsi="宋体"/>
          <w:color w:val="auto"/>
          <w:szCs w:val="21"/>
          <w:highlight w:val="none"/>
        </w:rPr>
        <w:t xml:space="preserve">本廉政合同作为合同的附件，与合同具有同等的法律效力，经廉政合同双方签署后立即生效。</w:t>
      </w:r>
      <w:r/>
    </w:p>
    <w:p>
      <w:pPr>
        <w:ind w:firstLine="420"/>
        <w:spacing w:line="360" w:lineRule="auto"/>
        <w:tabs>
          <w:tab w:val="left" w:pos="0" w:leader="none"/>
          <w:tab w:val="left" w:pos="955" w:leader="none"/>
          <w:tab w:val="left" w:pos="1255" w:leader="none"/>
        </w:tabs>
        <w:rPr>
          <w:rFonts w:ascii="宋体" w:hAnsi="宋体" w:cs="宋体"/>
          <w:color w:val="auto"/>
          <w:szCs w:val="21"/>
          <w:highlight w:val="none"/>
        </w:rPr>
      </w:pPr>
      <w:r>
        <w:rPr>
          <w:rFonts w:ascii="宋体" w:hAnsi="宋体" w:cs="宋体"/>
          <w:color w:val="auto"/>
          <w:szCs w:val="21"/>
          <w:highlight w:val="none"/>
        </w:rPr>
      </w:r>
      <w:r/>
    </w:p>
    <w:p>
      <w:pPr>
        <w:pStyle w:val="944"/>
        <w:ind w:firstLine="420"/>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tabs>
          <w:tab w:val="left" w:pos="955" w:leader="none"/>
          <w:tab w:val="left" w:pos="1146" w:leader="none"/>
        </w:tabs>
        <w:rPr>
          <w:rFonts w:ascii="宋体" w:hAnsi="宋体" w:cs="宋体"/>
          <w:color w:val="auto"/>
          <w:szCs w:val="21"/>
          <w:highlight w:val="none"/>
        </w:rPr>
      </w:pPr>
      <w:r>
        <w:rPr>
          <w:rFonts w:hint="eastAsia" w:ascii="宋体" w:hAnsi="宋体" w:cs="宋体"/>
          <w:color w:val="auto"/>
          <w:szCs w:val="21"/>
          <w:highlight w:val="none"/>
        </w:rPr>
        <w:t xml:space="preserve">甲方单位：                         乙方单位：</w:t>
      </w:r>
      <w:r/>
    </w:p>
    <w:p>
      <w:pPr>
        <w:ind w:firstLine="420"/>
        <w:spacing w:line="360" w:lineRule="auto"/>
        <w:tabs>
          <w:tab w:val="left" w:pos="955" w:leader="none"/>
          <w:tab w:val="left" w:pos="1146" w:leader="none"/>
        </w:tabs>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tabs>
          <w:tab w:val="left" w:pos="955" w:leader="none"/>
          <w:tab w:val="left" w:pos="1146" w:leader="none"/>
        </w:tabs>
        <w:rPr>
          <w:rFonts w:ascii="宋体" w:hAnsi="宋体"/>
          <w:color w:val="auto"/>
          <w:szCs w:val="21"/>
          <w:highlight w:val="none"/>
        </w:rPr>
      </w:pPr>
      <w:r>
        <w:rPr>
          <w:rFonts w:hint="eastAsia" w:ascii="宋体" w:hAnsi="宋体" w:cs="宋体"/>
          <w:color w:val="auto"/>
          <w:szCs w:val="21"/>
          <w:highlight w:val="none"/>
        </w:rPr>
        <w:t xml:space="preserve">法定代表人：                       法定代表人：</w:t>
      </w:r>
      <w:r/>
    </w:p>
    <w:p>
      <w:pPr>
        <w:pStyle w:val="944"/>
        <w:ind w:left="0" w:firstLine="480"/>
        <w:rPr>
          <w:color w:val="auto"/>
          <w:highlight w:val="none"/>
        </w:rPr>
      </w:pPr>
      <w:r>
        <w:rPr>
          <w:color w:val="auto"/>
          <w:highlight w:val="none"/>
        </w:rPr>
        <w:br w:type="page" w:clear="all"/>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附件2：</w:t>
      </w:r>
      <w:r/>
    </w:p>
    <w:p>
      <w:pPr>
        <w:ind w:firstLine="643"/>
        <w:jc w:val="center"/>
        <w:rPr>
          <w:rFonts w:cs="仿宋" w:asciiTheme="minorEastAsia" w:hAnsiTheme="minorEastAsia"/>
          <w:b/>
          <w:color w:val="auto"/>
          <w:sz w:val="32"/>
          <w:szCs w:val="32"/>
          <w:highlight w:val="none"/>
        </w:rPr>
      </w:pPr>
      <w:r/>
      <w:bookmarkStart w:id="198" w:name="_Toc105940242"/>
      <w:r>
        <w:rPr>
          <w:rFonts w:hint="eastAsia" w:cs="仿宋" w:asciiTheme="minorEastAsia" w:hAnsiTheme="minorEastAsia"/>
          <w:b/>
          <w:color w:val="auto"/>
          <w:sz w:val="32"/>
          <w:szCs w:val="32"/>
          <w:highlight w:val="none"/>
        </w:rPr>
        <w:t xml:space="preserve">项目安全协议书</w:t>
      </w:r>
      <w:r/>
    </w:p>
    <w:p>
      <w:pPr>
        <w:ind w:firstLine="480"/>
        <w:spacing w:line="324" w:lineRule="auto"/>
        <w:shd w:val="clear" w:color="auto" w:fill="ffffff"/>
        <w:widowControl/>
        <w:rPr>
          <w:rFonts w:cs="MS Gothic" w:asciiTheme="minorEastAsia" w:hAnsiTheme="minorEastAsia"/>
          <w:color w:val="auto"/>
          <w:highlight w:val="none"/>
          <w:u w:val="single"/>
        </w:rPr>
        <w:outlineLvl w:val="1"/>
      </w:pPr>
      <w:r/>
      <w:bookmarkStart w:id="199" w:name="_Toc153983312"/>
      <w:r>
        <w:rPr>
          <w:rFonts w:hint="eastAsia" w:cs="宋体" w:asciiTheme="minorEastAsia" w:hAnsiTheme="minorEastAsia"/>
          <w:color w:val="auto"/>
          <w:highlight w:val="none"/>
        </w:rPr>
        <w:t xml:space="preserve">甲方：</w:t>
      </w:r>
      <w:bookmarkEnd w:id="199"/>
      <w:r>
        <w:rPr>
          <w:rFonts w:hint="eastAsia" w:asciiTheme="minorEastAsia" w:hAnsiTheme="minorEastAsia"/>
          <w:color w:val="auto"/>
          <w:highlight w:val="none"/>
          <w:u w:val="single"/>
        </w:rPr>
        <w:t xml:space="preserve">               </w:t>
      </w:r>
      <w:r/>
    </w:p>
    <w:p>
      <w:pPr>
        <w:ind w:firstLine="480"/>
        <w:spacing w:line="324" w:lineRule="auto"/>
        <w:shd w:val="clear" w:color="auto" w:fill="ffffff"/>
        <w:widowControl/>
        <w:rPr>
          <w:rFonts w:asciiTheme="minorEastAsia" w:hAnsiTheme="minorEastAsia"/>
          <w:color w:val="auto"/>
          <w:highlight w:val="none"/>
        </w:rPr>
        <w:outlineLvl w:val="1"/>
      </w:pPr>
      <w:r/>
      <w:bookmarkStart w:id="200" w:name="_Toc153983313"/>
      <w:r>
        <w:rPr>
          <w:rFonts w:hint="eastAsia" w:cs="宋体" w:asciiTheme="minorEastAsia" w:hAnsiTheme="minorEastAsia"/>
          <w:color w:val="auto"/>
          <w:highlight w:val="none"/>
        </w:rPr>
        <w:t xml:space="preserve">乙方:</w:t>
      </w:r>
      <w:bookmarkEnd w:id="200"/>
      <w:r>
        <w:rPr>
          <w:rFonts w:hint="eastAsia" w:asciiTheme="minorEastAsia" w:hAnsiTheme="minorEastAsia"/>
          <w:color w:val="auto"/>
          <w:highlight w:val="none"/>
        </w:rPr>
        <w:t xml:space="preserve"> </w:t>
      </w:r>
      <w:r>
        <w:rPr>
          <w:rFonts w:hint="eastAsia" w:asciiTheme="minorEastAsia" w:hAnsiTheme="minorEastAsia"/>
          <w:color w:val="auto"/>
          <w:highlight w:val="none"/>
          <w:u w:val="single"/>
        </w:rPr>
        <w:t xml:space="preserve">               </w:t>
      </w:r>
      <w:r/>
    </w:p>
    <w:p>
      <w:pPr>
        <w:ind w:firstLine="420"/>
        <w:spacing w:line="360" w:lineRule="auto"/>
        <w:shd w:val="clear" w:color="auto" w:fill="ffff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一、项目名称：</w:t>
      </w:r>
      <w:r/>
    </w:p>
    <w:p>
      <w:pPr>
        <w:ind w:firstLine="422"/>
        <w:spacing w:line="360" w:lineRule="auto"/>
        <w:shd w:val="clear" w:color="auto" w:fill="ffffff"/>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二、项目概况：</w:t>
      </w:r>
      <w:r>
        <w:rPr>
          <w:rFonts w:hint="eastAsia" w:ascii="宋体" w:hAnsi="宋体" w:eastAsia="宋体" w:cs="宋体"/>
          <w:color w:val="auto"/>
          <w:szCs w:val="21"/>
          <w:highlight w:val="none"/>
        </w:rPr>
        <w:t xml:space="preserve">见甲乙双方承发包合同</w:t>
      </w:r>
      <w:r/>
    </w:p>
    <w:p>
      <w:pPr>
        <w:ind w:firstLine="422"/>
        <w:spacing w:line="360" w:lineRule="auto"/>
        <w:shd w:val="clear" w:color="auto" w:fill="ffffff"/>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三、安全生产目标：</w:t>
      </w:r>
      <w:r>
        <w:rPr>
          <w:rFonts w:hint="eastAsia" w:ascii="宋体" w:hAnsi="宋体" w:eastAsia="宋体" w:cs="宋体"/>
          <w:bCs/>
          <w:color w:val="auto"/>
          <w:szCs w:val="21"/>
          <w:highlight w:val="none"/>
        </w:rPr>
        <w:t xml:space="preserve">安全生产无事故</w:t>
      </w:r>
      <w:r/>
    </w:p>
    <w:p>
      <w:pPr>
        <w:ind w:firstLine="422"/>
        <w:spacing w:line="360" w:lineRule="auto"/>
        <w:shd w:val="clear" w:color="auto" w:fill="ffffff"/>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 项目安全管理人员代表</w:t>
      </w:r>
      <w:r/>
    </w:p>
    <w:p>
      <w:pPr>
        <w:ind w:firstLine="420"/>
        <w:spacing w:line="360" w:lineRule="auto"/>
        <w:shd w:val="clear" w:color="auto" w:fill="ffffff"/>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1．甲方人员（现场管理工程师）：</w:t>
      </w:r>
      <w:r>
        <w:rPr>
          <w:rFonts w:ascii="宋体" w:hAnsi="宋体" w:eastAsia="宋体" w:cs="宋体"/>
          <w:color w:val="auto"/>
          <w:szCs w:val="21"/>
          <w:highlight w:val="none"/>
          <w:u w:val="single"/>
        </w:rPr>
        <w:t xml:space="preserve">            </w:t>
      </w:r>
      <w:r/>
    </w:p>
    <w:p>
      <w:pPr>
        <w:ind w:firstLine="420"/>
        <w:spacing w:line="360" w:lineRule="auto"/>
        <w:shd w:val="clear" w:color="auto" w:fill="ffffff"/>
        <w:widowControl/>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联系方式：</w:t>
      </w:r>
      <w:r>
        <w:rPr>
          <w:rFonts w:ascii="宋体" w:hAnsi="宋体" w:eastAsia="宋体" w:cs="宋体"/>
          <w:color w:val="auto"/>
          <w:szCs w:val="21"/>
          <w:highlight w:val="none"/>
          <w:u w:val="single"/>
        </w:rPr>
        <w:t xml:space="preserve">            </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2．乙方人员（项目经理）：</w:t>
      </w:r>
      <w:r>
        <w:rPr>
          <w:rFonts w:ascii="宋体" w:hAnsi="宋体" w:eastAsia="宋体" w:cs="宋体"/>
          <w:color w:val="auto"/>
          <w:szCs w:val="21"/>
          <w:highlight w:val="none"/>
        </w:rPr>
        <w:t xml:space="preserve"> </w:t>
      </w:r>
      <w:r>
        <w:rPr>
          <w:rFonts w:ascii="宋体" w:hAnsi="宋体" w:eastAsia="宋体" w:cs="宋体"/>
          <w:color w:val="auto"/>
          <w:szCs w:val="21"/>
          <w:highlight w:val="none"/>
          <w:u w:val="single"/>
        </w:rPr>
        <w:t xml:space="preserve">            </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rPr>
          <w:rFonts w:ascii="宋体" w:hAnsi="宋体" w:eastAsia="宋体" w:cs="宋体"/>
          <w:color w:val="auto"/>
          <w:szCs w:val="21"/>
          <w:highlight w:val="none"/>
          <w:u w:val="single"/>
        </w:rPr>
        <w:t xml:space="preserve">            </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五、甲方安全责任</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 xml:space="preserve">2．甲方有权对乙方在项目中履行安全生产主体责任情况检查督促，对乙方在项目中不履行安全生产主体责任的有关事实、有关人员违章作业等行为进行制止、纠正并发出安全整改通知书、扣款通知书，直至清退出场，解除合同。</w:t>
      </w:r>
      <w:r/>
    </w:p>
    <w:p>
      <w:pPr>
        <w:ind w:firstLine="436"/>
        <w:spacing w:line="360" w:lineRule="auto"/>
        <w:shd w:val="clear" w:color="auto" w:fill="ffffff"/>
        <w:widowControl/>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 xml:space="preserve">3.甲方有权对乙方安全管理进行督促检查，对于查出的隐患，甲方应要求乙方限期整改。</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六</w:t>
      </w:r>
      <w:r>
        <w:rPr>
          <w:rFonts w:hint="eastAsia" w:ascii="宋体" w:hAnsi="宋体" w:eastAsia="宋体" w:cs="宋体"/>
          <w:b/>
          <w:bCs/>
          <w:color w:val="auto"/>
          <w:szCs w:val="21"/>
          <w:highlight w:val="none"/>
        </w:rPr>
        <w:t xml:space="preserve">、乙方安全责任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乙方应切实履行以下安全保障义务责任：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3.乙方必须建立健全相应的安全生产责任制度和安全管理制度，建立安全生产管理小组，项目经理为安全生产责任人。安全生产管理小组应根据项目大小确保每日有1-3名安全管理人员巡视项目现场。</w:t>
      </w:r>
      <w:r/>
    </w:p>
    <w:p>
      <w:pPr>
        <w:ind w:firstLine="420"/>
        <w:spacing w:line="360" w:lineRule="auto"/>
        <w:shd w:val="clear" w:color="auto" w:fill="ffff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项目实施前，乙方须组织全体人员进行安全教育，未经安全生产教育培训和未获资质人员，不得上岗作业。特种作业人员必须持有《中华人民共和国特种作业操作证》，且不超过国家法定退休年龄。向甲方提供特种作业人员名单、操作证复印件和培训记录。</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11.乙方应严格遵循、执行</w:t>
      </w:r>
      <w:r>
        <w:rPr>
          <w:rFonts w:hint="eastAsia" w:ascii="宋体" w:hAnsi="宋体" w:eastAsia="宋体" w:cs="宋体"/>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七、项目有关责任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2．为确保社会稳定，乙方负有经济赔偿兜底责任。</w:t>
      </w:r>
      <w:r/>
    </w:p>
    <w:p>
      <w:pPr>
        <w:ind w:firstLine="422"/>
        <w:spacing w:line="360" w:lineRule="auto"/>
        <w:shd w:val="clear" w:color="auto" w:fill="ffffff"/>
        <w:widowControl/>
        <w:rPr>
          <w:rFonts w:ascii="宋体" w:hAnsi="宋体" w:eastAsia="宋体" w:cs="宋体"/>
          <w:b/>
          <w:color w:val="auto"/>
          <w:spacing w:val="6"/>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color w:val="auto"/>
          <w:spacing w:val="6"/>
          <w:szCs w:val="21"/>
          <w:highlight w:val="none"/>
        </w:rPr>
        <w:t xml:space="preserve">、甲乙双方必须严格执行本协议，本协议效力独立于主合同。</w:t>
      </w:r>
      <w:r>
        <w:rPr>
          <w:rFonts w:hint="eastAsia" w:ascii="宋体" w:hAnsi="宋体" w:eastAsia="宋体" w:cs="宋体"/>
          <w:b/>
          <w:color w:val="auto"/>
          <w:szCs w:val="21"/>
          <w:highlight w:val="none"/>
        </w:rPr>
        <w:t xml:space="preserve">本协议在履行过程中发生的争议，由双方当事人协商解决或向苏州工业园区市政服务集团有限公司申请组织调解。调解不成的，甲乙双方应向甲方所在地法院提起诉讼。</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九、</w:t>
      </w:r>
      <w:r>
        <w:rPr>
          <w:rFonts w:hint="eastAsia" w:ascii="宋体" w:hAnsi="宋体" w:eastAsia="宋体" w:cs="宋体"/>
          <w:bCs/>
          <w:color w:val="auto"/>
          <w:szCs w:val="21"/>
          <w:highlight w:val="none"/>
        </w:rPr>
        <w:t xml:space="preserve">本协议包括附件《承包单位安全生产主体责任清单（通用）》</w:t>
      </w:r>
      <w:r>
        <w:rPr>
          <w:rFonts w:hint="eastAsia" w:ascii="宋体" w:hAnsi="宋体" w:eastAsia="宋体" w:cs="宋体"/>
          <w:color w:val="auto"/>
          <w:szCs w:val="21"/>
          <w:highlight w:val="none"/>
        </w:rPr>
        <w:t xml:space="preserve">本协议（含附件1）经双方法定代表人签字并加盖公章后生效。</w:t>
      </w:r>
      <w:r/>
    </w:p>
    <w:tbl>
      <w:tblPr>
        <w:tblStyle w:val="97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20"/>
              <w:spacing w:line="360" w:lineRule="auto"/>
              <w:shd w:val="clear" w:color="auto" w:fill="ffffff"/>
              <w:widowControl/>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spacing w:line="360" w:lineRule="auto"/>
              <w:shd w:val="clear" w:color="auto" w:fill="ffffff"/>
              <w:widowControl/>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甲方：（签章）</w:t>
            </w:r>
            <w:r/>
          </w:p>
          <w:p>
            <w:pPr>
              <w:ind w:firstLine="420"/>
              <w:spacing w:line="360" w:lineRule="auto"/>
              <w:shd w:val="clear" w:color="auto" w:fill="ffffff"/>
              <w:widowControl/>
              <w:rPr>
                <w:color w:val="auto"/>
                <w:szCs w:val="21"/>
                <w:highlight w:val="none"/>
              </w:rPr>
            </w:pPr>
            <w:r>
              <w:rPr>
                <w:rFonts w:hint="eastAsia" w:ascii="宋体" w:hAnsi="宋体" w:eastAsia="宋体" w:cs="宋体"/>
                <w:color w:val="auto"/>
                <w:szCs w:val="21"/>
                <w:highlight w:val="none"/>
              </w:rPr>
              <w:t xml:space="preserve">法定代表人：</w:t>
            </w:r>
            <w:r/>
          </w:p>
        </w:tc>
        <w:tc>
          <w:tcPr>
            <w:tcW w:w="4644" w:type="dxa"/>
            <w:textDirection w:val="lrTb"/>
            <w:noWrap w:val="false"/>
          </w:tcPr>
          <w:p>
            <w:pPr>
              <w:ind w:firstLine="420"/>
              <w:spacing w:line="360" w:lineRule="auto"/>
              <w:shd w:val="clear" w:color="auto" w:fill="ffffff"/>
              <w:widowControl/>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乙方：（签章）</w:t>
            </w:r>
            <w:r/>
          </w:p>
          <w:p>
            <w:pPr>
              <w:pStyle w:val="973"/>
              <w:ind w:firstLine="420"/>
              <w:jc w:val="both"/>
              <w:spacing w:before="0" w:beforeAutospacing="0" w:after="0" w:afterAutospacing="0" w:line="324" w:lineRule="auto"/>
              <w:shd w:val="clear" w:color="auto" w:fill="ffffff"/>
              <w:rPr>
                <w:rFonts w:ascii="仿宋" w:hAnsi="仿宋" w:eastAsia="仿宋"/>
                <w:color w:val="auto"/>
                <w:sz w:val="21"/>
                <w:szCs w:val="21"/>
                <w:highlight w:val="none"/>
              </w:rPr>
            </w:pPr>
            <w:r>
              <w:rPr>
                <w:rFonts w:hint="eastAsia" w:eastAsia="宋体"/>
                <w:color w:val="auto"/>
                <w:sz w:val="21"/>
                <w:szCs w:val="21"/>
                <w:highlight w:val="none"/>
              </w:rPr>
              <w:t xml:space="preserve">法定代表人：</w:t>
            </w:r>
            <w:r/>
          </w:p>
        </w:tc>
      </w:tr>
    </w:tbl>
    <w:p>
      <w:pPr>
        <w:ind w:firstLine="420"/>
        <w:rPr>
          <w:rFonts w:eastAsia="宋体"/>
          <w:color w:val="auto"/>
          <w:szCs w:val="21"/>
          <w:highlight w:val="none"/>
          <w:lang w:val="zh-CN"/>
        </w:rPr>
      </w:pPr>
      <w:r>
        <w:rPr>
          <w:rFonts w:eastAsia="宋体"/>
          <w:color w:val="auto"/>
          <w:szCs w:val="21"/>
          <w:highlight w:val="none"/>
          <w:lang w:val="zh-CN"/>
        </w:rPr>
      </w:r>
      <w:r/>
    </w:p>
    <w:p>
      <w:pPr>
        <w:pStyle w:val="973"/>
        <w:ind w:firstLine="480"/>
        <w:jc w:val="both"/>
        <w:spacing w:before="0" w:beforeAutospacing="0" w:after="0" w:afterAutospacing="0" w:line="324" w:lineRule="auto"/>
        <w:shd w:val="clear" w:color="auto" w:fill="ffffff"/>
        <w:rPr>
          <w:rFonts w:ascii="仿宋" w:hAnsi="仿宋" w:eastAsia="仿宋"/>
          <w:color w:val="auto"/>
          <w:szCs w:val="24"/>
          <w:highlight w:val="none"/>
        </w:rPr>
        <w:sectPr>
          <w:footnotePr/>
          <w:endnotePr/>
          <w:type w:val="nextPage"/>
          <w:pgSz w:w="11907" w:h="16840" w:orient="portrait"/>
          <w:pgMar w:top="1418" w:right="1418" w:bottom="1418" w:left="1418" w:header="851" w:footer="992" w:gutter="0"/>
          <w:cols w:num="1" w:sep="0" w:space="720" w:equalWidth="1"/>
          <w:docGrid w:linePitch="360"/>
        </w:sectPr>
      </w:pPr>
      <w:r>
        <w:rPr>
          <w:rFonts w:ascii="仿宋" w:hAnsi="仿宋" w:eastAsia="仿宋"/>
          <w:color w:val="auto"/>
          <w:szCs w:val="24"/>
          <w:highlight w:val="none"/>
        </w:rPr>
      </w:r>
      <w:r/>
    </w:p>
    <w:p>
      <w:pPr>
        <w:ind w:firstLine="643"/>
        <w:jc w:val="center"/>
        <w:spacing w:line="6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rPr>
          <w:rFonts w:ascii="仿宋" w:hAnsi="仿宋" w:eastAsia="仿宋"/>
          <w:color w:val="auto"/>
          <w:highlight w:val="none"/>
        </w:rPr>
      </w:pPr>
      <w:r>
        <w:rPr>
          <w:rFonts w:hint="eastAsia" w:ascii="仿宋" w:hAnsi="仿宋" w:eastAsia="仿宋"/>
          <w:color w:val="auto"/>
          <w:highlight w:val="none"/>
        </w:rPr>
        <w:t xml:space="preserve">注：本主体责任清单项下的“生产”为广义，包括且不限于责任主体的各类生产、经营、建设、施工、作业等活动。</w:t>
      </w:r>
      <w:r/>
    </w:p>
    <w:p>
      <w:pPr>
        <w:ind w:firstLine="560"/>
        <w:spacing w:line="460" w:lineRule="exact"/>
        <w:rPr>
          <w:rFonts w:ascii="仿宋" w:hAnsi="仿宋" w:eastAsia="仿宋" w:cs="宋体"/>
          <w:bCs/>
          <w:color w:val="auto"/>
          <w:sz w:val="28"/>
          <w:szCs w:val="28"/>
          <w:highlight w:val="none"/>
        </w:rPr>
      </w:pPr>
      <w:r>
        <w:rPr>
          <w:rFonts w:ascii="仿宋" w:hAnsi="仿宋" w:eastAsia="仿宋" w:cs="宋体"/>
          <w:bCs/>
          <w:color w:val="auto"/>
          <w:sz w:val="28"/>
          <w:szCs w:val="28"/>
          <w:highlight w:val="none"/>
        </w:rPr>
      </w:r>
      <w:r/>
    </w:p>
    <w:tbl>
      <w:tblPr>
        <w:tblStyle w:val="93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159"/>
        <w:gridCol w:w="692"/>
        <w:gridCol w:w="1478"/>
        <w:gridCol w:w="6525"/>
      </w:tblGrid>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588" w:type="pct"/>
            <w:vAlign w:val="center"/>
            <w:textDirection w:val="lrTb"/>
            <w:noWrap/>
          </w:tcPr>
          <w:p>
            <w:pPr>
              <w:jc w:val="both"/>
              <w:spacing w:line="460" w:lineRule="exact"/>
              <w:widowControl/>
              <w:rPr>
                <w:rFonts w:ascii="仿宋" w:hAnsi="仿宋" w:eastAsia="仿宋" w:cs="宋体"/>
                <w:b/>
                <w:color w:val="auto"/>
                <w:highlight w:val="none"/>
              </w:rPr>
            </w:pPr>
            <w:r>
              <w:rPr>
                <w:rFonts w:hint="eastAsia" w:ascii="仿宋" w:hAnsi="仿宋" w:eastAsia="仿宋" w:cs="宋体"/>
                <w:b/>
                <w:color w:val="auto"/>
                <w:highlight w:val="none"/>
              </w:rPr>
              <w:t xml:space="preserve">责任类别</w:t>
            </w:r>
            <w:r/>
          </w:p>
        </w:tc>
        <w:tc>
          <w:tcPr>
            <w:shd w:val="clear" w:color="auto" w:fill="auto"/>
            <w:tcBorders>
              <w:top w:val="single" w:color="auto" w:sz="4" w:space="0"/>
              <w:left w:val="none" w:color="000000" w:sz="4" w:space="0"/>
              <w:bottom w:val="single" w:color="auto" w:sz="4" w:space="0"/>
              <w:right w:val="single" w:color="auto" w:sz="4" w:space="0"/>
            </w:tcBorders>
            <w:tcW w:w="351" w:type="pct"/>
            <w:vAlign w:val="center"/>
            <w:textDirection w:val="lrTb"/>
            <w:noWrap/>
          </w:tcPr>
          <w:p>
            <w:pPr>
              <w:jc w:val="both"/>
              <w:spacing w:line="460" w:lineRule="exact"/>
              <w:widowControl/>
              <w:rPr>
                <w:rFonts w:ascii="仿宋" w:hAnsi="仿宋" w:eastAsia="仿宋" w:cs="宋体"/>
                <w:b/>
                <w:color w:val="auto"/>
                <w:highlight w:val="none"/>
              </w:rPr>
            </w:pPr>
            <w:r>
              <w:rPr>
                <w:rFonts w:hint="eastAsia" w:ascii="仿宋" w:hAnsi="仿宋" w:eastAsia="仿宋" w:cs="宋体"/>
                <w:b/>
                <w:color w:val="auto"/>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50" w:type="pct"/>
            <w:vAlign w:val="center"/>
            <w:textDirection w:val="lrTb"/>
            <w:noWrap/>
          </w:tcPr>
          <w:p>
            <w:pPr>
              <w:jc w:val="both"/>
              <w:spacing w:line="460" w:lineRule="exact"/>
              <w:widowControl/>
              <w:rPr>
                <w:rFonts w:ascii="仿宋" w:hAnsi="仿宋" w:eastAsia="仿宋" w:cs="宋体"/>
                <w:b/>
                <w:color w:val="auto"/>
                <w:highlight w:val="none"/>
              </w:rPr>
            </w:pPr>
            <w:r>
              <w:rPr>
                <w:rFonts w:hint="eastAsia" w:ascii="仿宋" w:hAnsi="仿宋" w:eastAsia="仿宋" w:cs="宋体"/>
                <w:b/>
                <w:color w:val="auto"/>
                <w:highlight w:val="none"/>
              </w:rPr>
              <w:t xml:space="preserve">责任要点</w:t>
            </w:r>
            <w:r/>
          </w:p>
        </w:tc>
        <w:tc>
          <w:tcPr>
            <w:shd w:val="clear" w:color="auto" w:fill="auto"/>
            <w:tcBorders>
              <w:top w:val="single" w:color="auto" w:sz="4" w:space="0"/>
              <w:left w:val="none" w:color="000000" w:sz="4" w:space="0"/>
              <w:bottom w:val="single" w:color="auto" w:sz="4" w:space="0"/>
              <w:right w:val="single" w:color="auto" w:sz="4" w:space="0"/>
            </w:tcBorders>
            <w:tcW w:w="3311" w:type="pct"/>
            <w:vAlign w:val="center"/>
            <w:textDirection w:val="lrTb"/>
            <w:noWrap/>
          </w:tcPr>
          <w:p>
            <w:pPr>
              <w:ind w:firstLine="482"/>
              <w:jc w:val="center"/>
              <w:spacing w:line="460" w:lineRule="exact"/>
              <w:widowControl/>
              <w:rPr>
                <w:rFonts w:ascii="仿宋" w:hAnsi="仿宋" w:eastAsia="仿宋" w:cs="宋体"/>
                <w:b/>
                <w:color w:val="auto"/>
                <w:highlight w:val="none"/>
              </w:rPr>
            </w:pPr>
            <w:r>
              <w:rPr>
                <w:rFonts w:hint="eastAsia" w:ascii="仿宋" w:hAnsi="仿宋" w:eastAsia="仿宋" w:cs="宋体"/>
                <w:b/>
                <w:color w:val="auto"/>
                <w:highlight w:val="none"/>
              </w:rPr>
              <w:t xml:space="preserve">责任内容</w:t>
            </w:r>
            <w:r/>
          </w:p>
        </w:tc>
      </w:tr>
      <w:tr>
        <w:trPr>
          <w:trHeight w:val="2010"/>
        </w:trPr>
        <w:tc>
          <w:tcPr>
            <w:shd w:val="clear" w:color="auto" w:fill="auto"/>
            <w:tcBorders>
              <w:top w:val="none" w:color="000000" w:sz="4" w:space="0"/>
              <w:left w:val="single" w:color="auto" w:sz="4" w:space="0"/>
              <w:bottom w:val="single" w:color="000000" w:sz="4" w:space="0"/>
              <w:right w:val="single" w:color="auto" w:sz="4" w:space="0"/>
            </w:tcBorders>
            <w:tcW w:w="588" w:type="pct"/>
            <w:vAlign w:val="center"/>
            <w:vMerge w:val="restart"/>
            <w:textDirection w:val="lrTb"/>
            <w:noWrap w:val="false"/>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严格落实第一责任人责任</w:t>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承包单位法定代表人和实际控制人切实履行第一责任</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588" w:type="pct"/>
            <w:vAlign w:val="center"/>
            <w:vMerge w:val="continue"/>
            <w:textDirection w:val="lrTb"/>
            <w:noWrap w:val="false"/>
          </w:tcPr>
          <w:p>
            <w:pPr>
              <w:ind w:firstLine="480"/>
              <w:jc w:val="left"/>
              <w:spacing w:line="46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坚持依法生产经营、建设施工等活动</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3097"/>
        </w:trPr>
        <w:tc>
          <w:tcPr>
            <w:shd w:val="clear" w:color="auto" w:fill="auto"/>
            <w:tcBorders>
              <w:top w:val="none" w:color="000000" w:sz="4" w:space="0"/>
              <w:left w:val="single" w:color="auto" w:sz="4" w:space="0"/>
              <w:bottom w:val="single" w:color="000000" w:sz="4" w:space="0"/>
              <w:right w:val="single" w:color="auto" w:sz="4" w:space="0"/>
            </w:tcBorders>
            <w:tcW w:w="588" w:type="pct"/>
            <w:vAlign w:val="center"/>
            <w:vMerge w:val="restart"/>
            <w:textDirection w:val="lrTb"/>
            <w:noWrap w:val="false"/>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严格落实第一责任人责任</w:t>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加强安全管理机构和人员配备</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w:t>
            </w:r>
            <w:r>
              <w:rPr>
                <w:rFonts w:ascii="仿宋" w:hAnsi="仿宋" w:eastAsia="仿宋" w:cs="宋体"/>
                <w:color w:val="auto"/>
                <w:highlight w:val="none"/>
              </w:rPr>
              <w:t xml:space="preserve">2000</w:t>
            </w:r>
            <w:r>
              <w:rPr>
                <w:rFonts w:hint="eastAsia" w:ascii="仿宋" w:hAnsi="仿宋" w:eastAsia="仿宋" w:cs="宋体"/>
                <w:color w:val="auto"/>
                <w:highlight w:val="none"/>
              </w:rPr>
              <w:t xml:space="preserve">万元及以上的承包单位，或者，从业人员在</w:t>
            </w:r>
            <w:r>
              <w:rPr>
                <w:rFonts w:ascii="仿宋" w:hAnsi="仿宋" w:eastAsia="仿宋" w:cs="宋体"/>
                <w:color w:val="auto"/>
                <w:highlight w:val="none"/>
              </w:rPr>
              <w:t xml:space="preserve">100</w:t>
            </w:r>
            <w:r>
              <w:rPr>
                <w:rFonts w:hint="eastAsia" w:ascii="仿宋" w:hAnsi="仿宋" w:eastAsia="仿宋" w:cs="宋体"/>
                <w:color w:val="auto"/>
                <w:highlight w:val="none"/>
              </w:rPr>
              <w:t xml:space="preserve">人及以上或年主营业务收入</w:t>
            </w:r>
            <w:r>
              <w:rPr>
                <w:rFonts w:ascii="仿宋" w:hAnsi="仿宋" w:eastAsia="仿宋" w:cs="宋体"/>
                <w:color w:val="auto"/>
                <w:highlight w:val="none"/>
              </w:rPr>
              <w:t xml:space="preserve">2000</w:t>
            </w:r>
            <w:r>
              <w:rPr>
                <w:rFonts w:hint="eastAsia" w:ascii="仿宋" w:hAnsi="仿宋" w:eastAsia="仿宋" w:cs="宋体"/>
                <w:color w:val="auto"/>
                <w:highlight w:val="none"/>
              </w:rPr>
              <w:t xml:space="preserve">万元及以上的矿山、建筑、交通运输、危险化学品、金属冶炼等行业，以及粉尘涉爆、涉氨制冷、船舶修造等领域的承包单位应配备安全总监、注册安全工程师。</w:t>
            </w:r>
            <w:r/>
          </w:p>
        </w:tc>
      </w:tr>
      <w:tr>
        <w:trPr>
          <w:trHeight w:val="1681"/>
        </w:trPr>
        <w:tc>
          <w:tcPr>
            <w:tcBorders>
              <w:top w:val="none" w:color="000000" w:sz="4" w:space="0"/>
              <w:left w:val="single" w:color="auto" w:sz="4" w:space="0"/>
              <w:bottom w:val="single" w:color="000000" w:sz="4" w:space="0"/>
              <w:right w:val="single" w:color="auto" w:sz="4" w:space="0"/>
            </w:tcBorders>
            <w:tcW w:w="588" w:type="pct"/>
            <w:vAlign w:val="center"/>
            <w:vMerge w:val="continue"/>
            <w:textDirection w:val="lrTb"/>
            <w:noWrap w:val="false"/>
          </w:tcPr>
          <w:p>
            <w:pPr>
              <w:ind w:firstLine="480"/>
              <w:jc w:val="left"/>
              <w:spacing w:line="44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加大安全生产经费投入</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3208"/>
        </w:trPr>
        <w:tc>
          <w:tcPr>
            <w:tcBorders>
              <w:top w:val="none" w:color="000000" w:sz="4" w:space="0"/>
              <w:left w:val="single" w:color="auto" w:sz="4" w:space="0"/>
              <w:bottom w:val="single" w:color="000000" w:sz="4" w:space="0"/>
              <w:right w:val="single" w:color="auto" w:sz="4" w:space="0"/>
            </w:tcBorders>
            <w:tcW w:w="588" w:type="pct"/>
            <w:vAlign w:val="center"/>
            <w:vMerge w:val="continue"/>
            <w:textDirection w:val="lrTb"/>
            <w:noWrap w:val="false"/>
          </w:tcPr>
          <w:p>
            <w:pPr>
              <w:ind w:firstLine="480"/>
              <w:jc w:val="left"/>
              <w:spacing w:line="44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开展安全生产标准化建设</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3199"/>
        </w:trPr>
        <w:tc>
          <w:tcPr>
            <w:shd w:val="clear" w:color="auto" w:fill="auto"/>
            <w:tcBorders>
              <w:top w:val="none" w:color="000000" w:sz="4" w:space="0"/>
              <w:left w:val="single" w:color="auto" w:sz="4" w:space="0"/>
              <w:bottom w:val="single" w:color="000000" w:sz="4" w:space="0"/>
              <w:right w:val="single" w:color="auto" w:sz="4" w:space="0"/>
            </w:tcBorders>
            <w:tcW w:w="588" w:type="pct"/>
            <w:vAlign w:val="center"/>
            <w:vMerge w:val="restart"/>
            <w:textDirection w:val="lrTb"/>
            <w:noWrap w:val="false"/>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严格落实全员岗位责任</w:t>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建立健全全员安全生产责任制</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588" w:type="pct"/>
            <w:vAlign w:val="center"/>
            <w:vMerge w:val="continue"/>
            <w:textDirection w:val="lrTb"/>
            <w:noWrap w:val="false"/>
          </w:tcPr>
          <w:p>
            <w:pPr>
              <w:ind w:firstLine="480"/>
              <w:jc w:val="left"/>
              <w:spacing w:line="46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开展安全生产教育培训</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承包单位应严格按照</w:t>
            </w:r>
            <w:r>
              <w:rPr>
                <w:rFonts w:hint="eastAsia" w:ascii="仿宋" w:hAnsi="仿宋" w:eastAsia="仿宋" w:cs="宋体"/>
                <w:color w:val="auto"/>
                <w:highlight w:val="none"/>
              </w:rPr>
              <w:t xml:space="preserve">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916"/>
        </w:trPr>
        <w:tc>
          <w:tcPr>
            <w:shd w:val="clear" w:color="auto" w:fill="auto"/>
            <w:tcW w:w="588" w:type="pct"/>
            <w:vAlign w:val="center"/>
            <w:vMerge w:val="restart"/>
            <w:textDirection w:val="lrTb"/>
            <w:noWrap w:val="false"/>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严格落实安全防控责任</w:t>
            </w:r>
            <w:r/>
          </w:p>
        </w:tc>
        <w:tc>
          <w:tcPr>
            <w:shd w:val="clear" w:color="auto" w:fill="auto"/>
            <w:tcW w:w="351" w:type="pct"/>
            <w:vAlign w:val="center"/>
            <w:textDirection w:val="lrTb"/>
            <w:noWrap/>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8</w:t>
            </w:r>
            <w:r/>
          </w:p>
        </w:tc>
        <w:tc>
          <w:tcPr>
            <w:shd w:val="clear" w:color="auto" w:fill="auto"/>
            <w:tcW w:w="750"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加强安全风险辨识管控</w:t>
            </w:r>
            <w:r/>
          </w:p>
        </w:tc>
        <w:tc>
          <w:tcPr>
            <w:shd w:val="clear" w:color="auto" w:fill="auto"/>
            <w:tcW w:w="3311"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4101"/>
        </w:trPr>
        <w:tc>
          <w:tcPr>
            <w:tcW w:w="588" w:type="pct"/>
            <w:vAlign w:val="center"/>
            <w:vMerge w:val="continue"/>
            <w:textDirection w:val="lrTb"/>
            <w:noWrap w:val="false"/>
          </w:tcPr>
          <w:p>
            <w:pPr>
              <w:ind w:firstLine="480"/>
              <w:jc w:val="left"/>
              <w:spacing w:line="46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W w:w="351" w:type="pct"/>
            <w:vAlign w:val="center"/>
            <w:textDirection w:val="lrTb"/>
            <w:noWrap/>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9</w:t>
            </w:r>
            <w:r/>
          </w:p>
        </w:tc>
        <w:tc>
          <w:tcPr>
            <w:shd w:val="clear" w:color="auto" w:fill="auto"/>
            <w:tcW w:w="750"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加强事故隐患排查治理</w:t>
            </w:r>
            <w:r/>
          </w:p>
        </w:tc>
        <w:tc>
          <w:tcPr>
            <w:shd w:val="clear" w:color="auto" w:fill="auto"/>
            <w:tcW w:w="3311"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1033"/>
        </w:trPr>
        <w:tc>
          <w:tcPr>
            <w:shd w:val="clear" w:color="auto" w:fill="auto"/>
            <w:tcBorders>
              <w:top w:val="none" w:color="000000" w:sz="4" w:space="0"/>
              <w:left w:val="single" w:color="auto" w:sz="4" w:space="0"/>
              <w:bottom w:val="single" w:color="000000" w:sz="4" w:space="0"/>
              <w:right w:val="single" w:color="auto" w:sz="4" w:space="0"/>
            </w:tcBorders>
            <w:tcW w:w="588" w:type="pct"/>
            <w:vAlign w:val="center"/>
            <w:vMerge w:val="restart"/>
            <w:textDirection w:val="lrTb"/>
            <w:noWrap w:val="false"/>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严格落实安全防控责任</w:t>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加强各类危险源、危化品使用安全管理</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承包单位应对重大危险源、危化品使用进行登记和建档，采用先进技术手段对重大危险源实施</w:t>
            </w:r>
            <w:r>
              <w:rPr>
                <w:rFonts w:hint="eastAsia" w:ascii="仿宋" w:hAnsi="仿宋" w:eastAsia="仿宋" w:cs="宋体"/>
                <w:color w:val="auto"/>
                <w:highlight w:val="none"/>
              </w:rPr>
              <w:t xml:space="preserve">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862"/>
        </w:trPr>
        <w:tc>
          <w:tcPr>
            <w:tcBorders>
              <w:top w:val="none" w:color="000000" w:sz="4" w:space="0"/>
              <w:left w:val="single" w:color="auto" w:sz="4" w:space="0"/>
              <w:bottom w:val="single" w:color="000000" w:sz="4" w:space="0"/>
              <w:right w:val="single" w:color="auto" w:sz="4" w:space="0"/>
            </w:tcBorders>
            <w:tcW w:w="588" w:type="pct"/>
            <w:vAlign w:val="center"/>
            <w:vMerge w:val="continue"/>
            <w:textDirection w:val="lrTb"/>
            <w:noWrap w:val="false"/>
          </w:tcPr>
          <w:p>
            <w:pPr>
              <w:ind w:firstLine="480"/>
              <w:jc w:val="left"/>
              <w:spacing w:line="46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both"/>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加强危险作业安全管理</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2207"/>
        </w:trPr>
        <w:tc>
          <w:tcPr>
            <w:shd w:val="clear" w:color="auto" w:fill="auto"/>
            <w:tcW w:w="588" w:type="pct"/>
            <w:vAlign w:val="center"/>
            <w:vMerge w:val="restart"/>
            <w:textDirection w:val="lrTb"/>
            <w:noWrap w:val="false"/>
          </w:tcPr>
          <w:p>
            <w:pPr>
              <w:ind w:firstLine="480"/>
              <w:jc w:val="cente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严格落实基础管理责任</w:t>
            </w:r>
            <w:r/>
          </w:p>
        </w:tc>
        <w:tc>
          <w:tcPr>
            <w:shd w:val="clear" w:color="auto" w:fill="auto"/>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12</w:t>
            </w:r>
            <w:r/>
          </w:p>
        </w:tc>
        <w:tc>
          <w:tcPr>
            <w:shd w:val="clear" w:color="auto" w:fill="auto"/>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认真执行安全生产“三同时”制度</w:t>
            </w:r>
            <w:r/>
          </w:p>
        </w:tc>
        <w:tc>
          <w:tcPr>
            <w:shd w:val="clear" w:color="auto" w:fill="auto"/>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W w:w="588" w:type="pct"/>
            <w:vAlign w:val="center"/>
            <w:vMerge w:val="continue"/>
            <w:textDirection w:val="lrTb"/>
            <w:noWrap w:val="false"/>
          </w:tcPr>
          <w:p>
            <w:pPr>
              <w:ind w:firstLine="480"/>
              <w:jc w:val="left"/>
              <w:spacing w:line="44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13</w:t>
            </w:r>
            <w:r/>
          </w:p>
        </w:tc>
        <w:tc>
          <w:tcPr>
            <w:shd w:val="clear" w:color="auto" w:fill="auto"/>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加强从业人员安全防护管理</w:t>
            </w:r>
            <w:r/>
          </w:p>
        </w:tc>
        <w:tc>
          <w:tcPr>
            <w:shd w:val="clear" w:color="auto" w:fill="auto"/>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3124"/>
        </w:trPr>
        <w:tc>
          <w:tcPr>
            <w:tcW w:w="588" w:type="pct"/>
            <w:vAlign w:val="center"/>
            <w:vMerge w:val="continue"/>
            <w:textDirection w:val="lrTb"/>
            <w:noWrap w:val="false"/>
          </w:tcPr>
          <w:p>
            <w:pPr>
              <w:ind w:firstLine="480"/>
              <w:jc w:val="left"/>
              <w:spacing w:line="44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14</w:t>
            </w:r>
            <w:r/>
          </w:p>
        </w:tc>
        <w:tc>
          <w:tcPr>
            <w:shd w:val="clear" w:color="auto" w:fill="auto"/>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加强外包等业务安全管理</w:t>
            </w:r>
            <w:r/>
          </w:p>
        </w:tc>
        <w:tc>
          <w:tcPr>
            <w:shd w:val="clear" w:color="auto" w:fill="auto"/>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w:t>
            </w:r>
            <w:r>
              <w:rPr>
                <w:rFonts w:ascii="仿宋" w:hAnsi="仿宋" w:eastAsia="仿宋" w:cs="宋体"/>
                <w:color w:val="auto"/>
                <w:highlight w:val="none"/>
              </w:rPr>
              <w:t xml:space="preserve">/</w:t>
            </w:r>
            <w:r>
              <w:rPr>
                <w:rFonts w:hint="eastAsia" w:ascii="仿宋" w:hAnsi="仿宋" w:eastAsia="仿宋" w:cs="宋体"/>
                <w:color w:val="auto"/>
                <w:highlight w:val="none"/>
              </w:rPr>
              <w:t xml:space="preserve">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608"/>
        </w:trPr>
        <w:tc>
          <w:tcPr>
            <w:shd w:val="clear" w:color="auto" w:fill="auto"/>
            <w:tcW w:w="588" w:type="pct"/>
            <w:vAlign w:val="center"/>
            <w:vMerge w:val="restart"/>
            <w:textDirection w:val="lrTb"/>
            <w:noWrap w:val="false"/>
          </w:tcPr>
          <w:p>
            <w:pPr>
              <w:ind w:firstLine="480"/>
              <w:jc w:val="center"/>
              <w:spacing w:line="440" w:lineRule="exact"/>
              <w:rPr>
                <w:rFonts w:ascii="仿宋" w:hAnsi="仿宋" w:eastAsia="仿宋" w:cs="宋体"/>
                <w:color w:val="auto"/>
                <w:highlight w:val="none"/>
              </w:rPr>
            </w:pPr>
            <w:r>
              <w:rPr>
                <w:rFonts w:hint="eastAsia" w:ascii="仿宋" w:hAnsi="仿宋" w:eastAsia="仿宋" w:cs="宋体"/>
                <w:color w:val="auto"/>
                <w:highlight w:val="none"/>
              </w:rPr>
              <w:t xml:space="preserve">严格落实基础管理责任</w:t>
            </w:r>
            <w:r/>
          </w:p>
        </w:tc>
        <w:tc>
          <w:tcPr>
            <w:shd w:val="clear" w:color="auto" w:fill="auto"/>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15</w:t>
            </w:r>
            <w:r/>
          </w:p>
        </w:tc>
        <w:tc>
          <w:tcPr>
            <w:shd w:val="clear" w:color="auto" w:fill="auto"/>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加强复工安全管理</w:t>
            </w:r>
            <w:r/>
          </w:p>
        </w:tc>
        <w:tc>
          <w:tcPr>
            <w:shd w:val="clear" w:color="auto" w:fill="auto"/>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shd w:val="clear" w:color="auto" w:fill="auto"/>
            <w:tcW w:w="588" w:type="pct"/>
            <w:vAlign w:val="center"/>
            <w:vMerge w:val="continue"/>
            <w:textDirection w:val="lrTb"/>
            <w:noWrap w:val="false"/>
          </w:tcPr>
          <w:p>
            <w:pPr>
              <w:ind w:firstLine="480"/>
              <w:jc w:val="center"/>
              <w:spacing w:line="44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16</w:t>
            </w:r>
            <w:r/>
          </w:p>
        </w:tc>
        <w:tc>
          <w:tcPr>
            <w:shd w:val="clear" w:color="auto" w:fill="auto"/>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强化应急救援能力建设</w:t>
            </w:r>
            <w:r/>
          </w:p>
        </w:tc>
        <w:tc>
          <w:tcPr>
            <w:shd w:val="clear" w:color="auto" w:fill="auto"/>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应急救援能力</w:t>
            </w:r>
            <w:r/>
          </w:p>
        </w:tc>
      </w:tr>
      <w:tr>
        <w:trPr>
          <w:trHeight w:val="2830"/>
        </w:trPr>
        <w:tc>
          <w:tcPr>
            <w:tcW w:w="588" w:type="pct"/>
            <w:vAlign w:val="center"/>
            <w:vMerge w:val="continue"/>
            <w:textDirection w:val="lrTb"/>
            <w:noWrap w:val="false"/>
          </w:tcPr>
          <w:p>
            <w:pPr>
              <w:ind w:firstLine="480"/>
              <w:jc w:val="left"/>
              <w:spacing w:line="44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17</w:t>
            </w:r>
            <w:r/>
          </w:p>
        </w:tc>
        <w:tc>
          <w:tcPr>
            <w:shd w:val="clear" w:color="auto" w:fill="auto"/>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严格事故报告和应急处置</w:t>
            </w:r>
            <w:r/>
          </w:p>
        </w:tc>
        <w:tc>
          <w:tcPr>
            <w:shd w:val="clear" w:color="auto" w:fill="auto"/>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3057"/>
        </w:trPr>
        <w:tc>
          <w:tcPr>
            <w:tcW w:w="588" w:type="pct"/>
            <w:vAlign w:val="center"/>
            <w:vMerge w:val="restart"/>
            <w:textDirection w:val="lrTb"/>
            <w:noWrap w:val="false"/>
          </w:tcPr>
          <w:p>
            <w:pPr>
              <w:jc w:val="left"/>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严格落实基础管理责任</w:t>
            </w:r>
            <w:r/>
          </w:p>
        </w:tc>
        <w:tc>
          <w:tcPr>
            <w:shd w:val="clear" w:color="auto" w:fill="auto"/>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18</w:t>
            </w:r>
            <w:r/>
          </w:p>
        </w:tc>
        <w:tc>
          <w:tcPr>
            <w:shd w:val="clear" w:color="auto" w:fill="auto"/>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强化举一反三整改落实</w:t>
            </w:r>
            <w:r/>
          </w:p>
        </w:tc>
        <w:tc>
          <w:tcPr>
            <w:shd w:val="clear" w:color="auto" w:fill="auto"/>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697"/>
        </w:trPr>
        <w:tc>
          <w:tcPr>
            <w:tcW w:w="588" w:type="pct"/>
            <w:vAlign w:val="center"/>
            <w:vMerge w:val="continue"/>
            <w:textDirection w:val="lrTb"/>
            <w:noWrap w:val="false"/>
          </w:tcPr>
          <w:p>
            <w:pPr>
              <w:ind w:firstLine="480"/>
              <w:jc w:val="left"/>
              <w:spacing w:line="440" w:lineRule="exact"/>
              <w:widowControl/>
              <w:rPr>
                <w:rFonts w:ascii="仿宋" w:hAnsi="仿宋" w:eastAsia="仿宋" w:cs="宋体"/>
                <w:color w:val="auto"/>
                <w:highlight w:val="none"/>
              </w:rPr>
            </w:pPr>
            <w:r>
              <w:rPr>
                <w:rFonts w:ascii="仿宋" w:hAnsi="仿宋" w:eastAsia="仿宋" w:cs="宋体"/>
                <w:color w:val="auto"/>
                <w:highlight w:val="none"/>
              </w:rPr>
            </w:r>
            <w:r/>
          </w:p>
        </w:tc>
        <w:tc>
          <w:tcPr>
            <w:shd w:val="clear" w:color="auto" w:fill="auto"/>
            <w:tcW w:w="351" w:type="pct"/>
            <w:vAlign w:val="center"/>
            <w:textDirection w:val="lrTb"/>
            <w:noWrap/>
          </w:tcPr>
          <w:p>
            <w:pPr>
              <w:jc w:val="both"/>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19</w:t>
            </w:r>
            <w:r/>
          </w:p>
        </w:tc>
        <w:tc>
          <w:tcPr>
            <w:shd w:val="clear" w:color="auto" w:fill="auto"/>
            <w:tcW w:w="750"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安全值班值守</w:t>
            </w:r>
            <w:r/>
          </w:p>
        </w:tc>
        <w:tc>
          <w:tcPr>
            <w:shd w:val="clear" w:color="auto" w:fill="auto"/>
            <w:tcW w:w="3311" w:type="pct"/>
            <w:vAlign w:val="center"/>
            <w:textDirection w:val="lrTb"/>
            <w:noWrap/>
          </w:tcPr>
          <w:p>
            <w:pPr>
              <w:spacing w:line="440" w:lineRule="exact"/>
              <w:widowControl/>
              <w:rPr>
                <w:rFonts w:ascii="仿宋" w:hAnsi="仿宋" w:eastAsia="仿宋" w:cs="宋体"/>
                <w:color w:val="auto"/>
                <w:highlight w:val="none"/>
              </w:rPr>
            </w:pPr>
            <w:r>
              <w:rPr>
                <w:rFonts w:hint="eastAsia" w:ascii="仿宋" w:hAnsi="仿宋" w:eastAsia="仿宋" w:cs="宋体"/>
                <w:color w:val="auto"/>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480"/>
        <w:jc w:val="left"/>
        <w:rPr>
          <w:rFonts w:ascii="仿宋" w:hAnsi="仿宋" w:eastAsia="仿宋" w:cs="仿宋"/>
          <w:color w:val="auto"/>
          <w:highlight w:val="none"/>
        </w:rPr>
      </w:pPr>
      <w:r>
        <w:rPr>
          <w:rFonts w:ascii="仿宋" w:hAnsi="仿宋" w:eastAsia="仿宋" w:cs="仿宋"/>
          <w:color w:val="auto"/>
          <w:highlight w:val="none"/>
        </w:rPr>
      </w:r>
      <w:r/>
    </w:p>
    <w:p>
      <w:pPr>
        <w:pStyle w:val="944"/>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1044"/>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ind w:firstLine="1044"/>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ind w:firstLine="1044"/>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ind w:firstLine="1044"/>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ind w:firstLine="1044"/>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第六章 评分</w:t>
      </w:r>
      <w:bookmarkEnd w:id="139"/>
      <w:r/>
      <w:bookmarkEnd w:id="140"/>
      <w:r>
        <w:rPr>
          <w:rFonts w:hint="eastAsia" w:ascii="宋体" w:hAnsi="宋体" w:eastAsia="宋体" w:cs="Times New Roman"/>
          <w:b/>
          <w:color w:val="auto"/>
          <w:sz w:val="52"/>
          <w:szCs w:val="20"/>
          <w:highlight w:val="none"/>
          <w:shd w:val="clear" w:color="auto" w:fill="ffffff"/>
        </w:rPr>
        <w:t xml:space="preserve">标准</w:t>
      </w:r>
      <w:bookmarkEnd w:id="198"/>
      <w:r/>
      <w:r/>
    </w:p>
    <w:p>
      <w:pPr>
        <w:ind w:firstLine="520"/>
        <w:spacing w:line="360" w:lineRule="auto"/>
        <w:rPr>
          <w:rFonts w:ascii="宋体" w:hAnsi="宋体" w:eastAsia="宋体" w:cs="宋体"/>
          <w:color w:val="auto"/>
          <w:sz w:val="24"/>
          <w:szCs w:val="24"/>
          <w:highlight w:val="none"/>
        </w:rPr>
        <w:outlineLvl w:val="1"/>
      </w:pPr>
      <w:r/>
      <w:bookmarkStart w:id="201" w:name="OLE_LINK2"/>
      <w:r>
        <w:rPr>
          <w:rFonts w:ascii="宋体" w:hAnsi="宋体" w:eastAsia="宋体" w:cs="Times New Roman"/>
          <w:color w:val="auto"/>
          <w:sz w:val="26"/>
          <w:szCs w:val="20"/>
          <w:highlight w:val="none"/>
          <w:shd w:val="clear" w:color="auto" w:fill="ffffff"/>
        </w:rPr>
        <w:br w:type="page" w:clear="all"/>
      </w:r>
      <w:bookmarkEnd w:id="201"/>
      <w:r>
        <w:rPr>
          <w:rFonts w:hint="eastAsia" w:ascii="宋体" w:hAnsi="宋体" w:eastAsia="宋体" w:cs="宋体"/>
          <w:b/>
          <w:bCs/>
          <w:color w:val="auto"/>
          <w:sz w:val="24"/>
          <w:szCs w:val="24"/>
          <w:highlight w:val="none"/>
        </w:rPr>
        <w:t xml:space="preserve">一、评标办法：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1、评价和比较采用综合评分法，即指投标文件满足招标文件全部实质性要求，且按照评审因素的量化指标评审得分最高的供应商</w:t>
      </w:r>
      <w:r>
        <w:rPr>
          <w:rFonts w:hint="eastAsia" w:ascii="宋体" w:hAnsi="宋体" w:eastAsia="宋体" w:cs="宋体"/>
          <w:color w:val="auto"/>
          <w:sz w:val="24"/>
          <w:szCs w:val="24"/>
          <w:highlight w:val="none"/>
        </w:rPr>
        <w:t xml:space="preserve">为排名第一的</w:t>
      </w:r>
      <w:r>
        <w:rPr>
          <w:rFonts w:hint="eastAsia" w:ascii="宋体" w:hAnsi="宋体" w:eastAsia="宋体" w:cs="宋体"/>
          <w:color w:val="auto"/>
          <w:sz w:val="24"/>
          <w:szCs w:val="24"/>
          <w:highlight w:val="none"/>
        </w:rPr>
        <w:t xml:space="preserve">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2、评标委员会各成员独立对每个进入打分程序的有效供应商的标书技术和资质部分以打分的形式进行评审和评价。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出每个供应商的得分，加上价格得分即为每个供应商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4、评标委员会根据采购人的授权，按照中标候选人的顺序在中标候选人中直接确定中标供应商。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（一）价格基准分：30分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第一步：投标报价低于或等于财政预算价格（且不高于最高限价），为有效投标报价，</w:t>
      </w:r>
      <w:r>
        <w:rPr>
          <w:rFonts w:hint="eastAsia" w:ascii="宋体" w:hAnsi="宋体" w:eastAsia="宋体" w:cs="宋体"/>
          <w:b/>
          <w:color w:val="auto"/>
          <w:sz w:val="24"/>
          <w:szCs w:val="24"/>
          <w:highlight w:val="none"/>
        </w:rPr>
        <w:t xml:space="preserve">否则投标报价文件均为非实质性响应文件，不参与评审。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第二步：以满足招标文件要求且投标价格最低的投标有效报价为评标基准价，其价格分为满分，</w:t>
      </w:r>
      <w:r>
        <w:rPr>
          <w:rFonts w:hint="eastAsia" w:ascii="宋体" w:hAnsi="宋体" w:eastAsia="宋体" w:cs="宋体"/>
          <w:b/>
          <w:bCs/>
          <w:color w:val="auto"/>
          <w:sz w:val="24"/>
          <w:szCs w:val="24"/>
          <w:highlight w:val="none"/>
        </w:rPr>
        <w:t xml:space="preserve">即30分</w:t>
      </w:r>
      <w:r>
        <w:rPr>
          <w:rFonts w:hint="eastAsia" w:ascii="宋体" w:hAnsi="宋体" w:eastAsia="宋体" w:cs="宋体"/>
          <w:color w:val="auto"/>
          <w:sz w:val="24"/>
          <w:szCs w:val="24"/>
          <w:highlight w:val="none"/>
        </w:rPr>
        <w:t xml:space="preserve">。其他报价得分统一按照下列公式计算（计算结果四舍五入，保留两位小数）：</w:t>
      </w:r>
      <w:r/>
    </w:p>
    <w:p>
      <w:pPr>
        <w:ind w:firstLine="480"/>
        <w:spacing w:line="360" w:lineRule="auto"/>
        <w:rPr>
          <w:rFonts w:eastAsia="宋体"/>
          <w:b/>
          <w:bCs/>
          <w:color w:val="auto"/>
          <w:highlight w:val="none"/>
        </w:rPr>
      </w:pPr>
      <w:r>
        <w:rPr>
          <w:rFonts w:hint="eastAsia" w:ascii="宋体" w:hAnsi="宋体" w:eastAsia="宋体" w:cs="宋体"/>
          <w:color w:val="auto"/>
          <w:sz w:val="24"/>
          <w:szCs w:val="24"/>
          <w:highlight w:val="none"/>
        </w:rPr>
        <w:t xml:space="preserve">投标报价得分=（评标基准价/有效投标报价）×</w:t>
      </w:r>
      <w:r>
        <w:rPr>
          <w:rFonts w:hint="eastAsia" w:ascii="宋体" w:hAnsi="宋体" w:eastAsia="宋体" w:cs="宋体"/>
          <w:b/>
          <w:bCs/>
          <w:color w:val="auto"/>
          <w:sz w:val="24"/>
          <w:szCs w:val="24"/>
          <w:highlight w:val="none"/>
        </w:rPr>
        <w:t xml:space="preserve">30%</w:t>
      </w:r>
      <w:r>
        <w:rPr>
          <w:rFonts w:hint="eastAsia" w:ascii="宋体" w:hAnsi="宋体" w:eastAsia="宋体" w:cs="宋体"/>
          <w:color w:val="auto"/>
          <w:sz w:val="24"/>
          <w:szCs w:val="24"/>
          <w:highlight w:val="none"/>
        </w:rPr>
        <w:t xml:space="preserve">×100</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（二）服务方案： </w:t>
      </w:r>
      <w:bookmarkStart w:id="202" w:name="OLE_LINK79"/>
      <w:r>
        <w:rPr>
          <w:rFonts w:hint="eastAsia" w:ascii="宋体" w:hAnsi="宋体" w:eastAsia="宋体" w:cs="宋体"/>
          <w:b/>
          <w:color w:val="auto"/>
          <w:sz w:val="24"/>
          <w:szCs w:val="24"/>
          <w:highlight w:val="none"/>
        </w:rPr>
        <w:t xml:space="preserve">24分</w:t>
      </w:r>
      <w:bookmarkEnd w:id="202"/>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1、整体服务方案</w:t>
      </w:r>
      <w:bookmarkStart w:id="203" w:name="OLE_LINK85"/>
      <w:r/>
      <w:bookmarkStart w:id="204" w:name="OLE_LINK84"/>
      <w:r>
        <w:rPr>
          <w:rFonts w:hint="eastAsia" w:ascii="宋体" w:hAnsi="宋体" w:eastAsia="宋体" w:cs="宋体"/>
          <w:b/>
          <w:color w:val="auto"/>
          <w:sz w:val="24"/>
          <w:szCs w:val="24"/>
          <w:highlight w:val="none"/>
        </w:rPr>
        <w:t xml:space="preserve">（6分）</w:t>
      </w:r>
      <w:bookmarkEnd w:id="203"/>
      <w:r/>
      <w:bookmarkEnd w:id="204"/>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管理区域内的整体服务方案（需包括完整的土壤改良、种植、养护工作服务方案）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方案内容完整具体，工作安排科学合理，可行性高的得6分；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方案内容较为完整具体，工作安排较为科学合理，可行性较高的得4分；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方案内容不够完整具体，工作安排不够科学合理，可行性较低的得2分；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无具体内容的不得分。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2、安全管理方案（6分）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投标人应根据安全生产法，结合企业自身特点，如何做好安全生产工作，坚持安全发展，坚持安全第一、预防为主、综合治理的方针，强化和落实生产经营单位的主体责任。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方案内容完整具体，工作安排科学合理，可行性高的得6分；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方案内容较为完整具体，工作安排较为科学合理，可行性较高的得4分；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方案内容不够完整具体，工作安排不够科学合理，可行性较低的得2分；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无具体内容的不得分。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3、服务期内所需的设备保养、维修、使用方案（6分）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方案内容完整具体，工作安排科学合理，可行性高的得6分；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方案内容较为完整具体，工作安排较为科学合理，可行性较高的得4分；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方案内容不够完整具体，工作安排不够科学合理，可行性较低的得2分；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无具体内容的不得分。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4、应急和突击保障方案（6分）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说明：方案中应至少包含突击保障等应对方案，以及所能提供的应急处置措施、设备、人力等。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方案内容完整具体，工作安排科学合理，可行性高的得6分；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方案内容较为完整具体，工作安排较为科学合理，可行性较高的得4分；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方案内容不够完整具体，工作安排不够科学合理，可行性较低的得2分；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无具体内容的不得分。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注：（1）完全或部分明显抄袭采购人出具的技术要求者，或只填写“按招标要求办理”等相似字样者本项为零分。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（2）供应商须严格根据上述 “服务方案编写要求”，结合本项目特点详细编写方案。方案具有可操作性、实用性。若有漏项则评分时该分项不得分。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（三）综合实力比较：46分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1、拟投入项目人员配备比较（21分）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（1）项目经理情况比较，本项最高得10分。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①拟任本项目经理自2021年10月1日（含）以后开始有过类似业绩的得5分。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注：a、类似业绩是指服务内容含农作物种植服务或绿化养护的合同，且合同期限为一年或一年以上，至开标日前已履行完成。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b、投标人需同时提供有效合同扫描件、履约验收证明扫描件及该项目合同期内的至少一张发票扫描件（提供发票的开票时间须在合同期内）。未提供以上有效资料或提供不完整的，该项不得分。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c、项目经理类似业绩与投标人类似项目业绩不重复评审得分，如出现重复，该业绩仅在“项目经理类似业绩”处评审计分。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d、服务期限为多年但合同一年一签的类似项目业绩仅按一项类似业绩计取。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②项目经理具有高级及以上绿化工程师职称的得5分。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（2）技术负责人比较，本项最高得6分。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技术负责人具有助理农艺师证书得2分；具有农艺师证书的得4分；具有高级农艺师证书的得6分。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（3）增加人员比较，本项最高得5分。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其他增加投入人员：在采购要求基础上增加绿化或农业专业</w:t>
      </w:r>
      <w:bookmarkStart w:id="205" w:name="OLE_LINK257"/>
      <w:r/>
      <w:bookmarkStart w:id="206" w:name="OLE_LINK258"/>
      <w:r>
        <w:rPr>
          <w:rFonts w:hint="eastAsia" w:ascii="宋体" w:hAnsi="宋体" w:eastAsia="宋体" w:cs="宋体"/>
          <w:color w:val="auto"/>
          <w:sz w:val="24"/>
          <w:szCs w:val="24"/>
          <w:highlight w:val="none"/>
        </w:rPr>
        <w:t xml:space="preserve">技术</w:t>
      </w:r>
      <w:bookmarkEnd w:id="205"/>
      <w:r/>
      <w:bookmarkEnd w:id="206"/>
      <w:r/>
      <w:bookmarkStart w:id="207" w:name="OLE_LINK259"/>
      <w:r/>
      <w:bookmarkStart w:id="208" w:name="OLE_LINK260"/>
      <w:r>
        <w:rPr>
          <w:rFonts w:hint="eastAsia" w:ascii="宋体" w:hAnsi="宋体" w:eastAsia="宋体" w:cs="宋体"/>
          <w:color w:val="auto"/>
          <w:sz w:val="24"/>
          <w:szCs w:val="24"/>
          <w:highlight w:val="none"/>
        </w:rPr>
        <w:t xml:space="preserve">人员</w:t>
      </w:r>
      <w:bookmarkEnd w:id="207"/>
      <w:r/>
      <w:bookmarkEnd w:id="208"/>
      <w:r>
        <w:rPr>
          <w:rFonts w:hint="eastAsia" w:ascii="宋体" w:hAnsi="宋体" w:eastAsia="宋体" w:cs="宋体"/>
          <w:color w:val="auto"/>
          <w:sz w:val="24"/>
          <w:szCs w:val="24"/>
          <w:highlight w:val="none"/>
        </w:rPr>
        <w:t xml:space="preserve">投入的，增加一位</w:t>
      </w:r>
      <w:bookmarkStart w:id="209" w:name="OLE_LINK255"/>
      <w:r/>
      <w:bookmarkStart w:id="210" w:name="OLE_LINK256"/>
      <w:r>
        <w:rPr>
          <w:rFonts w:hint="eastAsia" w:ascii="宋体" w:hAnsi="宋体" w:eastAsia="宋体" w:cs="宋体"/>
          <w:color w:val="auto"/>
          <w:sz w:val="24"/>
          <w:szCs w:val="24"/>
          <w:highlight w:val="none"/>
        </w:rPr>
        <w:t xml:space="preserve">农业</w:t>
      </w:r>
      <w:bookmarkEnd w:id="209"/>
      <w:r/>
      <w:bookmarkEnd w:id="210"/>
      <w:r>
        <w:rPr>
          <w:rFonts w:hint="eastAsia" w:ascii="宋体" w:hAnsi="宋体" w:eastAsia="宋体" w:cs="宋体"/>
          <w:color w:val="auto"/>
          <w:sz w:val="24"/>
          <w:szCs w:val="24"/>
          <w:highlight w:val="none"/>
        </w:rPr>
        <w:t xml:space="preserve">技术员或同等职称的得1分；增加一位</w:t>
      </w:r>
      <w:bookmarkStart w:id="211" w:name="OLE_LINK263"/>
      <w:r/>
      <w:bookmarkStart w:id="212" w:name="OLE_LINK264"/>
      <w:r>
        <w:rPr>
          <w:rFonts w:hint="eastAsia" w:ascii="宋体" w:hAnsi="宋体" w:eastAsia="宋体" w:cs="宋体"/>
          <w:color w:val="auto"/>
          <w:sz w:val="24"/>
          <w:szCs w:val="24"/>
          <w:highlight w:val="none"/>
        </w:rPr>
        <w:t xml:space="preserve">绿化专业</w:t>
      </w:r>
      <w:bookmarkEnd w:id="211"/>
      <w:r/>
      <w:bookmarkEnd w:id="212"/>
      <w:r>
        <w:rPr>
          <w:rFonts w:hint="eastAsia" w:ascii="宋体" w:hAnsi="宋体" w:eastAsia="宋体" w:cs="宋体"/>
          <w:color w:val="auto"/>
          <w:sz w:val="24"/>
          <w:szCs w:val="24"/>
          <w:highlight w:val="none"/>
        </w:rPr>
        <w:t xml:space="preserve">助理工程师或助理农艺师的得3分；增加一位中级绿化工程师及以上职称或农艺师及以上职称的得5分，最高得5分。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注：投标文件中提供身份证及相关证书扫描件。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2、投标人类似</w:t>
      </w:r>
      <w:bookmarkStart w:id="213" w:name="OLE_LINK89"/>
      <w:r/>
      <w:bookmarkStart w:id="214" w:name="OLE_LINK90"/>
      <w:r>
        <w:rPr>
          <w:rFonts w:hint="eastAsia" w:ascii="宋体" w:hAnsi="宋体" w:eastAsia="宋体" w:cs="宋体"/>
          <w:b/>
          <w:bCs/>
          <w:color w:val="auto"/>
          <w:sz w:val="24"/>
          <w:szCs w:val="24"/>
          <w:highlight w:val="none"/>
        </w:rPr>
        <w:t xml:space="preserve">服务经验</w:t>
      </w:r>
      <w:bookmarkEnd w:id="213"/>
      <w:r/>
      <w:bookmarkEnd w:id="214"/>
      <w:r>
        <w:rPr>
          <w:rFonts w:hint="eastAsia" w:ascii="宋体" w:hAnsi="宋体" w:eastAsia="宋体" w:cs="宋体"/>
          <w:b/>
          <w:bCs/>
          <w:color w:val="auto"/>
          <w:sz w:val="24"/>
          <w:szCs w:val="24"/>
          <w:highlight w:val="none"/>
        </w:rPr>
        <w:t xml:space="preserve">（20分）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（1）该项需提供企业自2021年10月1日（含）后开始履行且已履行结束的类似业绩合同（内容含农作物种植服务，服务期至少一年或一年以上）的，每有一份得5分，满分10分。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（2）该项需提供企业自2021年10月1日（含）后开始履行且已履行结束的类似业绩合同（</w:t>
      </w:r>
      <w:bookmarkStart w:id="215" w:name="OLE_LINK261"/>
      <w:r/>
      <w:bookmarkStart w:id="216" w:name="OLE_LINK262"/>
      <w:r>
        <w:rPr>
          <w:rFonts w:hint="eastAsia" w:ascii="宋体" w:hAnsi="宋体" w:eastAsia="宋体" w:cs="宋体"/>
          <w:color w:val="auto"/>
          <w:sz w:val="24"/>
          <w:szCs w:val="24"/>
          <w:highlight w:val="none"/>
        </w:rPr>
        <w:t xml:space="preserve">内容含绿化工程建设和养护</w:t>
      </w:r>
      <w:bookmarkEnd w:id="215"/>
      <w:r/>
      <w:bookmarkEnd w:id="216"/>
      <w:r>
        <w:rPr>
          <w:rFonts w:hint="eastAsia" w:ascii="宋体" w:hAnsi="宋体" w:eastAsia="宋体" w:cs="宋体"/>
          <w:color w:val="auto"/>
          <w:sz w:val="24"/>
          <w:szCs w:val="24"/>
          <w:highlight w:val="none"/>
        </w:rPr>
        <w:t xml:space="preserve">，服务期至少一年或一年以上）的，每有一份得5分，满分得10分。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注：a、类似业绩合同期限为一年或一年以上，至开标日前已履行完成。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b、投标人需同时提供有效合同复印件、履约验收证明复印件、及该项目合同期内的至少一张发票扫描件（提供发票的开票时间须在合同期内）。未提供以上有效资料或提供不完整的，该项不得分。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c、项目经理类似业绩与投标人类似项目业绩不重复评审得分，如出现重复，该业绩仅在“项目经理类似业绩”处评审计分。</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d、服务期限为多年但合同一年一签的类似项目业绩仅按一项类似业绩计取。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3、投标人自2021年10月1日至今获得县（区）级及以上政府或行政主管部门颁发的相关荣誉表彰的，有一个得2分，最高得4分。以荣誉证书发证或发文时间为准，发证时间与发文时间不一致的，以发文时间为准。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注：投标文件中提供证明文件的扫描件，未提供或提供不完整的不得分。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4、投标人2021年（含）以后被县（区）级及以上政府部门评定为年度劳动保障信用（诚信）等级A级的单位或获得县（区）级及以上政府部门颁发的类似年度劳动保障信用（诚信）表彰的，得1分。</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注：投标文件中提供证明文件的扫描件，未提供或提供不完整的不得分。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1021"/>
        <w:numPr>
          <w:ilvl w:val="0"/>
          <w:numId w:val="6"/>
        </w:numPr>
        <w:ind w:firstLine="482"/>
        <w:jc w:val="left"/>
        <w:rPr>
          <w:rFonts w:ascii="宋体" w:hAnsi="宋体" w:eastAsia="宋体" w:cs="宋体"/>
          <w:b/>
          <w:bCs/>
          <w:color w:val="auto"/>
          <w:highlight w:val="none"/>
        </w:rPr>
      </w:pPr>
      <w:r>
        <w:rPr>
          <w:rFonts w:hint="eastAsia" w:ascii="宋体" w:hAnsi="宋体" w:eastAsia="宋体" w:cs="宋体"/>
          <w:b/>
          <w:bCs/>
          <w:color w:val="auto"/>
          <w:highlight w:val="none"/>
        </w:rPr>
        <w:t xml:space="preserve">针对评分标准中评分的每一条，供应商在投标文件中均应提供相关资料的清晰扫描件并作出相应说明供评委评判，未提供或提供不完整的视为不具备该项得分的条件。</w:t>
      </w:r>
      <w:bookmarkStart w:id="217" w:name="_Toc105940243"/>
      <w:r/>
      <w:bookmarkStart w:id="218" w:name="_Toc48723925"/>
      <w:r/>
      <w:r/>
    </w:p>
    <w:p>
      <w:pPr>
        <w:pStyle w:val="1021"/>
        <w:numPr>
          <w:ilvl w:val="0"/>
          <w:numId w:val="6"/>
        </w:numPr>
        <w:ind w:firstLine="482"/>
        <w:jc w:val="left"/>
        <w:rPr>
          <w:rFonts w:ascii="宋体" w:hAnsi="宋体" w:eastAsia="宋体" w:cs="宋体"/>
          <w:b/>
          <w:bCs/>
          <w:color w:val="auto"/>
          <w:highlight w:val="none"/>
        </w:rPr>
      </w:pPr>
      <w:r>
        <w:rPr>
          <w:rFonts w:hint="eastAsia" w:ascii="宋体" w:hAnsi="宋体" w:eastAsia="宋体" w:cs="宋体"/>
          <w:b/>
          <w:bCs/>
          <w:color w:val="auto"/>
          <w:highlight w:val="none"/>
        </w:rPr>
        <w:t xml:space="preserve">对于超出最低采购设备要求配置的车辆设备和人员，均须按照行业和招标要求纳入统一管理（含信息化、防疫、劳保、社保等）。</w:t>
      </w:r>
      <w:r/>
    </w:p>
    <w:p>
      <w:pPr>
        <w:ind w:firstLine="482"/>
        <w:spacing w:line="360" w:lineRule="auto"/>
        <w:rPr>
          <w:rFonts w:cs="仿宋" w:asciiTheme="minorEastAsia" w:hAnsiTheme="minorEastAsia"/>
          <w:color w:val="auto"/>
          <w:szCs w:val="21"/>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（一）中、小企业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1、本项目属于专门面向中小企业的项目。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，承接服务的供应商应为中小微企业、监狱企业、残疾人福利性单位。</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（三）监狱企业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（四）绿色采购（本项目不涉及强制或优先采购）</w:t>
      </w:r>
      <w:r/>
    </w:p>
    <w:p>
      <w:pPr>
        <w:ind w:firstLine="480"/>
        <w:rPr>
          <w:color w:val="auto"/>
          <w:highlight w:val="none"/>
        </w:rPr>
      </w:pPr>
      <w:r>
        <w:rPr>
          <w:rFonts w:hint="eastAsia"/>
          <w:color w:val="auto"/>
          <w:highlight w:val="none"/>
        </w:rPr>
        <w:br w:type="page" w:clear="all"/>
      </w:r>
      <w:r/>
    </w:p>
    <w:p>
      <w:pPr>
        <w:pStyle w:val="944"/>
        <w:ind w:firstLine="480"/>
        <w:rPr>
          <w:color w:val="auto"/>
          <w:highlight w:val="none"/>
        </w:rPr>
      </w:pPr>
      <w:r>
        <w:rPr>
          <w:color w:val="auto"/>
          <w:highlight w:val="none"/>
        </w:rPr>
      </w:r>
      <w:r/>
    </w:p>
    <w:p>
      <w:pPr>
        <w:pStyle w:val="944"/>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4"/>
        <w:jc w:val="left"/>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4"/>
        <w:jc w:val="left"/>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4"/>
        <w:jc w:val="left"/>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0"/>
        <w:jc w:val="left"/>
        <w:rPr>
          <w:color w:val="auto"/>
          <w:highlight w:val="none"/>
        </w:rPr>
      </w:pPr>
      <w:r>
        <w:rPr>
          <w:color w:val="auto"/>
          <w:highlight w:val="none"/>
        </w:rPr>
      </w:r>
      <w:r/>
    </w:p>
    <w:p>
      <w:pPr>
        <w:ind w:firstLine="1044"/>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第七章 附件</w:t>
      </w:r>
      <w:bookmarkEnd w:id="217"/>
      <w:r/>
      <w:bookmarkEnd w:id="218"/>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firstLine="482"/>
        <w:jc w:val="both"/>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附件一《技术要求》</w:t>
      </w:r>
      <w:r/>
    </w:p>
    <w:p>
      <w:pPr>
        <w:ind w:right="480" w:firstLine="482"/>
        <w:jc w:val="both"/>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附件二《养护清单》</w:t>
      </w:r>
      <w:r/>
    </w:p>
    <w:p>
      <w:pPr>
        <w:ind w:right="480" w:firstLine="482"/>
        <w:jc w:val="both"/>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附件三《人员设备配备要求一览表》</w:t>
      </w:r>
      <w:r/>
    </w:p>
    <w:p>
      <w:pPr>
        <w:ind w:right="480" w:firstLine="482"/>
        <w:jc w:val="both"/>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附件四《保险要求》</w:t>
      </w:r>
      <w:r/>
    </w:p>
    <w:p>
      <w:pPr>
        <w:ind w:right="480" w:firstLine="480"/>
        <w:jc w:val="both"/>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附件五《农民工工资专户要求》</w:t>
      </w:r>
      <w:r/>
    </w:p>
    <w:p>
      <w:pPr>
        <w:ind w:right="480" w:firstLine="480"/>
        <w:jc w:val="both"/>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附件六《考核表》</w:t>
      </w:r>
      <w:r/>
    </w:p>
    <w:p>
      <w:pPr>
        <w:ind w:right="480" w:firstLine="482"/>
        <w:jc w:val="both"/>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附件七《安全文明施工要求》</w:t>
      </w:r>
      <w:r/>
    </w:p>
    <w:p>
      <w:pPr>
        <w:ind w:right="480" w:firstLine="482"/>
        <w:jc w:val="both"/>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附件八《绿化养护肥料使用要求》</w:t>
      </w:r>
      <w:r/>
    </w:p>
    <w:p>
      <w:pPr>
        <w:ind w:right="480" w:firstLine="482"/>
        <w:jc w:val="both"/>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附件九《绿化养护农药使用要求》</w:t>
      </w:r>
      <w:r/>
    </w:p>
    <w:p>
      <w:pPr>
        <w:ind w:right="480" w:firstLine="482"/>
        <w:jc w:val="both"/>
        <w:spacing w:line="360" w:lineRule="auto"/>
        <w:rPr>
          <w:rFonts w:ascii="宋体" w:hAnsi="宋体" w:eastAsia="宋体" w:cs="Times New Roman"/>
          <w:b/>
          <w:bCs/>
          <w:color w:val="auto"/>
          <w:sz w:val="24"/>
          <w:szCs w:val="20"/>
          <w:highlight w:val="none"/>
          <w:shd w:val="clear" w:color="auto" w:fill="ffffff"/>
        </w:rPr>
      </w:pPr>
      <w:r>
        <w:rPr>
          <w:rFonts w:hint="eastAsia" w:ascii="宋体" w:hAnsi="宋体" w:eastAsia="宋体"/>
          <w:color w:val="auto"/>
          <w:sz w:val="24"/>
          <w:highlight w:val="none"/>
          <w:shd w:val="clear" w:color="auto" w:fill="ffffff"/>
        </w:rPr>
        <w:t xml:space="preserve">附件十《黑麦草施播范围》</w:t>
      </w:r>
      <w:r/>
    </w:p>
    <w:p>
      <w:pPr>
        <w:ind w:right="480" w:firstLine="482"/>
        <w:jc w:val="right"/>
        <w:spacing w:line="360" w:lineRule="auto"/>
        <w:rPr>
          <w:rFonts w:ascii="宋体" w:hAnsi="宋体" w:eastAsia="宋体" w:cs="Times New Roman"/>
          <w:b/>
          <w:bCs/>
          <w:color w:val="auto"/>
          <w:sz w:val="24"/>
          <w:szCs w:val="20"/>
          <w:highlight w:val="none"/>
          <w:shd w:val="clear" w:color="auto" w:fill="ffffff"/>
        </w:rPr>
      </w:pPr>
      <w:r>
        <w:rPr>
          <w:rFonts w:ascii="宋体" w:hAnsi="宋体" w:eastAsia="宋体" w:cs="Times New Roman"/>
          <w:b/>
          <w:bCs/>
          <w:color w:val="auto"/>
          <w:sz w:val="24"/>
          <w:szCs w:val="20"/>
          <w:highlight w:val="none"/>
          <w:shd w:val="clear" w:color="auto" w:fill="ffffff"/>
        </w:rPr>
      </w:r>
      <w:r/>
    </w:p>
    <w:p>
      <w:pPr>
        <w:ind w:right="480" w:firstLine="482"/>
        <w:jc w:val="right"/>
        <w:spacing w:line="360" w:lineRule="auto"/>
        <w:rPr>
          <w:rFonts w:ascii="宋体" w:hAnsi="宋体" w:eastAsia="宋体" w:cs="Times New Roman"/>
          <w:b/>
          <w:bCs/>
          <w:color w:val="auto"/>
          <w:sz w:val="24"/>
          <w:szCs w:val="20"/>
          <w:highlight w:val="none"/>
          <w:shd w:val="clear" w:color="auto" w:fill="ffffff"/>
        </w:rPr>
      </w:pPr>
      <w:r>
        <w:rPr>
          <w:rFonts w:ascii="宋体" w:hAnsi="宋体" w:eastAsia="宋体" w:cs="Times New Roman"/>
          <w:b/>
          <w:bCs/>
          <w:color w:val="auto"/>
          <w:sz w:val="24"/>
          <w:szCs w:val="20"/>
          <w:highlight w:val="none"/>
          <w:shd w:val="clear" w:color="auto" w:fill="ffffff"/>
        </w:rPr>
      </w:r>
      <w:r/>
    </w:p>
    <w:p>
      <w:pPr>
        <w:ind w:right="480" w:firstLine="482"/>
        <w:jc w:val="right"/>
        <w:spacing w:line="360" w:lineRule="auto"/>
        <w:rPr>
          <w:b/>
          <w:bCs/>
          <w:color w:val="auto"/>
          <w:highlight w:val="none"/>
        </w:rPr>
      </w:pPr>
      <w:r>
        <w:rPr>
          <w:rFonts w:hint="eastAsia" w:ascii="宋体" w:hAnsi="宋体" w:eastAsia="宋体" w:cs="Times New Roman"/>
          <w:b/>
          <w:bCs/>
          <w:color w:val="auto"/>
          <w:sz w:val="24"/>
          <w:szCs w:val="20"/>
          <w:highlight w:val="none"/>
          <w:shd w:val="clear" w:color="auto" w:fill="ffffff"/>
        </w:rPr>
        <w:t xml:space="preserve">（全文完）</w:t>
      </w:r>
      <w:r/>
    </w:p>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pPr>
                          <w:r>
                            <w:fldChar w:fldCharType="begin"/>
                          </w:r>
                          <w:r>
                            <w:instrText xml:space="preserve"> PAGE  \* MERGEFORMAT </w:instrText>
                          </w:r>
                          <w:r>
                            <w:fldChar w:fldCharType="separate"/>
                          </w:r>
                          <w:r>
                            <w:t xml:space="preserve">77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p>
    <w:pPr>
      <w:ind w:firstLine="360"/>
      <w:jc w:val="left"/>
      <w:rPr>
        <w:rFonts w:ascii="宋体" w:hAnsi="宋体" w:eastAsia="宋体"/>
        <w:sz w:val="18"/>
        <w:szCs w:val="18"/>
      </w:rPr>
    </w:pPr>
    <w:r>
      <w:rPr>
        <w:rFonts w:ascii="宋体" w:hAnsi="宋体" w:eastAsia="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pPr>
                          <w:r>
                            <w:t xml:space="preserve">第 </w:t>
                          </w:r>
                          <w:r>
                            <w:fldChar w:fldCharType="begin"/>
                          </w:r>
                          <w:r>
                            <w:instrText xml:space="preserve"> PAGE  \* MERGEFORMAT </w:instrText>
                          </w:r>
                          <w:r>
                            <w:fldChar w:fldCharType="separate"/>
                          </w:r>
                          <w:r>
                            <w:t xml:space="preserve">76</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pPr>
                    <w:r>
                      <w:t xml:space="preserve">第 </w:t>
                    </w:r>
                    <w:r>
                      <w:fldChar w:fldCharType="begin"/>
                    </w:r>
                    <w:r>
                      <w:instrText xml:space="preserve"> PAGE  \* MERGEFORMAT </w:instrText>
                    </w:r>
                    <w:r>
                      <w:fldChar w:fldCharType="separate"/>
                    </w:r>
                    <w:r>
                      <w:t xml:space="preserve">76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360"/>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JSZC-320591-SZWK-G2024-0347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360"/>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430" w:hanging="720"/>
        <w:tabs>
          <w:tab w:val="left" w:pos="1430"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7"/>
      <w:numFmt w:val="chineseCountingThousand"/>
      <w:isLgl w:val="false"/>
      <w:suff w:val="tab"/>
      <w:lvlText w:val="%3、"/>
      <w:lvlJc w:val="left"/>
      <w:pPr>
        <w:ind w:left="2131" w:hanging="720"/>
        <w:tabs>
          <w:tab w:val="left" w:pos="2131" w:leader="none"/>
        </w:tabs>
      </w:pPr>
      <w:rPr>
        <w:rFonts w:hint="eastAsia"/>
      </w:r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4">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25"/>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2"/>
      <w:numFmt w:val="decimal"/>
      <w:pStyle w:val="1050"/>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4"/>
  </w:num>
  <w:num w:numId="2">
    <w:abstractNumId w:val="5"/>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933"/>
    <w:link w:val="927"/>
    <w:uiPriority w:val="9"/>
    <w:rPr>
      <w:rFonts w:ascii="Arial" w:hAnsi="Arial" w:eastAsia="Arial" w:cs="Arial"/>
      <w:sz w:val="40"/>
      <w:szCs w:val="40"/>
    </w:rPr>
  </w:style>
  <w:style w:type="character" w:styleId="776">
    <w:name w:val="Heading 2 Char"/>
    <w:basedOn w:val="933"/>
    <w:link w:val="928"/>
    <w:uiPriority w:val="9"/>
    <w:rPr>
      <w:rFonts w:ascii="Arial" w:hAnsi="Arial" w:eastAsia="Arial" w:cs="Arial"/>
      <w:sz w:val="34"/>
    </w:rPr>
  </w:style>
  <w:style w:type="character" w:styleId="777">
    <w:name w:val="Heading 3 Char"/>
    <w:basedOn w:val="933"/>
    <w:link w:val="929"/>
    <w:uiPriority w:val="9"/>
    <w:rPr>
      <w:rFonts w:ascii="Arial" w:hAnsi="Arial" w:eastAsia="Arial" w:cs="Arial"/>
      <w:sz w:val="30"/>
      <w:szCs w:val="30"/>
    </w:rPr>
  </w:style>
  <w:style w:type="character" w:styleId="778">
    <w:name w:val="Heading 4 Char"/>
    <w:basedOn w:val="933"/>
    <w:link w:val="930"/>
    <w:uiPriority w:val="9"/>
    <w:rPr>
      <w:rFonts w:ascii="Arial" w:hAnsi="Arial" w:eastAsia="Arial" w:cs="Arial"/>
      <w:b/>
      <w:bCs/>
      <w:sz w:val="26"/>
      <w:szCs w:val="26"/>
    </w:rPr>
  </w:style>
  <w:style w:type="character" w:styleId="779">
    <w:name w:val="Heading 5 Char"/>
    <w:basedOn w:val="933"/>
    <w:link w:val="931"/>
    <w:uiPriority w:val="9"/>
    <w:rPr>
      <w:rFonts w:ascii="Arial" w:hAnsi="Arial" w:eastAsia="Arial" w:cs="Arial"/>
      <w:b/>
      <w:bCs/>
      <w:sz w:val="24"/>
      <w:szCs w:val="24"/>
    </w:rPr>
  </w:style>
  <w:style w:type="character" w:styleId="780">
    <w:name w:val="Heading 6 Char"/>
    <w:basedOn w:val="933"/>
    <w:link w:val="932"/>
    <w:uiPriority w:val="9"/>
    <w:rPr>
      <w:rFonts w:ascii="Arial" w:hAnsi="Arial" w:eastAsia="Arial" w:cs="Arial"/>
      <w:b/>
      <w:bCs/>
      <w:sz w:val="22"/>
      <w:szCs w:val="22"/>
    </w:rPr>
  </w:style>
  <w:style w:type="paragraph" w:styleId="781">
    <w:name w:val="Heading 7"/>
    <w:basedOn w:val="926"/>
    <w:next w:val="926"/>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33"/>
    <w:link w:val="781"/>
    <w:uiPriority w:val="9"/>
    <w:rPr>
      <w:rFonts w:ascii="Arial" w:hAnsi="Arial" w:eastAsia="Arial" w:cs="Arial"/>
      <w:b/>
      <w:bCs/>
      <w:i/>
      <w:iCs/>
      <w:sz w:val="22"/>
      <w:szCs w:val="22"/>
    </w:rPr>
  </w:style>
  <w:style w:type="paragraph" w:styleId="783">
    <w:name w:val="Heading 8"/>
    <w:basedOn w:val="926"/>
    <w:next w:val="926"/>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33"/>
    <w:link w:val="783"/>
    <w:uiPriority w:val="9"/>
    <w:rPr>
      <w:rFonts w:ascii="Arial" w:hAnsi="Arial" w:eastAsia="Arial" w:cs="Arial"/>
      <w:i/>
      <w:iCs/>
      <w:sz w:val="22"/>
      <w:szCs w:val="22"/>
    </w:rPr>
  </w:style>
  <w:style w:type="paragraph" w:styleId="785">
    <w:name w:val="Heading 9"/>
    <w:basedOn w:val="926"/>
    <w:next w:val="926"/>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33"/>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character" w:styleId="788">
    <w:name w:val="Title Char"/>
    <w:basedOn w:val="933"/>
    <w:link w:val="975"/>
    <w:uiPriority w:val="10"/>
    <w:rPr>
      <w:sz w:val="48"/>
      <w:szCs w:val="48"/>
    </w:rPr>
  </w:style>
  <w:style w:type="character" w:styleId="789">
    <w:name w:val="Subtitle Char"/>
    <w:basedOn w:val="933"/>
    <w:link w:val="963"/>
    <w:uiPriority w:val="11"/>
    <w:rPr>
      <w:sz w:val="24"/>
      <w:szCs w:val="24"/>
    </w:rPr>
  </w:style>
  <w:style w:type="paragraph" w:styleId="790">
    <w:name w:val="Quote"/>
    <w:basedOn w:val="926"/>
    <w:next w:val="926"/>
    <w:link w:val="791"/>
    <w:uiPriority w:val="29"/>
    <w:qFormat/>
    <w:pPr>
      <w:ind w:left="720" w:right="720"/>
    </w:pPr>
    <w:rPr>
      <w:i/>
    </w:rPr>
  </w:style>
  <w:style w:type="character" w:styleId="791">
    <w:name w:val="Quote Char"/>
    <w:link w:val="790"/>
    <w:uiPriority w:val="29"/>
    <w:rPr>
      <w:i/>
    </w:rPr>
  </w:style>
  <w:style w:type="paragraph" w:styleId="792">
    <w:name w:val="Intense Quote"/>
    <w:basedOn w:val="926"/>
    <w:next w:val="926"/>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33"/>
    <w:link w:val="958"/>
    <w:uiPriority w:val="99"/>
  </w:style>
  <w:style w:type="character" w:styleId="795">
    <w:name w:val="Footer Char"/>
    <w:basedOn w:val="933"/>
    <w:link w:val="957"/>
    <w:uiPriority w:val="99"/>
  </w:style>
  <w:style w:type="paragraph" w:styleId="796">
    <w:name w:val="Caption"/>
    <w:basedOn w:val="926"/>
    <w:next w:val="926"/>
    <w:uiPriority w:val="35"/>
    <w:semiHidden/>
    <w:unhideWhenUsed/>
    <w:qFormat/>
    <w:pPr>
      <w:spacing w:line="276" w:lineRule="auto"/>
    </w:pPr>
    <w:rPr>
      <w:b/>
      <w:bCs/>
      <w:color w:val="4f81bd" w:themeColor="accent1"/>
      <w:sz w:val="18"/>
      <w:szCs w:val="18"/>
    </w:rPr>
  </w:style>
  <w:style w:type="character" w:styleId="797">
    <w:name w:val="Caption Char"/>
    <w:basedOn w:val="796"/>
    <w:link w:val="957"/>
    <w:uiPriority w:val="99"/>
  </w:style>
  <w:style w:type="table" w:styleId="798">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Footnote Text Char"/>
    <w:link w:val="964"/>
    <w:uiPriority w:val="99"/>
    <w:rPr>
      <w:sz w:val="18"/>
    </w:rPr>
  </w:style>
  <w:style w:type="character" w:styleId="924">
    <w:name w:val="Endnote Text Char"/>
    <w:link w:val="955"/>
    <w:uiPriority w:val="99"/>
    <w:rPr>
      <w:sz w:val="20"/>
    </w:rPr>
  </w:style>
  <w:style w:type="paragraph" w:styleId="925">
    <w:name w:val="TOC Heading"/>
    <w:uiPriority w:val="39"/>
    <w:unhideWhenUsed/>
  </w:style>
  <w:style w:type="paragraph" w:styleId="926" w:default="1">
    <w:name w:val="Normal"/>
    <w:next w:val="93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27">
    <w:name w:val="Heading 1"/>
    <w:basedOn w:val="926"/>
    <w:next w:val="926"/>
    <w:link w:val="987"/>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928">
    <w:name w:val="Heading 2"/>
    <w:basedOn w:val="926"/>
    <w:next w:val="926"/>
    <w:link w:val="988"/>
    <w:uiPriority w:val="0"/>
    <w:qFormat/>
    <w:pPr>
      <w:jc w:val="left"/>
      <w:keepLines/>
      <w:keepNext/>
      <w:outlineLvl w:val="1"/>
    </w:pPr>
    <w:rPr>
      <w:rFonts w:ascii="宋体" w:hAnsi="宋体" w:eastAsia="楷体_GB2312" w:cs="Times New Roman"/>
      <w:b/>
      <w:sz w:val="26"/>
      <w:szCs w:val="20"/>
    </w:rPr>
  </w:style>
  <w:style w:type="paragraph" w:styleId="929">
    <w:name w:val="Heading 3"/>
    <w:basedOn w:val="926"/>
    <w:next w:val="926"/>
    <w:link w:val="989"/>
    <w:uiPriority w:val="0"/>
    <w:qFormat/>
    <w:pPr>
      <w:jc w:val="left"/>
      <w:keepLines/>
      <w:keepNext/>
      <w:outlineLvl w:val="2"/>
    </w:pPr>
    <w:rPr>
      <w:rFonts w:ascii="Calibri" w:hAnsi="Calibri" w:eastAsia="楷体_GB2312" w:cs="Times New Roman"/>
      <w:b/>
      <w:sz w:val="26"/>
      <w:szCs w:val="20"/>
    </w:rPr>
  </w:style>
  <w:style w:type="paragraph" w:styleId="930">
    <w:name w:val="Heading 4"/>
    <w:basedOn w:val="926"/>
    <w:next w:val="926"/>
    <w:link w:val="990"/>
    <w:uiPriority w:val="0"/>
    <w:qFormat/>
    <w:pPr>
      <w:keepLines/>
      <w:keepNext/>
      <w:spacing w:before="280" w:after="290" w:line="376" w:lineRule="auto"/>
      <w:outlineLvl w:val="3"/>
    </w:pPr>
    <w:rPr>
      <w:rFonts w:ascii="Arial" w:hAnsi="Arial" w:eastAsia="黑体" w:cs="Times New Roman"/>
      <w:b/>
      <w:bCs/>
      <w:sz w:val="28"/>
      <w:szCs w:val="28"/>
    </w:rPr>
  </w:style>
  <w:style w:type="paragraph" w:styleId="931">
    <w:name w:val="Heading 5"/>
    <w:basedOn w:val="926"/>
    <w:next w:val="926"/>
    <w:link w:val="991"/>
    <w:uiPriority w:val="0"/>
    <w:qFormat/>
    <w:pPr>
      <w:keepNext/>
      <w:outlineLvl w:val="4"/>
    </w:pPr>
    <w:rPr>
      <w:rFonts w:ascii="宋体" w:hAnsi="宋体" w:eastAsia="宋体" w:cs="Times New Roman"/>
      <w:color w:val="000000"/>
      <w:sz w:val="28"/>
      <w:szCs w:val="20"/>
    </w:rPr>
  </w:style>
  <w:style w:type="paragraph" w:styleId="932">
    <w:name w:val="Heading 6"/>
    <w:basedOn w:val="926"/>
    <w:next w:val="926"/>
    <w:link w:val="992"/>
    <w:uiPriority w:val="0"/>
    <w:qFormat/>
    <w:pPr>
      <w:keepNext/>
      <w:outlineLvl w:val="5"/>
    </w:pPr>
    <w:rPr>
      <w:rFonts w:ascii="宋体" w:hAnsi="宋体" w:eastAsia="宋体" w:cs="Times New Roman"/>
      <w:sz w:val="28"/>
      <w:szCs w:val="20"/>
    </w:rPr>
  </w:style>
  <w:style w:type="character" w:styleId="933" w:default="1">
    <w:name w:val="Default Paragraph Font"/>
    <w:uiPriority w:val="1"/>
    <w:semiHidden/>
    <w:unhideWhenUsed/>
    <w:qFormat/>
  </w:style>
  <w:style w:type="table" w:styleId="934" w:default="1">
    <w:name w:val="Normal Table"/>
    <w:uiPriority w:val="99"/>
    <w:semiHidden/>
    <w:unhideWhenUsed/>
    <w:qFormat/>
    <w:tblPr>
      <w:tblCellMar>
        <w:left w:w="108" w:type="dxa"/>
        <w:top w:w="0" w:type="dxa"/>
        <w:right w:w="108" w:type="dxa"/>
        <w:bottom w:w="0" w:type="dxa"/>
      </w:tblCellMar>
    </w:tblPr>
  </w:style>
  <w:style w:type="paragraph" w:styleId="935" w:customStyle="1">
    <w:name w:val="段"/>
    <w:next w:val="926"/>
    <w:uiPriority w:val="0"/>
    <w:qFormat/>
    <w:pPr>
      <w:ind w:firstLine="360"/>
      <w:jc w:val="center"/>
    </w:pPr>
    <w:rPr>
      <w:rFonts w:ascii="宋体" w:hAnsi="宋体" w:eastAsia="宋体" w:cs="宋体"/>
      <w:color w:val="ff0000"/>
      <w:sz w:val="24"/>
      <w:szCs w:val="24"/>
      <w:lang w:val="en-US" w:eastAsia="zh-CN" w:bidi="ar-SA"/>
    </w:rPr>
  </w:style>
  <w:style w:type="paragraph" w:styleId="936">
    <w:name w:val="toc 7"/>
    <w:basedOn w:val="926"/>
    <w:next w:val="926"/>
    <w:uiPriority w:val="0"/>
    <w:qFormat/>
    <w:pPr>
      <w:ind w:left="2520"/>
    </w:pPr>
    <w:rPr>
      <w:rFonts w:ascii="Calibri" w:hAnsi="Calibri" w:eastAsia="楷体_GB2312" w:cs="Times New Roman"/>
      <w:sz w:val="26"/>
      <w:szCs w:val="20"/>
    </w:rPr>
  </w:style>
  <w:style w:type="paragraph" w:styleId="937">
    <w:name w:val="index 8"/>
    <w:basedOn w:val="926"/>
    <w:next w:val="926"/>
    <w:uiPriority w:val="0"/>
    <w:qFormat/>
    <w:pPr>
      <w:ind w:left="2940"/>
    </w:pPr>
    <w:rPr>
      <w:rFonts w:ascii="Calibri" w:hAnsi="Calibri" w:eastAsia="楷体_GB2312" w:cs="Times New Roman"/>
      <w:sz w:val="26"/>
      <w:szCs w:val="20"/>
    </w:rPr>
  </w:style>
  <w:style w:type="paragraph" w:styleId="938">
    <w:name w:val="Normal Indent"/>
    <w:basedOn w:val="926"/>
    <w:next w:val="926"/>
    <w:link w:val="993"/>
    <w:uiPriority w:val="0"/>
    <w:qFormat/>
    <w:pPr>
      <w:ind w:firstLine="420"/>
      <w:jc w:val="left"/>
      <w:spacing w:line="360" w:lineRule="auto"/>
    </w:pPr>
    <w:rPr>
      <w:rFonts w:ascii="宋体" w:hAnsi="宋体" w:eastAsia="宋体" w:cs="宋体"/>
      <w:sz w:val="24"/>
      <w:szCs w:val="24"/>
    </w:rPr>
  </w:style>
  <w:style w:type="paragraph" w:styleId="939">
    <w:name w:val="index 5"/>
    <w:basedOn w:val="926"/>
    <w:next w:val="926"/>
    <w:uiPriority w:val="0"/>
    <w:qFormat/>
    <w:pPr>
      <w:ind w:left="1680"/>
    </w:pPr>
    <w:rPr>
      <w:rFonts w:ascii="Calibri" w:hAnsi="Calibri" w:eastAsia="楷体_GB2312" w:cs="Times New Roman"/>
      <w:sz w:val="26"/>
      <w:szCs w:val="20"/>
    </w:rPr>
  </w:style>
  <w:style w:type="paragraph" w:styleId="940">
    <w:name w:val="Document Map"/>
    <w:basedOn w:val="926"/>
    <w:link w:val="994"/>
    <w:uiPriority w:val="0"/>
    <w:qFormat/>
    <w:pPr>
      <w:shd w:val="clear" w:color="auto" w:fill="000080"/>
    </w:pPr>
    <w:rPr>
      <w:rFonts w:ascii="Calibri" w:hAnsi="Calibri" w:eastAsia="楷体_GB2312" w:cs="Times New Roman"/>
      <w:sz w:val="26"/>
      <w:szCs w:val="20"/>
    </w:rPr>
  </w:style>
  <w:style w:type="paragraph" w:styleId="941">
    <w:name w:val="annotation text"/>
    <w:basedOn w:val="926"/>
    <w:link w:val="995"/>
    <w:uiPriority w:val="0"/>
    <w:qFormat/>
    <w:pPr>
      <w:jc w:val="left"/>
    </w:pPr>
    <w:rPr>
      <w:rFonts w:ascii="Calibri" w:hAnsi="Calibri" w:eastAsia="楷体_GB2312" w:cs="Times New Roman"/>
      <w:sz w:val="26"/>
      <w:szCs w:val="20"/>
    </w:rPr>
  </w:style>
  <w:style w:type="paragraph" w:styleId="942">
    <w:name w:val="index 6"/>
    <w:basedOn w:val="926"/>
    <w:next w:val="926"/>
    <w:uiPriority w:val="0"/>
    <w:qFormat/>
    <w:pPr>
      <w:ind w:left="2100"/>
    </w:pPr>
    <w:rPr>
      <w:rFonts w:ascii="Calibri" w:hAnsi="Calibri" w:eastAsia="楷体_GB2312" w:cs="Times New Roman"/>
      <w:sz w:val="26"/>
      <w:szCs w:val="20"/>
    </w:rPr>
  </w:style>
  <w:style w:type="paragraph" w:styleId="943">
    <w:name w:val="Body Text"/>
    <w:basedOn w:val="926"/>
    <w:next w:val="938"/>
    <w:link w:val="996"/>
    <w:uiPriority w:val="0"/>
    <w:qFormat/>
    <w:pPr>
      <w:spacing w:line="400" w:lineRule="exact"/>
    </w:pPr>
    <w:rPr>
      <w:rFonts w:ascii="楷体_GB2312" w:hAnsi="Calibri" w:eastAsia="楷体_GB2312" w:cs="Times New Roman"/>
      <w:sz w:val="28"/>
      <w:szCs w:val="20"/>
    </w:rPr>
  </w:style>
  <w:style w:type="paragraph" w:styleId="944">
    <w:name w:val="Body Text Indent"/>
    <w:basedOn w:val="926"/>
    <w:next w:val="945"/>
    <w:link w:val="997"/>
    <w:uiPriority w:val="0"/>
    <w:qFormat/>
    <w:pPr>
      <w:ind w:left="570"/>
      <w:spacing w:line="520" w:lineRule="exact"/>
    </w:pPr>
    <w:rPr>
      <w:rFonts w:ascii="方正仿宋简体" w:hAnsi="创艺简仿宋" w:eastAsia="方正仿宋简体" w:cs="Times New Roman"/>
      <w:sz w:val="24"/>
      <w:szCs w:val="20"/>
    </w:rPr>
  </w:style>
  <w:style w:type="paragraph" w:styleId="945" w:customStyle="1">
    <w:name w:val="目录 51"/>
    <w:next w:val="926"/>
    <w:uiPriority w:val="0"/>
    <w:qFormat/>
    <w:pPr>
      <w:ind w:left="1275"/>
      <w:jc w:val="both"/>
    </w:pPr>
    <w:rPr>
      <w:rFonts w:ascii="Times New Roman" w:hAnsi="Times New Roman" w:eastAsia="宋体" w:cs="Times New Roman"/>
      <w:sz w:val="21"/>
      <w:lang w:val="en-US" w:eastAsia="zh-CN" w:bidi="ar-SA"/>
    </w:rPr>
  </w:style>
  <w:style w:type="paragraph" w:styleId="946">
    <w:name w:val="Block Text"/>
    <w:basedOn w:val="926"/>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947">
    <w:name w:val="index 4"/>
    <w:basedOn w:val="926"/>
    <w:next w:val="926"/>
    <w:uiPriority w:val="0"/>
    <w:qFormat/>
    <w:pPr>
      <w:ind w:left="1260"/>
    </w:pPr>
    <w:rPr>
      <w:rFonts w:ascii="Calibri" w:hAnsi="Calibri" w:eastAsia="楷体_GB2312" w:cs="Times New Roman"/>
      <w:sz w:val="26"/>
      <w:szCs w:val="20"/>
    </w:rPr>
  </w:style>
  <w:style w:type="paragraph" w:styleId="948">
    <w:name w:val="toc 5"/>
    <w:basedOn w:val="926"/>
    <w:next w:val="926"/>
    <w:uiPriority w:val="0"/>
    <w:qFormat/>
    <w:pPr>
      <w:ind w:left="1680"/>
    </w:pPr>
    <w:rPr>
      <w:rFonts w:ascii="Calibri" w:hAnsi="Calibri" w:eastAsia="楷体_GB2312" w:cs="Times New Roman"/>
      <w:sz w:val="26"/>
      <w:szCs w:val="20"/>
    </w:rPr>
  </w:style>
  <w:style w:type="paragraph" w:styleId="949">
    <w:name w:val="toc 3"/>
    <w:basedOn w:val="926"/>
    <w:next w:val="926"/>
    <w:uiPriority w:val="0"/>
    <w:qFormat/>
    <w:pPr>
      <w:ind w:left="840"/>
    </w:pPr>
    <w:rPr>
      <w:rFonts w:ascii="Calibri" w:hAnsi="Calibri" w:eastAsia="楷体_GB2312" w:cs="Times New Roman"/>
      <w:sz w:val="26"/>
      <w:szCs w:val="20"/>
    </w:rPr>
  </w:style>
  <w:style w:type="paragraph" w:styleId="950">
    <w:name w:val="Plain Text"/>
    <w:basedOn w:val="926"/>
    <w:link w:val="998"/>
    <w:uiPriority w:val="0"/>
    <w:qFormat/>
    <w:rPr>
      <w:rFonts w:ascii="宋体" w:hAnsi="Courier New" w:eastAsia="楷体_GB2312" w:cs="Times New Roman"/>
      <w:sz w:val="26"/>
      <w:szCs w:val="20"/>
    </w:rPr>
  </w:style>
  <w:style w:type="paragraph" w:styleId="951">
    <w:name w:val="toc 8"/>
    <w:basedOn w:val="926"/>
    <w:next w:val="926"/>
    <w:uiPriority w:val="0"/>
    <w:qFormat/>
    <w:pPr>
      <w:ind w:left="2940"/>
    </w:pPr>
    <w:rPr>
      <w:rFonts w:ascii="Calibri" w:hAnsi="Calibri" w:eastAsia="楷体_GB2312" w:cs="Times New Roman"/>
      <w:sz w:val="26"/>
      <w:szCs w:val="20"/>
    </w:rPr>
  </w:style>
  <w:style w:type="paragraph" w:styleId="952">
    <w:name w:val="index 3"/>
    <w:basedOn w:val="926"/>
    <w:next w:val="926"/>
    <w:uiPriority w:val="0"/>
    <w:qFormat/>
    <w:pPr>
      <w:ind w:left="840"/>
    </w:pPr>
    <w:rPr>
      <w:rFonts w:ascii="Calibri" w:hAnsi="Calibri" w:eastAsia="楷体_GB2312" w:cs="Times New Roman"/>
      <w:sz w:val="26"/>
      <w:szCs w:val="20"/>
    </w:rPr>
  </w:style>
  <w:style w:type="paragraph" w:styleId="953">
    <w:name w:val="Date"/>
    <w:basedOn w:val="926"/>
    <w:next w:val="926"/>
    <w:link w:val="999"/>
    <w:uiPriority w:val="0"/>
    <w:qFormat/>
    <w:rPr>
      <w:rFonts w:ascii="宋体" w:hAnsi="宋体" w:eastAsia="楷体_GB2312" w:cs="Times New Roman"/>
      <w:sz w:val="24"/>
      <w:szCs w:val="20"/>
    </w:rPr>
  </w:style>
  <w:style w:type="paragraph" w:styleId="954">
    <w:name w:val="Body Text Indent 2"/>
    <w:basedOn w:val="926"/>
    <w:link w:val="1000"/>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955">
    <w:name w:val="endnote text"/>
    <w:basedOn w:val="926"/>
    <w:link w:val="1001"/>
    <w:uiPriority w:val="0"/>
    <w:qFormat/>
    <w:pPr>
      <w:jc w:val="left"/>
    </w:pPr>
    <w:rPr>
      <w:rFonts w:ascii="Calibri" w:hAnsi="Calibri" w:eastAsia="楷体_GB2312" w:cs="Times New Roman"/>
      <w:sz w:val="26"/>
      <w:szCs w:val="20"/>
    </w:rPr>
  </w:style>
  <w:style w:type="paragraph" w:styleId="956">
    <w:name w:val="Balloon Text"/>
    <w:basedOn w:val="926"/>
    <w:link w:val="1002"/>
    <w:uiPriority w:val="99"/>
    <w:qFormat/>
    <w:rPr>
      <w:rFonts w:ascii="Calibri" w:hAnsi="Calibri" w:eastAsia="楷体_GB2312" w:cs="Times New Roman"/>
      <w:sz w:val="18"/>
      <w:szCs w:val="18"/>
    </w:rPr>
  </w:style>
  <w:style w:type="paragraph" w:styleId="957">
    <w:name w:val="Footer"/>
    <w:basedOn w:val="926"/>
    <w:link w:val="1003"/>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958">
    <w:name w:val="Header"/>
    <w:basedOn w:val="926"/>
    <w:link w:val="1004"/>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959">
    <w:name w:val="toc 1"/>
    <w:basedOn w:val="926"/>
    <w:next w:val="926"/>
    <w:uiPriority w:val="39"/>
    <w:qFormat/>
    <w:pPr>
      <w:jc w:val="left"/>
    </w:pPr>
    <w:rPr>
      <w:rFonts w:ascii="Calibri" w:hAnsi="Calibri" w:eastAsia="楷体_GB2312" w:cs="Times New Roman"/>
      <w:sz w:val="24"/>
      <w:szCs w:val="20"/>
    </w:rPr>
  </w:style>
  <w:style w:type="paragraph" w:styleId="960">
    <w:name w:val="toc 4"/>
    <w:basedOn w:val="926"/>
    <w:next w:val="926"/>
    <w:uiPriority w:val="0"/>
    <w:qFormat/>
    <w:pPr>
      <w:ind w:left="1260"/>
    </w:pPr>
    <w:rPr>
      <w:rFonts w:ascii="Calibri" w:hAnsi="Calibri" w:eastAsia="楷体_GB2312" w:cs="Times New Roman"/>
      <w:sz w:val="26"/>
      <w:szCs w:val="20"/>
    </w:rPr>
  </w:style>
  <w:style w:type="paragraph" w:styleId="961">
    <w:name w:val="index heading"/>
    <w:basedOn w:val="926"/>
    <w:next w:val="962"/>
    <w:uiPriority w:val="0"/>
    <w:qFormat/>
    <w:rPr>
      <w:rFonts w:ascii="Calibri" w:hAnsi="Calibri" w:eastAsia="楷体_GB2312" w:cs="Times New Roman"/>
      <w:sz w:val="26"/>
      <w:szCs w:val="20"/>
    </w:rPr>
  </w:style>
  <w:style w:type="paragraph" w:styleId="962">
    <w:name w:val="index 1"/>
    <w:basedOn w:val="926"/>
    <w:next w:val="926"/>
    <w:uiPriority w:val="0"/>
    <w:unhideWhenUsed/>
    <w:qFormat/>
  </w:style>
  <w:style w:type="paragraph" w:styleId="963">
    <w:name w:val="Subtitle"/>
    <w:basedOn w:val="926"/>
    <w:next w:val="926"/>
    <w:link w:val="1005"/>
    <w:uiPriority w:val="0"/>
    <w:qFormat/>
    <w:pPr>
      <w:jc w:val="left"/>
      <w:spacing w:before="120"/>
      <w:outlineLvl w:val="1"/>
    </w:pPr>
    <w:rPr>
      <w:rFonts w:ascii="Cambria" w:hAnsi="Cambria" w:eastAsia="宋体" w:cs="Times New Roman"/>
      <w:b/>
      <w:bCs/>
      <w:sz w:val="24"/>
      <w:szCs w:val="32"/>
    </w:rPr>
  </w:style>
  <w:style w:type="paragraph" w:styleId="964">
    <w:name w:val="footnote text"/>
    <w:basedOn w:val="926"/>
    <w:link w:val="1006"/>
    <w:uiPriority w:val="0"/>
    <w:qFormat/>
    <w:pPr>
      <w:jc w:val="left"/>
    </w:pPr>
    <w:rPr>
      <w:rFonts w:ascii="Calibri" w:hAnsi="Calibri" w:eastAsia="楷体_GB2312" w:cs="Times New Roman"/>
      <w:sz w:val="18"/>
      <w:szCs w:val="20"/>
    </w:rPr>
  </w:style>
  <w:style w:type="paragraph" w:styleId="965">
    <w:name w:val="toc 6"/>
    <w:basedOn w:val="926"/>
    <w:next w:val="926"/>
    <w:uiPriority w:val="0"/>
    <w:qFormat/>
    <w:pPr>
      <w:ind w:left="2100"/>
    </w:pPr>
    <w:rPr>
      <w:rFonts w:ascii="Calibri" w:hAnsi="Calibri" w:eastAsia="楷体_GB2312" w:cs="Times New Roman"/>
      <w:sz w:val="26"/>
      <w:szCs w:val="20"/>
    </w:rPr>
  </w:style>
  <w:style w:type="paragraph" w:styleId="966">
    <w:name w:val="Body Text Indent 3"/>
    <w:basedOn w:val="926"/>
    <w:link w:val="1007"/>
    <w:uiPriority w:val="0"/>
    <w:qFormat/>
    <w:pPr>
      <w:ind w:firstLine="617"/>
      <w:spacing w:line="360" w:lineRule="auto"/>
    </w:pPr>
    <w:rPr>
      <w:rFonts w:ascii="Calibri" w:hAnsi="Calibri" w:eastAsia="宋体" w:cs="Times New Roman"/>
      <w:sz w:val="24"/>
      <w:szCs w:val="24"/>
    </w:rPr>
  </w:style>
  <w:style w:type="paragraph" w:styleId="967">
    <w:name w:val="index 7"/>
    <w:basedOn w:val="926"/>
    <w:next w:val="926"/>
    <w:uiPriority w:val="0"/>
    <w:qFormat/>
    <w:pPr>
      <w:ind w:left="2520"/>
    </w:pPr>
    <w:rPr>
      <w:rFonts w:ascii="Calibri" w:hAnsi="Calibri" w:eastAsia="楷体_GB2312" w:cs="Times New Roman"/>
      <w:sz w:val="26"/>
      <w:szCs w:val="20"/>
    </w:rPr>
  </w:style>
  <w:style w:type="paragraph" w:styleId="968">
    <w:name w:val="index 9"/>
    <w:basedOn w:val="926"/>
    <w:next w:val="926"/>
    <w:uiPriority w:val="0"/>
    <w:qFormat/>
    <w:pPr>
      <w:ind w:left="3360"/>
    </w:pPr>
    <w:rPr>
      <w:rFonts w:ascii="Calibri" w:hAnsi="Calibri" w:eastAsia="楷体_GB2312" w:cs="Times New Roman"/>
      <w:sz w:val="26"/>
      <w:szCs w:val="20"/>
    </w:rPr>
  </w:style>
  <w:style w:type="paragraph" w:styleId="969">
    <w:name w:val="table of figures"/>
    <w:basedOn w:val="926"/>
    <w:next w:val="926"/>
    <w:uiPriority w:val="0"/>
    <w:qFormat/>
    <w:pPr>
      <w:ind w:left="420" w:hanging="420"/>
      <w:jc w:val="left"/>
    </w:pPr>
    <w:rPr>
      <w:rFonts w:ascii="Calibri" w:hAnsi="Calibri" w:eastAsia="楷体_GB2312" w:cs="Times New Roman"/>
      <w:smallCaps/>
      <w:sz w:val="24"/>
      <w:szCs w:val="20"/>
    </w:rPr>
  </w:style>
  <w:style w:type="paragraph" w:styleId="970">
    <w:name w:val="toc 2"/>
    <w:basedOn w:val="926"/>
    <w:next w:val="926"/>
    <w:uiPriority w:val="0"/>
    <w:qFormat/>
    <w:pPr>
      <w:ind w:left="420"/>
    </w:pPr>
    <w:rPr>
      <w:rFonts w:ascii="Calibri" w:hAnsi="Calibri" w:eastAsia="楷体_GB2312" w:cs="Times New Roman"/>
      <w:sz w:val="26"/>
      <w:szCs w:val="20"/>
    </w:rPr>
  </w:style>
  <w:style w:type="paragraph" w:styleId="971">
    <w:name w:val="toc 9"/>
    <w:basedOn w:val="926"/>
    <w:next w:val="926"/>
    <w:uiPriority w:val="0"/>
    <w:qFormat/>
    <w:pPr>
      <w:ind w:left="3360"/>
    </w:pPr>
    <w:rPr>
      <w:rFonts w:ascii="Calibri" w:hAnsi="Calibri" w:eastAsia="楷体_GB2312" w:cs="Times New Roman"/>
      <w:sz w:val="26"/>
      <w:szCs w:val="20"/>
    </w:rPr>
  </w:style>
  <w:style w:type="paragraph" w:styleId="972">
    <w:name w:val="HTML Preformatted"/>
    <w:basedOn w:val="926"/>
    <w:link w:val="10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73">
    <w:name w:val="Normal (Web)"/>
    <w:basedOn w:val="926"/>
    <w:uiPriority w:val="99"/>
    <w:qFormat/>
    <w:pPr>
      <w:jc w:val="left"/>
      <w:spacing w:before="100" w:beforeAutospacing="1" w:after="100" w:afterAutospacing="1"/>
    </w:pPr>
    <w:rPr>
      <w:rFonts w:ascii="Calibri" w:hAnsi="Calibri" w:eastAsia="楷体_GB2312" w:cs="Times New Roman"/>
      <w:sz w:val="24"/>
    </w:rPr>
  </w:style>
  <w:style w:type="paragraph" w:styleId="974">
    <w:name w:val="index 2"/>
    <w:basedOn w:val="926"/>
    <w:next w:val="926"/>
    <w:uiPriority w:val="0"/>
    <w:qFormat/>
    <w:pPr>
      <w:ind w:left="420"/>
    </w:pPr>
    <w:rPr>
      <w:rFonts w:ascii="Calibri" w:hAnsi="Calibri" w:eastAsia="楷体_GB2312" w:cs="Times New Roman"/>
      <w:sz w:val="26"/>
      <w:szCs w:val="20"/>
    </w:rPr>
  </w:style>
  <w:style w:type="paragraph" w:styleId="975">
    <w:name w:val="Title"/>
    <w:basedOn w:val="926"/>
    <w:next w:val="926"/>
    <w:link w:val="1009"/>
    <w:uiPriority w:val="0"/>
    <w:qFormat/>
    <w:pPr>
      <w:jc w:val="center"/>
      <w:spacing w:before="240" w:after="60"/>
      <w:outlineLvl w:val="0"/>
    </w:pPr>
    <w:rPr>
      <w:rFonts w:ascii="Cambria" w:hAnsi="Cambria" w:eastAsia="宋体" w:cs="Times New Roman"/>
      <w:b/>
      <w:bCs/>
      <w:sz w:val="32"/>
      <w:szCs w:val="32"/>
    </w:rPr>
  </w:style>
  <w:style w:type="paragraph" w:styleId="976">
    <w:name w:val="annotation subject"/>
    <w:basedOn w:val="941"/>
    <w:next w:val="941"/>
    <w:link w:val="1010"/>
    <w:uiPriority w:val="99"/>
    <w:qFormat/>
    <w:rPr>
      <w:b/>
      <w:bCs/>
    </w:rPr>
  </w:style>
  <w:style w:type="paragraph" w:styleId="977">
    <w:name w:val="Body Text First Indent 2"/>
    <w:basedOn w:val="944"/>
    <w:link w:val="1011"/>
    <w:uiPriority w:val="0"/>
    <w:qFormat/>
    <w:pPr>
      <w:ind w:left="420" w:firstLine="420"/>
      <w:spacing w:after="120" w:line="240" w:lineRule="auto"/>
    </w:pPr>
    <w:rPr>
      <w:rFonts w:ascii="Calibri" w:hAnsi="Calibri" w:eastAsia="楷体_GB2312"/>
      <w:sz w:val="26"/>
    </w:rPr>
  </w:style>
  <w:style w:type="table" w:styleId="978">
    <w:name w:val="Table Grid"/>
    <w:basedOn w:val="93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9">
    <w:name w:val="Strong"/>
    <w:basedOn w:val="933"/>
    <w:uiPriority w:val="0"/>
    <w:qFormat/>
    <w:rPr>
      <w:b/>
    </w:rPr>
  </w:style>
  <w:style w:type="character" w:styleId="980">
    <w:name w:val="endnote reference"/>
    <w:uiPriority w:val="0"/>
    <w:qFormat/>
    <w:rPr>
      <w:vertAlign w:val="superscript"/>
    </w:rPr>
  </w:style>
  <w:style w:type="character" w:styleId="981">
    <w:name w:val="page number"/>
    <w:basedOn w:val="933"/>
    <w:uiPriority w:val="0"/>
    <w:qFormat/>
  </w:style>
  <w:style w:type="character" w:styleId="982">
    <w:name w:val="FollowedHyperlink"/>
    <w:uiPriority w:val="99"/>
    <w:unhideWhenUsed/>
    <w:qFormat/>
    <w:rPr>
      <w:color w:val="800080"/>
      <w:u w:val="single"/>
    </w:rPr>
  </w:style>
  <w:style w:type="character" w:styleId="983">
    <w:name w:val="Hyperlink"/>
    <w:uiPriority w:val="0"/>
    <w:unhideWhenUsed/>
    <w:qFormat/>
    <w:rPr>
      <w:color w:val="0000ff"/>
      <w:u w:val="single"/>
    </w:rPr>
  </w:style>
  <w:style w:type="character" w:styleId="984">
    <w:name w:val="annotation reference"/>
    <w:uiPriority w:val="99"/>
    <w:qFormat/>
    <w:rPr>
      <w:sz w:val="21"/>
      <w:szCs w:val="21"/>
    </w:rPr>
  </w:style>
  <w:style w:type="character" w:styleId="985">
    <w:name w:val="footnote reference"/>
    <w:uiPriority w:val="0"/>
    <w:qFormat/>
    <w:rPr>
      <w:vertAlign w:val="superscript"/>
    </w:rPr>
  </w:style>
  <w:style w:type="paragraph" w:styleId="986" w:customStyle="1">
    <w:name w:val="首行缩进"/>
    <w:basedOn w:val="926"/>
    <w:uiPriority w:val="0"/>
    <w:qFormat/>
    <w:pPr>
      <w:ind w:firstLine="480"/>
    </w:pPr>
    <w:rPr>
      <w:rFonts w:ascii="Calibri" w:hAnsi="Calibri" w:eastAsia="宋体" w:cs="Times New Roman"/>
      <w:szCs w:val="20"/>
      <w:lang w:val="zh-CN"/>
    </w:rPr>
  </w:style>
  <w:style w:type="character" w:styleId="987" w:customStyle="1">
    <w:name w:val="标题 1 Char"/>
    <w:basedOn w:val="933"/>
    <w:link w:val="927"/>
    <w:uiPriority w:val="0"/>
    <w:qFormat/>
    <w:rPr>
      <w:rFonts w:ascii="Calibri" w:hAnsi="Calibri" w:eastAsia="楷体_GB2312" w:cs="Times New Roman"/>
      <w:b/>
      <w:sz w:val="44"/>
      <w:szCs w:val="20"/>
    </w:rPr>
  </w:style>
  <w:style w:type="character" w:styleId="988" w:customStyle="1">
    <w:name w:val="标题 2 Char"/>
    <w:basedOn w:val="933"/>
    <w:link w:val="928"/>
    <w:uiPriority w:val="0"/>
    <w:qFormat/>
    <w:rPr>
      <w:rFonts w:ascii="宋体" w:hAnsi="宋体" w:eastAsia="楷体_GB2312" w:cs="Times New Roman"/>
      <w:b/>
      <w:sz w:val="26"/>
      <w:szCs w:val="20"/>
    </w:rPr>
  </w:style>
  <w:style w:type="character" w:styleId="989" w:customStyle="1">
    <w:name w:val="标题 3 Char"/>
    <w:basedOn w:val="933"/>
    <w:link w:val="929"/>
    <w:uiPriority w:val="0"/>
    <w:qFormat/>
    <w:rPr>
      <w:rFonts w:ascii="Calibri" w:hAnsi="Calibri" w:eastAsia="楷体_GB2312" w:cs="Times New Roman"/>
      <w:b/>
      <w:sz w:val="26"/>
      <w:szCs w:val="20"/>
    </w:rPr>
  </w:style>
  <w:style w:type="character" w:styleId="990" w:customStyle="1">
    <w:name w:val="标题 4 Char"/>
    <w:basedOn w:val="933"/>
    <w:link w:val="930"/>
    <w:uiPriority w:val="0"/>
    <w:qFormat/>
    <w:rPr>
      <w:rFonts w:ascii="Arial" w:hAnsi="Arial" w:eastAsia="黑体" w:cs="Times New Roman"/>
      <w:b/>
      <w:bCs/>
      <w:sz w:val="28"/>
      <w:szCs w:val="28"/>
    </w:rPr>
  </w:style>
  <w:style w:type="character" w:styleId="991" w:customStyle="1">
    <w:name w:val="标题 5 Char"/>
    <w:basedOn w:val="933"/>
    <w:link w:val="931"/>
    <w:uiPriority w:val="0"/>
    <w:qFormat/>
    <w:rPr>
      <w:rFonts w:ascii="宋体" w:hAnsi="宋体" w:eastAsia="宋体" w:cs="Times New Roman"/>
      <w:color w:val="000000"/>
      <w:sz w:val="28"/>
      <w:szCs w:val="20"/>
    </w:rPr>
  </w:style>
  <w:style w:type="character" w:styleId="992" w:customStyle="1">
    <w:name w:val="标题 6 Char"/>
    <w:basedOn w:val="933"/>
    <w:link w:val="932"/>
    <w:uiPriority w:val="0"/>
    <w:qFormat/>
    <w:rPr>
      <w:rFonts w:ascii="宋体" w:hAnsi="宋体" w:eastAsia="宋体" w:cs="Times New Roman"/>
      <w:sz w:val="28"/>
      <w:szCs w:val="20"/>
    </w:rPr>
  </w:style>
  <w:style w:type="character" w:styleId="993" w:customStyle="1">
    <w:name w:val="正文缩进 Char"/>
    <w:link w:val="938"/>
    <w:uiPriority w:val="0"/>
    <w:qFormat/>
    <w:rPr>
      <w:rFonts w:ascii="宋体" w:hAnsi="宋体" w:cs="宋体"/>
      <w:sz w:val="24"/>
      <w:szCs w:val="24"/>
    </w:rPr>
  </w:style>
  <w:style w:type="character" w:styleId="994" w:customStyle="1">
    <w:name w:val="文档结构图 Char"/>
    <w:basedOn w:val="933"/>
    <w:link w:val="940"/>
    <w:uiPriority w:val="0"/>
    <w:qFormat/>
    <w:rPr>
      <w:rFonts w:ascii="Calibri" w:hAnsi="Calibri" w:eastAsia="楷体_GB2312" w:cs="Times New Roman"/>
      <w:sz w:val="26"/>
      <w:szCs w:val="20"/>
      <w:shd w:val="clear" w:color="auto" w:fill="000080"/>
    </w:rPr>
  </w:style>
  <w:style w:type="character" w:styleId="995" w:customStyle="1">
    <w:name w:val="批注文字 Char"/>
    <w:basedOn w:val="933"/>
    <w:link w:val="941"/>
    <w:uiPriority w:val="0"/>
    <w:qFormat/>
    <w:rPr>
      <w:rFonts w:ascii="Calibri" w:hAnsi="Calibri" w:eastAsia="楷体_GB2312" w:cs="Times New Roman"/>
      <w:sz w:val="26"/>
      <w:szCs w:val="20"/>
    </w:rPr>
  </w:style>
  <w:style w:type="character" w:styleId="996" w:customStyle="1">
    <w:name w:val="正文文本 Char"/>
    <w:basedOn w:val="933"/>
    <w:link w:val="943"/>
    <w:uiPriority w:val="0"/>
    <w:qFormat/>
    <w:rPr>
      <w:rFonts w:ascii="楷体_GB2312" w:hAnsi="Calibri" w:eastAsia="楷体_GB2312" w:cs="Times New Roman"/>
      <w:sz w:val="28"/>
      <w:szCs w:val="20"/>
    </w:rPr>
  </w:style>
  <w:style w:type="character" w:styleId="997" w:customStyle="1">
    <w:name w:val="正文文本缩进 Char"/>
    <w:basedOn w:val="933"/>
    <w:link w:val="944"/>
    <w:uiPriority w:val="0"/>
    <w:qFormat/>
    <w:rPr>
      <w:rFonts w:ascii="方正仿宋简体" w:hAnsi="创艺简仿宋" w:eastAsia="方正仿宋简体" w:cs="Times New Roman"/>
      <w:sz w:val="24"/>
      <w:szCs w:val="20"/>
    </w:rPr>
  </w:style>
  <w:style w:type="character" w:styleId="998" w:customStyle="1">
    <w:name w:val="纯文本 Char"/>
    <w:basedOn w:val="933"/>
    <w:link w:val="950"/>
    <w:uiPriority w:val="0"/>
    <w:qFormat/>
    <w:rPr>
      <w:rFonts w:ascii="宋体" w:hAnsi="Courier New" w:eastAsia="楷体_GB2312" w:cs="Times New Roman"/>
      <w:sz w:val="26"/>
      <w:szCs w:val="20"/>
    </w:rPr>
  </w:style>
  <w:style w:type="character" w:styleId="999" w:customStyle="1">
    <w:name w:val="日期 Char"/>
    <w:basedOn w:val="933"/>
    <w:link w:val="953"/>
    <w:uiPriority w:val="0"/>
    <w:qFormat/>
    <w:rPr>
      <w:rFonts w:ascii="宋体" w:hAnsi="宋体" w:eastAsia="楷体_GB2312" w:cs="Times New Roman"/>
      <w:sz w:val="24"/>
      <w:szCs w:val="20"/>
    </w:rPr>
  </w:style>
  <w:style w:type="character" w:styleId="1000" w:customStyle="1">
    <w:name w:val="正文文本缩进 2 Char"/>
    <w:basedOn w:val="933"/>
    <w:link w:val="954"/>
    <w:uiPriority w:val="0"/>
    <w:qFormat/>
    <w:rPr>
      <w:rFonts w:ascii="宋体" w:hAnsi="Calibri" w:eastAsia="宋体" w:cs="Times New Roman"/>
      <w:b/>
      <w:bCs/>
      <w:sz w:val="24"/>
      <w:szCs w:val="20"/>
    </w:rPr>
  </w:style>
  <w:style w:type="character" w:styleId="1001" w:customStyle="1">
    <w:name w:val="尾注文本 Char"/>
    <w:basedOn w:val="933"/>
    <w:link w:val="955"/>
    <w:uiPriority w:val="0"/>
    <w:qFormat/>
    <w:rPr>
      <w:rFonts w:ascii="Calibri" w:hAnsi="Calibri" w:eastAsia="楷体_GB2312" w:cs="Times New Roman"/>
      <w:sz w:val="26"/>
      <w:szCs w:val="20"/>
    </w:rPr>
  </w:style>
  <w:style w:type="character" w:styleId="1002" w:customStyle="1">
    <w:name w:val="批注框文本 Char"/>
    <w:basedOn w:val="933"/>
    <w:link w:val="956"/>
    <w:uiPriority w:val="99"/>
    <w:qFormat/>
    <w:rPr>
      <w:rFonts w:ascii="Calibri" w:hAnsi="Calibri" w:eastAsia="楷体_GB2312" w:cs="Times New Roman"/>
      <w:sz w:val="18"/>
      <w:szCs w:val="18"/>
    </w:rPr>
  </w:style>
  <w:style w:type="character" w:styleId="1003" w:customStyle="1">
    <w:name w:val="页脚 Char"/>
    <w:basedOn w:val="933"/>
    <w:link w:val="957"/>
    <w:uiPriority w:val="99"/>
    <w:qFormat/>
    <w:rPr>
      <w:rFonts w:ascii="Calibri" w:hAnsi="Calibri" w:eastAsia="楷体_GB2312" w:cs="Times New Roman"/>
      <w:sz w:val="18"/>
      <w:szCs w:val="20"/>
    </w:rPr>
  </w:style>
  <w:style w:type="character" w:styleId="1004" w:customStyle="1">
    <w:name w:val="页眉 Char"/>
    <w:basedOn w:val="933"/>
    <w:link w:val="958"/>
    <w:uiPriority w:val="99"/>
    <w:qFormat/>
    <w:rPr>
      <w:rFonts w:ascii="Calibri" w:hAnsi="Calibri" w:eastAsia="楷体_GB2312" w:cs="Times New Roman"/>
      <w:sz w:val="18"/>
      <w:szCs w:val="20"/>
    </w:rPr>
  </w:style>
  <w:style w:type="character" w:styleId="1005" w:customStyle="1">
    <w:name w:val="副标题 Char"/>
    <w:basedOn w:val="933"/>
    <w:link w:val="963"/>
    <w:uiPriority w:val="0"/>
    <w:qFormat/>
    <w:rPr>
      <w:rFonts w:ascii="Cambria" w:hAnsi="Cambria" w:eastAsia="宋体" w:cs="Times New Roman"/>
      <w:b/>
      <w:bCs/>
      <w:sz w:val="24"/>
      <w:szCs w:val="32"/>
    </w:rPr>
  </w:style>
  <w:style w:type="character" w:styleId="1006" w:customStyle="1">
    <w:name w:val="脚注文本 Char"/>
    <w:basedOn w:val="933"/>
    <w:link w:val="964"/>
    <w:uiPriority w:val="0"/>
    <w:qFormat/>
    <w:rPr>
      <w:rFonts w:ascii="Calibri" w:hAnsi="Calibri" w:eastAsia="楷体_GB2312" w:cs="Times New Roman"/>
      <w:sz w:val="18"/>
      <w:szCs w:val="20"/>
    </w:rPr>
  </w:style>
  <w:style w:type="character" w:styleId="1007" w:customStyle="1">
    <w:name w:val="正文文本缩进 3 Char"/>
    <w:basedOn w:val="933"/>
    <w:link w:val="966"/>
    <w:uiPriority w:val="0"/>
    <w:qFormat/>
    <w:rPr>
      <w:rFonts w:ascii="Calibri" w:hAnsi="Calibri" w:eastAsia="宋体" w:cs="Times New Roman"/>
      <w:sz w:val="24"/>
      <w:szCs w:val="24"/>
    </w:rPr>
  </w:style>
  <w:style w:type="character" w:styleId="1008" w:customStyle="1">
    <w:name w:val="HTML 预设格式 Char"/>
    <w:basedOn w:val="933"/>
    <w:link w:val="972"/>
    <w:uiPriority w:val="0"/>
    <w:qFormat/>
    <w:rPr>
      <w:rFonts w:ascii="黑体" w:hAnsi="Courier New" w:eastAsia="黑体" w:cs="Times New Roman"/>
      <w:sz w:val="20"/>
      <w:szCs w:val="20"/>
    </w:rPr>
  </w:style>
  <w:style w:type="character" w:styleId="1009" w:customStyle="1">
    <w:name w:val="标题 Char"/>
    <w:basedOn w:val="933"/>
    <w:link w:val="975"/>
    <w:uiPriority w:val="0"/>
    <w:qFormat/>
    <w:rPr>
      <w:rFonts w:ascii="Cambria" w:hAnsi="Cambria" w:eastAsia="宋体" w:cs="Times New Roman"/>
      <w:b/>
      <w:bCs/>
      <w:sz w:val="32"/>
      <w:szCs w:val="32"/>
    </w:rPr>
  </w:style>
  <w:style w:type="character" w:styleId="1010" w:customStyle="1">
    <w:name w:val="批注主题 Char"/>
    <w:basedOn w:val="995"/>
    <w:link w:val="976"/>
    <w:uiPriority w:val="99"/>
    <w:qFormat/>
    <w:rPr>
      <w:rFonts w:ascii="Calibri" w:hAnsi="Calibri" w:eastAsia="楷体_GB2312" w:cs="Times New Roman"/>
      <w:b/>
      <w:bCs/>
      <w:sz w:val="26"/>
      <w:szCs w:val="20"/>
    </w:rPr>
  </w:style>
  <w:style w:type="character" w:styleId="1011" w:customStyle="1">
    <w:name w:val="正文首行缩进 2 Char"/>
    <w:basedOn w:val="997"/>
    <w:link w:val="977"/>
    <w:uiPriority w:val="0"/>
    <w:qFormat/>
    <w:rPr>
      <w:rFonts w:ascii="Calibri" w:hAnsi="Calibri" w:eastAsia="楷体_GB2312" w:cs="Times New Roman"/>
      <w:sz w:val="26"/>
      <w:szCs w:val="20"/>
    </w:rPr>
  </w:style>
  <w:style w:type="character" w:styleId="1012" w:customStyle="1">
    <w:name w:val="Plain Text Char Char"/>
    <w:link w:val="1013"/>
    <w:uiPriority w:val="0"/>
    <w:qFormat/>
    <w:rPr>
      <w:rFonts w:ascii="宋体" w:hAnsi="Courier New" w:eastAsia="楷体_GB2312"/>
      <w:sz w:val="26"/>
    </w:rPr>
  </w:style>
  <w:style w:type="paragraph" w:styleId="1013" w:customStyle="1">
    <w:name w:val="纯文本3"/>
    <w:basedOn w:val="926"/>
    <w:link w:val="1012"/>
    <w:uiPriority w:val="0"/>
    <w:qFormat/>
    <w:rPr>
      <w:rFonts w:ascii="宋体" w:hAnsi="Courier New" w:eastAsia="楷体_GB2312"/>
      <w:sz w:val="26"/>
    </w:rPr>
  </w:style>
  <w:style w:type="character" w:styleId="1014" w:customStyle="1">
    <w:name w:val="styl81"/>
    <w:uiPriority w:val="0"/>
    <w:qFormat/>
    <w:rPr>
      <w:sz w:val="21"/>
    </w:rPr>
  </w:style>
  <w:style w:type="character" w:styleId="1015" w:customStyle="1">
    <w:name w:val="Plain Text Char"/>
    <w:link w:val="1016"/>
    <w:uiPriority w:val="0"/>
    <w:qFormat/>
    <w:rPr>
      <w:rFonts w:ascii="宋体" w:hAnsi="Courier New" w:eastAsia="楷体_GB2312"/>
      <w:sz w:val="26"/>
    </w:rPr>
  </w:style>
  <w:style w:type="paragraph" w:styleId="1016" w:customStyle="1">
    <w:name w:val="纯文本1"/>
    <w:basedOn w:val="926"/>
    <w:link w:val="1015"/>
    <w:uiPriority w:val="0"/>
    <w:qFormat/>
    <w:rPr>
      <w:rFonts w:ascii="宋体" w:hAnsi="Courier New" w:eastAsia="楷体_GB2312"/>
      <w:sz w:val="26"/>
    </w:rPr>
  </w:style>
  <w:style w:type="character" w:styleId="1017" w:customStyle="1">
    <w:name w:val="表正文 Char1"/>
    <w:uiPriority w:val="0"/>
    <w:qFormat/>
    <w:rPr>
      <w:rFonts w:eastAsia="楷体_GB2312"/>
      <w:sz w:val="24"/>
      <w:lang w:val="en-US" w:eastAsia="zh-CN" w:bidi="ar-SA"/>
    </w:rPr>
  </w:style>
  <w:style w:type="character" w:styleId="1018" w:customStyle="1">
    <w:name w:val="_正文段落 Char"/>
    <w:link w:val="1019"/>
    <w:uiPriority w:val="0"/>
    <w:qFormat/>
    <w:rPr>
      <w:rFonts w:ascii="宋体" w:hAnsi="宋体"/>
      <w:sz w:val="24"/>
      <w:szCs w:val="24"/>
    </w:rPr>
  </w:style>
  <w:style w:type="paragraph" w:styleId="1019" w:customStyle="1">
    <w:name w:val="_正文段落"/>
    <w:basedOn w:val="926"/>
    <w:link w:val="1018"/>
    <w:uiPriority w:val="0"/>
    <w:qFormat/>
    <w:pPr>
      <w:ind w:firstLine="480"/>
      <w:spacing w:line="360" w:lineRule="auto"/>
    </w:pPr>
    <w:rPr>
      <w:rFonts w:ascii="宋体" w:hAnsi="宋体"/>
      <w:sz w:val="24"/>
      <w:szCs w:val="24"/>
    </w:rPr>
  </w:style>
  <w:style w:type="character" w:styleId="1020" w:customStyle="1">
    <w:name w:val="Andy_正文 Char"/>
    <w:link w:val="1021"/>
    <w:uiPriority w:val="0"/>
    <w:qFormat/>
    <w:rPr>
      <w:sz w:val="24"/>
      <w:szCs w:val="24"/>
    </w:rPr>
  </w:style>
  <w:style w:type="paragraph" w:styleId="1021" w:customStyle="1">
    <w:name w:val="Andy_正文"/>
    <w:basedOn w:val="926"/>
    <w:link w:val="1020"/>
    <w:uiPriority w:val="0"/>
    <w:qFormat/>
    <w:pPr>
      <w:ind w:firstLine="480"/>
      <w:spacing w:line="360" w:lineRule="auto"/>
    </w:pPr>
    <w:rPr>
      <w:sz w:val="24"/>
      <w:szCs w:val="24"/>
    </w:rPr>
  </w:style>
  <w:style w:type="character" w:styleId="1022" w:customStyle="1">
    <w:name w:val="正文缩进 Char1"/>
    <w:uiPriority w:val="0"/>
    <w:qFormat/>
    <w:rPr>
      <w:rFonts w:eastAsia="楷体_GB2312"/>
      <w:sz w:val="24"/>
    </w:rPr>
  </w:style>
  <w:style w:type="character" w:styleId="1023" w:customStyle="1">
    <w:name w:val="副标题 Char1"/>
    <w:uiPriority w:val="11"/>
    <w:qFormat/>
    <w:rPr>
      <w:rFonts w:ascii="Cambria" w:hAnsi="Cambria" w:cs="Times New Roman"/>
      <w:b/>
      <w:bCs/>
      <w:sz w:val="32"/>
      <w:szCs w:val="32"/>
    </w:rPr>
  </w:style>
  <w:style w:type="character" w:styleId="1024" w:customStyle="1">
    <w:name w:val="Andy_2级 Char"/>
    <w:link w:val="1025"/>
    <w:uiPriority w:val="0"/>
    <w:qFormat/>
    <w:rPr>
      <w:sz w:val="24"/>
    </w:rPr>
  </w:style>
  <w:style w:type="paragraph" w:styleId="1025" w:customStyle="1">
    <w:name w:val="Andy_2级"/>
    <w:basedOn w:val="926"/>
    <w:link w:val="1024"/>
    <w:uiPriority w:val="0"/>
    <w:qFormat/>
    <w:pPr>
      <w:numPr>
        <w:ilvl w:val="1"/>
        <w:numId w:val="1"/>
      </w:numPr>
      <w:spacing w:line="360" w:lineRule="auto"/>
    </w:pPr>
    <w:rPr>
      <w:sz w:val="24"/>
    </w:rPr>
  </w:style>
  <w:style w:type="character" w:styleId="1026" w:customStyle="1">
    <w:name w:val="副标题 Char2"/>
    <w:uiPriority w:val="0"/>
    <w:qFormat/>
    <w:rPr>
      <w:rFonts w:ascii="Cambria" w:hAnsi="Cambria" w:cs="Times New Roman"/>
      <w:b/>
      <w:bCs/>
      <w:sz w:val="32"/>
      <w:szCs w:val="32"/>
    </w:rPr>
  </w:style>
  <w:style w:type="character" w:styleId="1027" w:customStyle="1">
    <w:name w:val="正文首行缩进 2 Char1"/>
    <w:uiPriority w:val="0"/>
    <w:qFormat/>
    <w:rPr>
      <w:rFonts w:ascii="方正仿宋简体" w:hAnsi="创艺简仿宋" w:eastAsia="楷体_GB2312"/>
      <w:sz w:val="26"/>
    </w:rPr>
  </w:style>
  <w:style w:type="character" w:styleId="1028" w:customStyle="1">
    <w:name w:val="ca-221"/>
    <w:uiPriority w:val="0"/>
    <w:qFormat/>
    <w:rPr>
      <w:rFonts w:hint="eastAsia" w:ascii="宋体" w:hAnsi="宋体" w:eastAsia="宋体"/>
      <w:color w:val="ff0000"/>
      <w:sz w:val="24"/>
      <w:szCs w:val="24"/>
    </w:rPr>
  </w:style>
  <w:style w:type="paragraph" w:styleId="1029" w:customStyle="1">
    <w:name w:val="纯文本11"/>
    <w:basedOn w:val="926"/>
    <w:uiPriority w:val="0"/>
    <w:qFormat/>
    <w:rPr>
      <w:rFonts w:ascii="宋体" w:hAnsi="Courier New" w:eastAsia="楷体_GB2312" w:cs="Times New Roman"/>
      <w:sz w:val="26"/>
      <w:szCs w:val="20"/>
    </w:rPr>
  </w:style>
  <w:style w:type="paragraph" w:styleId="1030" w:customStyle="1">
    <w:name w:val="xl70"/>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31" w:customStyle="1">
    <w:name w:val="xl69"/>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32" w:customStyle="1">
    <w:name w:val="xl79"/>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33" w:customStyle="1">
    <w:name w:val="xl86"/>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34" w:customStyle="1">
    <w:name w:val="纯文本2"/>
    <w:basedOn w:val="926"/>
    <w:uiPriority w:val="0"/>
    <w:qFormat/>
    <w:rPr>
      <w:rFonts w:ascii="宋体" w:hAnsi="Courier New" w:eastAsia="楷体_GB2312" w:cs="Times New Roman"/>
      <w:sz w:val="26"/>
      <w:szCs w:val="20"/>
    </w:rPr>
  </w:style>
  <w:style w:type="paragraph" w:styleId="1035" w:customStyle="1">
    <w:name w:val="列出段落2"/>
    <w:basedOn w:val="926"/>
    <w:uiPriority w:val="0"/>
    <w:qFormat/>
    <w:pPr>
      <w:ind w:firstLine="420"/>
    </w:pPr>
    <w:rPr>
      <w:rFonts w:ascii="Calibri" w:hAnsi="Calibri" w:eastAsia="宋体" w:cs="Times New Roman"/>
    </w:rPr>
  </w:style>
  <w:style w:type="paragraph" w:styleId="1036" w:customStyle="1">
    <w:name w:val="xl78"/>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37" w:customStyle="1">
    <w:name w:val="xl96"/>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38" w:customStyle="1">
    <w:name w:val="Char Char Char Char"/>
    <w:basedOn w:val="940"/>
    <w:uiPriority w:val="0"/>
    <w:qFormat/>
    <w:pPr>
      <w:ind w:left="357"/>
      <w:jc w:val="left"/>
      <w:spacing w:line="436" w:lineRule="exact"/>
      <w:outlineLvl w:val="3"/>
    </w:pPr>
    <w:rPr>
      <w:rFonts w:ascii="Tahoma" w:hAnsi="Tahoma" w:eastAsia="宋体"/>
      <w:b/>
      <w:sz w:val="24"/>
      <w:szCs w:val="24"/>
    </w:rPr>
  </w:style>
  <w:style w:type="paragraph" w:styleId="1039" w:customStyle="1">
    <w:name w:val="列出段落1"/>
    <w:basedOn w:val="926"/>
    <w:uiPriority w:val="0"/>
    <w:qFormat/>
    <w:pPr>
      <w:ind w:firstLine="420"/>
    </w:pPr>
    <w:rPr>
      <w:rFonts w:ascii="Calibri" w:hAnsi="Calibri" w:eastAsia="楷体_GB2312" w:cs="Times New Roman"/>
      <w:sz w:val="26"/>
      <w:szCs w:val="20"/>
    </w:rPr>
  </w:style>
  <w:style w:type="paragraph" w:styleId="1040" w:customStyle="1">
    <w:name w:val="xl74"/>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41" w:customStyle="1">
    <w:name w:val="纯文本4"/>
    <w:basedOn w:val="926"/>
    <w:uiPriority w:val="0"/>
    <w:qFormat/>
    <w:rPr>
      <w:rFonts w:ascii="宋体" w:hAnsi="Courier New" w:eastAsia="楷体_GB2312" w:cs="Times New Roman"/>
      <w:sz w:val="26"/>
      <w:szCs w:val="20"/>
    </w:rPr>
  </w:style>
  <w:style w:type="paragraph" w:styleId="1042" w:customStyle="1">
    <w:name w:val="xl92"/>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43" w:customStyle="1">
    <w:name w:val="xl66"/>
    <w:basedOn w:val="926"/>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44" w:customStyle="1">
    <w:name w:val="xl94"/>
    <w:basedOn w:val="926"/>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45" w:customStyle="1">
    <w:name w:val="Char Char3"/>
    <w:basedOn w:val="926"/>
    <w:uiPriority w:val="0"/>
    <w:qFormat/>
    <w:pPr>
      <w:jc w:val="left"/>
      <w:spacing w:after="160" w:line="240" w:lineRule="exact"/>
      <w:widowControl/>
    </w:pPr>
    <w:rPr>
      <w:rFonts w:ascii="Calibri" w:hAnsi="Calibri" w:eastAsia="宋体" w:cs="Times New Roman"/>
      <w:sz w:val="24"/>
      <w:szCs w:val="24"/>
    </w:rPr>
  </w:style>
  <w:style w:type="paragraph" w:styleId="1046" w:customStyle="1">
    <w:name w:val="xl95"/>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47" w:customStyle="1">
    <w:name w:val="xl85"/>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48" w:customStyle="1">
    <w:name w:val="q3"/>
    <w:basedOn w:val="926"/>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49" w:customStyle="1">
    <w:name w:val="xl91"/>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50" w:customStyle="1">
    <w:name w:val="Char Char Char"/>
    <w:basedOn w:val="926"/>
    <w:uiPriority w:val="0"/>
    <w:qFormat/>
    <w:pPr>
      <w:numPr>
        <w:ilvl w:val="0"/>
        <w:numId w:val="2"/>
      </w:numPr>
    </w:pPr>
    <w:rPr>
      <w:rFonts w:ascii="Calibri" w:hAnsi="Calibri" w:eastAsia="宋体" w:cs="Times New Roman"/>
      <w:sz w:val="24"/>
      <w:szCs w:val="24"/>
    </w:rPr>
  </w:style>
  <w:style w:type="paragraph" w:styleId="1051" w:customStyle="1">
    <w:name w:val="xl80"/>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52" w:customStyle="1">
    <w:name w:val="修订1"/>
    <w:uiPriority w:val="99"/>
    <w:unhideWhenUsed/>
    <w:qFormat/>
    <w:rPr>
      <w:rFonts w:ascii="Calibri" w:hAnsi="Calibri" w:eastAsia="楷体_GB2312" w:cs="Times New Roman"/>
      <w:sz w:val="26"/>
      <w:lang w:val="en-US" w:eastAsia="zh-CN" w:bidi="ar-SA"/>
    </w:rPr>
  </w:style>
  <w:style w:type="paragraph" w:styleId="1053" w:customStyle="1">
    <w:name w:val="xl72"/>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54"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1055" w:customStyle="1">
    <w:name w:val="纯文本111"/>
    <w:basedOn w:val="926"/>
    <w:uiPriority w:val="0"/>
    <w:qFormat/>
    <w:rPr>
      <w:rFonts w:ascii="宋体" w:hAnsi="Courier New" w:eastAsia="楷体_GB2312" w:cs="Times New Roman"/>
      <w:sz w:val="26"/>
      <w:szCs w:val="20"/>
    </w:rPr>
  </w:style>
  <w:style w:type="paragraph" w:styleId="1056" w:customStyle="1">
    <w:name w:val="xl93"/>
    <w:basedOn w:val="92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57"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58" w:customStyle="1">
    <w:name w:val="xl71"/>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59" w:customStyle="1">
    <w:name w:val="xl87"/>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60" w:customStyle="1">
    <w:name w:val="Char"/>
    <w:basedOn w:val="926"/>
    <w:uiPriority w:val="0"/>
    <w:qFormat/>
    <w:pPr>
      <w:jc w:val="left"/>
      <w:spacing w:after="160" w:line="240" w:lineRule="exact"/>
      <w:widowControl/>
    </w:pPr>
    <w:rPr>
      <w:rFonts w:ascii="Verdana" w:hAnsi="Verdana" w:eastAsia="仿宋_GB2312" w:cs="Times New Roman"/>
      <w:sz w:val="24"/>
      <w:szCs w:val="20"/>
      <w:lang w:eastAsia="en-US"/>
    </w:rPr>
  </w:style>
  <w:style w:type="paragraph" w:styleId="1061" w:customStyle="1">
    <w:name w:val="xl67"/>
    <w:basedOn w:val="926"/>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62" w:customStyle="1">
    <w:name w:val="xl81"/>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63" w:customStyle="1">
    <w:name w:val="xl73"/>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4" w:customStyle="1">
    <w:name w:val="xl68"/>
    <w:basedOn w:val="926"/>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65" w:customStyle="1">
    <w:name w:val="正文1"/>
    <w:basedOn w:val="926"/>
    <w:next w:val="926"/>
    <w:uiPriority w:val="0"/>
    <w:qFormat/>
    <w:pPr>
      <w:ind w:left="420" w:firstLine="527"/>
      <w:spacing w:before="120" w:line="360" w:lineRule="auto"/>
    </w:pPr>
    <w:rPr>
      <w:rFonts w:ascii="宋体" w:hAnsi="宋体" w:eastAsia="宋体" w:cs="Times New Roman"/>
      <w:sz w:val="24"/>
      <w:szCs w:val="24"/>
    </w:rPr>
  </w:style>
  <w:style w:type="paragraph" w:styleId="1066" w:customStyle="1">
    <w:name w:val="xl90"/>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67" w:customStyle="1">
    <w:name w:val="xl83"/>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68" w:customStyle="1">
    <w:name w:val="xl76"/>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69" w:customStyle="1">
    <w:name w:val="xl82"/>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70">
    <w:name w:val="List Paragraph"/>
    <w:basedOn w:val="926"/>
    <w:uiPriority w:val="34"/>
    <w:qFormat/>
    <w:pPr>
      <w:ind w:firstLine="420"/>
    </w:pPr>
    <w:rPr>
      <w:rFonts w:ascii="Calibri" w:hAnsi="Calibri" w:eastAsia="楷体_GB2312" w:cs="Times New Roman"/>
      <w:sz w:val="26"/>
      <w:szCs w:val="20"/>
    </w:rPr>
  </w:style>
  <w:style w:type="paragraph" w:styleId="1071" w:customStyle="1">
    <w:name w:val="纯文本5"/>
    <w:basedOn w:val="926"/>
    <w:uiPriority w:val="0"/>
    <w:qFormat/>
    <w:rPr>
      <w:rFonts w:ascii="宋体" w:hAnsi="Courier New" w:eastAsia="楷体_GB2312" w:cs="Times New Roman"/>
      <w:sz w:val="26"/>
      <w:szCs w:val="20"/>
    </w:rPr>
  </w:style>
  <w:style w:type="paragraph" w:styleId="1072" w:customStyle="1">
    <w:name w:val="xl84"/>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3" w:customStyle="1">
    <w:name w:val="xl88"/>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74" w:customStyle="1">
    <w:name w:val="xl75"/>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75" w:customStyle="1">
    <w:name w:val="xl97"/>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76" w:customStyle="1">
    <w:name w:val="xl77"/>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7" w:customStyle="1">
    <w:name w:val="xl89"/>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78" w:customStyle="1">
    <w:name w:val="Table Grid"/>
    <w:uiPriority w:val="0"/>
    <w:qFormat/>
    <w:rPr>
      <w:rFonts w:ascii="Calibri" w:hAnsi="Calibri"/>
    </w:rPr>
    <w:tblPr>
      <w:tblCellMar>
        <w:left w:w="0" w:type="dxa"/>
        <w:top w:w="0" w:type="dxa"/>
        <w:right w:w="0" w:type="dxa"/>
        <w:bottom w:w="0" w:type="dxa"/>
      </w:tblCellMar>
    </w:tblPr>
  </w:style>
  <w:style w:type="paragraph" w:styleId="1079" w:customStyle="1">
    <w:name w:val="Plain Text1"/>
    <w:basedOn w:val="926"/>
    <w:uiPriority w:val="0"/>
    <w:qFormat/>
    <w:rPr>
      <w:rFonts w:ascii="宋体" w:hAnsi="Courier New" w:eastAsia="楷体_GB2312" w:cs="Times New Roman"/>
      <w:sz w:val="26"/>
      <w:szCs w:val="20"/>
    </w:rPr>
  </w:style>
  <w:style w:type="table" w:styleId="1080" w:customStyle="1">
    <w:name w:val="网格型1"/>
    <w:basedOn w:val="93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1"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82"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83"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84"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85"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86"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87" w:customStyle="1">
    <w:name w:val="font81"/>
    <w:basedOn w:val="933"/>
    <w:uiPriority w:val="0"/>
    <w:qFormat/>
    <w:rPr>
      <w:rFonts w:hint="eastAsia" w:ascii="宋体" w:hAnsi="宋体" w:eastAsia="宋体" w:cs="宋体"/>
      <w:color w:val="000000"/>
      <w:sz w:val="18"/>
      <w:szCs w:val="18"/>
      <w:u w:val="none"/>
    </w:rPr>
  </w:style>
  <w:style w:type="character" w:styleId="1088" w:customStyle="1">
    <w:name w:val="font91"/>
    <w:basedOn w:val="933"/>
    <w:uiPriority w:val="0"/>
    <w:qFormat/>
    <w:rPr>
      <w:rFonts w:hint="eastAsia" w:ascii="宋体" w:hAnsi="宋体" w:eastAsia="宋体" w:cs="宋体"/>
      <w:b/>
      <w:bCs/>
      <w:color w:val="ff0000"/>
      <w:sz w:val="18"/>
      <w:szCs w:val="18"/>
      <w:u w:val="none"/>
    </w:rPr>
  </w:style>
  <w:style w:type="character" w:styleId="1089" w:customStyle="1">
    <w:name w:val="font21"/>
    <w:basedOn w:val="933"/>
    <w:uiPriority w:val="0"/>
    <w:qFormat/>
    <w:rPr>
      <w:rFonts w:hint="eastAsia" w:ascii="宋体" w:hAnsi="宋体" w:eastAsia="宋体" w:cs="宋体"/>
      <w:b/>
      <w:bCs/>
      <w:color w:val="000000"/>
      <w:sz w:val="22"/>
      <w:szCs w:val="22"/>
      <w:u w:val="none"/>
    </w:rPr>
  </w:style>
  <w:style w:type="character" w:styleId="1090" w:customStyle="1">
    <w:name w:val="font51"/>
    <w:basedOn w:val="933"/>
    <w:uiPriority w:val="0"/>
    <w:qFormat/>
    <w:rPr>
      <w:rFonts w:hint="eastAsia" w:ascii="宋体" w:hAnsi="宋体" w:eastAsia="宋体" w:cs="宋体"/>
      <w:b/>
      <w:bCs/>
      <w:color w:val="ff0000"/>
      <w:sz w:val="22"/>
      <w:szCs w:val="22"/>
      <w:u w:val="none"/>
    </w:rPr>
  </w:style>
  <w:style w:type="character" w:styleId="1091" w:customStyle="1">
    <w:name w:val="font31"/>
    <w:basedOn w:val="933"/>
    <w:uiPriority w:val="0"/>
    <w:qFormat/>
    <w:rPr>
      <w:rFonts w:hint="eastAsia" w:ascii="宋体" w:hAnsi="宋体" w:eastAsia="宋体" w:cs="宋体"/>
      <w:color w:val="000000"/>
      <w:sz w:val="22"/>
      <w:szCs w:val="22"/>
      <w:u w:val="none"/>
    </w:rPr>
  </w:style>
  <w:style w:type="character" w:styleId="1092" w:customStyle="1">
    <w:name w:val="font61"/>
    <w:basedOn w:val="933"/>
    <w:uiPriority w:val="0"/>
    <w:qFormat/>
    <w:rPr>
      <w:rFonts w:hint="eastAsia" w:ascii="宋体" w:hAnsi="宋体" w:eastAsia="宋体" w:cs="宋体"/>
      <w:color w:val="ff0000"/>
      <w:sz w:val="22"/>
      <w:szCs w:val="22"/>
      <w:u w:val="none"/>
    </w:rPr>
  </w:style>
  <w:style w:type="table" w:styleId="1093" w:customStyle="1">
    <w:name w:val="Table Normal"/>
    <w:uiPriority w:val="0"/>
    <w:unhideWhenUsed/>
    <w:qFormat/>
    <w:tblPr>
      <w:tblCellMar>
        <w:left w:w="0" w:type="dxa"/>
        <w:top w:w="0" w:type="dxa"/>
        <w:right w:w="0" w:type="dxa"/>
        <w:bottom w:w="0" w:type="dxa"/>
      </w:tblCellMar>
    </w:tblPr>
  </w:style>
  <w:style w:type="paragraph" w:styleId="1094"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character" w:styleId="1095" w:customStyle="1">
    <w:name w:val="font12"/>
    <w:basedOn w:val="933"/>
    <w:uiPriority w:val="0"/>
    <w:qFormat/>
    <w:rPr>
      <w:rFonts w:hint="eastAsia" w:ascii="宋体" w:hAnsi="宋体" w:eastAsia="宋体" w:cs="宋体"/>
      <w:color w:val="000000"/>
      <w:sz w:val="20"/>
      <w:szCs w:val="20"/>
      <w:u w:val="none"/>
    </w:rPr>
  </w:style>
  <w:style w:type="character" w:styleId="1096" w:customStyle="1">
    <w:name w:val="font251"/>
    <w:basedOn w:val="933"/>
    <w:uiPriority w:val="0"/>
    <w:qFormat/>
    <w:rPr>
      <w:rFonts w:hint="eastAsia" w:ascii="宋体" w:hAnsi="宋体" w:eastAsia="宋体" w:cs="宋体"/>
      <w:color w:val="ff0000"/>
      <w:sz w:val="20"/>
      <w:szCs w:val="20"/>
      <w:u w:val="none"/>
    </w:rPr>
  </w:style>
  <w:style w:type="character" w:styleId="1097" w:customStyle="1">
    <w:name w:val="font191"/>
    <w:basedOn w:val="933"/>
    <w:uiPriority w:val="0"/>
    <w:qFormat/>
    <w:rPr>
      <w:rFonts w:hint="eastAsia" w:ascii="宋体" w:hAnsi="宋体" w:eastAsia="宋体" w:cs="宋体"/>
      <w:color w:val="000000"/>
      <w:sz w:val="21"/>
      <w:szCs w:val="21"/>
      <w:u w:val="none"/>
    </w:rPr>
  </w:style>
  <w:style w:type="character" w:styleId="1098" w:customStyle="1">
    <w:name w:val="font261"/>
    <w:basedOn w:val="933"/>
    <w:uiPriority w:val="0"/>
    <w:qFormat/>
    <w:rPr>
      <w:rFonts w:hint="eastAsia" w:ascii="宋体" w:hAnsi="宋体" w:eastAsia="宋体" w:cs="宋体"/>
      <w:color w:val="ff0000"/>
      <w:sz w:val="21"/>
      <w:szCs w:val="21"/>
      <w:u w:val="none"/>
    </w:rPr>
  </w:style>
  <w:style w:type="character" w:styleId="1099" w:customStyle="1">
    <w:name w:val="font212"/>
    <w:basedOn w:val="933"/>
    <w:uiPriority w:val="0"/>
    <w:qFormat/>
    <w:rPr>
      <w:rFonts w:hint="eastAsia" w:ascii="宋体" w:hAnsi="宋体" w:eastAsia="宋体" w:cs="宋体"/>
      <w:b/>
      <w:bCs/>
      <w:color w:val="000000"/>
      <w:sz w:val="21"/>
      <w:szCs w:val="21"/>
      <w:u w:val="none"/>
    </w:rPr>
  </w:style>
  <w:style w:type="character" w:styleId="1100" w:customStyle="1">
    <w:name w:val="font271"/>
    <w:basedOn w:val="933"/>
    <w:uiPriority w:val="0"/>
    <w:qFormat/>
    <w:rPr>
      <w:rFonts w:hint="eastAsia" w:ascii="宋体" w:hAnsi="宋体" w:eastAsia="宋体" w:cs="宋体"/>
      <w:b/>
      <w:bCs/>
      <w:color w:val="000000"/>
      <w:sz w:val="21"/>
      <w:szCs w:val="21"/>
      <w:u w:val="single"/>
    </w:rPr>
  </w:style>
  <w:style w:type="character" w:styleId="1101" w:customStyle="1">
    <w:name w:val="font11"/>
    <w:basedOn w:val="933"/>
    <w:uiPriority w:val="0"/>
    <w:qFormat/>
    <w:rPr>
      <w:rFonts w:hint="eastAsia" w:ascii="宋体" w:hAnsi="宋体" w:eastAsia="宋体" w:cs="宋体"/>
      <w:color w:val="000000"/>
      <w:sz w:val="21"/>
      <w:szCs w:val="21"/>
      <w:u w:val="none"/>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7" textRotate="1"/>
    <customShpInfo spid="_x0000_s1028" textRotate="1"/>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87DD2E-9A9C-4E31-9DB9-6F5AC43A08B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陆宇</cp:lastModifiedBy>
  <cp:revision>56</cp:revision>
  <dcterms:created xsi:type="dcterms:W3CDTF">2024-10-11T07:21:00Z</dcterms:created>
  <dcterms:modified xsi:type="dcterms:W3CDTF">2024-10-18T08:14:18Z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54E512AC5CB7406A8738FF3E04046266_13</vt:lpwstr>
  </property>
</Properties>
</file>