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3F341E">
      <w:pPr>
        <w:pStyle w:val="226"/>
        <w:ind w:firstLine="0"/>
        <w:rPr>
          <w:rFonts w:ascii="仿宋" w:hAnsi="仿宋" w:eastAsia="仿宋" w:cs="仿宋"/>
          <w:b/>
          <w:bCs/>
          <w:color w:val="auto"/>
          <w:sz w:val="84"/>
          <w:highlight w:val="none"/>
        </w:rPr>
      </w:pPr>
    </w:p>
    <w:p w14:paraId="2698B3F2">
      <w:pPr>
        <w:pStyle w:val="226"/>
        <w:ind w:firstLine="0"/>
        <w:jc w:val="center"/>
        <w:rPr>
          <w:rFonts w:ascii="仿宋" w:hAnsi="仿宋" w:eastAsia="仿宋" w:cs="仿宋"/>
          <w:b/>
          <w:bCs/>
          <w:color w:val="auto"/>
          <w:sz w:val="84"/>
          <w:highlight w:val="none"/>
        </w:rPr>
      </w:pPr>
      <w:r>
        <w:rPr>
          <w:rFonts w:hint="eastAsia" w:ascii="仿宋" w:hAnsi="仿宋" w:eastAsia="仿宋" w:cs="仿宋"/>
          <w:b/>
          <w:bCs/>
          <w:color w:val="auto"/>
          <w:sz w:val="84"/>
          <w:highlight w:val="none"/>
        </w:rPr>
        <w:t>招　标　文　件</w:t>
      </w:r>
    </w:p>
    <w:p w14:paraId="26E9EBFF">
      <w:pPr>
        <w:spacing w:before="120" w:after="120" w:line="360" w:lineRule="auto"/>
        <w:jc w:val="center"/>
        <w:rPr>
          <w:rFonts w:ascii="仿宋" w:hAnsi="仿宋" w:eastAsia="仿宋" w:cs="仿宋"/>
          <w:b/>
          <w:bCs/>
          <w:color w:val="auto"/>
          <w:sz w:val="32"/>
          <w:szCs w:val="24"/>
          <w:highlight w:val="none"/>
        </w:rPr>
      </w:pPr>
      <w:r>
        <w:rPr>
          <w:rFonts w:ascii="仿宋" w:hAnsi="仿宋" w:eastAsia="仿宋" w:cs="仿宋"/>
          <w:b/>
          <w:bCs/>
          <w:color w:val="auto"/>
          <w:sz w:val="32"/>
          <w:szCs w:val="24"/>
          <w:highlight w:val="none"/>
        </w:rPr>
        <w:t>项目编号：</w:t>
      </w:r>
      <w:r>
        <w:rPr>
          <w:rFonts w:hint="eastAsia" w:ascii="仿宋" w:hAnsi="仿宋" w:eastAsia="仿宋" w:cs="仿宋"/>
          <w:b/>
          <w:bCs/>
          <w:color w:val="auto"/>
          <w:sz w:val="32"/>
          <w:szCs w:val="24"/>
          <w:highlight w:val="none"/>
        </w:rPr>
        <w:t>JSZC-320623-NTCJ-G2025-0008</w:t>
      </w:r>
    </w:p>
    <w:p w14:paraId="049BE606">
      <w:pPr>
        <w:spacing w:before="120" w:after="120" w:line="360" w:lineRule="auto"/>
        <w:ind w:left="2887" w:hanging="2249"/>
        <w:jc w:val="left"/>
        <w:rPr>
          <w:rFonts w:ascii="仿宋" w:hAnsi="仿宋" w:eastAsia="仿宋" w:cs="仿宋"/>
          <w:b/>
          <w:bCs/>
          <w:color w:val="auto"/>
          <w:sz w:val="32"/>
          <w:szCs w:val="24"/>
          <w:highlight w:val="none"/>
        </w:rPr>
      </w:pPr>
    </w:p>
    <w:p w14:paraId="58A8F1AC">
      <w:pPr>
        <w:spacing w:before="120" w:after="120" w:line="360" w:lineRule="auto"/>
        <w:ind w:left="2887" w:hanging="2249"/>
        <w:jc w:val="left"/>
        <w:rPr>
          <w:rFonts w:ascii="仿宋" w:hAnsi="仿宋" w:eastAsia="仿宋" w:cs="仿宋"/>
          <w:b/>
          <w:bCs/>
          <w:color w:val="auto"/>
          <w:sz w:val="32"/>
          <w:szCs w:val="24"/>
          <w:highlight w:val="none"/>
        </w:rPr>
      </w:pPr>
    </w:p>
    <w:p w14:paraId="10C8A368">
      <w:pPr>
        <w:spacing w:before="120" w:after="120" w:line="360" w:lineRule="auto"/>
        <w:ind w:left="2887" w:hanging="2249"/>
        <w:jc w:val="left"/>
        <w:rPr>
          <w:rFonts w:ascii="仿宋" w:hAnsi="仿宋" w:eastAsia="仿宋" w:cs="仿宋"/>
          <w:b/>
          <w:bCs/>
          <w:color w:val="auto"/>
          <w:sz w:val="32"/>
          <w:szCs w:val="24"/>
          <w:highlight w:val="none"/>
        </w:rPr>
      </w:pPr>
    </w:p>
    <w:p w14:paraId="61FF33CA">
      <w:pPr>
        <w:spacing w:before="120" w:after="120" w:line="360" w:lineRule="auto"/>
        <w:ind w:left="2887" w:hanging="2249"/>
        <w:jc w:val="left"/>
        <w:rPr>
          <w:rFonts w:ascii="仿宋" w:hAnsi="仿宋" w:eastAsia="仿宋" w:cs="仿宋"/>
          <w:b/>
          <w:bCs/>
          <w:color w:val="auto"/>
          <w:sz w:val="32"/>
          <w:szCs w:val="24"/>
          <w:highlight w:val="none"/>
        </w:rPr>
      </w:pPr>
    </w:p>
    <w:p w14:paraId="7A69B509">
      <w:pPr>
        <w:pStyle w:val="78"/>
        <w:rPr>
          <w:rFonts w:ascii="仿宋" w:hAnsi="仿宋" w:eastAsia="仿宋" w:cs="仿宋"/>
          <w:b/>
          <w:bCs/>
          <w:color w:val="auto"/>
          <w:sz w:val="32"/>
          <w:szCs w:val="24"/>
          <w:highlight w:val="none"/>
        </w:rPr>
      </w:pPr>
    </w:p>
    <w:p w14:paraId="223F3EA1">
      <w:pPr>
        <w:pStyle w:val="78"/>
        <w:rPr>
          <w:rFonts w:ascii="仿宋" w:hAnsi="仿宋" w:eastAsia="仿宋" w:cs="仿宋"/>
          <w:b/>
          <w:bCs/>
          <w:color w:val="auto"/>
          <w:sz w:val="32"/>
          <w:szCs w:val="24"/>
          <w:highlight w:val="none"/>
        </w:rPr>
      </w:pPr>
    </w:p>
    <w:p w14:paraId="4AD04A18">
      <w:pPr>
        <w:spacing w:before="120" w:after="120" w:line="360" w:lineRule="auto"/>
        <w:ind w:left="1843" w:right="-260" w:hanging="1417"/>
        <w:jc w:val="left"/>
        <w:rPr>
          <w:rFonts w:hint="eastAsia" w:ascii="仿宋" w:hAnsi="仿宋" w:eastAsia="仿宋" w:cs="仿宋"/>
          <w:b/>
          <w:bCs/>
          <w:color w:val="auto"/>
          <w:sz w:val="32"/>
          <w:szCs w:val="24"/>
          <w:highlight w:val="none"/>
          <w:u w:val="single"/>
          <w:lang w:eastAsia="zh-CN"/>
        </w:rPr>
      </w:pPr>
      <w:r>
        <w:rPr>
          <w:rFonts w:hint="eastAsia" w:ascii="仿宋" w:hAnsi="仿宋" w:eastAsia="仿宋" w:cs="仿宋"/>
          <w:b/>
          <w:bCs/>
          <w:color w:val="auto"/>
          <w:sz w:val="32"/>
          <w:szCs w:val="24"/>
          <w:highlight w:val="none"/>
        </w:rPr>
        <w:t>项目名称：</w:t>
      </w:r>
      <w:r>
        <w:rPr>
          <w:rFonts w:hint="eastAsia" w:ascii="仿宋" w:hAnsi="仿宋" w:eastAsia="仿宋" w:cs="仿宋"/>
          <w:b/>
          <w:bCs/>
          <w:color w:val="auto"/>
          <w:sz w:val="32"/>
          <w:szCs w:val="24"/>
          <w:highlight w:val="none"/>
          <w:u w:val="single"/>
          <w:lang w:eastAsia="zh-CN"/>
        </w:rPr>
        <w:t>如东县城中街道农村环境卫生长效管护服务项目</w:t>
      </w:r>
    </w:p>
    <w:p w14:paraId="593E7BBD">
      <w:pPr>
        <w:spacing w:before="120" w:after="120" w:line="360" w:lineRule="auto"/>
        <w:ind w:right="-260" w:firstLine="472"/>
        <w:jc w:val="left"/>
        <w:rPr>
          <w:rFonts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采购人名称：</w:t>
      </w:r>
      <w:r>
        <w:rPr>
          <w:rFonts w:hint="eastAsia" w:ascii="仿宋" w:hAnsi="仿宋" w:eastAsia="仿宋" w:cs="仿宋"/>
          <w:b/>
          <w:bCs/>
          <w:color w:val="auto"/>
          <w:sz w:val="32"/>
          <w:szCs w:val="24"/>
          <w:highlight w:val="none"/>
          <w:u w:val="single"/>
        </w:rPr>
        <w:t xml:space="preserve">    </w:t>
      </w:r>
      <w:r>
        <w:rPr>
          <w:rFonts w:hint="eastAsia" w:ascii="仿宋" w:hAnsi="仿宋" w:eastAsia="仿宋" w:cs="仿宋"/>
          <w:b/>
          <w:bCs/>
          <w:color w:val="auto"/>
          <w:sz w:val="32"/>
          <w:szCs w:val="24"/>
          <w:highlight w:val="none"/>
          <w:u w:val="single"/>
          <w:lang w:val="en-US" w:eastAsia="zh-CN"/>
        </w:rPr>
        <w:t xml:space="preserve">  </w:t>
      </w:r>
      <w:r>
        <w:rPr>
          <w:rFonts w:hint="eastAsia" w:ascii="仿宋" w:hAnsi="仿宋" w:eastAsia="仿宋" w:cs="仿宋"/>
          <w:b/>
          <w:bCs/>
          <w:color w:val="auto"/>
          <w:sz w:val="32"/>
          <w:szCs w:val="24"/>
          <w:highlight w:val="none"/>
          <w:u w:val="single"/>
          <w:lang w:eastAsia="zh-CN"/>
        </w:rPr>
        <w:t>如东县人民政府城中街道办事处</w:t>
      </w:r>
      <w:r>
        <w:rPr>
          <w:rFonts w:hint="eastAsia" w:ascii="仿宋" w:hAnsi="仿宋" w:eastAsia="仿宋" w:cs="仿宋"/>
          <w:b/>
          <w:bCs/>
          <w:color w:val="auto"/>
          <w:sz w:val="32"/>
          <w:szCs w:val="24"/>
          <w:highlight w:val="none"/>
          <w:u w:val="single"/>
        </w:rPr>
        <w:t xml:space="preserve"> </w:t>
      </w:r>
      <w:r>
        <w:rPr>
          <w:rFonts w:hint="eastAsia" w:ascii="仿宋" w:hAnsi="仿宋" w:eastAsia="仿宋" w:cs="仿宋"/>
          <w:b/>
          <w:bCs/>
          <w:color w:val="auto"/>
          <w:sz w:val="32"/>
          <w:szCs w:val="24"/>
          <w:highlight w:val="none"/>
          <w:u w:val="single"/>
          <w:lang w:val="en-US" w:eastAsia="zh-CN"/>
        </w:rPr>
        <w:t xml:space="preserve"> </w:t>
      </w:r>
      <w:r>
        <w:rPr>
          <w:rFonts w:hint="eastAsia" w:ascii="仿宋" w:hAnsi="仿宋" w:eastAsia="仿宋" w:cs="仿宋"/>
          <w:b/>
          <w:bCs/>
          <w:color w:val="auto"/>
          <w:sz w:val="32"/>
          <w:szCs w:val="24"/>
          <w:highlight w:val="none"/>
          <w:u w:val="single"/>
        </w:rPr>
        <w:t xml:space="preserve"> </w:t>
      </w:r>
      <w:r>
        <w:rPr>
          <w:rFonts w:hint="eastAsia" w:ascii="仿宋" w:hAnsi="仿宋" w:eastAsia="仿宋" w:cs="仿宋"/>
          <w:b/>
          <w:bCs/>
          <w:color w:val="auto"/>
          <w:sz w:val="32"/>
          <w:szCs w:val="24"/>
          <w:highlight w:val="none"/>
          <w:u w:val="single"/>
          <w:lang w:val="en-US" w:eastAsia="zh-CN"/>
        </w:rPr>
        <w:t xml:space="preserve"> </w:t>
      </w:r>
      <w:r>
        <w:rPr>
          <w:rFonts w:hint="eastAsia" w:ascii="仿宋" w:hAnsi="仿宋" w:eastAsia="仿宋" w:cs="仿宋"/>
          <w:b/>
          <w:bCs/>
          <w:color w:val="auto"/>
          <w:sz w:val="32"/>
          <w:szCs w:val="24"/>
          <w:highlight w:val="none"/>
          <w:u w:val="single"/>
        </w:rPr>
        <w:t xml:space="preserve"> </w:t>
      </w:r>
    </w:p>
    <w:p w14:paraId="503BCD93">
      <w:pPr>
        <w:spacing w:before="120" w:after="120" w:line="360" w:lineRule="auto"/>
        <w:ind w:right="-260" w:firstLine="472"/>
        <w:jc w:val="left"/>
        <w:rPr>
          <w:rFonts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采购方式：</w:t>
      </w:r>
      <w:r>
        <w:rPr>
          <w:rFonts w:hint="eastAsia" w:ascii="仿宋" w:hAnsi="仿宋" w:eastAsia="仿宋" w:cs="仿宋"/>
          <w:b/>
          <w:bCs/>
          <w:color w:val="auto"/>
          <w:sz w:val="32"/>
          <w:szCs w:val="24"/>
          <w:highlight w:val="none"/>
          <w:u w:val="single"/>
        </w:rPr>
        <w:t xml:space="preserve">       </w:t>
      </w:r>
      <w:r>
        <w:rPr>
          <w:rFonts w:hint="eastAsia" w:ascii="仿宋" w:hAnsi="仿宋" w:eastAsia="仿宋" w:cs="仿宋"/>
          <w:b/>
          <w:bCs/>
          <w:color w:val="auto"/>
          <w:sz w:val="32"/>
          <w:szCs w:val="24"/>
          <w:highlight w:val="none"/>
          <w:u w:val="single"/>
          <w:lang w:val="en-US" w:eastAsia="zh-CN"/>
        </w:rPr>
        <w:t xml:space="preserve">        </w:t>
      </w:r>
      <w:r>
        <w:rPr>
          <w:rFonts w:hint="eastAsia" w:ascii="仿宋" w:hAnsi="仿宋" w:eastAsia="仿宋" w:cs="仿宋"/>
          <w:b/>
          <w:bCs/>
          <w:color w:val="auto"/>
          <w:sz w:val="32"/>
          <w:szCs w:val="24"/>
          <w:highlight w:val="none"/>
          <w:u w:val="single"/>
        </w:rPr>
        <w:t xml:space="preserve"> 公开招标  </w:t>
      </w:r>
      <w:r>
        <w:rPr>
          <w:rFonts w:hint="eastAsia" w:ascii="仿宋" w:hAnsi="仿宋" w:eastAsia="仿宋" w:cs="仿宋"/>
          <w:b/>
          <w:bCs/>
          <w:color w:val="auto"/>
          <w:sz w:val="32"/>
          <w:szCs w:val="24"/>
          <w:highlight w:val="none"/>
          <w:u w:val="single"/>
          <w:lang w:val="en-US" w:eastAsia="zh-CN"/>
        </w:rPr>
        <w:t xml:space="preserve">  </w:t>
      </w:r>
      <w:r>
        <w:rPr>
          <w:rFonts w:hint="eastAsia" w:ascii="仿宋" w:hAnsi="仿宋" w:eastAsia="仿宋" w:cs="仿宋"/>
          <w:b/>
          <w:bCs/>
          <w:color w:val="auto"/>
          <w:sz w:val="32"/>
          <w:szCs w:val="24"/>
          <w:highlight w:val="none"/>
          <w:u w:val="single"/>
        </w:rPr>
        <w:t xml:space="preserve"> </w:t>
      </w:r>
      <w:r>
        <w:rPr>
          <w:rFonts w:hint="eastAsia" w:ascii="仿宋" w:hAnsi="仿宋" w:eastAsia="仿宋" w:cs="仿宋"/>
          <w:b/>
          <w:bCs/>
          <w:color w:val="auto"/>
          <w:sz w:val="32"/>
          <w:szCs w:val="24"/>
          <w:highlight w:val="none"/>
          <w:u w:val="single"/>
          <w:lang w:val="en-US" w:eastAsia="zh-CN"/>
        </w:rPr>
        <w:t xml:space="preserve">      </w:t>
      </w:r>
      <w:r>
        <w:rPr>
          <w:rFonts w:hint="eastAsia" w:ascii="仿宋" w:hAnsi="仿宋" w:eastAsia="仿宋" w:cs="仿宋"/>
          <w:b/>
          <w:bCs/>
          <w:color w:val="auto"/>
          <w:sz w:val="32"/>
          <w:szCs w:val="24"/>
          <w:highlight w:val="none"/>
          <w:u w:val="single"/>
        </w:rPr>
        <w:t xml:space="preserve">      </w:t>
      </w:r>
    </w:p>
    <w:p w14:paraId="5818428C">
      <w:pPr>
        <w:spacing w:before="120" w:after="120" w:line="360" w:lineRule="auto"/>
        <w:ind w:firstLine="2249"/>
        <w:jc w:val="left"/>
        <w:rPr>
          <w:rFonts w:ascii="仿宋" w:hAnsi="仿宋" w:eastAsia="仿宋" w:cs="仿宋"/>
          <w:b/>
          <w:bCs/>
          <w:color w:val="auto"/>
          <w:sz w:val="32"/>
          <w:szCs w:val="24"/>
          <w:highlight w:val="none"/>
        </w:rPr>
      </w:pPr>
    </w:p>
    <w:p w14:paraId="1BA7E48A">
      <w:pPr>
        <w:spacing w:before="120" w:after="120" w:line="360" w:lineRule="auto"/>
        <w:ind w:firstLine="3534"/>
        <w:jc w:val="left"/>
        <w:rPr>
          <w:rFonts w:ascii="仿宋" w:hAnsi="仿宋" w:eastAsia="仿宋" w:cs="仿宋"/>
          <w:color w:val="auto"/>
          <w:highlight w:val="none"/>
        </w:rPr>
        <w:sectPr>
          <w:footerReference r:id="rId3" w:type="default"/>
          <w:pgSz w:w="11906" w:h="16838"/>
          <w:pgMar w:top="1418" w:right="1588" w:bottom="1418" w:left="1365" w:header="851" w:footer="907" w:gutter="0"/>
          <w:pgBorders>
            <w:top w:val="none" w:sz="0" w:space="0"/>
            <w:left w:val="none" w:sz="0" w:space="0"/>
            <w:bottom w:val="none" w:sz="0" w:space="0"/>
            <w:right w:val="none" w:sz="0" w:space="0"/>
          </w:pgBorders>
          <w:pgNumType w:start="0"/>
          <w:cols w:space="720" w:num="1"/>
          <w:docGrid w:linePitch="360" w:charSpace="0"/>
        </w:sectPr>
      </w:pPr>
      <w:r>
        <w:rPr>
          <w:rFonts w:hint="eastAsia" w:ascii="仿宋" w:hAnsi="仿宋" w:eastAsia="仿宋" w:cs="仿宋"/>
          <w:b/>
          <w:bCs/>
          <w:color w:val="auto"/>
          <w:sz w:val="32"/>
          <w:szCs w:val="24"/>
          <w:highlight w:val="none"/>
        </w:rPr>
        <w:t>二O二</w:t>
      </w:r>
      <w:r>
        <w:rPr>
          <w:rFonts w:hint="eastAsia" w:ascii="仿宋" w:hAnsi="仿宋" w:eastAsia="仿宋" w:cs="仿宋"/>
          <w:b/>
          <w:bCs/>
          <w:color w:val="auto"/>
          <w:sz w:val="32"/>
          <w:szCs w:val="24"/>
          <w:highlight w:val="none"/>
          <w:lang w:val="en-US" w:eastAsia="zh-CN"/>
        </w:rPr>
        <w:t>五</w:t>
      </w:r>
      <w:r>
        <w:rPr>
          <w:rFonts w:hint="eastAsia" w:ascii="仿宋" w:hAnsi="仿宋" w:eastAsia="仿宋" w:cs="仿宋"/>
          <w:b/>
          <w:bCs/>
          <w:color w:val="auto"/>
          <w:sz w:val="32"/>
          <w:szCs w:val="24"/>
          <w:highlight w:val="none"/>
        </w:rPr>
        <w:t>年</w:t>
      </w:r>
      <w:r>
        <w:rPr>
          <w:rFonts w:hint="eastAsia" w:ascii="仿宋" w:hAnsi="仿宋" w:eastAsia="仿宋" w:cs="仿宋"/>
          <w:b/>
          <w:bCs/>
          <w:color w:val="auto"/>
          <w:sz w:val="32"/>
          <w:szCs w:val="24"/>
          <w:highlight w:val="none"/>
          <w:lang w:val="en-US" w:eastAsia="zh-CN"/>
        </w:rPr>
        <w:t>三</w:t>
      </w:r>
      <w:r>
        <w:rPr>
          <w:rFonts w:hint="eastAsia" w:ascii="仿宋" w:hAnsi="仿宋" w:eastAsia="仿宋" w:cs="仿宋"/>
          <w:b/>
          <w:bCs/>
          <w:color w:val="auto"/>
          <w:sz w:val="32"/>
          <w:szCs w:val="24"/>
          <w:highlight w:val="none"/>
        </w:rPr>
        <w:t xml:space="preserve">月  </w:t>
      </w:r>
    </w:p>
    <w:p w14:paraId="7E32C481">
      <w:pPr>
        <w:pStyle w:val="226"/>
        <w:ind w:firstLine="0"/>
        <w:jc w:val="both"/>
        <w:rPr>
          <w:rFonts w:ascii="仿宋" w:hAnsi="仿宋" w:eastAsia="仿宋" w:cs="仿宋"/>
          <w:color w:val="auto"/>
          <w:highlight w:val="none"/>
        </w:rPr>
      </w:pPr>
    </w:p>
    <w:p w14:paraId="288BAF4B">
      <w:pPr>
        <w:spacing w:line="480" w:lineRule="auto"/>
        <w:ind w:firstLine="3570"/>
        <w:rPr>
          <w:rFonts w:ascii="仿宋" w:hAnsi="仿宋" w:eastAsia="仿宋" w:cs="仿宋"/>
          <w:b/>
          <w:color w:val="auto"/>
          <w:sz w:val="44"/>
          <w:highlight w:val="none"/>
        </w:rPr>
      </w:pPr>
      <w:bookmarkStart w:id="0" w:name="_Toc120614210"/>
      <w:bookmarkStart w:id="1" w:name="_Toc513029200"/>
      <w:bookmarkStart w:id="2" w:name="_Toc20823272"/>
      <w:bookmarkStart w:id="3" w:name="_Toc523127445"/>
      <w:bookmarkStart w:id="4" w:name="_Toc16938516"/>
      <w:bookmarkStart w:id="5" w:name="_Toc479757206"/>
      <w:r>
        <w:rPr>
          <w:rFonts w:hint="eastAsia" w:ascii="仿宋" w:hAnsi="仿宋" w:eastAsia="仿宋" w:cs="仿宋"/>
          <w:b/>
          <w:color w:val="auto"/>
          <w:sz w:val="44"/>
          <w:highlight w:val="none"/>
        </w:rPr>
        <w:t>总  目  录</w:t>
      </w:r>
    </w:p>
    <w:p w14:paraId="55B28456">
      <w:pPr>
        <w:rPr>
          <w:rFonts w:ascii="仿宋" w:hAnsi="仿宋" w:eastAsia="仿宋" w:cs="仿宋"/>
          <w:color w:val="auto"/>
          <w:highlight w:val="none"/>
        </w:rPr>
      </w:pPr>
    </w:p>
    <w:p w14:paraId="694A72C2">
      <w:pPr>
        <w:rPr>
          <w:rFonts w:ascii="仿宋" w:hAnsi="仿宋" w:eastAsia="仿宋" w:cs="仿宋"/>
          <w:color w:val="auto"/>
          <w:highlight w:val="none"/>
        </w:rPr>
      </w:pPr>
    </w:p>
    <w:p w14:paraId="18BA25D5">
      <w:pPr>
        <w:pStyle w:val="24"/>
        <w:rPr>
          <w:rFonts w:asciiTheme="minorHAnsi" w:hAnsiTheme="minorHAnsi" w:eastAsiaTheme="minorEastAsia" w:cstheme="minorBidi"/>
          <w:caps w:val="0"/>
          <w:color w:val="auto"/>
          <w:sz w:val="21"/>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TOC \o "1-1" \h \u </w:instrText>
      </w:r>
      <w:r>
        <w:rPr>
          <w:rFonts w:hint="eastAsia" w:ascii="仿宋" w:hAnsi="仿宋" w:eastAsia="仿宋" w:cs="仿宋"/>
          <w:color w:val="auto"/>
          <w:highlight w:val="none"/>
        </w:rPr>
        <w:fldChar w:fldCharType="separate"/>
      </w:r>
      <w:r>
        <w:rPr>
          <w:color w:val="auto"/>
          <w:highlight w:val="none"/>
        </w:rPr>
        <w:fldChar w:fldCharType="begin"/>
      </w:r>
      <w:r>
        <w:rPr>
          <w:color w:val="auto"/>
          <w:highlight w:val="none"/>
        </w:rPr>
        <w:instrText xml:space="preserve"> HYPERLINK \l "_Toc186493267" </w:instrText>
      </w:r>
      <w:r>
        <w:rPr>
          <w:color w:val="auto"/>
          <w:highlight w:val="none"/>
        </w:rPr>
        <w:fldChar w:fldCharType="separate"/>
      </w:r>
      <w:r>
        <w:rPr>
          <w:rStyle w:val="42"/>
          <w:rFonts w:hint="eastAsia" w:ascii="仿宋" w:hAnsi="仿宋" w:eastAsia="仿宋" w:cs="仿宋"/>
          <w:b/>
          <w:bCs/>
          <w:color w:val="auto"/>
          <w:highlight w:val="none"/>
        </w:rPr>
        <w:t>第一章</w:t>
      </w:r>
      <w:r>
        <w:rPr>
          <w:rStyle w:val="42"/>
          <w:rFonts w:ascii="仿宋" w:hAnsi="仿宋" w:eastAsia="仿宋" w:cs="仿宋"/>
          <w:b/>
          <w:bCs/>
          <w:color w:val="auto"/>
          <w:highlight w:val="none"/>
        </w:rPr>
        <w:t xml:space="preserve">  </w:t>
      </w:r>
      <w:r>
        <w:rPr>
          <w:rStyle w:val="42"/>
          <w:rFonts w:hint="eastAsia" w:ascii="仿宋" w:hAnsi="仿宋" w:eastAsia="仿宋" w:cs="仿宋"/>
          <w:b/>
          <w:bCs/>
          <w:color w:val="auto"/>
          <w:highlight w:val="none"/>
        </w:rPr>
        <w:t>投标邀请</w:t>
      </w:r>
      <w:r>
        <w:rPr>
          <w:color w:val="auto"/>
          <w:highlight w:val="none"/>
        </w:rPr>
        <w:tab/>
      </w:r>
      <w:r>
        <w:rPr>
          <w:color w:val="auto"/>
          <w:highlight w:val="none"/>
        </w:rPr>
        <w:fldChar w:fldCharType="begin"/>
      </w:r>
      <w:r>
        <w:rPr>
          <w:color w:val="auto"/>
          <w:highlight w:val="none"/>
        </w:rPr>
        <w:instrText xml:space="preserve"> PAGEREF _Toc186493267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0BB21561">
      <w:pPr>
        <w:pStyle w:val="24"/>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"_Toc186493268" </w:instrText>
      </w:r>
      <w:r>
        <w:rPr>
          <w:color w:val="auto"/>
          <w:highlight w:val="none"/>
        </w:rPr>
        <w:fldChar w:fldCharType="separate"/>
      </w:r>
      <w:r>
        <w:rPr>
          <w:rStyle w:val="42"/>
          <w:rFonts w:hint="eastAsia" w:ascii="仿宋" w:hAnsi="仿宋" w:eastAsia="仿宋" w:cs="仿宋"/>
          <w:b/>
          <w:bCs/>
          <w:color w:val="auto"/>
          <w:highlight w:val="none"/>
        </w:rPr>
        <w:t>第二章</w:t>
      </w:r>
      <w:r>
        <w:rPr>
          <w:rStyle w:val="42"/>
          <w:rFonts w:ascii="仿宋" w:hAnsi="仿宋" w:eastAsia="仿宋" w:cs="仿宋"/>
          <w:b/>
          <w:bCs/>
          <w:color w:val="auto"/>
          <w:highlight w:val="none"/>
        </w:rPr>
        <w:t xml:space="preserve">  </w:t>
      </w:r>
      <w:r>
        <w:rPr>
          <w:rStyle w:val="42"/>
          <w:rFonts w:hint="eastAsia" w:ascii="仿宋" w:hAnsi="仿宋" w:eastAsia="仿宋" w:cs="仿宋"/>
          <w:b/>
          <w:bCs/>
          <w:color w:val="auto"/>
          <w:highlight w:val="none"/>
        </w:rPr>
        <w:t>投标人须知</w:t>
      </w:r>
      <w:r>
        <w:rPr>
          <w:color w:val="auto"/>
          <w:highlight w:val="none"/>
        </w:rPr>
        <w:tab/>
      </w:r>
      <w:r>
        <w:rPr>
          <w:color w:val="auto"/>
          <w:highlight w:val="none"/>
        </w:rPr>
        <w:fldChar w:fldCharType="begin"/>
      </w:r>
      <w:r>
        <w:rPr>
          <w:color w:val="auto"/>
          <w:highlight w:val="none"/>
        </w:rPr>
        <w:instrText xml:space="preserve"> PAGEREF _Toc186493268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4B5871DC">
      <w:pPr>
        <w:pStyle w:val="24"/>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"_Toc186493269" </w:instrText>
      </w:r>
      <w:r>
        <w:rPr>
          <w:color w:val="auto"/>
          <w:highlight w:val="none"/>
        </w:rPr>
        <w:fldChar w:fldCharType="separate"/>
      </w:r>
      <w:r>
        <w:rPr>
          <w:rStyle w:val="42"/>
          <w:rFonts w:hint="eastAsia" w:ascii="仿宋" w:hAnsi="仿宋" w:eastAsia="仿宋" w:cs="仿宋"/>
          <w:b/>
          <w:color w:val="auto"/>
          <w:highlight w:val="none"/>
        </w:rPr>
        <w:t>第三章</w:t>
      </w:r>
      <w:r>
        <w:rPr>
          <w:rStyle w:val="42"/>
          <w:rFonts w:ascii="仿宋" w:hAnsi="仿宋" w:eastAsia="仿宋" w:cs="仿宋"/>
          <w:b/>
          <w:color w:val="auto"/>
          <w:highlight w:val="none"/>
        </w:rPr>
        <w:t xml:space="preserve"> </w:t>
      </w:r>
      <w:r>
        <w:rPr>
          <w:rStyle w:val="42"/>
          <w:rFonts w:hint="eastAsia" w:ascii="仿宋" w:hAnsi="仿宋" w:eastAsia="仿宋" w:cs="仿宋"/>
          <w:b/>
          <w:color w:val="auto"/>
          <w:highlight w:val="none"/>
        </w:rPr>
        <w:t>采购需求</w:t>
      </w:r>
      <w:r>
        <w:rPr>
          <w:color w:val="auto"/>
          <w:highlight w:val="none"/>
        </w:rPr>
        <w:tab/>
      </w:r>
      <w:r>
        <w:rPr>
          <w:color w:val="auto"/>
          <w:highlight w:val="none"/>
        </w:rPr>
        <w:fldChar w:fldCharType="begin"/>
      </w:r>
      <w:r>
        <w:rPr>
          <w:color w:val="auto"/>
          <w:highlight w:val="none"/>
        </w:rPr>
        <w:instrText xml:space="preserve"> PAGEREF _Toc186493269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6D3DA74D">
      <w:pPr>
        <w:pStyle w:val="24"/>
        <w:rPr>
          <w:rFonts w:hint="eastAsia" w:eastAsia="宋体" w:asciiTheme="minorHAnsi" w:hAnsiTheme="minorHAnsi" w:cstheme="minorBidi"/>
          <w:caps w:val="0"/>
          <w:color w:val="auto"/>
          <w:sz w:val="21"/>
          <w:szCs w:val="22"/>
          <w:highlight w:val="none"/>
          <w:lang w:val="en-US" w:eastAsia="zh-CN"/>
        </w:rPr>
      </w:pPr>
      <w:r>
        <w:rPr>
          <w:color w:val="auto"/>
          <w:highlight w:val="none"/>
        </w:rPr>
        <w:fldChar w:fldCharType="begin"/>
      </w:r>
      <w:r>
        <w:rPr>
          <w:color w:val="auto"/>
          <w:highlight w:val="none"/>
        </w:rPr>
        <w:instrText xml:space="preserve"> HYPERLINK \l "_Toc186493270" </w:instrText>
      </w:r>
      <w:r>
        <w:rPr>
          <w:color w:val="auto"/>
          <w:highlight w:val="none"/>
        </w:rPr>
        <w:fldChar w:fldCharType="separate"/>
      </w:r>
      <w:r>
        <w:rPr>
          <w:rStyle w:val="42"/>
          <w:rFonts w:hint="eastAsia" w:ascii="仿宋" w:hAnsi="仿宋" w:eastAsia="仿宋" w:cs="仿宋"/>
          <w:b/>
          <w:color w:val="auto"/>
          <w:highlight w:val="none"/>
        </w:rPr>
        <w:t>第四章</w:t>
      </w:r>
      <w:r>
        <w:rPr>
          <w:rStyle w:val="42"/>
          <w:rFonts w:ascii="仿宋" w:hAnsi="仿宋" w:eastAsia="仿宋" w:cs="仿宋"/>
          <w:b/>
          <w:color w:val="auto"/>
          <w:highlight w:val="none"/>
        </w:rPr>
        <w:t xml:space="preserve">  </w:t>
      </w:r>
      <w:r>
        <w:rPr>
          <w:rStyle w:val="42"/>
          <w:rFonts w:hint="eastAsia" w:ascii="仿宋" w:hAnsi="仿宋" w:eastAsia="仿宋" w:cs="仿宋"/>
          <w:b/>
          <w:color w:val="auto"/>
          <w:highlight w:val="none"/>
        </w:rPr>
        <w:t>评标方</w:t>
      </w:r>
      <w:r>
        <w:rPr>
          <w:rStyle w:val="42"/>
          <w:rFonts w:hint="eastAsia" w:ascii="仿宋" w:hAnsi="仿宋" w:eastAsia="仿宋" w:cs="仿宋"/>
          <w:b/>
          <w:bCs/>
          <w:color w:val="auto"/>
          <w:highlight w:val="none"/>
        </w:rPr>
        <w:t>法与评标标准</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1</w:t>
      </w:r>
    </w:p>
    <w:p w14:paraId="42E01153">
      <w:pPr>
        <w:pStyle w:val="24"/>
        <w:rPr>
          <w:rFonts w:hint="default" w:eastAsia="宋体"/>
          <w:color w:val="auto"/>
          <w:highlight w:val="none"/>
          <w:lang w:val="en-US" w:eastAsia="zh-CN"/>
        </w:rPr>
      </w:pPr>
      <w:r>
        <w:rPr>
          <w:rStyle w:val="42"/>
          <w:rFonts w:hint="eastAsia" w:ascii="仿宋" w:hAnsi="仿宋" w:eastAsia="仿宋" w:cs="仿宋"/>
          <w:b/>
          <w:bCs/>
          <w:color w:val="auto"/>
          <w:highlight w:val="none"/>
          <w:lang w:val="en-US" w:eastAsia="zh-CN"/>
        </w:rPr>
        <w:t>第五章  合同文本格式</w:t>
      </w:r>
      <w:r>
        <w:rPr>
          <w:color w:val="auto"/>
          <w:highlight w:val="none"/>
        </w:rPr>
        <w:tab/>
      </w:r>
      <w:r>
        <w:rPr>
          <w:rFonts w:hint="eastAsia"/>
          <w:color w:val="auto"/>
          <w:highlight w:val="none"/>
          <w:lang w:val="en-US" w:eastAsia="zh-CN"/>
        </w:rPr>
        <w:t>27</w:t>
      </w:r>
    </w:p>
    <w:p w14:paraId="1FD4D7DF">
      <w:pPr>
        <w:pStyle w:val="24"/>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"_Toc186493271" </w:instrText>
      </w:r>
      <w:r>
        <w:rPr>
          <w:color w:val="auto"/>
          <w:highlight w:val="none"/>
        </w:rPr>
        <w:fldChar w:fldCharType="separate"/>
      </w:r>
      <w:r>
        <w:rPr>
          <w:rStyle w:val="42"/>
          <w:rFonts w:hint="eastAsia" w:ascii="仿宋" w:hAnsi="仿宋" w:eastAsia="仿宋" w:cs="仿宋"/>
          <w:b/>
          <w:color w:val="auto"/>
          <w:highlight w:val="none"/>
        </w:rPr>
        <w:t>第六章</w:t>
      </w:r>
      <w:r>
        <w:rPr>
          <w:rStyle w:val="42"/>
          <w:rFonts w:ascii="仿宋" w:hAnsi="仿宋" w:eastAsia="仿宋" w:cs="仿宋"/>
          <w:b/>
          <w:color w:val="auto"/>
          <w:highlight w:val="none"/>
        </w:rPr>
        <w:t xml:space="preserve">  </w:t>
      </w:r>
      <w:r>
        <w:rPr>
          <w:rStyle w:val="42"/>
          <w:rFonts w:hint="eastAsia" w:ascii="仿宋" w:hAnsi="仿宋" w:eastAsia="仿宋" w:cs="仿宋"/>
          <w:b/>
          <w:color w:val="auto"/>
          <w:highlight w:val="none"/>
        </w:rPr>
        <w:t>投标文件格式</w:t>
      </w:r>
      <w:r>
        <w:rPr>
          <w:color w:val="auto"/>
          <w:highlight w:val="none"/>
        </w:rPr>
        <w:tab/>
      </w:r>
      <w:r>
        <w:rPr>
          <w:color w:val="auto"/>
          <w:highlight w:val="none"/>
        </w:rPr>
        <w:fldChar w:fldCharType="begin"/>
      </w:r>
      <w:r>
        <w:rPr>
          <w:color w:val="auto"/>
          <w:highlight w:val="none"/>
        </w:rPr>
        <w:instrText xml:space="preserve"> PAGEREF _Toc186493271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4573A1EC">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end"/>
      </w:r>
    </w:p>
    <w:p w14:paraId="7CA2399F">
      <w:pPr>
        <w:rPr>
          <w:rFonts w:ascii="仿宋" w:hAnsi="仿宋" w:eastAsia="仿宋" w:cs="仿宋"/>
          <w:color w:val="auto"/>
          <w:sz w:val="36"/>
          <w:szCs w:val="36"/>
          <w:highlight w:val="none"/>
        </w:rPr>
      </w:pPr>
    </w:p>
    <w:p w14:paraId="06382804">
      <w:pPr>
        <w:rPr>
          <w:rFonts w:ascii="仿宋" w:hAnsi="仿宋" w:eastAsia="仿宋" w:cs="仿宋"/>
          <w:color w:val="auto"/>
          <w:sz w:val="36"/>
          <w:szCs w:val="36"/>
          <w:highlight w:val="none"/>
        </w:rPr>
      </w:pPr>
    </w:p>
    <w:p w14:paraId="1C206397">
      <w:pPr>
        <w:rPr>
          <w:rFonts w:ascii="仿宋" w:hAnsi="仿宋" w:eastAsia="仿宋" w:cs="仿宋"/>
          <w:color w:val="auto"/>
          <w:sz w:val="36"/>
          <w:szCs w:val="36"/>
          <w:highlight w:val="none"/>
        </w:rPr>
      </w:pPr>
    </w:p>
    <w:p w14:paraId="3594821B">
      <w:pPr>
        <w:rPr>
          <w:rFonts w:ascii="仿宋" w:hAnsi="仿宋" w:eastAsia="仿宋" w:cs="仿宋"/>
          <w:color w:val="auto"/>
          <w:sz w:val="36"/>
          <w:szCs w:val="36"/>
          <w:highlight w:val="none"/>
        </w:rPr>
      </w:pPr>
    </w:p>
    <w:p w14:paraId="7158D46F">
      <w:pPr>
        <w:rPr>
          <w:rFonts w:ascii="仿宋" w:hAnsi="仿宋" w:eastAsia="仿宋" w:cs="仿宋"/>
          <w:color w:val="auto"/>
          <w:sz w:val="36"/>
          <w:szCs w:val="36"/>
          <w:highlight w:val="none"/>
        </w:rPr>
      </w:pPr>
    </w:p>
    <w:p w14:paraId="117ABF7E">
      <w:pPr>
        <w:rPr>
          <w:rFonts w:ascii="仿宋" w:hAnsi="仿宋" w:eastAsia="仿宋" w:cs="仿宋"/>
          <w:color w:val="auto"/>
          <w:highlight w:val="none"/>
        </w:rPr>
      </w:pPr>
    </w:p>
    <w:p w14:paraId="3EDE3DF2">
      <w:pPr>
        <w:rPr>
          <w:rFonts w:ascii="仿宋" w:hAnsi="仿宋" w:eastAsia="仿宋" w:cs="仿宋"/>
          <w:color w:val="auto"/>
          <w:highlight w:val="none"/>
        </w:rPr>
      </w:pPr>
    </w:p>
    <w:p w14:paraId="5738DD17">
      <w:pPr>
        <w:rPr>
          <w:rFonts w:ascii="仿宋" w:hAnsi="仿宋" w:eastAsia="仿宋" w:cs="仿宋"/>
          <w:color w:val="auto"/>
          <w:highlight w:val="none"/>
        </w:rPr>
      </w:pPr>
    </w:p>
    <w:p w14:paraId="73E19908">
      <w:pPr>
        <w:rPr>
          <w:rFonts w:ascii="仿宋" w:hAnsi="仿宋" w:eastAsia="仿宋" w:cs="仿宋"/>
          <w:color w:val="auto"/>
          <w:highlight w:val="none"/>
        </w:rPr>
      </w:pPr>
    </w:p>
    <w:p w14:paraId="419E121F">
      <w:pPr>
        <w:rPr>
          <w:rFonts w:ascii="仿宋" w:hAnsi="仿宋" w:eastAsia="仿宋" w:cs="仿宋"/>
          <w:color w:val="auto"/>
          <w:highlight w:val="none"/>
        </w:rPr>
      </w:pPr>
    </w:p>
    <w:p w14:paraId="2BD33A29">
      <w:pPr>
        <w:rPr>
          <w:rFonts w:ascii="仿宋" w:hAnsi="仿宋" w:eastAsia="仿宋" w:cs="仿宋"/>
          <w:color w:val="auto"/>
          <w:highlight w:val="none"/>
        </w:rPr>
      </w:pPr>
    </w:p>
    <w:p w14:paraId="1C31F0BE">
      <w:pPr>
        <w:rPr>
          <w:rFonts w:ascii="仿宋" w:hAnsi="仿宋" w:eastAsia="仿宋" w:cs="仿宋"/>
          <w:color w:val="auto"/>
          <w:highlight w:val="none"/>
        </w:rPr>
      </w:pPr>
    </w:p>
    <w:p w14:paraId="3633AEB7">
      <w:pPr>
        <w:rPr>
          <w:rFonts w:ascii="仿宋" w:hAnsi="仿宋" w:eastAsia="仿宋" w:cs="仿宋"/>
          <w:color w:val="auto"/>
          <w:highlight w:val="none"/>
        </w:rPr>
      </w:pPr>
    </w:p>
    <w:p w14:paraId="199CF0F5">
      <w:pPr>
        <w:rPr>
          <w:rFonts w:ascii="仿宋" w:hAnsi="仿宋" w:eastAsia="仿宋" w:cs="仿宋"/>
          <w:color w:val="auto"/>
          <w:highlight w:val="none"/>
        </w:rPr>
      </w:pPr>
    </w:p>
    <w:p w14:paraId="453A09D7">
      <w:pPr>
        <w:rPr>
          <w:rFonts w:ascii="仿宋" w:hAnsi="仿宋" w:eastAsia="仿宋" w:cs="仿宋"/>
          <w:color w:val="auto"/>
          <w:highlight w:val="none"/>
        </w:rPr>
      </w:pPr>
    </w:p>
    <w:p w14:paraId="4C433551">
      <w:pPr>
        <w:rPr>
          <w:rFonts w:ascii="仿宋" w:hAnsi="仿宋" w:eastAsia="仿宋" w:cs="仿宋"/>
          <w:color w:val="auto"/>
          <w:highlight w:val="none"/>
        </w:rPr>
      </w:pPr>
    </w:p>
    <w:p w14:paraId="495B566B">
      <w:pPr>
        <w:rPr>
          <w:rFonts w:ascii="仿宋" w:hAnsi="仿宋" w:eastAsia="仿宋" w:cs="仿宋"/>
          <w:color w:val="auto"/>
          <w:highlight w:val="none"/>
        </w:rPr>
      </w:pPr>
    </w:p>
    <w:p w14:paraId="6639B87F">
      <w:pPr>
        <w:rPr>
          <w:rFonts w:ascii="仿宋" w:hAnsi="仿宋" w:eastAsia="仿宋" w:cs="仿宋"/>
          <w:color w:val="auto"/>
          <w:highlight w:val="none"/>
        </w:rPr>
      </w:pPr>
    </w:p>
    <w:p w14:paraId="09574EA6">
      <w:pPr>
        <w:pStyle w:val="2"/>
        <w:rPr>
          <w:rFonts w:ascii="仿宋" w:hAnsi="仿宋" w:eastAsia="仿宋" w:cs="仿宋"/>
          <w:b/>
          <w:bCs/>
          <w:color w:val="auto"/>
          <w:sz w:val="44"/>
          <w:szCs w:val="44"/>
          <w:highlight w:val="none"/>
        </w:rPr>
        <w:sectPr>
          <w:footerReference r:id="rId4" w:type="default"/>
          <w:pgSz w:w="11906" w:h="16838"/>
          <w:pgMar w:top="1418" w:right="1588" w:bottom="1418" w:left="1365" w:header="851" w:footer="907" w:gutter="0"/>
          <w:pgBorders>
            <w:top w:val="none" w:sz="0" w:space="0"/>
            <w:left w:val="none" w:sz="0" w:space="0"/>
            <w:bottom w:val="none" w:sz="0" w:space="0"/>
            <w:right w:val="none" w:sz="0" w:space="0"/>
          </w:pgBorders>
          <w:pgNumType w:start="1"/>
          <w:cols w:space="720" w:num="1"/>
          <w:docGrid w:linePitch="360" w:charSpace="0"/>
        </w:sectPr>
      </w:pPr>
    </w:p>
    <w:p w14:paraId="30653B59">
      <w:pPr>
        <w:pStyle w:val="2"/>
        <w:rPr>
          <w:rFonts w:ascii="仿宋" w:hAnsi="仿宋" w:eastAsia="仿宋" w:cs="仿宋"/>
          <w:b/>
          <w:bCs/>
          <w:color w:val="auto"/>
          <w:sz w:val="44"/>
          <w:szCs w:val="44"/>
          <w:highlight w:val="none"/>
        </w:rPr>
      </w:pPr>
      <w:bookmarkStart w:id="6" w:name="_Toc186493267"/>
      <w:r>
        <w:rPr>
          <w:rFonts w:hint="eastAsia" w:ascii="仿宋" w:hAnsi="仿宋" w:eastAsia="仿宋" w:cs="仿宋"/>
          <w:b/>
          <w:bCs/>
          <w:color w:val="auto"/>
          <w:sz w:val="44"/>
          <w:szCs w:val="44"/>
          <w:highlight w:val="none"/>
        </w:rPr>
        <w:t xml:space="preserve">第一章  </w:t>
      </w:r>
      <w:bookmarkEnd w:id="0"/>
      <w:r>
        <w:rPr>
          <w:rFonts w:hint="eastAsia" w:ascii="仿宋" w:hAnsi="仿宋" w:eastAsia="仿宋" w:cs="仿宋"/>
          <w:b/>
          <w:bCs/>
          <w:color w:val="auto"/>
          <w:sz w:val="44"/>
          <w:szCs w:val="44"/>
          <w:highlight w:val="none"/>
        </w:rPr>
        <w:t>投标邀请</w:t>
      </w:r>
      <w:bookmarkEnd w:id="6"/>
    </w:p>
    <w:p w14:paraId="1C541162">
      <w:pPr>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受</w:t>
      </w:r>
      <w:r>
        <w:rPr>
          <w:rFonts w:hint="eastAsia" w:ascii="仿宋" w:hAnsi="仿宋" w:eastAsia="仿宋" w:cs="仿宋"/>
          <w:color w:val="auto"/>
          <w:sz w:val="24"/>
          <w:szCs w:val="24"/>
          <w:highlight w:val="none"/>
          <w:lang w:eastAsia="zh-CN"/>
        </w:rPr>
        <w:t>如东县人民政府城中街道办事处</w:t>
      </w:r>
      <w:r>
        <w:rPr>
          <w:rFonts w:hint="eastAsia" w:ascii="仿宋" w:hAnsi="仿宋" w:eastAsia="仿宋" w:cs="仿宋"/>
          <w:color w:val="auto"/>
          <w:sz w:val="24"/>
          <w:szCs w:val="24"/>
          <w:highlight w:val="none"/>
        </w:rPr>
        <w:t>的委托， 就</w:t>
      </w:r>
      <w:r>
        <w:rPr>
          <w:rFonts w:hint="eastAsia" w:ascii="仿宋" w:hAnsi="仿宋" w:eastAsia="仿宋" w:cs="仿宋"/>
          <w:color w:val="auto"/>
          <w:sz w:val="24"/>
          <w:szCs w:val="24"/>
          <w:highlight w:val="none"/>
          <w:lang w:eastAsia="zh-CN"/>
        </w:rPr>
        <w:t>如东县城中街道农村环境卫生长效管护服务项目</w:t>
      </w:r>
      <w:r>
        <w:rPr>
          <w:rFonts w:hint="eastAsia" w:ascii="仿宋" w:hAnsi="仿宋" w:eastAsia="仿宋" w:cs="仿宋"/>
          <w:color w:val="auto"/>
          <w:sz w:val="24"/>
          <w:szCs w:val="24"/>
          <w:highlight w:val="none"/>
        </w:rPr>
        <w:t>进行公开招标采购，欢迎符合条件的供应商投标。</w:t>
      </w:r>
    </w:p>
    <w:p w14:paraId="3B6D3455">
      <w:pPr>
        <w:pBdr>
          <w:top w:val="single" w:color="auto" w:sz="4" w:space="1"/>
          <w:left w:val="single" w:color="auto" w:sz="4" w:space="4"/>
          <w:bottom w:val="single" w:color="auto" w:sz="4" w:space="1"/>
          <w:right w:val="single" w:color="auto" w:sz="4" w:space="4"/>
        </w:pBd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4DB2A12B">
      <w:pPr>
        <w:pBdr>
          <w:top w:val="single" w:color="auto" w:sz="4" w:space="1"/>
          <w:left w:val="single" w:color="auto" w:sz="4" w:space="4"/>
          <w:bottom w:val="single" w:color="auto" w:sz="4" w:space="1"/>
          <w:right w:val="single" w:color="auto" w:sz="4" w:space="4"/>
        </w:pBdr>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如东县城中街道农村环境卫生长效管护服务项目</w:t>
      </w:r>
      <w:r>
        <w:rPr>
          <w:rFonts w:hint="eastAsia" w:ascii="仿宋" w:hAnsi="仿宋" w:eastAsia="仿宋" w:cs="仿宋"/>
          <w:color w:val="auto"/>
          <w:sz w:val="24"/>
          <w:szCs w:val="24"/>
          <w:highlight w:val="none"/>
        </w:rPr>
        <w:t>招标的潜在投标人可在</w:t>
      </w:r>
      <w:r>
        <w:rPr>
          <w:rFonts w:hint="eastAsia" w:ascii="仿宋" w:hAnsi="仿宋" w:eastAsia="仿宋" w:cs="仿宋"/>
          <w:color w:val="auto"/>
          <w:sz w:val="24"/>
          <w:szCs w:val="24"/>
          <w:highlight w:val="none"/>
          <w:u w:val="single"/>
        </w:rPr>
        <w:t>“江苏政府采购网”自行免费下载</w:t>
      </w:r>
      <w:r>
        <w:rPr>
          <w:rFonts w:hint="eastAsia" w:ascii="仿宋" w:hAnsi="仿宋" w:eastAsia="仿宋" w:cs="仿宋"/>
          <w:color w:val="auto"/>
          <w:sz w:val="24"/>
          <w:szCs w:val="24"/>
          <w:highlight w:val="none"/>
        </w:rPr>
        <w:t>招标文件，并于</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bCs/>
          <w:color w:val="auto"/>
          <w:sz w:val="24"/>
          <w:szCs w:val="24"/>
          <w:highlight w:val="none"/>
          <w:u w:val="single"/>
        </w:rPr>
        <w:t>年</w:t>
      </w:r>
      <w:r>
        <w:rPr>
          <w:rFonts w:hint="eastAsia" w:ascii="仿宋" w:hAnsi="仿宋" w:eastAsia="仿宋" w:cs="仿宋"/>
          <w:bCs/>
          <w:color w:val="auto"/>
          <w:sz w:val="24"/>
          <w:szCs w:val="24"/>
          <w:highlight w:val="none"/>
          <w:u w:val="single"/>
          <w:lang w:val="en-US" w:eastAsia="zh-CN"/>
        </w:rPr>
        <w:t>4月3日</w:t>
      </w:r>
      <w:r>
        <w:rPr>
          <w:rFonts w:hint="eastAsia" w:ascii="仿宋" w:hAnsi="仿宋" w:eastAsia="仿宋" w:cs="仿宋"/>
          <w:bCs/>
          <w:color w:val="auto"/>
          <w:sz w:val="24"/>
          <w:szCs w:val="24"/>
          <w:highlight w:val="none"/>
          <w:u w:val="single"/>
        </w:rPr>
        <w:t>上午</w:t>
      </w:r>
      <w:r>
        <w:rPr>
          <w:rFonts w:hint="eastAsia" w:ascii="仿宋" w:hAnsi="仿宋" w:eastAsia="仿宋" w:cs="仿宋"/>
          <w:bCs/>
          <w:color w:val="auto"/>
          <w:sz w:val="24"/>
          <w:szCs w:val="24"/>
          <w:highlight w:val="none"/>
          <w:u w:val="single"/>
          <w:lang w:val="en-US" w:eastAsia="zh-CN"/>
        </w:rPr>
        <w:t>9</w:t>
      </w:r>
      <w:r>
        <w:rPr>
          <w:rFonts w:hint="eastAsia" w:ascii="仿宋" w:hAnsi="仿宋" w:eastAsia="仿宋" w:cs="仿宋"/>
          <w:bCs/>
          <w:color w:val="auto"/>
          <w:sz w:val="24"/>
          <w:szCs w:val="24"/>
          <w:highlight w:val="none"/>
          <w:u w:val="single"/>
        </w:rPr>
        <w:t>点</w:t>
      </w:r>
      <w:r>
        <w:rPr>
          <w:rFonts w:hint="eastAsia" w:ascii="仿宋" w:hAnsi="仿宋" w:eastAsia="仿宋" w:cs="仿宋"/>
          <w:bCs/>
          <w:color w:val="auto"/>
          <w:sz w:val="24"/>
          <w:szCs w:val="24"/>
          <w:highlight w:val="none"/>
          <w:u w:val="single"/>
          <w:lang w:val="en-US" w:eastAsia="zh-CN"/>
        </w:rPr>
        <w:t>00</w:t>
      </w:r>
      <w:r>
        <w:rPr>
          <w:rFonts w:hint="eastAsia" w:ascii="仿宋" w:hAnsi="仿宋" w:eastAsia="仿宋" w:cs="仿宋"/>
          <w:bCs/>
          <w:color w:val="auto"/>
          <w:sz w:val="24"/>
          <w:szCs w:val="24"/>
          <w:highlight w:val="none"/>
          <w:u w:val="single"/>
        </w:rPr>
        <w:t>分</w:t>
      </w:r>
      <w:r>
        <w:rPr>
          <w:rFonts w:hint="eastAsia" w:ascii="仿宋" w:hAnsi="仿宋" w:eastAsia="仿宋" w:cs="仿宋"/>
          <w:bCs/>
          <w:color w:val="auto"/>
          <w:sz w:val="24"/>
          <w:szCs w:val="24"/>
          <w:highlight w:val="none"/>
        </w:rPr>
        <w:t>（北京时间）前递交投标文件</w:t>
      </w:r>
      <w:r>
        <w:rPr>
          <w:rFonts w:hint="eastAsia" w:ascii="仿宋" w:hAnsi="仿宋" w:eastAsia="仿宋" w:cs="仿宋"/>
          <w:color w:val="auto"/>
          <w:sz w:val="24"/>
          <w:szCs w:val="24"/>
          <w:highlight w:val="none"/>
        </w:rPr>
        <w:t>。</w:t>
      </w:r>
    </w:p>
    <w:p w14:paraId="702BDEB7">
      <w:pPr>
        <w:spacing w:line="480" w:lineRule="exact"/>
        <w:rPr>
          <w:rFonts w:ascii="仿宋" w:hAnsi="仿宋" w:eastAsia="仿宋" w:cs="仿宋"/>
          <w:b/>
          <w:bCs/>
          <w:color w:val="auto"/>
          <w:sz w:val="32"/>
          <w:szCs w:val="32"/>
          <w:highlight w:val="none"/>
        </w:rPr>
      </w:pPr>
      <w:bookmarkStart w:id="7" w:name="_Toc35393621"/>
      <w:bookmarkStart w:id="8" w:name="_Toc28359079"/>
      <w:bookmarkStart w:id="9" w:name="_Toc28359002"/>
      <w:bookmarkStart w:id="10" w:name="_Toc38985263"/>
      <w:bookmarkStart w:id="11" w:name="_Toc35393790"/>
      <w:bookmarkStart w:id="12" w:name="_Hlk24379207"/>
      <w:r>
        <w:rPr>
          <w:rFonts w:hint="eastAsia" w:ascii="仿宋" w:hAnsi="仿宋" w:eastAsia="仿宋" w:cs="仿宋"/>
          <w:b/>
          <w:bCs/>
          <w:color w:val="auto"/>
          <w:sz w:val="32"/>
          <w:szCs w:val="32"/>
          <w:highlight w:val="none"/>
        </w:rPr>
        <w:t>一、项目基本情况</w:t>
      </w:r>
      <w:bookmarkEnd w:id="7"/>
      <w:bookmarkEnd w:id="8"/>
      <w:bookmarkEnd w:id="9"/>
      <w:bookmarkEnd w:id="10"/>
      <w:bookmarkEnd w:id="11"/>
    </w:p>
    <w:p w14:paraId="727BAD86">
      <w:pPr>
        <w:spacing w:line="48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1.项目编号：JSZC-320623-NTCJ-G2025-0008 </w:t>
      </w:r>
      <w:r>
        <w:rPr>
          <w:rFonts w:hint="eastAsia" w:ascii="Arial" w:hAnsi="Arial" w:cs="Arial"/>
          <w:color w:val="auto"/>
          <w:sz w:val="22"/>
          <w:highlight w:val="none"/>
          <w:lang w:val="en-US" w:eastAsia="zh-CN"/>
        </w:rPr>
        <w:t xml:space="preserve"> </w:t>
      </w:r>
    </w:p>
    <w:p w14:paraId="7FF96B3D">
      <w:pPr>
        <w:spacing w:line="48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2.项目名称：</w:t>
      </w:r>
      <w:bookmarkEnd w:id="12"/>
      <w:r>
        <w:rPr>
          <w:rFonts w:hint="eastAsia" w:ascii="仿宋" w:hAnsi="仿宋" w:eastAsia="仿宋" w:cs="仿宋"/>
          <w:color w:val="auto"/>
          <w:sz w:val="24"/>
          <w:szCs w:val="24"/>
          <w:highlight w:val="none"/>
          <w:lang w:eastAsia="zh-CN"/>
        </w:rPr>
        <w:t>如东县城中街道农村环境卫生长效管护服务项目</w:t>
      </w:r>
    </w:p>
    <w:p w14:paraId="150E6C0B">
      <w:pPr>
        <w:spacing w:line="48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3.采购方式：公开招标</w:t>
      </w:r>
    </w:p>
    <w:p w14:paraId="75650002">
      <w:pPr>
        <w:spacing w:line="48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4.项目类型：服务</w:t>
      </w:r>
    </w:p>
    <w:p w14:paraId="6C7F60DD">
      <w:pPr>
        <w:spacing w:line="48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5.所属行业：其他未列明行业</w:t>
      </w:r>
    </w:p>
    <w:p w14:paraId="7B2CAF2C">
      <w:pPr>
        <w:spacing w:line="48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6.预算金额（人民币）：</w:t>
      </w:r>
      <w:r>
        <w:rPr>
          <w:rFonts w:hint="eastAsia" w:ascii="仿宋" w:hAnsi="仿宋" w:eastAsia="仿宋" w:cs="仿宋"/>
          <w:color w:val="auto"/>
          <w:sz w:val="24"/>
          <w:szCs w:val="24"/>
          <w:highlight w:val="none"/>
          <w:lang w:val="en-US" w:eastAsia="zh-CN"/>
        </w:rPr>
        <w:t>712.893万元（一年价格），</w:t>
      </w:r>
      <w:r>
        <w:rPr>
          <w:rFonts w:hint="eastAsia" w:ascii="仿宋" w:hAnsi="仿宋" w:eastAsia="仿宋" w:cs="仿宋"/>
          <w:color w:val="auto"/>
          <w:sz w:val="24"/>
          <w:szCs w:val="24"/>
          <w:highlight w:val="none"/>
        </w:rPr>
        <w:t>2138</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6790万元</w:t>
      </w:r>
      <w:r>
        <w:rPr>
          <w:rFonts w:hint="eastAsia" w:ascii="仿宋" w:hAnsi="仿宋" w:eastAsia="仿宋" w:cs="仿宋"/>
          <w:color w:val="auto"/>
          <w:sz w:val="24"/>
          <w:szCs w:val="24"/>
          <w:highlight w:val="none"/>
          <w:lang w:val="en-US" w:eastAsia="zh-CN"/>
        </w:rPr>
        <w:t>(三年总价)。</w:t>
      </w:r>
      <w:bookmarkStart w:id="227" w:name="_GoBack"/>
      <w:bookmarkEnd w:id="227"/>
    </w:p>
    <w:p w14:paraId="4799ABF0">
      <w:pPr>
        <w:spacing w:line="480" w:lineRule="exact"/>
        <w:ind w:firstLine="72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最高限价：1929.3111万元</w:t>
      </w:r>
      <w:r>
        <w:rPr>
          <w:rFonts w:hint="eastAsia" w:ascii="仿宋" w:hAnsi="仿宋" w:eastAsia="仿宋" w:cs="仿宋"/>
          <w:color w:val="auto"/>
          <w:sz w:val="24"/>
          <w:szCs w:val="24"/>
          <w:highlight w:val="none"/>
          <w:lang w:val="en-US" w:eastAsia="zh-CN"/>
        </w:rPr>
        <w:t>(三年总价)。</w:t>
      </w:r>
    </w:p>
    <w:p w14:paraId="43242C90">
      <w:pPr>
        <w:spacing w:line="48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7.采购需求（简介）：详细内容见本招标文件第三章</w:t>
      </w:r>
      <w:r>
        <w:rPr>
          <w:rFonts w:hint="eastAsia" w:ascii="仿宋" w:hAnsi="仿宋" w:eastAsia="仿宋" w:cs="仿宋"/>
          <w:color w:val="auto"/>
          <w:sz w:val="24"/>
          <w:szCs w:val="24"/>
          <w:highlight w:val="none"/>
          <w:lang w:eastAsia="zh-CN"/>
        </w:rPr>
        <w:t>。</w:t>
      </w:r>
    </w:p>
    <w:p w14:paraId="417CF50B">
      <w:pPr>
        <w:spacing w:line="480" w:lineRule="exact"/>
        <w:ind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8.合同履行期限</w:t>
      </w:r>
      <w:r>
        <w:rPr>
          <w:rFonts w:hint="eastAsia" w:ascii="仿宋" w:hAnsi="仿宋" w:eastAsia="仿宋" w:cs="仿宋"/>
          <w:color w:val="auto"/>
          <w:sz w:val="24"/>
          <w:szCs w:val="24"/>
          <w:highlight w:val="none"/>
          <w:lang w:val="en-US" w:eastAsia="zh-CN"/>
        </w:rPr>
        <w:t>:三年，自合同签订之日起三年。</w:t>
      </w:r>
    </w:p>
    <w:p w14:paraId="61167BA8">
      <w:pPr>
        <w:spacing w:line="48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9.本项目（是/否）接受联合体投标：</w:t>
      </w:r>
      <w:r>
        <w:rPr>
          <w:rFonts w:hint="eastAsia" w:ascii="仿宋" w:hAnsi="仿宋" w:eastAsia="仿宋" w:cs="仿宋"/>
          <w:color w:val="auto"/>
          <w:sz w:val="24"/>
          <w:szCs w:val="24"/>
          <w:highlight w:val="none"/>
          <w:lang w:val="en-US" w:eastAsia="zh-CN"/>
        </w:rPr>
        <w:t>否。</w:t>
      </w:r>
    </w:p>
    <w:p w14:paraId="281FDFD3">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10.本项目是否接受分包：</w:t>
      </w:r>
      <w:r>
        <w:rPr>
          <w:rFonts w:hint="eastAsia" w:ascii="仿宋" w:hAnsi="仿宋" w:eastAsia="仿宋" w:cs="仿宋"/>
          <w:color w:val="auto"/>
          <w:sz w:val="24"/>
          <w:szCs w:val="24"/>
          <w:highlight w:val="none"/>
          <w:lang w:val="en-US" w:eastAsia="zh-CN"/>
        </w:rPr>
        <w:t>是</w:t>
      </w:r>
      <w:r>
        <w:rPr>
          <w:rFonts w:hint="eastAsia" w:ascii="仿宋" w:hAnsi="仿宋" w:eastAsia="仿宋" w:cs="仿宋"/>
          <w:color w:val="auto"/>
          <w:sz w:val="24"/>
          <w:szCs w:val="24"/>
          <w:highlight w:val="none"/>
        </w:rPr>
        <w:t>。</w:t>
      </w:r>
    </w:p>
    <w:p w14:paraId="3E984164">
      <w:pPr>
        <w:spacing w:line="480" w:lineRule="exact"/>
        <w:rPr>
          <w:rFonts w:ascii="仿宋" w:hAnsi="仿宋" w:eastAsia="仿宋" w:cs="仿宋"/>
          <w:b/>
          <w:bCs/>
          <w:color w:val="auto"/>
          <w:sz w:val="32"/>
          <w:szCs w:val="32"/>
          <w:highlight w:val="none"/>
        </w:rPr>
      </w:pPr>
      <w:bookmarkStart w:id="13" w:name="_Toc35393791"/>
      <w:bookmarkStart w:id="14" w:name="_Toc38985264"/>
      <w:bookmarkStart w:id="15" w:name="_Toc28359003"/>
      <w:bookmarkStart w:id="16" w:name="_Toc28359080"/>
      <w:bookmarkStart w:id="17" w:name="_Toc35393622"/>
      <w:r>
        <w:rPr>
          <w:rFonts w:hint="eastAsia" w:ascii="仿宋" w:hAnsi="仿宋" w:eastAsia="仿宋" w:cs="仿宋"/>
          <w:b/>
          <w:bCs/>
          <w:color w:val="auto"/>
          <w:sz w:val="32"/>
          <w:szCs w:val="32"/>
          <w:highlight w:val="none"/>
        </w:rPr>
        <w:t>二、申请人的资格要求：</w:t>
      </w:r>
      <w:bookmarkEnd w:id="13"/>
      <w:bookmarkEnd w:id="14"/>
      <w:bookmarkEnd w:id="15"/>
      <w:bookmarkEnd w:id="16"/>
      <w:bookmarkEnd w:id="17"/>
    </w:p>
    <w:p w14:paraId="37D33B2A">
      <w:pPr>
        <w:spacing w:line="480" w:lineRule="exact"/>
        <w:ind w:firstLine="480"/>
        <w:rPr>
          <w:rFonts w:ascii="仿宋" w:hAnsi="仿宋" w:eastAsia="仿宋" w:cs="仿宋"/>
          <w:color w:val="auto"/>
          <w:sz w:val="24"/>
          <w:szCs w:val="24"/>
          <w:highlight w:val="none"/>
        </w:rPr>
      </w:pPr>
      <w:bookmarkStart w:id="18" w:name="_Toc35393623"/>
      <w:bookmarkStart w:id="19" w:name="_Toc35393792"/>
      <w:bookmarkStart w:id="20" w:name="_Toc38985265"/>
      <w:bookmarkStart w:id="21" w:name="_Toc28359004"/>
      <w:bookmarkStart w:id="22" w:name="_Toc28359081"/>
      <w:r>
        <w:rPr>
          <w:rFonts w:hint="eastAsia" w:ascii="仿宋" w:hAnsi="仿宋" w:eastAsia="仿宋" w:cs="仿宋"/>
          <w:color w:val="auto"/>
          <w:sz w:val="24"/>
          <w:szCs w:val="24"/>
          <w:highlight w:val="none"/>
        </w:rPr>
        <w:t>（一）通用资格要求</w:t>
      </w:r>
    </w:p>
    <w:p w14:paraId="5F5B4B38">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1.满足《中华人民共和国政府采购法》第二十二条规定；（按附件3格式进行声明，投标文件中无需提供其他证明材料）；</w:t>
      </w:r>
    </w:p>
    <w:p w14:paraId="27637193">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6A7613FD">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 落实政府采购政策需满足的资格要求：本项目属于非专门面向中小微型企业采购。</w:t>
      </w:r>
    </w:p>
    <w:p w14:paraId="0EEB9477">
      <w:pPr>
        <w:spacing w:line="480" w:lineRule="exact"/>
        <w:ind w:firstLine="480"/>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（二）本项目的特定资格要求：</w:t>
      </w:r>
      <w:r>
        <w:rPr>
          <w:rFonts w:hint="eastAsia" w:ascii="仿宋" w:hAnsi="仿宋" w:eastAsia="仿宋" w:cs="仿宋"/>
          <w:b w:val="0"/>
          <w:bCs w:val="0"/>
          <w:color w:val="auto"/>
          <w:sz w:val="24"/>
          <w:szCs w:val="24"/>
          <w:highlight w:val="none"/>
          <w:lang w:val="en-US" w:eastAsia="zh-CN"/>
        </w:rPr>
        <w:t>无</w:t>
      </w:r>
      <w:r>
        <w:rPr>
          <w:rFonts w:hint="eastAsia" w:ascii="仿宋" w:hAnsi="仿宋" w:eastAsia="仿宋" w:cs="仿宋"/>
          <w:b w:val="0"/>
          <w:bCs w:val="0"/>
          <w:color w:val="auto"/>
          <w:sz w:val="24"/>
          <w:szCs w:val="24"/>
          <w:highlight w:val="none"/>
        </w:rPr>
        <w:t>。</w:t>
      </w:r>
    </w:p>
    <w:p w14:paraId="534CF621">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三、获取招标文件</w:t>
      </w:r>
      <w:bookmarkEnd w:id="18"/>
      <w:bookmarkEnd w:id="19"/>
      <w:bookmarkEnd w:id="20"/>
      <w:bookmarkEnd w:id="21"/>
      <w:bookmarkEnd w:id="22"/>
    </w:p>
    <w:p w14:paraId="707F7CBC">
      <w:pPr>
        <w:spacing w:line="480" w:lineRule="exact"/>
        <w:ind w:firstLine="480"/>
        <w:rPr>
          <w:rFonts w:ascii="仿宋" w:hAnsi="仿宋" w:eastAsia="仿宋" w:cs="仿宋"/>
          <w:color w:val="auto"/>
          <w:sz w:val="24"/>
          <w:szCs w:val="24"/>
          <w:highlight w:val="none"/>
        </w:rPr>
      </w:pPr>
      <w:bookmarkStart w:id="23" w:name="_Toc28359005"/>
      <w:bookmarkStart w:id="24" w:name="_Toc28359082"/>
      <w:bookmarkStart w:id="25" w:name="_Toc38985266"/>
      <w:bookmarkStart w:id="26" w:name="_Toc35393793"/>
      <w:bookmarkStart w:id="27" w:name="_Toc35393624"/>
      <w:r>
        <w:rPr>
          <w:rFonts w:hint="eastAsia" w:ascii="仿宋" w:hAnsi="仿宋" w:eastAsia="仿宋" w:cs="仿宋"/>
          <w:color w:val="auto"/>
          <w:sz w:val="24"/>
          <w:szCs w:val="24"/>
          <w:highlight w:val="none"/>
        </w:rPr>
        <w:t>1.时间：</w:t>
      </w:r>
      <w:r>
        <w:rPr>
          <w:rFonts w:hint="eastAsia" w:ascii="仿宋" w:hAnsi="仿宋" w:eastAsia="仿宋" w:cs="仿宋"/>
          <w:color w:val="auto"/>
          <w:sz w:val="24"/>
          <w:highlight w:val="none"/>
        </w:rPr>
        <w:t>自采购公告发布之日</w:t>
      </w:r>
      <w:r>
        <w:rPr>
          <w:rFonts w:hint="eastAsia" w:ascii="仿宋" w:hAnsi="仿宋" w:eastAsia="仿宋" w:cs="仿宋"/>
          <w:color w:val="auto"/>
          <w:sz w:val="24"/>
          <w:szCs w:val="24"/>
          <w:highlight w:val="none"/>
        </w:rPr>
        <w:t>至</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bCs/>
          <w:color w:val="auto"/>
          <w:sz w:val="24"/>
          <w:szCs w:val="24"/>
          <w:highlight w:val="none"/>
          <w:u w:val="single"/>
        </w:rPr>
        <w:t>年</w:t>
      </w:r>
      <w:r>
        <w:rPr>
          <w:rFonts w:hint="eastAsia" w:ascii="仿宋" w:hAnsi="仿宋" w:eastAsia="仿宋" w:cs="仿宋"/>
          <w:bCs/>
          <w:color w:val="auto"/>
          <w:sz w:val="24"/>
          <w:szCs w:val="24"/>
          <w:highlight w:val="none"/>
          <w:u w:val="single"/>
          <w:lang w:val="en-US" w:eastAsia="zh-CN"/>
        </w:rPr>
        <w:t>4月3日</w:t>
      </w:r>
      <w:r>
        <w:rPr>
          <w:rFonts w:hint="eastAsia" w:ascii="仿宋" w:hAnsi="仿宋" w:eastAsia="仿宋" w:cs="仿宋"/>
          <w:color w:val="auto"/>
          <w:sz w:val="24"/>
          <w:szCs w:val="24"/>
          <w:highlight w:val="none"/>
        </w:rPr>
        <w:t>（北京时间）</w:t>
      </w:r>
    </w:p>
    <w:p w14:paraId="598C1530">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2.地点：“江苏政府采购网”</w:t>
      </w:r>
    </w:p>
    <w:p w14:paraId="35D4D5E7">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3.方式：凡有意参与投标的供应商须登录江苏政府采购网首页点击“苏采云”→通过CA锁进行响应确认，并自行在磋商文件有效获取期内及时下载获取。</w:t>
      </w:r>
    </w:p>
    <w:p w14:paraId="3C5FFDE4">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4.售价：免费</w:t>
      </w:r>
    </w:p>
    <w:p w14:paraId="2C6BB91F">
      <w:pPr>
        <w:spacing w:line="48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四、提交投标文件</w:t>
      </w:r>
      <w:bookmarkEnd w:id="23"/>
      <w:bookmarkEnd w:id="24"/>
      <w:r>
        <w:rPr>
          <w:rFonts w:hint="eastAsia" w:ascii="仿宋" w:hAnsi="仿宋" w:eastAsia="仿宋" w:cs="仿宋"/>
          <w:b/>
          <w:bCs/>
          <w:color w:val="auto"/>
          <w:sz w:val="32"/>
          <w:szCs w:val="32"/>
          <w:highlight w:val="none"/>
        </w:rPr>
        <w:t>截止时间、开标时间和地点</w:t>
      </w:r>
      <w:bookmarkEnd w:id="25"/>
      <w:bookmarkEnd w:id="26"/>
      <w:bookmarkEnd w:id="27"/>
    </w:p>
    <w:p w14:paraId="74149B7C">
      <w:pPr>
        <w:spacing w:line="480" w:lineRule="exact"/>
        <w:ind w:firstLine="480"/>
        <w:rPr>
          <w:rFonts w:ascii="仿宋" w:hAnsi="仿宋" w:eastAsia="仿宋" w:cs="仿宋"/>
          <w:color w:val="auto"/>
          <w:sz w:val="24"/>
          <w:szCs w:val="24"/>
          <w:highlight w:val="none"/>
        </w:rPr>
      </w:pPr>
      <w:bookmarkStart w:id="28" w:name="_Toc38985267"/>
      <w:bookmarkStart w:id="29" w:name="_Toc28359084"/>
      <w:bookmarkStart w:id="30" w:name="_Toc35393794"/>
      <w:bookmarkStart w:id="31" w:name="_Toc35393625"/>
      <w:bookmarkStart w:id="32" w:name="_Toc28359007"/>
      <w:r>
        <w:rPr>
          <w:rFonts w:hint="eastAsia" w:ascii="仿宋" w:hAnsi="仿宋" w:eastAsia="仿宋" w:cs="仿宋"/>
          <w:bCs/>
          <w:color w:val="auto"/>
          <w:sz w:val="24"/>
          <w:szCs w:val="24"/>
          <w:highlight w:val="none"/>
        </w:rPr>
        <w:t>1.提交投标文件截止时间、开标时间：</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bCs/>
          <w:color w:val="auto"/>
          <w:sz w:val="24"/>
          <w:szCs w:val="24"/>
          <w:highlight w:val="none"/>
          <w:u w:val="single"/>
        </w:rPr>
        <w:t>年</w:t>
      </w:r>
      <w:r>
        <w:rPr>
          <w:rFonts w:hint="eastAsia" w:ascii="仿宋" w:hAnsi="仿宋" w:eastAsia="仿宋" w:cs="仿宋"/>
          <w:bCs/>
          <w:color w:val="auto"/>
          <w:sz w:val="24"/>
          <w:szCs w:val="24"/>
          <w:highlight w:val="none"/>
          <w:u w:val="single"/>
          <w:lang w:val="en-US" w:eastAsia="zh-CN"/>
        </w:rPr>
        <w:t>4月3日</w:t>
      </w:r>
      <w:r>
        <w:rPr>
          <w:rFonts w:hint="eastAsia" w:ascii="仿宋" w:hAnsi="仿宋" w:eastAsia="仿宋" w:cs="仿宋"/>
          <w:bCs/>
          <w:color w:val="auto"/>
          <w:sz w:val="24"/>
          <w:szCs w:val="24"/>
          <w:highlight w:val="none"/>
          <w:u w:val="single"/>
        </w:rPr>
        <w:t>上午</w:t>
      </w:r>
      <w:r>
        <w:rPr>
          <w:rFonts w:hint="eastAsia" w:ascii="仿宋" w:hAnsi="仿宋" w:eastAsia="仿宋" w:cs="仿宋"/>
          <w:bCs/>
          <w:color w:val="auto"/>
          <w:sz w:val="24"/>
          <w:szCs w:val="24"/>
          <w:highlight w:val="none"/>
          <w:u w:val="single"/>
          <w:lang w:val="en-US" w:eastAsia="zh-CN"/>
        </w:rPr>
        <w:t>9</w:t>
      </w:r>
      <w:r>
        <w:rPr>
          <w:rFonts w:hint="eastAsia" w:ascii="仿宋" w:hAnsi="仿宋" w:eastAsia="仿宋" w:cs="仿宋"/>
          <w:bCs/>
          <w:color w:val="auto"/>
          <w:sz w:val="24"/>
          <w:szCs w:val="24"/>
          <w:highlight w:val="none"/>
          <w:u w:val="single"/>
        </w:rPr>
        <w:t>点</w:t>
      </w:r>
      <w:r>
        <w:rPr>
          <w:rFonts w:hint="eastAsia" w:ascii="仿宋" w:hAnsi="仿宋" w:eastAsia="仿宋" w:cs="仿宋"/>
          <w:bCs/>
          <w:color w:val="auto"/>
          <w:sz w:val="24"/>
          <w:szCs w:val="24"/>
          <w:highlight w:val="none"/>
          <w:u w:val="single"/>
          <w:lang w:val="en-US" w:eastAsia="zh-CN"/>
        </w:rPr>
        <w:t>00</w:t>
      </w:r>
      <w:r>
        <w:rPr>
          <w:rFonts w:hint="eastAsia" w:ascii="仿宋" w:hAnsi="仿宋" w:eastAsia="仿宋" w:cs="仿宋"/>
          <w:bCs/>
          <w:color w:val="auto"/>
          <w:sz w:val="24"/>
          <w:szCs w:val="24"/>
          <w:highlight w:val="none"/>
          <w:u w:val="single"/>
        </w:rPr>
        <w:t>分</w:t>
      </w:r>
      <w:r>
        <w:rPr>
          <w:rFonts w:hint="eastAsia" w:ascii="仿宋" w:hAnsi="仿宋" w:eastAsia="仿宋" w:cs="仿宋"/>
          <w:color w:val="auto"/>
          <w:sz w:val="24"/>
          <w:szCs w:val="24"/>
          <w:highlight w:val="none"/>
        </w:rPr>
        <w:t>（北京时间），逾时，系统将拒绝接受上传投标文件电子文档。</w:t>
      </w:r>
    </w:p>
    <w:p w14:paraId="5964CB71">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2.地点：“苏采云”政府采购一体化平台。</w:t>
      </w:r>
    </w:p>
    <w:p w14:paraId="36277EF9">
      <w:pPr>
        <w:spacing w:line="48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五、公告期限</w:t>
      </w:r>
      <w:bookmarkEnd w:id="28"/>
      <w:bookmarkEnd w:id="29"/>
      <w:bookmarkEnd w:id="30"/>
      <w:bookmarkEnd w:id="31"/>
      <w:bookmarkEnd w:id="32"/>
    </w:p>
    <w:p w14:paraId="793D744C">
      <w:pPr>
        <w:spacing w:line="480" w:lineRule="exact"/>
        <w:ind w:firstLine="480"/>
        <w:rPr>
          <w:rFonts w:ascii="仿宋" w:hAnsi="仿宋" w:eastAsia="仿宋" w:cs="仿宋"/>
          <w:color w:val="auto"/>
          <w:sz w:val="24"/>
          <w:szCs w:val="24"/>
          <w:highlight w:val="none"/>
        </w:rPr>
      </w:pPr>
      <w:bookmarkStart w:id="33" w:name="_Toc38985268"/>
      <w:bookmarkStart w:id="34" w:name="_Toc35393795"/>
      <w:bookmarkStart w:id="35" w:name="_Toc35393626"/>
      <w:r>
        <w:rPr>
          <w:rFonts w:hint="eastAsia" w:ascii="仿宋" w:hAnsi="仿宋" w:eastAsia="仿宋" w:cs="仿宋"/>
          <w:color w:val="auto"/>
          <w:sz w:val="24"/>
          <w:szCs w:val="24"/>
          <w:highlight w:val="none"/>
        </w:rPr>
        <w:t>自本公告发布之日起5个工作日。</w:t>
      </w:r>
    </w:p>
    <w:p w14:paraId="0736B301">
      <w:pPr>
        <w:spacing w:line="48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六、其他补充事宜</w:t>
      </w:r>
      <w:bookmarkEnd w:id="33"/>
      <w:bookmarkEnd w:id="34"/>
      <w:bookmarkEnd w:id="35"/>
    </w:p>
    <w:p w14:paraId="6813A466">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1.项目开标活动模式：不见面远程开标模式</w:t>
      </w:r>
    </w:p>
    <w:p w14:paraId="78FE153A">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含潜在投标人）对采购方式、招标文件中项目需求、供应商资格条件、评标方法和评标标准、资格审查部分、合同文本等应当由采购人答复的质疑，请向采购人提出，由采购人负责答复。投标人对其他事项的质疑，请向代理机构提出，由代理机构负责答复。对在“苏采云”系统操作阶段的询问请向交易系统软件维护人员提出。</w:t>
      </w:r>
    </w:p>
    <w:p w14:paraId="02F5DB55">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p>
    <w:p w14:paraId="43B5B432">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开标当天投标人应及时登录“苏采云”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p>
    <w:p w14:paraId="5B4B92B0">
      <w:pPr>
        <w:spacing w:line="480" w:lineRule="exact"/>
        <w:rPr>
          <w:rFonts w:ascii="仿宋" w:hAnsi="仿宋" w:eastAsia="仿宋" w:cs="仿宋"/>
          <w:b/>
          <w:bCs/>
          <w:color w:val="auto"/>
          <w:sz w:val="32"/>
          <w:szCs w:val="32"/>
          <w:highlight w:val="none"/>
        </w:rPr>
      </w:pPr>
      <w:bookmarkStart w:id="36" w:name="_Toc28359008"/>
      <w:bookmarkStart w:id="37" w:name="_Toc35393796"/>
      <w:bookmarkStart w:id="38" w:name="_Toc35393627"/>
      <w:bookmarkStart w:id="39" w:name="_Toc38985269"/>
      <w:bookmarkStart w:id="40" w:name="_Toc28359085"/>
      <w:r>
        <w:rPr>
          <w:rFonts w:hint="eastAsia" w:ascii="仿宋" w:hAnsi="仿宋" w:eastAsia="仿宋" w:cs="仿宋"/>
          <w:b/>
          <w:bCs/>
          <w:color w:val="auto"/>
          <w:sz w:val="32"/>
          <w:szCs w:val="32"/>
          <w:highlight w:val="none"/>
        </w:rPr>
        <w:t>七、</w:t>
      </w:r>
      <w:bookmarkEnd w:id="36"/>
      <w:bookmarkEnd w:id="37"/>
      <w:bookmarkEnd w:id="38"/>
      <w:bookmarkEnd w:id="39"/>
      <w:bookmarkEnd w:id="40"/>
      <w:r>
        <w:rPr>
          <w:rFonts w:hint="eastAsia" w:ascii="仿宋" w:hAnsi="仿宋" w:eastAsia="仿宋" w:cs="仿宋"/>
          <w:b/>
          <w:bCs/>
          <w:color w:val="auto"/>
          <w:sz w:val="32"/>
          <w:szCs w:val="32"/>
          <w:highlight w:val="none"/>
        </w:rPr>
        <w:t>对本次招标提出询问，请按以下方式联系</w:t>
      </w:r>
    </w:p>
    <w:p w14:paraId="0BA682DB">
      <w:pPr>
        <w:spacing w:line="480" w:lineRule="exact"/>
        <w:ind w:firstLine="480"/>
        <w:rPr>
          <w:rFonts w:hint="eastAsia" w:ascii="仿宋" w:hAnsi="仿宋" w:eastAsia="仿宋" w:cs="仿宋"/>
          <w:color w:val="auto"/>
          <w:sz w:val="24"/>
          <w:szCs w:val="24"/>
          <w:highlight w:val="none"/>
        </w:rPr>
      </w:pPr>
      <w:bookmarkStart w:id="41" w:name="_Toc28359010"/>
      <w:bookmarkStart w:id="42" w:name="_Toc28359087"/>
      <w:r>
        <w:rPr>
          <w:rFonts w:hint="eastAsia" w:ascii="仿宋" w:hAnsi="仿宋" w:eastAsia="仿宋" w:cs="仿宋"/>
          <w:color w:val="auto"/>
          <w:sz w:val="24"/>
          <w:szCs w:val="24"/>
          <w:highlight w:val="none"/>
        </w:rPr>
        <w:t>1.采购人信息</w:t>
      </w:r>
    </w:p>
    <w:p w14:paraId="2310B6E6">
      <w:pPr>
        <w:spacing w:line="48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名称：如东县人民政府城中街道办事处</w:t>
      </w:r>
    </w:p>
    <w:p w14:paraId="618D0AEF">
      <w:pPr>
        <w:spacing w:line="48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地址：如东县城中街道</w:t>
      </w:r>
    </w:p>
    <w:p w14:paraId="37B06F91">
      <w:pPr>
        <w:spacing w:line="48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联系人：瞿学林</w:t>
      </w:r>
    </w:p>
    <w:p w14:paraId="3502DEA3">
      <w:pPr>
        <w:spacing w:line="48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联系方式：15251376685</w:t>
      </w:r>
    </w:p>
    <w:p w14:paraId="46670D2D">
      <w:pPr>
        <w:spacing w:line="48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7881DC1B">
      <w:pPr>
        <w:spacing w:line="48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名称：南通城建工程项目管理有限公司</w:t>
      </w:r>
    </w:p>
    <w:p w14:paraId="209311AF">
      <w:pPr>
        <w:spacing w:line="48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地址：如东县城中街道</w:t>
      </w:r>
    </w:p>
    <w:p w14:paraId="3F32E536">
      <w:pPr>
        <w:spacing w:line="48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联系人：陈工</w:t>
      </w:r>
    </w:p>
    <w:p w14:paraId="05708C11">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联系方式：13404206005</w:t>
      </w:r>
    </w:p>
    <w:p w14:paraId="57CD11DB">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0E9BCF97">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项目联系人：瞿学林   </w:t>
      </w:r>
    </w:p>
    <w:p w14:paraId="2CA998DF">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    话：15251376685 　</w:t>
      </w:r>
    </w:p>
    <w:bookmarkEnd w:id="41"/>
    <w:bookmarkEnd w:id="42"/>
    <w:p w14:paraId="656AED42">
      <w:pPr>
        <w:spacing w:line="48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八、其他</w:t>
      </w:r>
    </w:p>
    <w:p w14:paraId="4EA0DA35">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p>
    <w:p w14:paraId="381E87D5">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领取CA和办理电子签章请至南通市政务服务中心裙楼四楼CA办理窗口办理，详见《江苏省政府采购数字证书(供应商)CA及电子签章办理指南》），请及时进行注册并按要求制作、上传电子投标文件。</w:t>
      </w:r>
    </w:p>
    <w:p w14:paraId="31CFE8F9">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2.有关本次招标的事项若存在变动或修改，敬请及时关注如东县公共资源代理机构在“江苏政府采购网”发布的更正公告。</w:t>
      </w:r>
    </w:p>
    <w:p w14:paraId="4C79DA2E">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3.本次招标不收取投标保证金。</w:t>
      </w:r>
    </w:p>
    <w:p w14:paraId="307E8C1E">
      <w:pPr>
        <w:ind w:right="840"/>
        <w:rPr>
          <w:color w:val="auto"/>
          <w:highlight w:val="none"/>
        </w:rPr>
      </w:pPr>
      <w:bookmarkStart w:id="43" w:name="_Toc120614211"/>
    </w:p>
    <w:p w14:paraId="7E74AFBD">
      <w:pPr>
        <w:ind w:right="840" w:firstLine="2650"/>
        <w:outlineLvl w:val="0"/>
        <w:rPr>
          <w:rFonts w:ascii="仿宋" w:hAnsi="仿宋" w:eastAsia="仿宋" w:cs="仿宋"/>
          <w:b/>
          <w:bCs/>
          <w:color w:val="auto"/>
          <w:sz w:val="44"/>
          <w:szCs w:val="44"/>
          <w:highlight w:val="none"/>
        </w:rPr>
      </w:pPr>
    </w:p>
    <w:p w14:paraId="0F1AEA54">
      <w:pPr>
        <w:ind w:right="840" w:firstLine="2650"/>
        <w:outlineLvl w:val="0"/>
        <w:rPr>
          <w:color w:val="auto"/>
          <w:highlight w:val="none"/>
        </w:rPr>
      </w:pPr>
    </w:p>
    <w:p w14:paraId="3B80E125">
      <w:pPr>
        <w:ind w:right="840" w:firstLine="2650"/>
        <w:outlineLvl w:val="0"/>
        <w:rPr>
          <w:color w:val="auto"/>
          <w:highlight w:val="none"/>
        </w:rPr>
      </w:pPr>
    </w:p>
    <w:p w14:paraId="68A07168">
      <w:pPr>
        <w:ind w:right="840" w:firstLine="2650"/>
        <w:outlineLvl w:val="0"/>
        <w:rPr>
          <w:color w:val="auto"/>
          <w:highlight w:val="none"/>
        </w:rPr>
      </w:pPr>
    </w:p>
    <w:p w14:paraId="7E42ADF0">
      <w:pPr>
        <w:ind w:right="840" w:firstLine="2650"/>
        <w:outlineLvl w:val="0"/>
        <w:rPr>
          <w:color w:val="auto"/>
          <w:highlight w:val="none"/>
        </w:rPr>
      </w:pPr>
    </w:p>
    <w:p w14:paraId="119F1F5C">
      <w:pPr>
        <w:ind w:right="840" w:firstLine="2650"/>
        <w:outlineLvl w:val="0"/>
        <w:rPr>
          <w:color w:val="auto"/>
          <w:highlight w:val="none"/>
        </w:rPr>
      </w:pPr>
    </w:p>
    <w:p w14:paraId="5CF99B2D">
      <w:pPr>
        <w:ind w:right="840" w:firstLine="2650"/>
        <w:outlineLvl w:val="0"/>
        <w:rPr>
          <w:rFonts w:hint="eastAsia" w:ascii="仿宋" w:hAnsi="仿宋" w:eastAsia="仿宋" w:cs="仿宋"/>
          <w:b/>
          <w:bCs/>
          <w:color w:val="auto"/>
          <w:sz w:val="44"/>
          <w:szCs w:val="44"/>
          <w:highlight w:val="none"/>
        </w:rPr>
      </w:pPr>
    </w:p>
    <w:p w14:paraId="63B59E73">
      <w:pPr>
        <w:ind w:right="840" w:firstLine="2650"/>
        <w:outlineLvl w:val="0"/>
        <w:rPr>
          <w:rFonts w:hint="eastAsia" w:ascii="仿宋" w:hAnsi="仿宋" w:eastAsia="仿宋" w:cs="仿宋"/>
          <w:b/>
          <w:bCs/>
          <w:color w:val="auto"/>
          <w:sz w:val="44"/>
          <w:szCs w:val="44"/>
          <w:highlight w:val="none"/>
        </w:rPr>
      </w:pPr>
    </w:p>
    <w:p w14:paraId="5A2DAC89">
      <w:pPr>
        <w:ind w:right="840" w:firstLine="2650"/>
        <w:outlineLvl w:val="0"/>
        <w:rPr>
          <w:rFonts w:hint="eastAsia" w:ascii="仿宋" w:hAnsi="仿宋" w:eastAsia="仿宋" w:cs="仿宋"/>
          <w:b/>
          <w:bCs/>
          <w:color w:val="auto"/>
          <w:sz w:val="44"/>
          <w:szCs w:val="44"/>
          <w:highlight w:val="none"/>
        </w:rPr>
      </w:pPr>
    </w:p>
    <w:p w14:paraId="322B9D4E">
      <w:pPr>
        <w:ind w:right="840" w:firstLine="2650"/>
        <w:outlineLvl w:val="0"/>
        <w:rPr>
          <w:rFonts w:hint="eastAsia" w:ascii="仿宋" w:hAnsi="仿宋" w:eastAsia="仿宋" w:cs="仿宋"/>
          <w:b/>
          <w:bCs/>
          <w:color w:val="auto"/>
          <w:sz w:val="44"/>
          <w:szCs w:val="44"/>
          <w:highlight w:val="none"/>
        </w:rPr>
      </w:pPr>
    </w:p>
    <w:p w14:paraId="4816BD8A">
      <w:pPr>
        <w:ind w:right="840" w:firstLine="2650"/>
        <w:outlineLvl w:val="0"/>
        <w:rPr>
          <w:rFonts w:hint="eastAsia" w:ascii="仿宋" w:hAnsi="仿宋" w:eastAsia="仿宋" w:cs="仿宋"/>
          <w:b/>
          <w:bCs/>
          <w:color w:val="auto"/>
          <w:sz w:val="44"/>
          <w:szCs w:val="44"/>
          <w:highlight w:val="none"/>
        </w:rPr>
      </w:pPr>
    </w:p>
    <w:p w14:paraId="07BB7106">
      <w:pPr>
        <w:ind w:right="840" w:firstLine="2650"/>
        <w:outlineLvl w:val="0"/>
        <w:rPr>
          <w:rFonts w:hint="eastAsia" w:ascii="仿宋" w:hAnsi="仿宋" w:eastAsia="仿宋" w:cs="仿宋"/>
          <w:b/>
          <w:bCs/>
          <w:color w:val="auto"/>
          <w:sz w:val="44"/>
          <w:szCs w:val="44"/>
          <w:highlight w:val="none"/>
        </w:rPr>
      </w:pPr>
    </w:p>
    <w:p w14:paraId="327A0718">
      <w:pPr>
        <w:ind w:right="840" w:firstLine="2650"/>
        <w:outlineLvl w:val="0"/>
        <w:rPr>
          <w:rFonts w:hint="eastAsia" w:ascii="仿宋" w:hAnsi="仿宋" w:eastAsia="仿宋" w:cs="仿宋"/>
          <w:b/>
          <w:bCs/>
          <w:color w:val="auto"/>
          <w:sz w:val="44"/>
          <w:szCs w:val="44"/>
          <w:highlight w:val="none"/>
        </w:rPr>
      </w:pPr>
    </w:p>
    <w:p w14:paraId="67433D76">
      <w:pPr>
        <w:ind w:right="840" w:firstLine="2650"/>
        <w:outlineLvl w:val="0"/>
        <w:rPr>
          <w:rFonts w:hint="eastAsia" w:ascii="仿宋" w:hAnsi="仿宋" w:eastAsia="仿宋" w:cs="仿宋"/>
          <w:b/>
          <w:bCs/>
          <w:color w:val="auto"/>
          <w:sz w:val="44"/>
          <w:szCs w:val="44"/>
          <w:highlight w:val="none"/>
        </w:rPr>
      </w:pPr>
    </w:p>
    <w:p w14:paraId="0195F610">
      <w:pPr>
        <w:ind w:right="840" w:firstLine="2650"/>
        <w:outlineLvl w:val="0"/>
        <w:rPr>
          <w:rFonts w:hint="eastAsia" w:ascii="仿宋" w:hAnsi="仿宋" w:eastAsia="仿宋" w:cs="仿宋"/>
          <w:b/>
          <w:bCs/>
          <w:color w:val="auto"/>
          <w:sz w:val="44"/>
          <w:szCs w:val="44"/>
          <w:highlight w:val="none"/>
        </w:rPr>
      </w:pPr>
    </w:p>
    <w:p w14:paraId="1C7E2B76">
      <w:pPr>
        <w:ind w:right="840" w:firstLine="2650"/>
        <w:outlineLvl w:val="0"/>
        <w:rPr>
          <w:rFonts w:hint="eastAsia" w:ascii="仿宋" w:hAnsi="仿宋" w:eastAsia="仿宋" w:cs="仿宋"/>
          <w:b/>
          <w:bCs/>
          <w:color w:val="auto"/>
          <w:sz w:val="44"/>
          <w:szCs w:val="44"/>
          <w:highlight w:val="none"/>
        </w:rPr>
      </w:pPr>
    </w:p>
    <w:p w14:paraId="27258842">
      <w:pPr>
        <w:ind w:right="840" w:firstLine="2650"/>
        <w:outlineLvl w:val="0"/>
        <w:rPr>
          <w:rFonts w:hint="eastAsia" w:ascii="仿宋" w:hAnsi="仿宋" w:eastAsia="仿宋" w:cs="仿宋"/>
          <w:b/>
          <w:bCs/>
          <w:color w:val="auto"/>
          <w:sz w:val="44"/>
          <w:szCs w:val="44"/>
          <w:highlight w:val="none"/>
        </w:rPr>
      </w:pPr>
    </w:p>
    <w:p w14:paraId="0A5CE9AC">
      <w:pPr>
        <w:ind w:right="840" w:firstLine="2650"/>
        <w:outlineLvl w:val="0"/>
        <w:rPr>
          <w:rFonts w:hint="eastAsia" w:ascii="仿宋" w:hAnsi="仿宋" w:eastAsia="仿宋" w:cs="仿宋"/>
          <w:b/>
          <w:bCs/>
          <w:color w:val="auto"/>
          <w:sz w:val="44"/>
          <w:szCs w:val="44"/>
          <w:highlight w:val="none"/>
        </w:rPr>
      </w:pPr>
    </w:p>
    <w:p w14:paraId="78719D97">
      <w:pPr>
        <w:ind w:right="840" w:firstLine="2650"/>
        <w:outlineLvl w:val="0"/>
        <w:rPr>
          <w:rFonts w:hint="eastAsia" w:ascii="仿宋" w:hAnsi="仿宋" w:eastAsia="仿宋" w:cs="仿宋"/>
          <w:b/>
          <w:bCs/>
          <w:color w:val="auto"/>
          <w:sz w:val="44"/>
          <w:szCs w:val="44"/>
          <w:highlight w:val="none"/>
        </w:rPr>
      </w:pPr>
    </w:p>
    <w:p w14:paraId="76F22C00">
      <w:pPr>
        <w:ind w:right="840" w:firstLine="2650"/>
        <w:outlineLvl w:val="0"/>
        <w:rPr>
          <w:rFonts w:hint="eastAsia" w:ascii="仿宋" w:hAnsi="仿宋" w:eastAsia="仿宋" w:cs="仿宋"/>
          <w:b/>
          <w:bCs/>
          <w:color w:val="auto"/>
          <w:sz w:val="44"/>
          <w:szCs w:val="44"/>
          <w:highlight w:val="none"/>
        </w:rPr>
      </w:pPr>
    </w:p>
    <w:p w14:paraId="6AE3A90B">
      <w:pPr>
        <w:ind w:right="840" w:firstLine="2650"/>
        <w:outlineLvl w:val="0"/>
        <w:rPr>
          <w:rFonts w:hint="eastAsia" w:ascii="仿宋" w:hAnsi="仿宋" w:eastAsia="仿宋" w:cs="仿宋"/>
          <w:b/>
          <w:bCs/>
          <w:color w:val="auto"/>
          <w:sz w:val="44"/>
          <w:szCs w:val="44"/>
          <w:highlight w:val="none"/>
        </w:rPr>
      </w:pPr>
    </w:p>
    <w:p w14:paraId="156F9E82">
      <w:pPr>
        <w:ind w:right="840"/>
        <w:jc w:val="center"/>
        <w:outlineLvl w:val="0"/>
        <w:rPr>
          <w:rFonts w:hint="eastAsia" w:ascii="仿宋" w:hAnsi="仿宋" w:eastAsia="仿宋" w:cs="仿宋"/>
          <w:b/>
          <w:bCs/>
          <w:color w:val="auto"/>
          <w:sz w:val="44"/>
          <w:szCs w:val="44"/>
          <w:highlight w:val="none"/>
          <w:lang w:val="en-US" w:eastAsia="zh-CN"/>
        </w:rPr>
      </w:pPr>
      <w:bookmarkStart w:id="44" w:name="_Toc186493268"/>
      <w:r>
        <w:rPr>
          <w:rFonts w:hint="eastAsia" w:ascii="仿宋" w:hAnsi="仿宋" w:eastAsia="仿宋" w:cs="仿宋"/>
          <w:b/>
          <w:bCs/>
          <w:color w:val="auto"/>
          <w:sz w:val="44"/>
          <w:szCs w:val="44"/>
          <w:highlight w:val="none"/>
          <w:lang w:val="en-US" w:eastAsia="zh-CN"/>
        </w:rPr>
        <w:t xml:space="preserve">   </w:t>
      </w:r>
    </w:p>
    <w:p w14:paraId="3EE19FC0">
      <w:pPr>
        <w:ind w:right="840"/>
        <w:jc w:val="center"/>
        <w:outlineLvl w:val="0"/>
        <w:rPr>
          <w:rFonts w:hint="eastAsia" w:ascii="仿宋" w:hAnsi="仿宋" w:eastAsia="仿宋" w:cs="仿宋"/>
          <w:b/>
          <w:bCs/>
          <w:color w:val="auto"/>
          <w:sz w:val="44"/>
          <w:szCs w:val="44"/>
          <w:highlight w:val="none"/>
          <w:lang w:val="en-US" w:eastAsia="zh-CN"/>
        </w:rPr>
      </w:pPr>
    </w:p>
    <w:p w14:paraId="4C76253C">
      <w:pPr>
        <w:ind w:right="840"/>
        <w:jc w:val="center"/>
        <w:outlineLvl w:val="0"/>
        <w:rPr>
          <w:rFonts w:hint="eastAsia" w:ascii="仿宋" w:hAnsi="仿宋" w:eastAsia="仿宋" w:cs="仿宋"/>
          <w:b/>
          <w:bCs/>
          <w:color w:val="auto"/>
          <w:sz w:val="44"/>
          <w:szCs w:val="44"/>
          <w:highlight w:val="none"/>
          <w:lang w:val="en-US" w:eastAsia="zh-CN"/>
        </w:rPr>
      </w:pPr>
    </w:p>
    <w:p w14:paraId="029E9B0A">
      <w:pPr>
        <w:ind w:right="840"/>
        <w:jc w:val="center"/>
        <w:outlineLvl w:val="0"/>
        <w:rPr>
          <w:rFonts w:hint="eastAsia" w:ascii="仿宋" w:hAnsi="仿宋" w:eastAsia="仿宋" w:cs="仿宋"/>
          <w:b/>
          <w:bCs/>
          <w:color w:val="auto"/>
          <w:sz w:val="44"/>
          <w:szCs w:val="44"/>
          <w:highlight w:val="none"/>
        </w:rPr>
      </w:pPr>
    </w:p>
    <w:p w14:paraId="1166F057">
      <w:pPr>
        <w:ind w:right="840"/>
        <w:jc w:val="center"/>
        <w:outlineLvl w:val="0"/>
        <w:rPr>
          <w:rFonts w:hint="eastAsia" w:ascii="仿宋" w:hAnsi="仿宋" w:eastAsia="仿宋" w:cs="仿宋"/>
          <w:b/>
          <w:bCs/>
          <w:color w:val="auto"/>
          <w:sz w:val="44"/>
          <w:szCs w:val="44"/>
          <w:highlight w:val="none"/>
        </w:rPr>
      </w:pPr>
    </w:p>
    <w:p w14:paraId="685F3A76">
      <w:pPr>
        <w:ind w:right="840"/>
        <w:jc w:val="center"/>
        <w:outlineLvl w:val="0"/>
        <w:rPr>
          <w:color w:val="auto"/>
          <w:highlight w:val="none"/>
        </w:rPr>
      </w:pPr>
      <w:r>
        <w:rPr>
          <w:rFonts w:hint="eastAsia" w:ascii="仿宋" w:hAnsi="仿宋" w:eastAsia="仿宋" w:cs="仿宋"/>
          <w:b/>
          <w:bCs/>
          <w:color w:val="auto"/>
          <w:sz w:val="44"/>
          <w:szCs w:val="44"/>
          <w:highlight w:val="none"/>
        </w:rPr>
        <w:t xml:space="preserve">第二章  </w:t>
      </w:r>
      <w:bookmarkEnd w:id="1"/>
      <w:bookmarkEnd w:id="2"/>
      <w:bookmarkEnd w:id="3"/>
      <w:bookmarkEnd w:id="4"/>
      <w:bookmarkEnd w:id="5"/>
      <w:bookmarkEnd w:id="43"/>
      <w:bookmarkStart w:id="45" w:name="_Toc513029202"/>
      <w:bookmarkStart w:id="46" w:name="_Toc16938518"/>
      <w:bookmarkStart w:id="47" w:name="_Toc20823274"/>
      <w:bookmarkStart w:id="48" w:name="_Toc120614213"/>
      <w:r>
        <w:rPr>
          <w:rFonts w:hint="eastAsia" w:ascii="仿宋" w:hAnsi="仿宋" w:eastAsia="仿宋" w:cs="仿宋"/>
          <w:b/>
          <w:bCs/>
          <w:color w:val="auto"/>
          <w:sz w:val="44"/>
          <w:szCs w:val="44"/>
          <w:highlight w:val="none"/>
        </w:rPr>
        <w:t>投标人须知</w:t>
      </w:r>
      <w:bookmarkEnd w:id="44"/>
      <w:bookmarkEnd w:id="45"/>
      <w:bookmarkEnd w:id="46"/>
      <w:bookmarkEnd w:id="47"/>
      <w:bookmarkEnd w:id="48"/>
    </w:p>
    <w:p w14:paraId="14FEC11C">
      <w:pPr>
        <w:keepNext/>
        <w:keepLines/>
        <w:spacing w:before="145" w:after="145" w:line="400" w:lineRule="exact"/>
        <w:outlineLvl w:val="1"/>
        <w:rPr>
          <w:rFonts w:ascii="仿宋" w:hAnsi="仿宋" w:eastAsia="仿宋" w:cs="仿宋"/>
          <w:b/>
          <w:bCs/>
          <w:color w:val="auto"/>
          <w:sz w:val="32"/>
          <w:szCs w:val="32"/>
          <w:highlight w:val="none"/>
        </w:rPr>
      </w:pPr>
      <w:bookmarkStart w:id="49" w:name="_Toc20823275"/>
      <w:bookmarkStart w:id="50" w:name="_Toc513029203"/>
      <w:bookmarkStart w:id="51" w:name="_Toc120614214"/>
      <w:bookmarkStart w:id="52" w:name="_Toc16938519"/>
      <w:r>
        <w:rPr>
          <w:rFonts w:hint="eastAsia" w:ascii="仿宋" w:hAnsi="仿宋" w:eastAsia="仿宋" w:cs="仿宋"/>
          <w:b/>
          <w:bCs/>
          <w:color w:val="auto"/>
          <w:sz w:val="32"/>
          <w:szCs w:val="32"/>
          <w:highlight w:val="none"/>
        </w:rPr>
        <w:t>一、总则</w:t>
      </w:r>
      <w:bookmarkEnd w:id="49"/>
      <w:bookmarkEnd w:id="50"/>
      <w:bookmarkEnd w:id="51"/>
      <w:bookmarkEnd w:id="52"/>
    </w:p>
    <w:p w14:paraId="256695E4">
      <w:pPr>
        <w:keepNext/>
        <w:keepLines/>
        <w:spacing w:line="400" w:lineRule="exact"/>
        <w:ind w:firstLine="422"/>
        <w:rPr>
          <w:rFonts w:ascii="仿宋" w:hAnsi="仿宋" w:eastAsia="仿宋" w:cs="仿宋"/>
          <w:b/>
          <w:bCs/>
          <w:color w:val="auto"/>
          <w:sz w:val="28"/>
          <w:szCs w:val="28"/>
          <w:highlight w:val="none"/>
        </w:rPr>
      </w:pPr>
      <w:bookmarkStart w:id="53" w:name="_Hlt16619475"/>
      <w:bookmarkEnd w:id="53"/>
      <w:bookmarkStart w:id="54" w:name="_Toc458694821"/>
      <w:bookmarkStart w:id="55" w:name="_Toc513029204"/>
      <w:bookmarkStart w:id="56" w:name="_Toc20823276"/>
      <w:bookmarkStart w:id="57" w:name="_Toc16938520"/>
      <w:r>
        <w:rPr>
          <w:rFonts w:hint="eastAsia" w:ascii="仿宋" w:hAnsi="仿宋" w:eastAsia="仿宋" w:cs="仿宋"/>
          <w:b/>
          <w:bCs/>
          <w:color w:val="auto"/>
          <w:sz w:val="28"/>
          <w:szCs w:val="28"/>
          <w:highlight w:val="none"/>
        </w:rPr>
        <w:t>1</w:t>
      </w:r>
      <w:bookmarkEnd w:id="54"/>
      <w:r>
        <w:rPr>
          <w:rFonts w:hint="eastAsia" w:ascii="仿宋" w:hAnsi="仿宋" w:eastAsia="仿宋" w:cs="仿宋"/>
          <w:b/>
          <w:bCs/>
          <w:color w:val="auto"/>
          <w:sz w:val="28"/>
          <w:szCs w:val="28"/>
          <w:highlight w:val="none"/>
        </w:rPr>
        <w:t>、招标方式</w:t>
      </w:r>
      <w:bookmarkEnd w:id="55"/>
      <w:bookmarkEnd w:id="56"/>
      <w:bookmarkEnd w:id="57"/>
    </w:p>
    <w:p w14:paraId="561D08EB">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1.1 本次招标采取公开招标方式，本招标文件仅适用于招标公告中所述项目。</w:t>
      </w:r>
    </w:p>
    <w:p w14:paraId="215A49F2">
      <w:pPr>
        <w:keepNext/>
        <w:keepLines/>
        <w:spacing w:line="400" w:lineRule="exact"/>
        <w:ind w:firstLine="422"/>
        <w:rPr>
          <w:rFonts w:ascii="仿宋" w:hAnsi="仿宋" w:eastAsia="仿宋" w:cs="仿宋"/>
          <w:b/>
          <w:bCs/>
          <w:color w:val="auto"/>
          <w:sz w:val="28"/>
          <w:szCs w:val="28"/>
          <w:highlight w:val="none"/>
        </w:rPr>
      </w:pPr>
      <w:bookmarkStart w:id="58" w:name="_Toc20823277"/>
      <w:bookmarkStart w:id="59" w:name="_Toc16938521"/>
      <w:bookmarkStart w:id="60" w:name="_Toc513029205"/>
      <w:r>
        <w:rPr>
          <w:rFonts w:hint="eastAsia" w:ascii="仿宋" w:hAnsi="仿宋" w:eastAsia="仿宋" w:cs="仿宋"/>
          <w:b/>
          <w:bCs/>
          <w:color w:val="auto"/>
          <w:sz w:val="28"/>
          <w:szCs w:val="28"/>
          <w:highlight w:val="none"/>
        </w:rPr>
        <w:t>2、合格的投标人</w:t>
      </w:r>
      <w:bookmarkEnd w:id="58"/>
      <w:bookmarkEnd w:id="59"/>
      <w:bookmarkEnd w:id="60"/>
    </w:p>
    <w:p w14:paraId="1B48E755">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2.1满足招标公告中供应商的资格要求的规定。</w:t>
      </w:r>
    </w:p>
    <w:p w14:paraId="75D0B4CA">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2.2 满足本文件实质性要求的规定。</w:t>
      </w:r>
    </w:p>
    <w:p w14:paraId="4ED3E948">
      <w:pPr>
        <w:keepNext/>
        <w:keepLines/>
        <w:spacing w:line="400" w:lineRule="exact"/>
        <w:ind w:firstLine="422"/>
        <w:rPr>
          <w:rFonts w:ascii="仿宋" w:hAnsi="仿宋" w:eastAsia="仿宋" w:cs="仿宋"/>
          <w:b/>
          <w:bCs/>
          <w:color w:val="auto"/>
          <w:sz w:val="28"/>
          <w:szCs w:val="28"/>
          <w:highlight w:val="none"/>
        </w:rPr>
      </w:pPr>
      <w:bookmarkStart w:id="61" w:name="_Toc20823278"/>
      <w:bookmarkStart w:id="62" w:name="_Toc513029206"/>
      <w:bookmarkStart w:id="63" w:name="_Toc16938522"/>
      <w:r>
        <w:rPr>
          <w:rFonts w:hint="eastAsia" w:ascii="仿宋" w:hAnsi="仿宋" w:eastAsia="仿宋" w:cs="仿宋"/>
          <w:b/>
          <w:bCs/>
          <w:color w:val="auto"/>
          <w:sz w:val="28"/>
          <w:szCs w:val="28"/>
          <w:highlight w:val="none"/>
        </w:rPr>
        <w:t>3、适用法律</w:t>
      </w:r>
      <w:bookmarkEnd w:id="61"/>
      <w:bookmarkEnd w:id="62"/>
      <w:bookmarkEnd w:id="63"/>
    </w:p>
    <w:p w14:paraId="2758775E">
      <w:pPr>
        <w:spacing w:line="400" w:lineRule="exact"/>
        <w:ind w:firstLine="420"/>
        <w:rPr>
          <w:rFonts w:ascii="仿宋" w:hAnsi="仿宋" w:eastAsia="仿宋" w:cs="仿宋"/>
          <w:color w:val="auto"/>
          <w:sz w:val="24"/>
          <w:highlight w:val="none"/>
        </w:rPr>
      </w:pPr>
      <w:r>
        <w:rPr>
          <w:rFonts w:hint="eastAsia" w:ascii="仿宋" w:hAnsi="仿宋" w:eastAsia="仿宋" w:cs="仿宋"/>
          <w:color w:val="auto"/>
          <w:sz w:val="24"/>
          <w:highlight w:val="none"/>
        </w:rPr>
        <w:t>3.1 本次招标及由此产生的合同受中华人民共和国有关的法律法规制约和保护。</w:t>
      </w:r>
    </w:p>
    <w:p w14:paraId="123550E5">
      <w:pPr>
        <w:keepNext/>
        <w:keepLines/>
        <w:spacing w:line="400" w:lineRule="exact"/>
        <w:ind w:firstLine="42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4、招标文件的约束力</w:t>
      </w:r>
    </w:p>
    <w:p w14:paraId="4C8CBAC9">
      <w:pPr>
        <w:spacing w:line="480" w:lineRule="exact"/>
        <w:ind w:firstLine="48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5.1</w:t>
      </w:r>
      <w:r>
        <w:rPr>
          <w:rFonts w:hint="eastAsia" w:ascii="仿宋" w:hAnsi="仿宋" w:eastAsia="仿宋" w:cs="仿宋"/>
          <w:color w:val="auto"/>
          <w:sz w:val="24"/>
          <w:szCs w:val="24"/>
          <w:highlight w:val="none"/>
        </w:rPr>
        <w:t>投标人一旦参加本项目采购活动，即被认为接受了本招标文件的规定和约束。</w:t>
      </w:r>
    </w:p>
    <w:p w14:paraId="774F2106">
      <w:pPr>
        <w:keepNext/>
        <w:keepLines/>
        <w:spacing w:before="145" w:after="145" w:line="400" w:lineRule="exact"/>
        <w:outlineLvl w:val="1"/>
        <w:rPr>
          <w:rFonts w:ascii="仿宋" w:hAnsi="仿宋" w:eastAsia="仿宋" w:cs="仿宋"/>
          <w:b/>
          <w:bCs/>
          <w:color w:val="auto"/>
          <w:sz w:val="32"/>
          <w:szCs w:val="32"/>
          <w:highlight w:val="none"/>
        </w:rPr>
      </w:pPr>
      <w:bookmarkStart w:id="64" w:name="_Toc513029209"/>
      <w:bookmarkStart w:id="65" w:name="_Toc120614215"/>
      <w:bookmarkStart w:id="66" w:name="_Toc16938525"/>
      <w:bookmarkStart w:id="67" w:name="_Toc20823281"/>
      <w:r>
        <w:rPr>
          <w:rFonts w:hint="eastAsia" w:ascii="仿宋" w:hAnsi="仿宋" w:eastAsia="仿宋" w:cs="仿宋"/>
          <w:b/>
          <w:bCs/>
          <w:color w:val="auto"/>
          <w:sz w:val="32"/>
          <w:szCs w:val="32"/>
          <w:highlight w:val="none"/>
        </w:rPr>
        <w:t>二、招标文件</w:t>
      </w:r>
      <w:bookmarkEnd w:id="64"/>
      <w:bookmarkEnd w:id="65"/>
      <w:bookmarkEnd w:id="66"/>
      <w:bookmarkEnd w:id="67"/>
    </w:p>
    <w:p w14:paraId="09267656">
      <w:pPr>
        <w:keepNext/>
        <w:keepLines/>
        <w:spacing w:line="400" w:lineRule="exact"/>
        <w:ind w:firstLine="422"/>
        <w:rPr>
          <w:rFonts w:ascii="仿宋" w:hAnsi="仿宋" w:eastAsia="仿宋" w:cs="仿宋"/>
          <w:b/>
          <w:bCs/>
          <w:color w:val="auto"/>
          <w:sz w:val="28"/>
          <w:szCs w:val="28"/>
          <w:highlight w:val="none"/>
        </w:rPr>
      </w:pPr>
      <w:bookmarkStart w:id="68" w:name="_Toc513029210"/>
      <w:bookmarkStart w:id="69" w:name="_Toc16938526"/>
      <w:bookmarkStart w:id="70" w:name="_Toc20823282"/>
      <w:r>
        <w:rPr>
          <w:rFonts w:hint="eastAsia" w:ascii="仿宋" w:hAnsi="仿宋" w:eastAsia="仿宋" w:cs="仿宋"/>
          <w:b/>
          <w:bCs/>
          <w:color w:val="auto"/>
          <w:sz w:val="28"/>
          <w:szCs w:val="28"/>
          <w:highlight w:val="none"/>
        </w:rPr>
        <w:t>6、招标文件构成</w:t>
      </w:r>
      <w:bookmarkEnd w:id="68"/>
      <w:bookmarkEnd w:id="69"/>
      <w:bookmarkEnd w:id="70"/>
    </w:p>
    <w:p w14:paraId="104FCEE6">
      <w:pPr>
        <w:spacing w:line="50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6.1 招标文件由以下部分组成：</w:t>
      </w:r>
    </w:p>
    <w:p w14:paraId="0EB9FEE9">
      <w:pPr>
        <w:spacing w:line="50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（1）投标邀请</w:t>
      </w:r>
    </w:p>
    <w:p w14:paraId="1EA57B32">
      <w:pPr>
        <w:tabs>
          <w:tab w:val="center" w:pos="4476"/>
        </w:tabs>
        <w:spacing w:line="50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（2）投标人须知</w:t>
      </w:r>
      <w:r>
        <w:rPr>
          <w:rFonts w:hint="eastAsia" w:ascii="仿宋" w:hAnsi="仿宋" w:eastAsia="仿宋" w:cs="仿宋"/>
          <w:bCs/>
          <w:color w:val="auto"/>
          <w:sz w:val="24"/>
          <w:highlight w:val="none"/>
        </w:rPr>
        <w:tab/>
      </w:r>
    </w:p>
    <w:p w14:paraId="3AE6FDD5">
      <w:pPr>
        <w:spacing w:line="50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（3）合同文本</w:t>
      </w:r>
    </w:p>
    <w:p w14:paraId="43E9DC96">
      <w:pPr>
        <w:spacing w:line="50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（4）采购需求</w:t>
      </w:r>
    </w:p>
    <w:p w14:paraId="69AF72C5">
      <w:pPr>
        <w:spacing w:line="50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（5）评标方法与评标标准</w:t>
      </w:r>
    </w:p>
    <w:p w14:paraId="6C6FFC09">
      <w:pPr>
        <w:spacing w:line="50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（6）投标文件格式</w:t>
      </w:r>
    </w:p>
    <w:p w14:paraId="42E0C8F5">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请仔细检查招标文件是否齐全，如有缺漏请立即与代理机构联系解决。</w:t>
      </w:r>
    </w:p>
    <w:p w14:paraId="1DE6D797">
      <w:pPr>
        <w:spacing w:line="500" w:lineRule="exact"/>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6.2</w:t>
      </w:r>
      <w:r>
        <w:rPr>
          <w:rFonts w:hint="eastAsia" w:ascii="仿宋" w:hAnsi="仿宋" w:eastAsia="仿宋" w:cs="仿宋"/>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356A897">
      <w:pPr>
        <w:keepNext/>
        <w:keepLines/>
        <w:spacing w:line="400" w:lineRule="exact"/>
        <w:ind w:firstLine="422"/>
        <w:rPr>
          <w:rFonts w:ascii="仿宋" w:hAnsi="仿宋" w:eastAsia="仿宋" w:cs="仿宋"/>
          <w:b/>
          <w:bCs/>
          <w:color w:val="auto"/>
          <w:sz w:val="28"/>
          <w:szCs w:val="28"/>
          <w:highlight w:val="none"/>
        </w:rPr>
      </w:pPr>
      <w:bookmarkStart w:id="71" w:name="_Toc20823283"/>
      <w:bookmarkStart w:id="72" w:name="_Toc16938527"/>
      <w:bookmarkStart w:id="73" w:name="_Toc462564070"/>
      <w:bookmarkStart w:id="74" w:name="_Toc513029211"/>
      <w:r>
        <w:rPr>
          <w:rFonts w:hint="eastAsia" w:ascii="仿宋" w:hAnsi="仿宋" w:eastAsia="仿宋" w:cs="仿宋"/>
          <w:b/>
          <w:bCs/>
          <w:color w:val="auto"/>
          <w:sz w:val="28"/>
          <w:szCs w:val="28"/>
          <w:highlight w:val="none"/>
        </w:rPr>
        <w:t>7、招标文件的澄清</w:t>
      </w:r>
      <w:bookmarkEnd w:id="71"/>
      <w:bookmarkEnd w:id="72"/>
      <w:bookmarkEnd w:id="73"/>
      <w:bookmarkEnd w:id="74"/>
    </w:p>
    <w:p w14:paraId="42403182">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7.1任何要求对招标文件进行澄清的投标人，应在投标截止期十日前按招标公告中的通讯地址，以书面形式通知采购人。采购人有权对发出的招标文件进行必要的澄清或修改。</w:t>
      </w:r>
    </w:p>
    <w:p w14:paraId="5F95130F">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7.2采购人视情况组织答疑会。</w:t>
      </w:r>
    </w:p>
    <w:p w14:paraId="68629DA5">
      <w:pPr>
        <w:keepNext/>
        <w:keepLines/>
        <w:spacing w:line="400" w:lineRule="exact"/>
        <w:ind w:firstLine="422"/>
        <w:rPr>
          <w:rFonts w:ascii="仿宋" w:hAnsi="仿宋" w:eastAsia="仿宋" w:cs="仿宋"/>
          <w:b/>
          <w:bCs/>
          <w:color w:val="auto"/>
          <w:sz w:val="28"/>
          <w:szCs w:val="28"/>
          <w:highlight w:val="none"/>
        </w:rPr>
      </w:pPr>
      <w:bookmarkStart w:id="75" w:name="_Toc513029212"/>
      <w:bookmarkStart w:id="76" w:name="_Toc20823284"/>
      <w:bookmarkStart w:id="77" w:name="_Toc16938528"/>
      <w:bookmarkStart w:id="78" w:name="_Toc462564071"/>
      <w:r>
        <w:rPr>
          <w:rFonts w:hint="eastAsia" w:ascii="仿宋" w:hAnsi="仿宋" w:eastAsia="仿宋" w:cs="仿宋"/>
          <w:b/>
          <w:bCs/>
          <w:color w:val="auto"/>
          <w:sz w:val="28"/>
          <w:szCs w:val="28"/>
          <w:highlight w:val="none"/>
        </w:rPr>
        <w:t>8、招标文件的修改</w:t>
      </w:r>
      <w:bookmarkEnd w:id="75"/>
      <w:bookmarkEnd w:id="76"/>
      <w:bookmarkEnd w:id="77"/>
      <w:bookmarkEnd w:id="78"/>
    </w:p>
    <w:p w14:paraId="48F0C9E5">
      <w:pPr>
        <w:spacing w:line="500" w:lineRule="exact"/>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8.1</w:t>
      </w:r>
      <w:r>
        <w:rPr>
          <w:rFonts w:hint="eastAsia" w:ascii="仿宋" w:hAnsi="仿宋" w:eastAsia="仿宋" w:cs="仿宋"/>
          <w:color w:val="auto"/>
          <w:sz w:val="24"/>
          <w:highlight w:val="none"/>
        </w:rPr>
        <w:t xml:space="preserve"> 在投标截止时间前，代理机构可以对招标文件进行修改。</w:t>
      </w:r>
    </w:p>
    <w:p w14:paraId="0D007007">
      <w:pPr>
        <w:spacing w:line="500" w:lineRule="exact"/>
        <w:ind w:firstLine="480"/>
        <w:rPr>
          <w:rFonts w:ascii="仿宋" w:hAnsi="仿宋" w:eastAsia="仿宋" w:cs="仿宋"/>
          <w:color w:val="auto"/>
          <w:sz w:val="28"/>
          <w:highlight w:val="none"/>
        </w:rPr>
      </w:pPr>
      <w:r>
        <w:rPr>
          <w:rFonts w:hint="eastAsia" w:ascii="仿宋" w:hAnsi="仿宋" w:eastAsia="仿宋" w:cs="仿宋"/>
          <w:bCs/>
          <w:color w:val="auto"/>
          <w:sz w:val="24"/>
          <w:highlight w:val="none"/>
        </w:rPr>
        <w:t xml:space="preserve">8.2 </w:t>
      </w:r>
      <w:r>
        <w:rPr>
          <w:rFonts w:hint="eastAsia" w:ascii="仿宋" w:hAnsi="仿宋" w:eastAsia="仿宋" w:cs="仿宋"/>
          <w:color w:val="auto"/>
          <w:sz w:val="24"/>
          <w:highlight w:val="none"/>
        </w:rPr>
        <w:t>代理机构</w:t>
      </w:r>
      <w:r>
        <w:rPr>
          <w:rFonts w:hint="eastAsia" w:ascii="仿宋" w:hAnsi="仿宋" w:eastAsia="仿宋" w:cs="仿宋"/>
          <w:color w:val="auto"/>
          <w:sz w:val="24"/>
          <w:szCs w:val="24"/>
          <w:highlight w:val="none"/>
        </w:rPr>
        <w:t>有权按照法定的要求</w:t>
      </w:r>
      <w:r>
        <w:rPr>
          <w:rFonts w:hint="eastAsia" w:ascii="仿宋" w:hAnsi="仿宋" w:eastAsia="仿宋" w:cs="仿宋"/>
          <w:color w:val="auto"/>
          <w:sz w:val="24"/>
          <w:highlight w:val="none"/>
        </w:rPr>
        <w:t>推迟投标截止日期和开标日期。</w:t>
      </w:r>
    </w:p>
    <w:p w14:paraId="14FF5116">
      <w:pPr>
        <w:spacing w:line="500" w:lineRule="exact"/>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8.3 </w:t>
      </w:r>
      <w:r>
        <w:rPr>
          <w:rFonts w:hint="eastAsia" w:ascii="仿宋" w:hAnsi="仿宋" w:eastAsia="仿宋" w:cs="仿宋"/>
          <w:color w:val="auto"/>
          <w:sz w:val="24"/>
          <w:highlight w:val="none"/>
        </w:rPr>
        <w:t>招标文件的修改将在江苏政府采购网公布，</w:t>
      </w:r>
      <w:r>
        <w:rPr>
          <w:rFonts w:hint="eastAsia" w:ascii="仿宋" w:hAnsi="仿宋" w:eastAsia="仿宋" w:cs="仿宋"/>
          <w:color w:val="auto"/>
          <w:sz w:val="24"/>
          <w:szCs w:val="24"/>
          <w:highlight w:val="none"/>
        </w:rPr>
        <w:t>补充文件将作为招标文件的组成部分，</w:t>
      </w:r>
      <w:r>
        <w:rPr>
          <w:rFonts w:hint="eastAsia" w:ascii="仿宋" w:hAnsi="仿宋" w:eastAsia="仿宋" w:cs="仿宋"/>
          <w:color w:val="auto"/>
          <w:sz w:val="24"/>
          <w:highlight w:val="none"/>
        </w:rPr>
        <w:t>并对投标人具有约束力。</w:t>
      </w:r>
    </w:p>
    <w:p w14:paraId="62B41222">
      <w:pPr>
        <w:keepNext/>
        <w:keepLines/>
        <w:spacing w:before="145" w:after="145" w:line="400" w:lineRule="exact"/>
        <w:outlineLvl w:val="1"/>
        <w:rPr>
          <w:rFonts w:ascii="仿宋" w:hAnsi="仿宋" w:eastAsia="仿宋" w:cs="仿宋"/>
          <w:b/>
          <w:bCs/>
          <w:color w:val="auto"/>
          <w:sz w:val="32"/>
          <w:szCs w:val="32"/>
          <w:highlight w:val="none"/>
        </w:rPr>
      </w:pPr>
      <w:bookmarkStart w:id="79" w:name="_Toc120614216"/>
      <w:bookmarkStart w:id="80" w:name="_Toc513029213"/>
      <w:bookmarkStart w:id="81" w:name="_Toc20823285"/>
      <w:bookmarkStart w:id="82" w:name="_Toc16938529"/>
      <w:bookmarkStart w:id="83" w:name="_Toc462564072"/>
      <w:r>
        <w:rPr>
          <w:rFonts w:hint="eastAsia" w:ascii="仿宋" w:hAnsi="仿宋" w:eastAsia="仿宋" w:cs="仿宋"/>
          <w:b/>
          <w:bCs/>
          <w:color w:val="auto"/>
          <w:sz w:val="32"/>
          <w:szCs w:val="32"/>
          <w:highlight w:val="none"/>
        </w:rPr>
        <w:t>三、投标文件的编制</w:t>
      </w:r>
      <w:bookmarkEnd w:id="79"/>
      <w:bookmarkEnd w:id="80"/>
      <w:bookmarkEnd w:id="81"/>
      <w:bookmarkEnd w:id="82"/>
      <w:bookmarkEnd w:id="83"/>
    </w:p>
    <w:p w14:paraId="7E4D544B">
      <w:pPr>
        <w:keepNext/>
        <w:keepLines/>
        <w:spacing w:line="400" w:lineRule="exact"/>
        <w:ind w:firstLine="422"/>
        <w:rPr>
          <w:rFonts w:ascii="仿宋" w:hAnsi="仿宋" w:eastAsia="仿宋" w:cs="仿宋"/>
          <w:b/>
          <w:bCs/>
          <w:color w:val="auto"/>
          <w:sz w:val="28"/>
          <w:szCs w:val="28"/>
          <w:highlight w:val="none"/>
        </w:rPr>
      </w:pPr>
      <w:bookmarkStart w:id="84" w:name="_Toc16938530"/>
      <w:bookmarkStart w:id="85" w:name="_Toc462564073"/>
      <w:bookmarkStart w:id="86" w:name="_Toc20823286"/>
      <w:bookmarkStart w:id="87" w:name="_Toc513029214"/>
      <w:r>
        <w:rPr>
          <w:rFonts w:hint="eastAsia" w:ascii="仿宋" w:hAnsi="仿宋" w:eastAsia="仿宋" w:cs="仿宋"/>
          <w:b/>
          <w:bCs/>
          <w:color w:val="auto"/>
          <w:sz w:val="28"/>
          <w:szCs w:val="28"/>
          <w:highlight w:val="none"/>
        </w:rPr>
        <w:t>9、投标文件的语言及度量衡单位</w:t>
      </w:r>
      <w:bookmarkEnd w:id="84"/>
      <w:bookmarkEnd w:id="85"/>
      <w:bookmarkEnd w:id="86"/>
      <w:bookmarkEnd w:id="87"/>
    </w:p>
    <w:p w14:paraId="3CDA411F">
      <w:pPr>
        <w:spacing w:line="500" w:lineRule="exact"/>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9.1</w:t>
      </w:r>
      <w:r>
        <w:rPr>
          <w:rFonts w:hint="eastAsia" w:ascii="仿宋" w:hAnsi="仿宋" w:eastAsia="仿宋" w:cs="仿宋"/>
          <w:color w:val="auto"/>
          <w:sz w:val="24"/>
          <w:highlight w:val="none"/>
        </w:rPr>
        <w:t>投标人提交的投标文件以及投标人与代理机构就有关投标的所有来往通知、函件和文件均应使用</w:t>
      </w:r>
      <w:r>
        <w:rPr>
          <w:rFonts w:hint="eastAsia" w:ascii="仿宋" w:hAnsi="仿宋" w:eastAsia="仿宋" w:cs="仿宋"/>
          <w:b/>
          <w:bCs/>
          <w:color w:val="auto"/>
          <w:sz w:val="24"/>
          <w:highlight w:val="none"/>
        </w:rPr>
        <w:t>简体中文</w:t>
      </w:r>
      <w:r>
        <w:rPr>
          <w:rFonts w:hint="eastAsia" w:ascii="仿宋" w:hAnsi="仿宋" w:eastAsia="仿宋" w:cs="仿宋"/>
          <w:color w:val="auto"/>
          <w:sz w:val="24"/>
          <w:highlight w:val="none"/>
        </w:rPr>
        <w:t>。</w:t>
      </w:r>
    </w:p>
    <w:p w14:paraId="2DB0C4A9">
      <w:pPr>
        <w:spacing w:line="500" w:lineRule="exact"/>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9.2</w:t>
      </w:r>
      <w:r>
        <w:rPr>
          <w:rFonts w:hint="eastAsia" w:ascii="仿宋" w:hAnsi="仿宋" w:eastAsia="仿宋" w:cs="仿宋"/>
          <w:color w:val="auto"/>
          <w:sz w:val="24"/>
          <w:highlight w:val="none"/>
        </w:rPr>
        <w:t xml:space="preserve"> 除技术性能另有规定外，投标文件所使用的度量衡单位，均须采用国家法定计量单位。</w:t>
      </w:r>
    </w:p>
    <w:p w14:paraId="66D29101">
      <w:pPr>
        <w:keepNext/>
        <w:keepLines/>
        <w:spacing w:line="400" w:lineRule="exact"/>
        <w:ind w:firstLine="422"/>
        <w:rPr>
          <w:rFonts w:ascii="仿宋" w:hAnsi="仿宋" w:eastAsia="仿宋" w:cs="仿宋"/>
          <w:b/>
          <w:bCs/>
          <w:color w:val="auto"/>
          <w:sz w:val="28"/>
          <w:szCs w:val="28"/>
          <w:highlight w:val="none"/>
        </w:rPr>
      </w:pPr>
      <w:bookmarkStart w:id="88" w:name="_Toc513029215"/>
      <w:bookmarkStart w:id="89" w:name="_Toc16938531"/>
      <w:bookmarkStart w:id="90" w:name="_Toc20823287"/>
      <w:bookmarkStart w:id="91" w:name="_Toc462564074"/>
      <w:r>
        <w:rPr>
          <w:rFonts w:hint="eastAsia" w:ascii="仿宋" w:hAnsi="仿宋" w:eastAsia="仿宋" w:cs="仿宋"/>
          <w:b/>
          <w:bCs/>
          <w:color w:val="auto"/>
          <w:sz w:val="28"/>
          <w:szCs w:val="28"/>
          <w:highlight w:val="none"/>
        </w:rPr>
        <w:t>10、投标文件构成</w:t>
      </w:r>
      <w:bookmarkEnd w:id="88"/>
      <w:bookmarkEnd w:id="89"/>
      <w:bookmarkEnd w:id="90"/>
      <w:bookmarkEnd w:id="91"/>
    </w:p>
    <w:p w14:paraId="7C9008C0">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10.1投标人编写的投标文件应包括资格证明文件、实质性要求响应及偏离表、投标分项报价表、技术要求响应及偏离表、商务要求响应及偏离表、其他证明文件、投标函、开标一览表等部分。请按“第六章  投标文件格式”要求编写投标文件。</w:t>
      </w:r>
    </w:p>
    <w:p w14:paraId="7EBF2607">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10.2 如标书制作工具中格式和内容与“江苏政府采购网”发布的招标文件不一致，请以“江苏政府采购网”发布的招标文件为准。</w:t>
      </w:r>
    </w:p>
    <w:p w14:paraId="26196922">
      <w:pPr>
        <w:keepNext/>
        <w:keepLines/>
        <w:spacing w:line="400" w:lineRule="exact"/>
        <w:ind w:firstLine="422"/>
        <w:rPr>
          <w:rFonts w:ascii="仿宋" w:hAnsi="仿宋" w:eastAsia="仿宋" w:cs="仿宋"/>
          <w:b/>
          <w:bCs/>
          <w:color w:val="auto"/>
          <w:sz w:val="28"/>
          <w:szCs w:val="28"/>
          <w:highlight w:val="none"/>
        </w:rPr>
      </w:pPr>
      <w:bookmarkStart w:id="92" w:name="_Hlt26954838"/>
      <w:bookmarkEnd w:id="92"/>
      <w:bookmarkStart w:id="93" w:name="_Hlt26668975"/>
      <w:bookmarkEnd w:id="93"/>
      <w:bookmarkStart w:id="94" w:name="_Hlt26670360"/>
      <w:bookmarkEnd w:id="94"/>
      <w:bookmarkStart w:id="95" w:name="_Toc49090509"/>
      <w:bookmarkStart w:id="96" w:name="_Toc49090507"/>
      <w:bookmarkStart w:id="97" w:name="_Toc14577354"/>
      <w:bookmarkStart w:id="98" w:name="_Toc513029219"/>
      <w:bookmarkStart w:id="99" w:name="_Toc14577357"/>
      <w:bookmarkStart w:id="100" w:name="_Toc513029216"/>
      <w:r>
        <w:rPr>
          <w:rFonts w:hint="eastAsia" w:ascii="仿宋" w:hAnsi="仿宋" w:eastAsia="仿宋" w:cs="仿宋"/>
          <w:b/>
          <w:bCs/>
          <w:color w:val="auto"/>
          <w:sz w:val="28"/>
          <w:szCs w:val="28"/>
          <w:highlight w:val="none"/>
        </w:rPr>
        <w:t>11、证明投标人及投标标的符合招标文件规定的文件</w:t>
      </w:r>
      <w:bookmarkEnd w:id="95"/>
      <w:bookmarkEnd w:id="96"/>
      <w:bookmarkEnd w:id="97"/>
      <w:bookmarkEnd w:id="98"/>
      <w:bookmarkEnd w:id="99"/>
      <w:bookmarkEnd w:id="100"/>
    </w:p>
    <w:p w14:paraId="3D915D45">
      <w:pPr>
        <w:spacing w:line="500" w:lineRule="exact"/>
        <w:ind w:firstLine="480"/>
        <w:rPr>
          <w:rFonts w:ascii="仿宋" w:hAnsi="仿宋" w:eastAsia="仿宋" w:cs="仿宋"/>
          <w:color w:val="auto"/>
          <w:sz w:val="24"/>
          <w:highlight w:val="none"/>
        </w:rPr>
      </w:pPr>
      <w:bookmarkStart w:id="101" w:name="_Toc14577355"/>
      <w:bookmarkStart w:id="102" w:name="_Toc49090508"/>
      <w:r>
        <w:rPr>
          <w:rFonts w:hint="eastAsia" w:ascii="仿宋" w:hAnsi="仿宋" w:eastAsia="仿宋" w:cs="仿宋"/>
          <w:color w:val="auto"/>
          <w:sz w:val="24"/>
          <w:highlight w:val="none"/>
        </w:rPr>
        <w:t>11.1投标人应按照法律、法规、规章和规范性文件以及招标文件要求提交证明文件，证明其及投标标的符合招标文件规定。</w:t>
      </w:r>
    </w:p>
    <w:p w14:paraId="4F7044BA">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11.2招标文件对证明文件无明确形式要求的，证明文件可以以文字资料、图纸和数据等形式提交。</w:t>
      </w:r>
    </w:p>
    <w:p w14:paraId="1673FA70">
      <w:pPr>
        <w:keepNext/>
        <w:keepLines/>
        <w:spacing w:line="400" w:lineRule="exact"/>
        <w:ind w:firstLine="42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12、投标分项报价</w:t>
      </w:r>
      <w:bookmarkEnd w:id="101"/>
      <w:bookmarkStart w:id="103" w:name="_Hlt26670373"/>
      <w:bookmarkEnd w:id="103"/>
      <w:r>
        <w:rPr>
          <w:rFonts w:hint="eastAsia" w:ascii="仿宋" w:hAnsi="仿宋" w:eastAsia="仿宋" w:cs="仿宋"/>
          <w:b/>
          <w:bCs/>
          <w:color w:val="auto"/>
          <w:sz w:val="28"/>
          <w:szCs w:val="28"/>
          <w:highlight w:val="none"/>
        </w:rPr>
        <w:t>表</w:t>
      </w:r>
      <w:bookmarkEnd w:id="102"/>
    </w:p>
    <w:p w14:paraId="4288DEF2">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12.1 投</w:t>
      </w:r>
      <w:bookmarkStart w:id="104" w:name="_Hlt26954840"/>
      <w:bookmarkEnd w:id="104"/>
      <w:r>
        <w:rPr>
          <w:rFonts w:hint="eastAsia" w:ascii="仿宋" w:hAnsi="仿宋" w:eastAsia="仿宋" w:cs="仿宋"/>
          <w:color w:val="auto"/>
          <w:sz w:val="24"/>
          <w:highlight w:val="none"/>
        </w:rPr>
        <w:t>标人按照招标文件规定格式填报投标分项报价表</w:t>
      </w:r>
      <w:bookmarkStart w:id="105" w:name="_Hlt26670399"/>
      <w:bookmarkEnd w:id="105"/>
      <w:r>
        <w:rPr>
          <w:rFonts w:hint="eastAsia" w:ascii="仿宋" w:hAnsi="仿宋" w:eastAsia="仿宋" w:cs="仿宋"/>
          <w:color w:val="auto"/>
          <w:sz w:val="24"/>
          <w:highlight w:val="none"/>
        </w:rPr>
        <w:t>。</w:t>
      </w:r>
    </w:p>
    <w:p w14:paraId="39E1CB5F">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12.2投标货币。投标文件中的单价和总价无特殊规定的采用人民币报价，以元为单位标注。招标文件中另有规定的按规定执行。</w:t>
      </w:r>
    </w:p>
    <w:p w14:paraId="43967466">
      <w:pPr>
        <w:keepNext/>
        <w:keepLines/>
        <w:spacing w:line="400" w:lineRule="exact"/>
        <w:ind w:firstLine="422"/>
        <w:rPr>
          <w:rFonts w:ascii="仿宋" w:hAnsi="仿宋" w:eastAsia="仿宋" w:cs="仿宋"/>
          <w:b/>
          <w:bCs/>
          <w:color w:val="auto"/>
          <w:sz w:val="28"/>
          <w:szCs w:val="28"/>
          <w:highlight w:val="none"/>
        </w:rPr>
      </w:pPr>
      <w:bookmarkStart w:id="106" w:name="_Hlt26670482"/>
      <w:bookmarkEnd w:id="106"/>
      <w:bookmarkStart w:id="107" w:name="_Hlt26954846"/>
      <w:bookmarkEnd w:id="107"/>
      <w:bookmarkStart w:id="108" w:name="_Hlt26670425"/>
      <w:bookmarkEnd w:id="108"/>
      <w:bookmarkStart w:id="109" w:name="_Hlt26954731"/>
      <w:bookmarkEnd w:id="109"/>
      <w:bookmarkStart w:id="110" w:name="_Hlt26954842"/>
      <w:bookmarkEnd w:id="110"/>
      <w:bookmarkStart w:id="111" w:name="_Hlt26954844"/>
      <w:bookmarkEnd w:id="111"/>
      <w:bookmarkStart w:id="112" w:name="_Hlt26670403"/>
      <w:bookmarkEnd w:id="112"/>
      <w:bookmarkStart w:id="113" w:name="_Hlt26670486"/>
      <w:bookmarkEnd w:id="113"/>
      <w:bookmarkStart w:id="114" w:name="_Hlt26668983"/>
      <w:bookmarkEnd w:id="114"/>
      <w:bookmarkStart w:id="115" w:name="_Hlt26954848"/>
      <w:bookmarkEnd w:id="115"/>
      <w:r>
        <w:rPr>
          <w:rFonts w:hint="eastAsia" w:ascii="仿宋" w:hAnsi="仿宋" w:eastAsia="仿宋" w:cs="仿宋"/>
          <w:b/>
          <w:bCs/>
          <w:color w:val="auto"/>
          <w:sz w:val="28"/>
          <w:szCs w:val="28"/>
          <w:highlight w:val="none"/>
        </w:rPr>
        <w:t>13、技术要求响应及偏离表、商务要求响应及偏离表</w:t>
      </w:r>
    </w:p>
    <w:p w14:paraId="5E777205">
      <w:pPr>
        <w:spacing w:line="500" w:lineRule="exact"/>
        <w:ind w:firstLine="480"/>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13.1投标人需对招标文件中的技术要求与商务要求逐项作出响应，如有偏离的，应逐条填列在偏离表中，并说明偏离情况。</w:t>
      </w:r>
    </w:p>
    <w:p w14:paraId="70097237">
      <w:pPr>
        <w:spacing w:line="500" w:lineRule="exact"/>
        <w:ind w:firstLine="480"/>
        <w:rPr>
          <w:rFonts w:ascii="仿宋" w:hAnsi="仿宋" w:eastAsia="仿宋" w:cs="仿宋"/>
          <w:color w:val="auto"/>
          <w:sz w:val="24"/>
          <w:highlight w:val="none"/>
          <w:lang w:val="zh-CN"/>
        </w:rPr>
      </w:pPr>
      <w:bookmarkStart w:id="116" w:name="_Toc14577359"/>
      <w:bookmarkStart w:id="117" w:name="_Toc49090510"/>
      <w:r>
        <w:rPr>
          <w:rFonts w:hint="eastAsia" w:ascii="仿宋" w:hAnsi="仿宋" w:eastAsia="仿宋" w:cs="仿宋"/>
          <w:color w:val="auto"/>
          <w:sz w:val="24"/>
          <w:highlight w:val="none"/>
          <w:lang w:val="zh-CN"/>
        </w:rPr>
        <w:t>13.2投标人需按照招标文件要求，在投标文件中提供与技术要求和商务要求相关的证明材料。</w:t>
      </w:r>
    </w:p>
    <w:p w14:paraId="324FD15F">
      <w:pPr>
        <w:keepNext/>
        <w:keepLines/>
        <w:spacing w:line="400" w:lineRule="exact"/>
        <w:ind w:firstLine="42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14、投标函和开标一览表</w:t>
      </w:r>
    </w:p>
    <w:p w14:paraId="031F1089">
      <w:pPr>
        <w:spacing w:line="500" w:lineRule="exact"/>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14.1</w:t>
      </w:r>
      <w:r>
        <w:rPr>
          <w:rFonts w:hint="eastAsia" w:ascii="仿宋" w:hAnsi="仿宋" w:eastAsia="仿宋" w:cs="仿宋"/>
          <w:color w:val="auto"/>
          <w:sz w:val="24"/>
          <w:highlight w:val="none"/>
        </w:rPr>
        <w:t xml:space="preserve"> 投标人应按照要求提供的格式完整、正确填写投标函、开标一览表。</w:t>
      </w:r>
    </w:p>
    <w:p w14:paraId="6CEFC590">
      <w:pPr>
        <w:spacing w:line="50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14.2对于采用折扣率报价的项目，开标一览表中的投标优惠率应与投标分项报价表中的投标折扣率折算后一致，如不一致，</w:t>
      </w:r>
      <w:r>
        <w:rPr>
          <w:rFonts w:hint="eastAsia" w:ascii="仿宋" w:hAnsi="仿宋" w:eastAsia="仿宋" w:cs="仿宋"/>
          <w:b/>
          <w:bCs/>
          <w:color w:val="auto"/>
          <w:sz w:val="24"/>
          <w:highlight w:val="none"/>
        </w:rPr>
        <w:t>作为无效投标处理</w:t>
      </w:r>
      <w:r>
        <w:rPr>
          <w:rFonts w:hint="eastAsia" w:ascii="仿宋" w:hAnsi="仿宋" w:eastAsia="仿宋" w:cs="仿宋"/>
          <w:color w:val="auto"/>
          <w:sz w:val="24"/>
          <w:highlight w:val="none"/>
        </w:rPr>
        <w:t>。</w:t>
      </w:r>
      <w:bookmarkEnd w:id="116"/>
      <w:bookmarkEnd w:id="117"/>
    </w:p>
    <w:p w14:paraId="3C2FB888">
      <w:pPr>
        <w:keepNext/>
        <w:keepLines/>
        <w:spacing w:line="400" w:lineRule="exact"/>
        <w:ind w:firstLine="422"/>
        <w:rPr>
          <w:rFonts w:ascii="仿宋" w:hAnsi="仿宋" w:eastAsia="仿宋" w:cs="仿宋"/>
          <w:b/>
          <w:bCs/>
          <w:color w:val="auto"/>
          <w:sz w:val="28"/>
          <w:szCs w:val="28"/>
          <w:highlight w:val="none"/>
        </w:rPr>
      </w:pPr>
      <w:bookmarkStart w:id="118" w:name="_Hlt26670489"/>
      <w:bookmarkEnd w:id="118"/>
      <w:bookmarkStart w:id="119" w:name="_Hlt26954850"/>
      <w:bookmarkEnd w:id="119"/>
      <w:bookmarkStart w:id="120" w:name="_Hlt26954734"/>
      <w:bookmarkEnd w:id="120"/>
      <w:bookmarkStart w:id="121" w:name="_Toc49090511"/>
      <w:bookmarkStart w:id="122" w:name="_Toc14577360"/>
      <w:r>
        <w:rPr>
          <w:rFonts w:hint="eastAsia" w:ascii="仿宋" w:hAnsi="仿宋" w:eastAsia="仿宋" w:cs="仿宋"/>
          <w:b/>
          <w:bCs/>
          <w:color w:val="auto"/>
          <w:sz w:val="28"/>
          <w:szCs w:val="28"/>
          <w:highlight w:val="none"/>
        </w:rPr>
        <w:t>15、投标有效期</w:t>
      </w:r>
      <w:bookmarkEnd w:id="121"/>
      <w:bookmarkEnd w:id="122"/>
    </w:p>
    <w:p w14:paraId="479A75C9">
      <w:pPr>
        <w:spacing w:line="500" w:lineRule="exact"/>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15.1</w:t>
      </w:r>
      <w:r>
        <w:rPr>
          <w:rFonts w:hint="eastAsia" w:ascii="仿宋" w:hAnsi="仿宋" w:eastAsia="仿宋" w:cs="仿宋"/>
          <w:bCs/>
          <w:color w:val="auto"/>
          <w:sz w:val="24"/>
          <w:highlight w:val="none"/>
        </w:rPr>
        <w:t xml:space="preserve"> 投标有效期为代理机构规定的开标之日后</w:t>
      </w:r>
      <w:r>
        <w:rPr>
          <w:rFonts w:hint="eastAsia" w:ascii="仿宋" w:hAnsi="仿宋" w:eastAsia="仿宋" w:cs="仿宋"/>
          <w:b/>
          <w:color w:val="auto"/>
          <w:sz w:val="24"/>
          <w:highlight w:val="none"/>
          <w:u w:val="single"/>
        </w:rPr>
        <w:t>六十（60）天</w:t>
      </w:r>
      <w:r>
        <w:rPr>
          <w:rFonts w:hint="eastAsia" w:ascii="仿宋" w:hAnsi="仿宋" w:eastAsia="仿宋" w:cs="仿宋"/>
          <w:bCs/>
          <w:color w:val="auto"/>
          <w:sz w:val="24"/>
          <w:highlight w:val="none"/>
        </w:rPr>
        <w:t>。投标有效期比规定短的将被视为未实质性响应招标文件而予以拒绝。</w:t>
      </w:r>
    </w:p>
    <w:p w14:paraId="411ADCB7">
      <w:pPr>
        <w:keepNext/>
        <w:keepLines/>
        <w:spacing w:line="400" w:lineRule="exact"/>
        <w:ind w:firstLine="42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16、投标有效期的延长</w:t>
      </w:r>
    </w:p>
    <w:p w14:paraId="14B476B3">
      <w:pPr>
        <w:spacing w:line="500" w:lineRule="exact"/>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16.1</w:t>
      </w:r>
      <w:r>
        <w:rPr>
          <w:rFonts w:hint="eastAsia" w:ascii="仿宋" w:hAnsi="仿宋" w:eastAsia="仿宋" w:cs="仿宋"/>
          <w:bCs/>
          <w:color w:val="auto"/>
          <w:sz w:val="24"/>
          <w:highlight w:val="none"/>
        </w:rPr>
        <w:t>在特殊情况下，代理机构于原投标有效期满之前，可向投标人提出延长投标有效期的要求。这种要求与答复均应采用书面形式。投标人可以拒绝代理机构的这一要求而放弃投标</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同意延长投标有效期的投标人既不能要求也不允许修改其投标文件</w:t>
      </w:r>
      <w:r>
        <w:rPr>
          <w:rFonts w:hint="eastAsia" w:ascii="仿宋" w:hAnsi="仿宋" w:eastAsia="仿宋" w:cs="仿宋"/>
          <w:color w:val="auto"/>
          <w:sz w:val="24"/>
          <w:szCs w:val="24"/>
          <w:highlight w:val="none"/>
        </w:rPr>
        <w:t>，同时受投标有效期约束的所有权利与义务均延长至新的有效期</w:t>
      </w:r>
      <w:r>
        <w:rPr>
          <w:rFonts w:hint="eastAsia" w:ascii="仿宋" w:hAnsi="仿宋" w:eastAsia="仿宋" w:cs="仿宋"/>
          <w:bCs/>
          <w:color w:val="auto"/>
          <w:sz w:val="24"/>
          <w:highlight w:val="none"/>
        </w:rPr>
        <w:t>。</w:t>
      </w:r>
    </w:p>
    <w:p w14:paraId="59BB9F13">
      <w:pPr>
        <w:keepNext/>
        <w:keepLines/>
        <w:spacing w:before="145" w:after="145" w:line="400" w:lineRule="exact"/>
        <w:outlineLvl w:val="1"/>
        <w:rPr>
          <w:rFonts w:ascii="仿宋" w:hAnsi="仿宋" w:eastAsia="仿宋" w:cs="仿宋"/>
          <w:b/>
          <w:bCs/>
          <w:color w:val="auto"/>
          <w:sz w:val="32"/>
          <w:szCs w:val="32"/>
          <w:highlight w:val="none"/>
        </w:rPr>
      </w:pPr>
      <w:bookmarkStart w:id="123" w:name="_Hlt26954739"/>
      <w:bookmarkEnd w:id="123"/>
      <w:bookmarkStart w:id="124" w:name="_Hlt26954852"/>
      <w:bookmarkEnd w:id="124"/>
      <w:bookmarkStart w:id="125" w:name="_Toc120614217"/>
      <w:bookmarkStart w:id="126" w:name="_Toc20823296"/>
      <w:bookmarkStart w:id="127" w:name="_Toc513029224"/>
      <w:bookmarkStart w:id="128" w:name="_Toc16938540"/>
      <w:r>
        <w:rPr>
          <w:rFonts w:hint="eastAsia" w:ascii="仿宋" w:hAnsi="仿宋" w:eastAsia="仿宋" w:cs="仿宋"/>
          <w:b/>
          <w:bCs/>
          <w:color w:val="auto"/>
          <w:sz w:val="32"/>
          <w:szCs w:val="32"/>
          <w:highlight w:val="none"/>
        </w:rPr>
        <w:t>四、投标文件的递交</w:t>
      </w:r>
      <w:bookmarkEnd w:id="125"/>
      <w:bookmarkEnd w:id="126"/>
      <w:bookmarkEnd w:id="127"/>
      <w:bookmarkEnd w:id="128"/>
    </w:p>
    <w:p w14:paraId="658B1AF9">
      <w:pPr>
        <w:keepNext/>
        <w:keepLines/>
        <w:spacing w:line="400" w:lineRule="exact"/>
        <w:ind w:firstLine="422"/>
        <w:rPr>
          <w:rFonts w:ascii="仿宋" w:hAnsi="仿宋" w:eastAsia="仿宋" w:cs="仿宋"/>
          <w:b/>
          <w:bCs/>
          <w:color w:val="auto"/>
          <w:sz w:val="28"/>
          <w:szCs w:val="28"/>
          <w:highlight w:val="none"/>
        </w:rPr>
      </w:pPr>
      <w:bookmarkStart w:id="129" w:name="_Toc20823297"/>
      <w:bookmarkStart w:id="130" w:name="_Toc16938541"/>
      <w:bookmarkStart w:id="131" w:name="_Toc462564084"/>
      <w:bookmarkStart w:id="132" w:name="_Toc513029225"/>
      <w:r>
        <w:rPr>
          <w:rFonts w:hint="eastAsia" w:ascii="仿宋" w:hAnsi="仿宋" w:eastAsia="仿宋" w:cs="仿宋"/>
          <w:b/>
          <w:bCs/>
          <w:color w:val="auto"/>
          <w:sz w:val="28"/>
          <w:szCs w:val="28"/>
          <w:highlight w:val="none"/>
        </w:rPr>
        <w:t>17、投标文件</w:t>
      </w:r>
      <w:bookmarkEnd w:id="129"/>
      <w:bookmarkEnd w:id="130"/>
      <w:bookmarkEnd w:id="131"/>
      <w:bookmarkEnd w:id="132"/>
      <w:r>
        <w:rPr>
          <w:rFonts w:hint="eastAsia" w:ascii="仿宋" w:hAnsi="仿宋" w:eastAsia="仿宋" w:cs="仿宋"/>
          <w:b/>
          <w:bCs/>
          <w:color w:val="auto"/>
          <w:sz w:val="28"/>
          <w:szCs w:val="28"/>
          <w:highlight w:val="none"/>
        </w:rPr>
        <w:t>的递交</w:t>
      </w:r>
    </w:p>
    <w:p w14:paraId="24A1351D">
      <w:pPr>
        <w:spacing w:line="500" w:lineRule="exact"/>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17.1</w:t>
      </w:r>
      <w:r>
        <w:rPr>
          <w:rFonts w:hint="eastAsia" w:ascii="仿宋" w:hAnsi="仿宋" w:eastAsia="仿宋" w:cs="仿宋"/>
          <w:bCs/>
          <w:color w:val="auto"/>
          <w:sz w:val="24"/>
          <w:highlight w:val="none"/>
        </w:rPr>
        <w:t xml:space="preserve"> 电子投标文件的递交</w:t>
      </w:r>
    </w:p>
    <w:p w14:paraId="0512E29D">
      <w:pPr>
        <w:pStyle w:val="227"/>
        <w:ind w:left="525"/>
        <w:rPr>
          <w:rFonts w:ascii="仿宋" w:hAnsi="仿宋" w:eastAsia="仿宋" w:cs="仿宋"/>
          <w:bCs/>
          <w:color w:val="auto"/>
          <w:sz w:val="24"/>
          <w:highlight w:val="none"/>
        </w:rPr>
      </w:pPr>
      <w:r>
        <w:rPr>
          <w:rFonts w:hint="eastAsia" w:ascii="仿宋" w:hAnsi="仿宋" w:eastAsia="仿宋" w:cs="仿宋"/>
          <w:bCs/>
          <w:color w:val="auto"/>
          <w:sz w:val="24"/>
          <w:highlight w:val="none"/>
        </w:rPr>
        <w:t>投标人应当按照《操作手册》规定，在投标截止时间前制作并上传电子投标文件。</w:t>
      </w:r>
      <w:bookmarkStart w:id="133" w:name="_Toc20823298"/>
      <w:bookmarkStart w:id="134" w:name="_Toc513029226"/>
      <w:bookmarkStart w:id="135" w:name="_Toc16938542"/>
    </w:p>
    <w:p w14:paraId="36126D70">
      <w:pPr>
        <w:keepNext/>
        <w:keepLines/>
        <w:spacing w:line="400" w:lineRule="exact"/>
        <w:ind w:firstLine="42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18、投标截止</w:t>
      </w:r>
      <w:bookmarkEnd w:id="133"/>
      <w:bookmarkEnd w:id="134"/>
      <w:bookmarkEnd w:id="135"/>
      <w:r>
        <w:rPr>
          <w:rFonts w:hint="eastAsia" w:ascii="仿宋" w:hAnsi="仿宋" w:eastAsia="仿宋" w:cs="仿宋"/>
          <w:b/>
          <w:bCs/>
          <w:color w:val="auto"/>
          <w:sz w:val="28"/>
          <w:szCs w:val="28"/>
          <w:highlight w:val="none"/>
        </w:rPr>
        <w:t>时间</w:t>
      </w:r>
    </w:p>
    <w:p w14:paraId="2D582AA5">
      <w:pPr>
        <w:spacing w:line="500" w:lineRule="exact"/>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18.1</w:t>
      </w:r>
      <w:r>
        <w:rPr>
          <w:rFonts w:hint="eastAsia" w:ascii="仿宋" w:hAnsi="仿宋" w:eastAsia="仿宋" w:cs="仿宋"/>
          <w:bCs/>
          <w:color w:val="auto"/>
          <w:sz w:val="24"/>
          <w:highlight w:val="none"/>
        </w:rPr>
        <w:t>投标人上传电子投标文件的时间不得迟于招标公告中规定的投标截止时间。</w:t>
      </w:r>
    </w:p>
    <w:p w14:paraId="35E7354B">
      <w:pPr>
        <w:spacing w:line="50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投标人应充分考虑到网络环境、网络带宽等风险因素，如因投标人自身原因造成的电子投标文件上传不成功的按照本招标文件第二章第26.1.2条规定做无效投标处理。</w:t>
      </w:r>
    </w:p>
    <w:p w14:paraId="6645E29D">
      <w:pPr>
        <w:spacing w:line="500" w:lineRule="exact"/>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18.2</w:t>
      </w:r>
      <w:r>
        <w:rPr>
          <w:rFonts w:hint="eastAsia" w:ascii="仿宋" w:hAnsi="仿宋" w:eastAsia="仿宋" w:cs="仿宋"/>
          <w:bCs/>
          <w:color w:val="auto"/>
          <w:sz w:val="24"/>
          <w:highlight w:val="none"/>
        </w:rPr>
        <w:t>代理机构可以按照规定，通过修改招标文件酌情延长投标截止时间，在此情况下，投标人的所有权利和义务以及投标人受制的截止时间均应以延长后新的截止时间为准。</w:t>
      </w:r>
    </w:p>
    <w:p w14:paraId="6C933B54">
      <w:pPr>
        <w:keepNext/>
        <w:keepLines/>
        <w:spacing w:line="400" w:lineRule="exact"/>
        <w:ind w:firstLine="422"/>
        <w:rPr>
          <w:rFonts w:ascii="仿宋" w:hAnsi="仿宋" w:eastAsia="仿宋" w:cs="仿宋"/>
          <w:b/>
          <w:bCs/>
          <w:color w:val="auto"/>
          <w:sz w:val="28"/>
          <w:szCs w:val="28"/>
          <w:highlight w:val="none"/>
        </w:rPr>
      </w:pPr>
      <w:bookmarkStart w:id="136" w:name="_Toc513029227"/>
      <w:bookmarkStart w:id="137" w:name="_Toc16938543"/>
      <w:bookmarkStart w:id="138" w:name="_Toc20823299"/>
      <w:r>
        <w:rPr>
          <w:rFonts w:hint="eastAsia" w:ascii="仿宋" w:hAnsi="仿宋" w:eastAsia="仿宋" w:cs="仿宋"/>
          <w:b/>
          <w:bCs/>
          <w:color w:val="auto"/>
          <w:sz w:val="28"/>
          <w:szCs w:val="28"/>
          <w:highlight w:val="none"/>
        </w:rPr>
        <w:t>19、投标文件</w:t>
      </w:r>
      <w:bookmarkEnd w:id="136"/>
      <w:bookmarkEnd w:id="137"/>
      <w:bookmarkEnd w:id="138"/>
      <w:r>
        <w:rPr>
          <w:rFonts w:hint="eastAsia" w:ascii="仿宋" w:hAnsi="仿宋" w:eastAsia="仿宋" w:cs="仿宋"/>
          <w:b/>
          <w:bCs/>
          <w:color w:val="auto"/>
          <w:sz w:val="28"/>
          <w:szCs w:val="28"/>
          <w:highlight w:val="none"/>
        </w:rPr>
        <w:t>的拒收</w:t>
      </w:r>
    </w:p>
    <w:p w14:paraId="67AE33F0">
      <w:pPr>
        <w:spacing w:line="500" w:lineRule="exact"/>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19.1</w:t>
      </w:r>
      <w:r>
        <w:rPr>
          <w:rFonts w:hint="eastAsia" w:ascii="仿宋" w:hAnsi="仿宋" w:eastAsia="仿宋" w:cs="仿宋"/>
          <w:bCs/>
          <w:color w:val="auto"/>
          <w:sz w:val="24"/>
          <w:highlight w:val="none"/>
        </w:rPr>
        <w:t>代理机构拒绝接收在其规定的投标截止时间后上传的任何投标文件。</w:t>
      </w:r>
    </w:p>
    <w:p w14:paraId="1DAA0989">
      <w:pPr>
        <w:keepNext/>
        <w:keepLines/>
        <w:spacing w:line="400" w:lineRule="exact"/>
        <w:ind w:firstLine="422"/>
        <w:rPr>
          <w:rFonts w:ascii="仿宋" w:hAnsi="仿宋" w:eastAsia="仿宋" w:cs="仿宋"/>
          <w:b/>
          <w:bCs/>
          <w:color w:val="auto"/>
          <w:sz w:val="28"/>
          <w:szCs w:val="28"/>
          <w:highlight w:val="none"/>
        </w:rPr>
      </w:pPr>
      <w:bookmarkStart w:id="139" w:name="_Toc20823300"/>
      <w:bookmarkStart w:id="140" w:name="_Toc513029228"/>
      <w:bookmarkStart w:id="141" w:name="_Toc16938544"/>
      <w:r>
        <w:rPr>
          <w:rFonts w:hint="eastAsia" w:ascii="仿宋" w:hAnsi="仿宋" w:eastAsia="仿宋" w:cs="仿宋"/>
          <w:b/>
          <w:bCs/>
          <w:color w:val="auto"/>
          <w:sz w:val="28"/>
          <w:szCs w:val="28"/>
          <w:highlight w:val="none"/>
        </w:rPr>
        <w:t>20、投标文件的撤回和修改</w:t>
      </w:r>
      <w:bookmarkEnd w:id="139"/>
      <w:bookmarkEnd w:id="140"/>
      <w:bookmarkEnd w:id="141"/>
    </w:p>
    <w:p w14:paraId="00D53E34">
      <w:pPr>
        <w:spacing w:line="4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20.1 投标文件的撤回</w:t>
      </w:r>
    </w:p>
    <w:p w14:paraId="68E83D8B">
      <w:pPr>
        <w:spacing w:line="4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20.1.1 电子投标文件的撤回</w:t>
      </w:r>
    </w:p>
    <w:p w14:paraId="772DEDF3">
      <w:pPr>
        <w:spacing w:line="4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投标人可在投标截止时间前，撤回其电子投标文件，具体操作方法见《操作手册》。</w:t>
      </w:r>
    </w:p>
    <w:p w14:paraId="3227777E">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20.1.2 投标人撤回电子投标文件，则认为其不再参与本项目投标活动。</w:t>
      </w:r>
    </w:p>
    <w:p w14:paraId="512B9698">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20.2 投标文件的修改</w:t>
      </w:r>
    </w:p>
    <w:p w14:paraId="3282C12F">
      <w:pPr>
        <w:spacing w:line="48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20.2.1投标人可在投标截止时间前，对其电子投标文件进行修改，具体操作方法见《操作手册》。</w:t>
      </w:r>
    </w:p>
    <w:p w14:paraId="656AB512">
      <w:pPr>
        <w:spacing w:line="500" w:lineRule="exact"/>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20.2.2</w:t>
      </w:r>
      <w:r>
        <w:rPr>
          <w:rFonts w:hint="eastAsia" w:ascii="仿宋" w:hAnsi="仿宋" w:eastAsia="仿宋" w:cs="仿宋"/>
          <w:bCs/>
          <w:color w:val="auto"/>
          <w:sz w:val="24"/>
          <w:highlight w:val="none"/>
        </w:rPr>
        <w:t xml:space="preserve"> 在投标截止时间之后，投标人不得对其电子投标文件作任何修改。</w:t>
      </w:r>
    </w:p>
    <w:p w14:paraId="701E36A8">
      <w:pPr>
        <w:spacing w:line="500" w:lineRule="exact"/>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20.3</w:t>
      </w:r>
      <w:r>
        <w:rPr>
          <w:rFonts w:hint="eastAsia" w:ascii="仿宋" w:hAnsi="仿宋" w:eastAsia="仿宋" w:cs="仿宋"/>
          <w:bCs/>
          <w:color w:val="auto"/>
          <w:sz w:val="24"/>
          <w:highlight w:val="none"/>
        </w:rPr>
        <w:t>在投标截止时间至招标文件中规定的投标有效期满之间的这段时间内，投标人不得撤回其投标。</w:t>
      </w:r>
    </w:p>
    <w:p w14:paraId="4B9D6C18">
      <w:pPr>
        <w:keepNext/>
        <w:keepLines/>
        <w:spacing w:before="145" w:after="145" w:line="400" w:lineRule="exact"/>
        <w:outlineLvl w:val="1"/>
        <w:rPr>
          <w:rFonts w:ascii="仿宋" w:hAnsi="仿宋" w:eastAsia="仿宋" w:cs="仿宋"/>
          <w:b/>
          <w:bCs/>
          <w:color w:val="auto"/>
          <w:sz w:val="32"/>
          <w:szCs w:val="32"/>
          <w:highlight w:val="none"/>
        </w:rPr>
      </w:pPr>
      <w:bookmarkStart w:id="142" w:name="_Toc16938545"/>
      <w:bookmarkStart w:id="143" w:name="_Toc20823301"/>
      <w:bookmarkStart w:id="144" w:name="_Toc120614218"/>
      <w:bookmarkStart w:id="145" w:name="_Toc513029229"/>
      <w:r>
        <w:rPr>
          <w:rFonts w:hint="eastAsia" w:ascii="仿宋" w:hAnsi="仿宋" w:eastAsia="仿宋" w:cs="仿宋"/>
          <w:b/>
          <w:bCs/>
          <w:color w:val="auto"/>
          <w:sz w:val="32"/>
          <w:szCs w:val="32"/>
          <w:highlight w:val="none"/>
        </w:rPr>
        <w:t>五、开标与评标</w:t>
      </w:r>
      <w:bookmarkEnd w:id="142"/>
      <w:bookmarkEnd w:id="143"/>
      <w:bookmarkEnd w:id="144"/>
      <w:bookmarkEnd w:id="145"/>
    </w:p>
    <w:p w14:paraId="386C82BD">
      <w:pPr>
        <w:keepNext/>
        <w:keepLines/>
        <w:spacing w:line="400" w:lineRule="exact"/>
        <w:ind w:firstLine="422"/>
        <w:rPr>
          <w:rFonts w:ascii="仿宋" w:hAnsi="仿宋" w:eastAsia="仿宋" w:cs="仿宋"/>
          <w:b/>
          <w:bCs/>
          <w:color w:val="auto"/>
          <w:sz w:val="28"/>
          <w:szCs w:val="28"/>
          <w:highlight w:val="none"/>
        </w:rPr>
      </w:pPr>
      <w:bookmarkStart w:id="146" w:name="_Toc513029230"/>
      <w:bookmarkStart w:id="147" w:name="_Toc16938546"/>
      <w:bookmarkStart w:id="148" w:name="_Toc20823302"/>
      <w:r>
        <w:rPr>
          <w:rFonts w:hint="eastAsia" w:ascii="仿宋" w:hAnsi="仿宋" w:eastAsia="仿宋" w:cs="仿宋"/>
          <w:b/>
          <w:bCs/>
          <w:color w:val="auto"/>
          <w:sz w:val="28"/>
          <w:szCs w:val="28"/>
          <w:highlight w:val="none"/>
        </w:rPr>
        <w:t>21、开标</w:t>
      </w:r>
      <w:bookmarkEnd w:id="146"/>
      <w:bookmarkEnd w:id="147"/>
      <w:bookmarkEnd w:id="148"/>
    </w:p>
    <w:p w14:paraId="757CD16D">
      <w:pPr>
        <w:spacing w:line="50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21.1代理机构将在招标公告中规定的时间和地点组织公开开标。投标人应当按照《操作手册》规定，参加开标活动和在苏采云系统规定的时间内对投标文件进行解密。</w:t>
      </w:r>
    </w:p>
    <w:p w14:paraId="23A1DA25">
      <w:pPr>
        <w:spacing w:line="50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21.2开标仪式由代理机构组织。苏采云系统将自动对项目进行开标，并宣布各投标人名称和投标价格。</w:t>
      </w:r>
    </w:p>
    <w:p w14:paraId="2B53C048">
      <w:pPr>
        <w:spacing w:line="500" w:lineRule="exact"/>
        <w:ind w:firstLine="480"/>
        <w:rPr>
          <w:rFonts w:ascii="仿宋" w:hAnsi="仿宋" w:eastAsia="仿宋" w:cs="仿宋"/>
          <w:color w:val="auto"/>
          <w:sz w:val="24"/>
          <w:szCs w:val="24"/>
          <w:highlight w:val="none"/>
        </w:rPr>
      </w:pPr>
      <w:r>
        <w:rPr>
          <w:rFonts w:hint="eastAsia" w:ascii="仿宋" w:hAnsi="仿宋" w:eastAsia="仿宋" w:cs="仿宋"/>
          <w:bCs/>
          <w:color w:val="auto"/>
          <w:sz w:val="24"/>
          <w:highlight w:val="none"/>
        </w:rPr>
        <w:t>21.3投标人在开标过程中涉及到的投标文件解密、开标结果确认等工作，应按照《操作手册》规定执行。</w:t>
      </w:r>
    </w:p>
    <w:p w14:paraId="72901DB5">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21.4投标人如果对开标过程和开标记录有疑义，应当根据《操作手册》规定提出，如苏采云系统中《开标记录表》宣布后5分钟内未提出的，视同认可开标结果。</w:t>
      </w:r>
    </w:p>
    <w:p w14:paraId="0FCACB53">
      <w:pPr>
        <w:keepNext/>
        <w:keepLines/>
        <w:spacing w:line="400" w:lineRule="exact"/>
        <w:ind w:firstLine="422"/>
        <w:rPr>
          <w:rFonts w:ascii="仿宋" w:hAnsi="仿宋" w:eastAsia="仿宋" w:cs="仿宋"/>
          <w:b/>
          <w:bCs/>
          <w:color w:val="auto"/>
          <w:sz w:val="28"/>
          <w:szCs w:val="28"/>
          <w:highlight w:val="none"/>
        </w:rPr>
      </w:pPr>
      <w:bookmarkStart w:id="149" w:name="_Toc16938547"/>
      <w:bookmarkStart w:id="150" w:name="_Toc20823303"/>
      <w:bookmarkStart w:id="151" w:name="_Toc513029231"/>
      <w:r>
        <w:rPr>
          <w:rFonts w:hint="eastAsia" w:ascii="仿宋" w:hAnsi="仿宋" w:eastAsia="仿宋" w:cs="仿宋"/>
          <w:b/>
          <w:bCs/>
          <w:color w:val="auto"/>
          <w:sz w:val="28"/>
          <w:szCs w:val="28"/>
          <w:highlight w:val="none"/>
        </w:rPr>
        <w:t>22、评标委员会</w:t>
      </w:r>
    </w:p>
    <w:p w14:paraId="3B073FCA">
      <w:pPr>
        <w:spacing w:line="48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22.1 开标后，代理机构将立即组织评标委员会（以下简称评委会）进行评标。</w:t>
      </w:r>
    </w:p>
    <w:p w14:paraId="2D505311">
      <w:pPr>
        <w:spacing w:line="48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22.2 评委会由采购人代表和有关技术、经济等方面的专家组成，且人员构成符合政府采购有关规定。</w:t>
      </w:r>
    </w:p>
    <w:p w14:paraId="62F18959">
      <w:pPr>
        <w:spacing w:line="48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22.3评委会独立工作，负责评审所有投标文件并确定中标候选人。</w:t>
      </w:r>
    </w:p>
    <w:p w14:paraId="0BA01B4E">
      <w:pPr>
        <w:keepNext/>
        <w:keepLines/>
        <w:spacing w:line="400" w:lineRule="exact"/>
        <w:ind w:firstLine="42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23、评标过程的保密与公正</w:t>
      </w:r>
      <w:bookmarkEnd w:id="149"/>
      <w:bookmarkEnd w:id="150"/>
      <w:bookmarkEnd w:id="151"/>
    </w:p>
    <w:p w14:paraId="59512210">
      <w:pPr>
        <w:spacing w:line="48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23.1公开开标后，直至向中标的投标人授予合同时止，凡是与审查、澄清、评价和比较投标的有关资料以及授标建议等，采购人、评委、代理机构均不得向投标人或与评标无关的其他人员透露。</w:t>
      </w:r>
    </w:p>
    <w:p w14:paraId="00F7588D">
      <w:pPr>
        <w:spacing w:line="48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23.2在评标过程中，投标人不得以任何行为影响评标过程，否则其投标文件将被作为无效投标文件。</w:t>
      </w:r>
    </w:p>
    <w:p w14:paraId="5847632B">
      <w:pPr>
        <w:spacing w:line="48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23.3在评标期间，代理机构将设专门人员与投标人联系。</w:t>
      </w:r>
    </w:p>
    <w:p w14:paraId="5C5E82D7">
      <w:pPr>
        <w:spacing w:line="48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23.4代理机构和评标委员会不向未中标的投标人解释未中标原因，也不公布评标过程中的相关细节。</w:t>
      </w:r>
    </w:p>
    <w:p w14:paraId="6D369713">
      <w:pPr>
        <w:spacing w:line="480" w:lineRule="exact"/>
        <w:ind w:firstLine="480"/>
        <w:rPr>
          <w:rFonts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23.5采用综合评分法的项目，未中标的投标人可于中标结果公告期限届满之日起通过苏采云系统查看自己的评审得分及排序情况。</w:t>
      </w:r>
    </w:p>
    <w:p w14:paraId="3D0C6AAD">
      <w:pPr>
        <w:keepNext/>
        <w:keepLines/>
        <w:spacing w:line="400" w:lineRule="exact"/>
        <w:ind w:firstLine="422"/>
        <w:rPr>
          <w:rFonts w:ascii="仿宋" w:hAnsi="仿宋" w:eastAsia="仿宋" w:cs="仿宋"/>
          <w:b/>
          <w:bCs/>
          <w:color w:val="auto"/>
          <w:sz w:val="28"/>
          <w:szCs w:val="28"/>
          <w:highlight w:val="none"/>
        </w:rPr>
      </w:pPr>
      <w:bookmarkStart w:id="152" w:name="_Toc16938548"/>
      <w:bookmarkStart w:id="153" w:name="_Toc513029232"/>
      <w:bookmarkStart w:id="154" w:name="_Toc20823304"/>
      <w:r>
        <w:rPr>
          <w:rFonts w:hint="eastAsia" w:ascii="仿宋" w:hAnsi="仿宋" w:eastAsia="仿宋" w:cs="仿宋"/>
          <w:b/>
          <w:bCs/>
          <w:color w:val="auto"/>
          <w:sz w:val="28"/>
          <w:szCs w:val="28"/>
          <w:highlight w:val="none"/>
        </w:rPr>
        <w:t>24、投标文件的澄清</w:t>
      </w:r>
      <w:bookmarkEnd w:id="152"/>
      <w:bookmarkEnd w:id="153"/>
      <w:bookmarkEnd w:id="154"/>
    </w:p>
    <w:p w14:paraId="6316FA28">
      <w:pPr>
        <w:spacing w:line="48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24.1评标期间，评委会对投标文件中含义不明确、同类问题表述不一致或者有明显文字和计算错误的内容 ，有权要求投标人作出必要的澄清、说明或者补正。</w:t>
      </w:r>
    </w:p>
    <w:p w14:paraId="039E33EC">
      <w:pPr>
        <w:spacing w:line="48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投标人的澄清、说明或者补正不得超出投标文件的范围或者改变投标文件的实质性内容。</w:t>
      </w:r>
    </w:p>
    <w:p w14:paraId="03D80724">
      <w:pPr>
        <w:spacing w:line="48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评标委员会并非对每个投标人都做澄清要求。</w:t>
      </w:r>
    </w:p>
    <w:p w14:paraId="275A05C0">
      <w:pPr>
        <w:spacing w:line="48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53A0E70A">
      <w:pPr>
        <w:spacing w:line="48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24.3接到评委会澄清、说明和补正要求的投标人如未按规定做出澄清、说明和补正，其风险由投标人自行承担。</w:t>
      </w:r>
    </w:p>
    <w:p w14:paraId="67C3A688">
      <w:pPr>
        <w:keepNext/>
        <w:keepLines/>
        <w:spacing w:line="400" w:lineRule="exact"/>
        <w:ind w:firstLine="422"/>
        <w:rPr>
          <w:rFonts w:ascii="仿宋" w:hAnsi="仿宋" w:eastAsia="仿宋" w:cs="仿宋"/>
          <w:b/>
          <w:bCs/>
          <w:color w:val="auto"/>
          <w:sz w:val="28"/>
          <w:szCs w:val="28"/>
          <w:highlight w:val="none"/>
        </w:rPr>
      </w:pPr>
      <w:bookmarkStart w:id="155" w:name="_Toc513029233"/>
      <w:bookmarkStart w:id="156" w:name="_Toc16938549"/>
      <w:bookmarkStart w:id="157" w:name="_Toc20823305"/>
      <w:r>
        <w:rPr>
          <w:rFonts w:hint="eastAsia" w:ascii="仿宋" w:hAnsi="仿宋" w:eastAsia="仿宋" w:cs="仿宋"/>
          <w:b/>
          <w:bCs/>
          <w:color w:val="auto"/>
          <w:sz w:val="28"/>
          <w:szCs w:val="28"/>
          <w:highlight w:val="none"/>
        </w:rPr>
        <w:t>25、对投标文件的初审</w:t>
      </w:r>
      <w:bookmarkEnd w:id="155"/>
      <w:bookmarkEnd w:id="156"/>
      <w:bookmarkEnd w:id="157"/>
    </w:p>
    <w:p w14:paraId="27976493">
      <w:pPr>
        <w:spacing w:line="460" w:lineRule="exact"/>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25.1</w:t>
      </w:r>
      <w:r>
        <w:rPr>
          <w:rFonts w:hint="eastAsia" w:ascii="仿宋" w:hAnsi="仿宋" w:eastAsia="仿宋" w:cs="仿宋"/>
          <w:bCs/>
          <w:color w:val="auto"/>
          <w:sz w:val="24"/>
          <w:highlight w:val="none"/>
        </w:rPr>
        <w:t>投标文件初审分为资格审查和符合性审查。</w:t>
      </w:r>
    </w:p>
    <w:p w14:paraId="03B522DF">
      <w:pPr>
        <w:spacing w:line="46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25.1.1资格审查：依据法律法规和招标文件的规定，由采购人对投标文件中的资格证明文件进行审查。资格审查的结论，采购人以书面形式向评委会进行反馈。</w:t>
      </w:r>
    </w:p>
    <w:p w14:paraId="655FD5B5">
      <w:pPr>
        <w:spacing w:line="460" w:lineRule="exact"/>
        <w:ind w:firstLine="48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采购人在进行资格性审查的同时，将在“信用中国”网站（www.creditchina.gov.cn）查询投标人的信用记录，以确定投标人是否具备投标资格,查询结果留存并归档。</w:t>
      </w:r>
    </w:p>
    <w:p w14:paraId="125E9A14">
      <w:pPr>
        <w:spacing w:line="46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三个自然人、法人或者其他组织组成一个联合体，以一个供应商的身份共同参加政府采购活动的,联合体成员存在不良信用记录的，视同联合体存在不良应用记录。</w:t>
      </w:r>
    </w:p>
    <w:p w14:paraId="6FB222D8">
      <w:pPr>
        <w:spacing w:line="46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118B1C8B">
      <w:pPr>
        <w:spacing w:line="46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25.1.3未通过资格审查或符合性审查的投标人，评标委员会将在</w:t>
      </w:r>
      <w:r>
        <w:rPr>
          <w:rFonts w:hint="eastAsia" w:ascii="仿宋" w:hAnsi="仿宋" w:eastAsia="仿宋" w:cs="仿宋"/>
          <w:color w:val="auto"/>
          <w:sz w:val="24"/>
          <w:szCs w:val="24"/>
          <w:highlight w:val="none"/>
        </w:rPr>
        <w:t>苏采云系统</w:t>
      </w:r>
      <w:r>
        <w:rPr>
          <w:rFonts w:hint="eastAsia" w:ascii="仿宋" w:hAnsi="仿宋" w:eastAsia="仿宋" w:cs="仿宋"/>
          <w:bCs/>
          <w:color w:val="auto"/>
          <w:sz w:val="24"/>
          <w:highlight w:val="none"/>
        </w:rPr>
        <w:t>中告知未通过资格审查或符合性审查的原因，评标结束后，评标委员会将不再告知未通过资格审查和符合性审查的原因。</w:t>
      </w:r>
    </w:p>
    <w:p w14:paraId="7C6A9CFE">
      <w:pPr>
        <w:spacing w:line="46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5C6B2152">
      <w:pPr>
        <w:spacing w:line="46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19EA3A0">
      <w:pPr>
        <w:spacing w:line="460" w:lineRule="exact"/>
        <w:ind w:firstLine="480"/>
        <w:rPr>
          <w:rFonts w:ascii="仿宋" w:hAnsi="仿宋" w:eastAsia="仿宋" w:cs="仿宋"/>
          <w:color w:val="auto"/>
          <w:sz w:val="24"/>
          <w:highlight w:val="none"/>
        </w:rPr>
      </w:pPr>
      <w:r>
        <w:rPr>
          <w:rFonts w:hint="eastAsia" w:ascii="仿宋" w:hAnsi="仿宋" w:eastAsia="仿宋" w:cs="仿宋"/>
          <w:color w:val="auto"/>
          <w:sz w:val="24"/>
          <w:highlight w:val="none"/>
        </w:rPr>
        <w:t>25.3如果投标文件实质上没有响应招标文件的要求，评委会将予以拒绝，投标人不得通过修改或撤销不合要求的偏离或保留而使其投标成为实质性响应的投标。</w:t>
      </w:r>
    </w:p>
    <w:p w14:paraId="53D1EA45">
      <w:pPr>
        <w:spacing w:line="460" w:lineRule="exact"/>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25.4</w:t>
      </w:r>
      <w:r>
        <w:rPr>
          <w:rFonts w:hint="eastAsia" w:ascii="仿宋" w:hAnsi="仿宋" w:eastAsia="仿宋" w:cs="仿宋"/>
          <w:bCs/>
          <w:color w:val="auto"/>
          <w:sz w:val="24"/>
          <w:highlight w:val="none"/>
        </w:rPr>
        <w:t>评委会将对确定为实质性响应的投标进行进一步审核，确定其是否有计算上或累加上的算术错误，修正错误的原则如下：</w:t>
      </w:r>
    </w:p>
    <w:p w14:paraId="3C7397F3">
      <w:pPr>
        <w:spacing w:line="46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（1）大写金额和小写金额不一致的，以大写金额为准。</w:t>
      </w:r>
    </w:p>
    <w:p w14:paraId="1690AE5A">
      <w:pPr>
        <w:spacing w:line="46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（2）单价金额小数点或者百分比有明显错位的，以开标一览表的总价为准，并修改单价。</w:t>
      </w:r>
    </w:p>
    <w:p w14:paraId="1D4C4582">
      <w:pPr>
        <w:spacing w:line="46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（3）总价金额与按单价汇总金额不一致的，以单价金额计算结果为准。</w:t>
      </w:r>
    </w:p>
    <w:p w14:paraId="7BE354AB">
      <w:pPr>
        <w:spacing w:line="460" w:lineRule="exact"/>
        <w:ind w:firstLine="720"/>
        <w:rPr>
          <w:rFonts w:ascii="仿宋" w:hAnsi="仿宋" w:eastAsia="仿宋" w:cs="仿宋"/>
          <w:bCs/>
          <w:color w:val="auto"/>
          <w:sz w:val="24"/>
          <w:highlight w:val="none"/>
        </w:rPr>
      </w:pPr>
      <w:r>
        <w:rPr>
          <w:rFonts w:hint="eastAsia" w:ascii="仿宋" w:hAnsi="仿宋" w:eastAsia="仿宋" w:cs="仿宋"/>
          <w:bCs/>
          <w:color w:val="auto"/>
          <w:sz w:val="24"/>
          <w:highlight w:val="none"/>
        </w:rPr>
        <w:t>同时出现两种以上错误的，按照前款规定的顺序修正。</w:t>
      </w:r>
    </w:p>
    <w:p w14:paraId="496AEF95">
      <w:pPr>
        <w:spacing w:line="460" w:lineRule="exact"/>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25.5</w:t>
      </w:r>
      <w:r>
        <w:rPr>
          <w:rFonts w:hint="eastAsia" w:ascii="仿宋" w:hAnsi="仿宋" w:eastAsia="仿宋" w:cs="仿宋"/>
          <w:bCs/>
          <w:color w:val="auto"/>
          <w:sz w:val="24"/>
          <w:highlight w:val="none"/>
        </w:rPr>
        <w:t>评委会将按上述修正错误的方法调整投标文件中的投标报价，并通过</w:t>
      </w:r>
      <w:r>
        <w:rPr>
          <w:rFonts w:hint="eastAsia" w:ascii="仿宋" w:hAnsi="仿宋" w:eastAsia="仿宋" w:cs="仿宋"/>
          <w:color w:val="auto"/>
          <w:sz w:val="24"/>
          <w:szCs w:val="24"/>
          <w:highlight w:val="none"/>
        </w:rPr>
        <w:t>苏采云系统</w:t>
      </w:r>
      <w:r>
        <w:rPr>
          <w:rFonts w:hint="eastAsia" w:ascii="仿宋" w:hAnsi="仿宋" w:eastAsia="仿宋" w:cs="仿宋"/>
          <w:bCs/>
          <w:color w:val="auto"/>
          <w:sz w:val="24"/>
          <w:highlight w:val="none"/>
        </w:rPr>
        <w:t>告知投标人，调整后的价格应对投标人具有约束力。如果投标人不接受修正后的价格，则其投标将被拒绝。</w:t>
      </w:r>
    </w:p>
    <w:p w14:paraId="241CB1FF">
      <w:pPr>
        <w:spacing w:line="460" w:lineRule="exact"/>
        <w:ind w:firstLine="420"/>
        <w:rPr>
          <w:rFonts w:ascii="仿宋" w:hAnsi="仿宋" w:eastAsia="仿宋" w:cs="仿宋"/>
          <w:color w:val="auto"/>
          <w:sz w:val="24"/>
          <w:highlight w:val="none"/>
        </w:rPr>
      </w:pPr>
      <w:r>
        <w:rPr>
          <w:rFonts w:hint="eastAsia" w:ascii="仿宋" w:hAnsi="仿宋" w:eastAsia="仿宋" w:cs="仿宋"/>
          <w:color w:val="auto"/>
          <w:sz w:val="24"/>
          <w:highlight w:val="none"/>
        </w:rPr>
        <w:t>25.6评委会将允许修正投标文件中不构成重大偏离的、微小的、非正规的、不一致的或不规则的地方，但这些修改不能影响任何投标人相应的名次排列。</w:t>
      </w:r>
      <w:bookmarkStart w:id="158" w:name="_Toc513029234"/>
      <w:bookmarkStart w:id="159" w:name="_Toc16938550"/>
      <w:bookmarkStart w:id="160" w:name="_Toc20823306"/>
    </w:p>
    <w:p w14:paraId="709C14BA">
      <w:pPr>
        <w:spacing w:line="460" w:lineRule="exact"/>
        <w:ind w:firstLine="420"/>
        <w:rPr>
          <w:rFonts w:ascii="仿宋" w:hAnsi="仿宋" w:eastAsia="仿宋" w:cs="仿宋"/>
          <w:color w:val="auto"/>
          <w:sz w:val="24"/>
          <w:highlight w:val="none"/>
        </w:rPr>
      </w:pPr>
      <w:r>
        <w:rPr>
          <w:rFonts w:hint="eastAsia" w:ascii="仿宋" w:hAnsi="仿宋" w:eastAsia="仿宋" w:cs="仿宋"/>
          <w:color w:val="auto"/>
          <w:sz w:val="24"/>
          <w:highlight w:val="none"/>
        </w:rPr>
        <w:t>25.7投标人在开、评标全过程中应保持通讯畅通，及时登录</w:t>
      </w:r>
      <w:r>
        <w:rPr>
          <w:rFonts w:hint="eastAsia" w:ascii="仿宋" w:hAnsi="仿宋" w:eastAsia="仿宋" w:cs="仿宋"/>
          <w:color w:val="auto"/>
          <w:sz w:val="24"/>
          <w:szCs w:val="24"/>
          <w:highlight w:val="none"/>
        </w:rPr>
        <w:t>苏采云系统</w:t>
      </w:r>
      <w:r>
        <w:rPr>
          <w:rFonts w:hint="eastAsia" w:ascii="仿宋" w:hAnsi="仿宋" w:eastAsia="仿宋" w:cs="仿宋"/>
          <w:color w:val="auto"/>
          <w:sz w:val="24"/>
          <w:highlight w:val="none"/>
        </w:rPr>
        <w:t>查阅、答复相关信息，并安排专人与代理机构及评标委员会联系。</w:t>
      </w:r>
    </w:p>
    <w:p w14:paraId="0E7304CD">
      <w:pPr>
        <w:keepNext/>
        <w:keepLines/>
        <w:spacing w:line="400" w:lineRule="exact"/>
        <w:ind w:firstLine="42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26、</w:t>
      </w:r>
      <w:bookmarkEnd w:id="158"/>
      <w:bookmarkEnd w:id="159"/>
      <w:bookmarkEnd w:id="160"/>
      <w:r>
        <w:rPr>
          <w:rFonts w:hint="eastAsia" w:ascii="仿宋" w:hAnsi="仿宋" w:eastAsia="仿宋" w:cs="仿宋"/>
          <w:b/>
          <w:bCs/>
          <w:color w:val="auto"/>
          <w:sz w:val="28"/>
          <w:szCs w:val="28"/>
          <w:highlight w:val="none"/>
        </w:rPr>
        <w:t>无效投标条款和废标条款</w:t>
      </w:r>
    </w:p>
    <w:p w14:paraId="67A91E65">
      <w:pPr>
        <w:spacing w:line="440" w:lineRule="exact"/>
        <w:ind w:left="479"/>
        <w:outlineLvl w:val="2"/>
        <w:rPr>
          <w:rFonts w:ascii="仿宋" w:hAnsi="仿宋" w:eastAsia="仿宋" w:cs="仿宋"/>
          <w:bCs/>
          <w:color w:val="auto"/>
          <w:sz w:val="24"/>
          <w:highlight w:val="none"/>
        </w:rPr>
      </w:pPr>
      <w:bookmarkStart w:id="161" w:name="_Toc513029235"/>
      <w:bookmarkStart w:id="162" w:name="_Toc16938551"/>
      <w:bookmarkStart w:id="163" w:name="_Toc20823307"/>
      <w:r>
        <w:rPr>
          <w:rFonts w:hint="eastAsia" w:ascii="仿宋" w:hAnsi="仿宋" w:eastAsia="仿宋" w:cs="仿宋"/>
          <w:bCs/>
          <w:color w:val="auto"/>
          <w:sz w:val="24"/>
          <w:highlight w:val="none"/>
        </w:rPr>
        <w:t>26.1无效投标条款</w:t>
      </w:r>
    </w:p>
    <w:p w14:paraId="2C6BE1FA">
      <w:pPr>
        <w:spacing w:line="440" w:lineRule="exact"/>
        <w:ind w:firstLine="480"/>
        <w:rPr>
          <w:rFonts w:ascii="仿宋" w:hAnsi="仿宋" w:eastAsia="仿宋" w:cs="仿宋"/>
          <w:bCs/>
          <w:color w:val="auto"/>
          <w:sz w:val="24"/>
          <w:szCs w:val="24"/>
          <w:highlight w:val="none"/>
        </w:rPr>
      </w:pPr>
      <w:r>
        <w:rPr>
          <w:rFonts w:hint="eastAsia" w:ascii="仿宋" w:hAnsi="仿宋" w:eastAsia="仿宋" w:cs="仿宋"/>
          <w:bCs/>
          <w:color w:val="auto"/>
          <w:sz w:val="24"/>
          <w:highlight w:val="none"/>
        </w:rPr>
        <w:t>26</w:t>
      </w:r>
      <w:r>
        <w:rPr>
          <w:rFonts w:hint="eastAsia" w:ascii="仿宋" w:hAnsi="仿宋" w:eastAsia="仿宋" w:cs="仿宋"/>
          <w:bCs/>
          <w:color w:val="auto"/>
          <w:sz w:val="24"/>
          <w:szCs w:val="24"/>
          <w:highlight w:val="none"/>
        </w:rPr>
        <w:t>.1.1 投标人在</w:t>
      </w:r>
      <w:r>
        <w:rPr>
          <w:rFonts w:hint="eastAsia" w:ascii="仿宋" w:hAnsi="仿宋" w:eastAsia="仿宋" w:cs="仿宋"/>
          <w:color w:val="auto"/>
          <w:sz w:val="24"/>
          <w:szCs w:val="24"/>
          <w:highlight w:val="none"/>
        </w:rPr>
        <w:t>苏采云系统</w:t>
      </w:r>
      <w:r>
        <w:rPr>
          <w:rFonts w:hint="eastAsia" w:ascii="仿宋" w:hAnsi="仿宋" w:eastAsia="仿宋" w:cs="仿宋"/>
          <w:bCs/>
          <w:color w:val="auto"/>
          <w:sz w:val="24"/>
          <w:szCs w:val="24"/>
          <w:highlight w:val="none"/>
        </w:rPr>
        <w:t>规定的时间内未成功解密电子投标文件的。</w:t>
      </w:r>
    </w:p>
    <w:p w14:paraId="5BE86C17">
      <w:pPr>
        <w:spacing w:line="44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26.1.2 投标人未按照招标文件要求上传电子投标文件的。</w:t>
      </w:r>
    </w:p>
    <w:p w14:paraId="6495653A">
      <w:pPr>
        <w:spacing w:line="440" w:lineRule="exact"/>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26.1.3 投标人同一分包提交两个（含两个）以上不同的投标报价的。</w:t>
      </w:r>
    </w:p>
    <w:p w14:paraId="3D19CC5C">
      <w:pPr>
        <w:spacing w:line="440" w:lineRule="exact"/>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26.1.4投标人不具备招标文件中规定资格要求的。</w:t>
      </w:r>
    </w:p>
    <w:p w14:paraId="1948ECAC">
      <w:pPr>
        <w:spacing w:line="44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26.1.5投标人的报价超过了采购预算或最高限价的。</w:t>
      </w:r>
    </w:p>
    <w:p w14:paraId="1F9E1F5C">
      <w:pPr>
        <w:spacing w:line="440" w:lineRule="exact"/>
        <w:ind w:firstLine="480"/>
        <w:rPr>
          <w:rFonts w:ascii="仿宋" w:hAnsi="仿宋" w:eastAsia="仿宋" w:cs="仿宋"/>
          <w:bCs/>
          <w:i/>
          <w:color w:val="auto"/>
          <w:sz w:val="24"/>
          <w:highlight w:val="none"/>
          <w:u w:val="single"/>
        </w:rPr>
      </w:pPr>
      <w:r>
        <w:rPr>
          <w:rFonts w:hint="eastAsia" w:ascii="仿宋" w:hAnsi="仿宋" w:eastAsia="仿宋" w:cs="仿宋"/>
          <w:bCs/>
          <w:color w:val="auto"/>
          <w:sz w:val="24"/>
          <w:highlight w:val="none"/>
        </w:rPr>
        <w:t>26.1.6未通过符合性审查的。</w:t>
      </w:r>
    </w:p>
    <w:p w14:paraId="51384ED4">
      <w:pPr>
        <w:spacing w:line="50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26.1.7不符合招标文件中规定的实质性要求的。</w:t>
      </w:r>
    </w:p>
    <w:p w14:paraId="44D26ACC">
      <w:pPr>
        <w:spacing w:line="500" w:lineRule="exact"/>
        <w:ind w:firstLine="480"/>
        <w:rPr>
          <w:rFonts w:ascii="仿宋" w:hAnsi="仿宋" w:eastAsia="仿宋" w:cs="仿宋"/>
          <w:bCs/>
          <w:i/>
          <w:color w:val="auto"/>
          <w:sz w:val="24"/>
          <w:highlight w:val="none"/>
          <w:u w:val="single"/>
        </w:rPr>
      </w:pPr>
      <w:r>
        <w:rPr>
          <w:rFonts w:hint="eastAsia" w:ascii="仿宋" w:hAnsi="仿宋" w:eastAsia="仿宋" w:cs="仿宋"/>
          <w:color w:val="auto"/>
          <w:sz w:val="24"/>
          <w:highlight w:val="none"/>
        </w:rPr>
        <w:t>26.1.8对于采用折扣率报价的项目，开标一览表中的投标优惠率与投标分项报价表中的投标折扣率折算后不一致的。</w:t>
      </w:r>
    </w:p>
    <w:p w14:paraId="624BBF85">
      <w:pPr>
        <w:spacing w:line="44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26.1.9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DF14257">
      <w:pPr>
        <w:spacing w:line="44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26.1.10 投标文件含有采购人不能接受的附加条件的。</w:t>
      </w:r>
    </w:p>
    <w:p w14:paraId="33528E3F">
      <w:pPr>
        <w:spacing w:line="44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26.1.11评标委员会认为投标人的报价明显低于其他通过符合性审查投标人的报价，有可能影响产品质量或者不能诚信履约的，将通过</w:t>
      </w:r>
      <w:r>
        <w:rPr>
          <w:rFonts w:hint="eastAsia" w:ascii="仿宋" w:hAnsi="仿宋" w:eastAsia="仿宋" w:cs="仿宋"/>
          <w:color w:val="auto"/>
          <w:sz w:val="24"/>
          <w:szCs w:val="24"/>
          <w:highlight w:val="none"/>
        </w:rPr>
        <w:t>苏采云系统</w:t>
      </w:r>
      <w:r>
        <w:rPr>
          <w:rFonts w:hint="eastAsia" w:ascii="仿宋" w:hAnsi="仿宋" w:eastAsia="仿宋" w:cs="仿宋"/>
          <w:bCs/>
          <w:color w:val="auto"/>
          <w:sz w:val="24"/>
          <w:highlight w:val="none"/>
        </w:rPr>
        <w:t>要求其在合理的时间内提供说明，必要时提交相关证明材料；投标人不能证明其报价合理性的，评标委员会应当将其作为无效投标处理。</w:t>
      </w:r>
    </w:p>
    <w:p w14:paraId="1592177A">
      <w:pPr>
        <w:spacing w:line="44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26.1.12投标文件未按照招标文件要求加盖CA电子公章的。</w:t>
      </w:r>
    </w:p>
    <w:p w14:paraId="48496DBC">
      <w:pPr>
        <w:spacing w:line="44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26.1.13其他法律、法规及本招标文件规定的属无效投标的情形。</w:t>
      </w:r>
    </w:p>
    <w:p w14:paraId="043860DC">
      <w:pPr>
        <w:spacing w:line="440" w:lineRule="exact"/>
        <w:ind w:left="479"/>
        <w:outlineLvl w:val="2"/>
        <w:rPr>
          <w:rFonts w:ascii="仿宋" w:hAnsi="仿宋" w:eastAsia="仿宋" w:cs="仿宋"/>
          <w:bCs/>
          <w:color w:val="auto"/>
          <w:sz w:val="24"/>
          <w:highlight w:val="none"/>
        </w:rPr>
      </w:pPr>
      <w:r>
        <w:rPr>
          <w:rFonts w:hint="eastAsia" w:ascii="仿宋" w:hAnsi="仿宋" w:eastAsia="仿宋" w:cs="仿宋"/>
          <w:bCs/>
          <w:color w:val="auto"/>
          <w:sz w:val="24"/>
          <w:highlight w:val="none"/>
        </w:rPr>
        <w:t>26.2废标条款</w:t>
      </w:r>
    </w:p>
    <w:p w14:paraId="6DC8C6D8">
      <w:pPr>
        <w:spacing w:line="440" w:lineRule="exact"/>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26.2.1符合专业条件的投标人或者对招标文件作实质响应的投标人不足三家的。26.2.2出现影响采购公正的违法、违规行为的。</w:t>
      </w:r>
    </w:p>
    <w:p w14:paraId="63A57E6B">
      <w:pPr>
        <w:spacing w:line="440" w:lineRule="exact"/>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26.2.3因重大变故，采购任务取消的。</w:t>
      </w:r>
    </w:p>
    <w:p w14:paraId="69852D16">
      <w:pPr>
        <w:spacing w:line="440" w:lineRule="exact"/>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26.2.4评标委员会认定招标文件存在歧义、重大缺陷导致评审工作无法进行。</w:t>
      </w:r>
    </w:p>
    <w:p w14:paraId="17CDCCF9">
      <w:pPr>
        <w:spacing w:line="440" w:lineRule="exact"/>
        <w:ind w:left="479"/>
        <w:rPr>
          <w:rFonts w:ascii="仿宋" w:hAnsi="仿宋" w:eastAsia="仿宋" w:cs="仿宋"/>
          <w:bCs/>
          <w:color w:val="auto"/>
          <w:sz w:val="24"/>
          <w:highlight w:val="none"/>
        </w:rPr>
      </w:pPr>
      <w:r>
        <w:rPr>
          <w:rFonts w:hint="eastAsia" w:ascii="仿宋" w:hAnsi="仿宋" w:eastAsia="仿宋" w:cs="仿宋"/>
          <w:bCs/>
          <w:color w:val="auto"/>
          <w:sz w:val="24"/>
          <w:highlight w:val="none"/>
        </w:rPr>
        <w:t>26.2.5 因</w:t>
      </w:r>
      <w:r>
        <w:rPr>
          <w:rFonts w:hint="eastAsia" w:ascii="仿宋" w:hAnsi="仿宋" w:eastAsia="仿宋" w:cs="仿宋"/>
          <w:color w:val="auto"/>
          <w:sz w:val="24"/>
          <w:szCs w:val="24"/>
          <w:highlight w:val="none"/>
        </w:rPr>
        <w:t>苏采云</w:t>
      </w:r>
      <w:r>
        <w:rPr>
          <w:rFonts w:hint="eastAsia" w:ascii="仿宋" w:hAnsi="仿宋" w:eastAsia="仿宋" w:cs="仿宋"/>
          <w:bCs/>
          <w:color w:val="auto"/>
          <w:sz w:val="24"/>
          <w:highlight w:val="none"/>
        </w:rPr>
        <w:t>系统故障原因造成开标不成功的。</w:t>
      </w:r>
    </w:p>
    <w:p w14:paraId="0A95F9F0">
      <w:pPr>
        <w:spacing w:line="440" w:lineRule="exact"/>
        <w:ind w:left="479"/>
        <w:outlineLvl w:val="2"/>
        <w:rPr>
          <w:rFonts w:ascii="仿宋" w:hAnsi="仿宋" w:eastAsia="仿宋" w:cs="仿宋"/>
          <w:bCs/>
          <w:color w:val="auto"/>
          <w:sz w:val="24"/>
          <w:highlight w:val="none"/>
        </w:rPr>
      </w:pPr>
      <w:r>
        <w:rPr>
          <w:rFonts w:hint="eastAsia" w:ascii="仿宋" w:hAnsi="仿宋" w:eastAsia="仿宋" w:cs="仿宋"/>
          <w:bCs/>
          <w:color w:val="auto"/>
          <w:sz w:val="24"/>
          <w:highlight w:val="none"/>
        </w:rPr>
        <w:t>26.3 投标截止时间结束后参加投标的供应商不足三家的处理：</w:t>
      </w:r>
    </w:p>
    <w:p w14:paraId="7F3968B3">
      <w:pPr>
        <w:spacing w:line="44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26.3.1如出现投标截止时间结束后参加投标的供应商或者在评标期间对招标文件做出实质响应的供应商不足三家情况，按政府采购相关规定执行。</w:t>
      </w:r>
    </w:p>
    <w:p w14:paraId="20340FC1">
      <w:pPr>
        <w:keepNext/>
        <w:keepLines/>
        <w:spacing w:before="145" w:after="145" w:line="400" w:lineRule="exact"/>
        <w:ind w:firstLine="421"/>
        <w:outlineLvl w:val="1"/>
        <w:rPr>
          <w:rFonts w:ascii="仿宋" w:hAnsi="仿宋" w:eastAsia="仿宋" w:cs="仿宋"/>
          <w:b/>
          <w:bCs/>
          <w:color w:val="auto"/>
          <w:sz w:val="32"/>
          <w:szCs w:val="32"/>
          <w:highlight w:val="none"/>
        </w:rPr>
      </w:pPr>
      <w:bookmarkStart w:id="164" w:name="_Toc120614219"/>
      <w:r>
        <w:rPr>
          <w:rFonts w:hint="eastAsia" w:ascii="仿宋" w:hAnsi="仿宋" w:eastAsia="仿宋" w:cs="仿宋"/>
          <w:b/>
          <w:bCs/>
          <w:color w:val="auto"/>
          <w:sz w:val="32"/>
          <w:szCs w:val="32"/>
          <w:highlight w:val="none"/>
        </w:rPr>
        <w:t>六、</w:t>
      </w:r>
      <w:bookmarkEnd w:id="161"/>
      <w:bookmarkEnd w:id="162"/>
      <w:bookmarkEnd w:id="163"/>
      <w:r>
        <w:rPr>
          <w:rFonts w:hint="eastAsia" w:ascii="仿宋" w:hAnsi="仿宋" w:eastAsia="仿宋" w:cs="仿宋"/>
          <w:b/>
          <w:bCs/>
          <w:color w:val="auto"/>
          <w:sz w:val="32"/>
          <w:szCs w:val="32"/>
          <w:highlight w:val="none"/>
        </w:rPr>
        <w:t>定标</w:t>
      </w:r>
      <w:bookmarkEnd w:id="164"/>
    </w:p>
    <w:p w14:paraId="3630B6A9">
      <w:pPr>
        <w:keepNext/>
        <w:keepLines/>
        <w:spacing w:line="400" w:lineRule="exact"/>
        <w:ind w:firstLine="422"/>
        <w:rPr>
          <w:rFonts w:ascii="仿宋" w:hAnsi="仿宋" w:eastAsia="仿宋" w:cs="仿宋"/>
          <w:b/>
          <w:bCs/>
          <w:color w:val="auto"/>
          <w:sz w:val="28"/>
          <w:szCs w:val="28"/>
          <w:highlight w:val="none"/>
        </w:rPr>
      </w:pPr>
      <w:bookmarkStart w:id="165" w:name="_Toc513029238"/>
      <w:bookmarkStart w:id="166" w:name="_Toc16938554"/>
      <w:bookmarkStart w:id="167" w:name="_Toc20823310"/>
      <w:r>
        <w:rPr>
          <w:rFonts w:hint="eastAsia" w:ascii="仿宋" w:hAnsi="仿宋" w:eastAsia="仿宋" w:cs="仿宋"/>
          <w:b/>
          <w:bCs/>
          <w:color w:val="auto"/>
          <w:sz w:val="28"/>
          <w:szCs w:val="28"/>
          <w:highlight w:val="none"/>
        </w:rPr>
        <w:t>27、</w:t>
      </w:r>
      <w:bookmarkEnd w:id="165"/>
      <w:r>
        <w:rPr>
          <w:rFonts w:hint="eastAsia" w:ascii="仿宋" w:hAnsi="仿宋" w:eastAsia="仿宋" w:cs="仿宋"/>
          <w:b/>
          <w:bCs/>
          <w:color w:val="auto"/>
          <w:sz w:val="28"/>
          <w:szCs w:val="28"/>
          <w:highlight w:val="none"/>
        </w:rPr>
        <w:t>确定</w:t>
      </w:r>
      <w:bookmarkEnd w:id="166"/>
      <w:bookmarkEnd w:id="167"/>
      <w:r>
        <w:rPr>
          <w:rFonts w:hint="eastAsia" w:ascii="仿宋" w:hAnsi="仿宋" w:eastAsia="仿宋" w:cs="仿宋"/>
          <w:b/>
          <w:bCs/>
          <w:color w:val="auto"/>
          <w:sz w:val="28"/>
          <w:szCs w:val="28"/>
          <w:highlight w:val="none"/>
        </w:rPr>
        <w:t>中标单位</w:t>
      </w:r>
    </w:p>
    <w:p w14:paraId="058AE03A">
      <w:pPr>
        <w:spacing w:line="40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27.1中标候选人的选取原则和数量见招标文件第五章规定。</w:t>
      </w:r>
    </w:p>
    <w:p w14:paraId="57CF0BDA">
      <w:pPr>
        <w:spacing w:line="440" w:lineRule="exact"/>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27.2 采购人委托评委会直接确定排名第一的中标候选人为中标人。</w:t>
      </w:r>
    </w:p>
    <w:p w14:paraId="7A1F51F5">
      <w:pPr>
        <w:spacing w:line="480" w:lineRule="exact"/>
        <w:ind w:firstLine="48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27.3 </w:t>
      </w:r>
      <w:r>
        <w:rPr>
          <w:rFonts w:hint="eastAsia" w:ascii="仿宋" w:hAnsi="仿宋" w:eastAsia="仿宋" w:cs="仿宋"/>
          <w:color w:val="auto"/>
          <w:sz w:val="24"/>
          <w:szCs w:val="24"/>
          <w:highlight w:val="none"/>
        </w:rPr>
        <w:t>代理机构将在“江苏政府采购网”发布中标公告，公告期限为1个工作日。</w:t>
      </w:r>
    </w:p>
    <w:p w14:paraId="5E4558D9">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27.4若有充分证据证明，中标人出现下列情况之一的，一经查实，将被取消中标资格：</w:t>
      </w:r>
    </w:p>
    <w:p w14:paraId="5384C64D">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27.4.1提供虚假材料谋取中标的。</w:t>
      </w:r>
    </w:p>
    <w:p w14:paraId="3A4101B9">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27.4.2向采购人、代理机构行贿或者提供其他不正当利益的。</w:t>
      </w:r>
    </w:p>
    <w:p w14:paraId="120111BB">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27.4.3 属于本文件规定的无效条件，但在评标过程中又未被评委会发现的。</w:t>
      </w:r>
    </w:p>
    <w:p w14:paraId="6282F183">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27.4.4与采购人或者其他供应商恶意串通的。</w:t>
      </w:r>
    </w:p>
    <w:p w14:paraId="1E9FF1F0">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27.4.5采取不正当手段诋毁、排挤其他供应商的。</w:t>
      </w:r>
    </w:p>
    <w:p w14:paraId="60C3F54E">
      <w:pPr>
        <w:spacing w:line="480" w:lineRule="exact"/>
        <w:ind w:firstLine="480"/>
        <w:rPr>
          <w:rFonts w:ascii="仿宋" w:hAnsi="仿宋" w:eastAsia="仿宋" w:cs="仿宋"/>
          <w:color w:val="auto"/>
          <w:sz w:val="24"/>
          <w:szCs w:val="24"/>
          <w:highlight w:val="none"/>
        </w:rPr>
      </w:pPr>
      <w:bookmarkStart w:id="168" w:name="_Toc200451960"/>
      <w:r>
        <w:rPr>
          <w:rFonts w:hint="eastAsia" w:ascii="仿宋" w:hAnsi="仿宋" w:eastAsia="仿宋" w:cs="仿宋"/>
          <w:color w:val="auto"/>
          <w:sz w:val="24"/>
          <w:szCs w:val="24"/>
          <w:highlight w:val="none"/>
        </w:rPr>
        <w:t>27.5 有下列情形之一的，视为投标人串通投标，投标无效：</w:t>
      </w:r>
    </w:p>
    <w:p w14:paraId="0343416A">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27.5.1不同投标人的投标文件由同一单位或者个人编制。</w:t>
      </w:r>
    </w:p>
    <w:p w14:paraId="233F8ADA">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27.5.2不同投标人委托同一单位或者个人办理投标事宜。</w:t>
      </w:r>
    </w:p>
    <w:p w14:paraId="3BDE2B8A">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27.5.3 不同投标人的投标文件载明的项目管理成员或者联系人员为同一人。</w:t>
      </w:r>
    </w:p>
    <w:p w14:paraId="21E2E8D2">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27.5.4不同投标人的投标文件异常一致或者投标报价呈规律性差异。</w:t>
      </w:r>
    </w:p>
    <w:p w14:paraId="46E99257">
      <w:pPr>
        <w:keepNext/>
        <w:keepLines/>
        <w:spacing w:line="400" w:lineRule="exact"/>
        <w:ind w:firstLine="42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28、质疑处理</w:t>
      </w:r>
      <w:bookmarkEnd w:id="168"/>
    </w:p>
    <w:p w14:paraId="706B832F">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28.1提出质疑的供应商应当是参与所质疑项目采购活动的供应商。潜在供应商依法获取其可质疑的采购文件的，可以对采购文件提出质疑。</w:t>
      </w:r>
    </w:p>
    <w:p w14:paraId="1906C27A">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p>
    <w:p w14:paraId="0C151358">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28.2.1对可以质疑的采购文件提出质疑的，为收到采购文件之日或者采购文件公告期限届满之日；</w:t>
      </w:r>
    </w:p>
    <w:p w14:paraId="6F61EAC9">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28.2.2对采购过程提出质疑的，为各采购程序环节结束之日；</w:t>
      </w:r>
    </w:p>
    <w:p w14:paraId="32D8CD2D">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28.2.3对中标或者成交结果提出质疑的，为中标或者成交结果公告期限届满之日。</w:t>
      </w:r>
    </w:p>
    <w:p w14:paraId="23075A24">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供应商应当在法定质疑期内一次性提出针对同一采购程序环节的质疑。供应商如在法定期限内对同一采购程序环节提出多次质疑的，采购人、代理机构将只对供应商第一次质疑作出答复。</w:t>
      </w:r>
    </w:p>
    <w:p w14:paraId="43E52B59">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28.3质疑函必须按照本招标文件中《质疑函范本》（附件15）要求的格式和内容进行填写。供应商如组成联合体参加投标，则《质疑函范本》中要求签字、盖章、加盖公章之处，联合体各方均须按要求签字、盖章、加盖公章。</w:t>
      </w:r>
    </w:p>
    <w:p w14:paraId="7E384512">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28.4投标人（含潜在投标人）对采购方式、招标文件中采购需求、供应商资格条件、评标方法和评标标准、合同文本及资格审查结果的询问、质疑请向采购人提出，由采购人负责答复。投标人对除上述事项以外其他事项的询问、质疑请向代理机构提出，由代理机构负责答复。</w:t>
      </w:r>
    </w:p>
    <w:p w14:paraId="5AEDED7E">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采购人及代理机构只接收以纸质原件形式送达的质疑,建议投标人尽量通过邮寄方式提交质疑（采购人和代理机构不接受无快递运单号的快递）。</w:t>
      </w:r>
    </w:p>
    <w:p w14:paraId="25B3881D">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采购人质疑接收人及联系方式，见本招标文件第一章。</w:t>
      </w:r>
    </w:p>
    <w:p w14:paraId="005B44F5">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代理机构质疑受理联系方式，见本招标文件第一章。</w:t>
      </w:r>
    </w:p>
    <w:p w14:paraId="7A83F62F">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28.5 以下情形的质疑不予受理</w:t>
      </w:r>
    </w:p>
    <w:p w14:paraId="5E7EE1F1">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28.5.1 内容不符合《政府采购质疑和投诉办法》第十二条规定的质疑。</w:t>
      </w:r>
    </w:p>
    <w:p w14:paraId="6D00C0DA">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28.5.2 超出政府采购法定期限的质疑。</w:t>
      </w:r>
    </w:p>
    <w:p w14:paraId="2D7E164A">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28.5.3 以传真、电子邮件等方式递交的非原件形式的质疑。</w:t>
      </w:r>
    </w:p>
    <w:p w14:paraId="4F4DC2FA">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28.5.4未参加投标活动的供应商或在投标活动中自身权益未受到损害的供应商所提出的质疑。</w:t>
      </w:r>
    </w:p>
    <w:p w14:paraId="51A9E28C">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28.5.5供应商组成联合体参加投标，联合体中任何一方或多方未按要求签字、盖章、加盖公章的质疑。</w:t>
      </w:r>
    </w:p>
    <w:p w14:paraId="6E6B0FA0">
      <w:pPr>
        <w:spacing w:line="480" w:lineRule="exact"/>
        <w:ind w:firstLine="468"/>
        <w:rPr>
          <w:rFonts w:ascii="仿宋" w:hAnsi="仿宋" w:eastAsia="仿宋" w:cs="仿宋"/>
          <w:color w:val="auto"/>
          <w:sz w:val="28"/>
          <w:szCs w:val="28"/>
          <w:highlight w:val="none"/>
        </w:rPr>
      </w:pPr>
      <w:r>
        <w:rPr>
          <w:rFonts w:hint="eastAsia" w:ascii="仿宋" w:hAnsi="仿宋" w:eastAsia="仿宋" w:cs="仿宋"/>
          <w:color w:val="auto"/>
          <w:sz w:val="24"/>
          <w:szCs w:val="24"/>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E031F66">
      <w:pPr>
        <w:keepNext/>
        <w:keepLines/>
        <w:spacing w:line="400" w:lineRule="exact"/>
        <w:ind w:firstLine="42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29、中标通知书</w:t>
      </w:r>
    </w:p>
    <w:p w14:paraId="1A2D4E91">
      <w:pPr>
        <w:spacing w:line="480" w:lineRule="exact"/>
        <w:ind w:firstLine="6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4CEFFF9">
      <w:pPr>
        <w:pStyle w:val="32"/>
        <w:spacing w:before="0" w:beforeAutospacing="0" w:after="0" w:afterAutospacing="0" w:line="480" w:lineRule="exact"/>
        <w:ind w:firstLine="480"/>
        <w:rPr>
          <w:rFonts w:ascii="仿宋" w:hAnsi="仿宋" w:eastAsia="仿宋" w:cs="仿宋"/>
          <w:color w:val="auto"/>
          <w:highlight w:val="none"/>
        </w:rPr>
      </w:pPr>
      <w:r>
        <w:rPr>
          <w:rFonts w:hint="eastAsia" w:ascii="仿宋" w:hAnsi="仿宋" w:eastAsia="仿宋" w:cs="仿宋"/>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7CAFAE05">
      <w:pPr>
        <w:keepNext/>
        <w:keepLines/>
        <w:spacing w:before="145" w:after="145" w:line="400" w:lineRule="exact"/>
        <w:ind w:firstLine="421"/>
        <w:outlineLvl w:val="1"/>
        <w:rPr>
          <w:rFonts w:ascii="仿宋" w:hAnsi="仿宋" w:eastAsia="仿宋" w:cs="仿宋"/>
          <w:b/>
          <w:bCs/>
          <w:color w:val="auto"/>
          <w:sz w:val="32"/>
          <w:szCs w:val="32"/>
          <w:highlight w:val="none"/>
        </w:rPr>
      </w:pPr>
      <w:bookmarkStart w:id="169" w:name="_Toc16938552"/>
      <w:bookmarkStart w:id="170" w:name="_Toc20823308"/>
      <w:bookmarkStart w:id="171" w:name="_Toc513029236"/>
      <w:bookmarkStart w:id="172" w:name="_Toc120614220"/>
      <w:r>
        <w:rPr>
          <w:rFonts w:hint="eastAsia" w:ascii="仿宋" w:hAnsi="仿宋" w:eastAsia="仿宋" w:cs="仿宋"/>
          <w:b/>
          <w:bCs/>
          <w:color w:val="auto"/>
          <w:sz w:val="32"/>
          <w:szCs w:val="32"/>
          <w:highlight w:val="none"/>
        </w:rPr>
        <w:t>七、授予合同</w:t>
      </w:r>
      <w:bookmarkEnd w:id="169"/>
      <w:bookmarkEnd w:id="170"/>
      <w:bookmarkEnd w:id="171"/>
      <w:bookmarkEnd w:id="172"/>
    </w:p>
    <w:p w14:paraId="71148471">
      <w:pPr>
        <w:keepNext/>
        <w:keepLines/>
        <w:spacing w:line="400" w:lineRule="exact"/>
        <w:ind w:firstLine="422"/>
        <w:rPr>
          <w:rFonts w:ascii="仿宋" w:hAnsi="仿宋" w:eastAsia="仿宋" w:cs="仿宋"/>
          <w:b/>
          <w:bCs/>
          <w:color w:val="auto"/>
          <w:sz w:val="28"/>
          <w:szCs w:val="28"/>
          <w:highlight w:val="none"/>
        </w:rPr>
      </w:pPr>
      <w:bookmarkStart w:id="173" w:name="_Toc20823309"/>
      <w:bookmarkStart w:id="174" w:name="_Toc513029237"/>
      <w:bookmarkStart w:id="175" w:name="_Toc16938553"/>
      <w:r>
        <w:rPr>
          <w:rFonts w:hint="eastAsia" w:ascii="仿宋" w:hAnsi="仿宋" w:eastAsia="仿宋" w:cs="仿宋"/>
          <w:b/>
          <w:bCs/>
          <w:color w:val="auto"/>
          <w:sz w:val="28"/>
          <w:szCs w:val="28"/>
          <w:highlight w:val="none"/>
        </w:rPr>
        <w:t>30、 签订合同</w:t>
      </w:r>
    </w:p>
    <w:p w14:paraId="4C4F12DE">
      <w:pPr>
        <w:spacing w:line="480" w:lineRule="exact"/>
        <w:ind w:firstLine="600"/>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30</w:t>
      </w:r>
      <w:r>
        <w:rPr>
          <w:rFonts w:hint="eastAsia" w:ascii="仿宋" w:hAnsi="仿宋" w:eastAsia="仿宋" w:cs="仿宋"/>
          <w:color w:val="auto"/>
          <w:sz w:val="24"/>
          <w:szCs w:val="24"/>
          <w:highlight w:val="none"/>
        </w:rPr>
        <w:t>.l中标人应当在中标通知书发出之日起三十日内，按照招标文件确定的事项与采购人签订政府采购合同。</w:t>
      </w:r>
      <w:r>
        <w:rPr>
          <w:rFonts w:hint="eastAsia" w:ascii="仿宋" w:hAnsi="仿宋" w:eastAsia="仿宋" w:cs="仿宋"/>
          <w:b/>
          <w:bCs/>
          <w:color w:val="auto"/>
          <w:sz w:val="24"/>
          <w:szCs w:val="24"/>
          <w:highlight w:val="none"/>
        </w:rPr>
        <w:t>中标</w:t>
      </w:r>
      <w:r>
        <w:rPr>
          <w:rFonts w:hint="eastAsia" w:ascii="仿宋" w:hAnsi="仿宋" w:eastAsia="仿宋" w:cs="仿宋"/>
          <w:b/>
          <w:bCs/>
          <w:color w:val="auto"/>
          <w:sz w:val="24"/>
          <w:szCs w:val="24"/>
          <w:highlight w:val="none"/>
          <w:lang w:val="zh-CN"/>
        </w:rPr>
        <w:t>人应在中标结果公告之日起五个工作日内向</w:t>
      </w:r>
      <w:r>
        <w:rPr>
          <w:rFonts w:hint="eastAsia" w:ascii="仿宋" w:hAnsi="仿宋" w:eastAsia="仿宋" w:cs="仿宋"/>
          <w:b/>
          <w:bCs/>
          <w:color w:val="auto"/>
          <w:sz w:val="24"/>
          <w:szCs w:val="24"/>
          <w:highlight w:val="none"/>
        </w:rPr>
        <w:t>代理机构提供三份纸质版投标文件</w:t>
      </w:r>
      <w:r>
        <w:rPr>
          <w:rFonts w:hint="eastAsia" w:ascii="仿宋" w:hAnsi="仿宋" w:eastAsia="仿宋" w:cs="仿宋"/>
          <w:b/>
          <w:bCs/>
          <w:color w:val="auto"/>
          <w:sz w:val="24"/>
          <w:szCs w:val="24"/>
          <w:highlight w:val="none"/>
          <w:lang w:val="zh-CN"/>
        </w:rPr>
        <w:t>（须与上传电子档内容一致）</w:t>
      </w:r>
      <w:r>
        <w:rPr>
          <w:rFonts w:hint="eastAsia" w:ascii="仿宋" w:hAnsi="仿宋" w:eastAsia="仿宋" w:cs="仿宋"/>
          <w:b/>
          <w:bCs/>
          <w:color w:val="auto"/>
          <w:sz w:val="24"/>
          <w:szCs w:val="24"/>
          <w:highlight w:val="none"/>
        </w:rPr>
        <w:t>，否则不予签订合同。</w:t>
      </w:r>
    </w:p>
    <w:p w14:paraId="29743926">
      <w:pPr>
        <w:spacing w:line="480" w:lineRule="exact"/>
        <w:ind w:firstLine="6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30.2招标文件、中标人的投标文件及招标过程中有关澄清、承诺文件均应作为合同附件。</w:t>
      </w:r>
    </w:p>
    <w:p w14:paraId="66E4C63E">
      <w:pPr>
        <w:spacing w:line="480" w:lineRule="exact"/>
        <w:ind w:firstLine="6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30.3签订合同后，中标人不得将合同标的进行转包。未经采购人同意，中标人也不得采用分包的形式履行合同，否则采购人有权终止合同。转包造成采购人损失的，中标人应承担相应赔偿责任。</w:t>
      </w:r>
    </w:p>
    <w:p w14:paraId="028667CE">
      <w:pPr>
        <w:keepNext/>
        <w:keepLines/>
        <w:spacing w:line="400" w:lineRule="exact"/>
        <w:ind w:firstLine="422"/>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31、服务（包含与服务相关的货物）的追加、减少</w:t>
      </w:r>
    </w:p>
    <w:p w14:paraId="2EF75BDA">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B22CB09">
      <w:pPr>
        <w:spacing w:line="500" w:lineRule="exact"/>
        <w:ind w:firstLine="480"/>
        <w:rPr>
          <w:rFonts w:ascii="仿宋" w:hAnsi="仿宋" w:eastAsia="仿宋" w:cs="仿宋"/>
          <w:color w:val="auto"/>
          <w:highlight w:val="none"/>
        </w:rPr>
      </w:pPr>
      <w:r>
        <w:rPr>
          <w:rFonts w:hint="eastAsia" w:ascii="仿宋" w:hAnsi="仿宋" w:eastAsia="仿宋" w:cs="仿宋"/>
          <w:color w:val="auto"/>
          <w:sz w:val="24"/>
          <w:szCs w:val="24"/>
          <w:highlight w:val="none"/>
        </w:rPr>
        <w:t>31.2采购结束后，采购人若由于各种客观原因，必须对采购项目所牵涉的服务进行适当的减少时，在双方协商一致的前提下，可以按照招标采购时的价格水平做相应的调减，并据此签订补充合同。</w:t>
      </w:r>
      <w:bookmarkEnd w:id="173"/>
      <w:bookmarkEnd w:id="174"/>
      <w:bookmarkEnd w:id="175"/>
    </w:p>
    <w:p w14:paraId="7CF3F003">
      <w:pPr>
        <w:keepNext/>
        <w:keepLines/>
        <w:spacing w:line="400" w:lineRule="exact"/>
        <w:ind w:firstLine="422"/>
        <w:rPr>
          <w:rFonts w:ascii="仿宋" w:hAnsi="仿宋" w:eastAsia="仿宋" w:cs="仿宋"/>
          <w:b/>
          <w:bCs/>
          <w:color w:val="auto"/>
          <w:sz w:val="28"/>
          <w:szCs w:val="28"/>
          <w:highlight w:val="none"/>
        </w:rPr>
      </w:pPr>
      <w:bookmarkStart w:id="176" w:name="_Toc120614221"/>
      <w:bookmarkStart w:id="177" w:name="_Toc513029242"/>
      <w:bookmarkStart w:id="178" w:name="_Toc16938558"/>
      <w:bookmarkStart w:id="179" w:name="_Toc20823314"/>
      <w:bookmarkStart w:id="180" w:name="_Toc479757207"/>
      <w:r>
        <w:rPr>
          <w:rFonts w:hint="eastAsia" w:ascii="仿宋" w:hAnsi="仿宋" w:eastAsia="仿宋" w:cs="仿宋"/>
          <w:b/>
          <w:bCs/>
          <w:color w:val="auto"/>
          <w:sz w:val="28"/>
          <w:szCs w:val="28"/>
          <w:highlight w:val="none"/>
        </w:rPr>
        <w:t>32、政府采购履约资金扶持政策</w:t>
      </w:r>
    </w:p>
    <w:p w14:paraId="54F0CD7B">
      <w:pPr>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477B64BC">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32.2</w:t>
      </w:r>
      <w:r>
        <w:rPr>
          <w:rFonts w:hint="eastAsia" w:ascii="仿宋" w:hAnsi="仿宋" w:eastAsia="仿宋" w:cs="仿宋"/>
          <w:color w:val="auto"/>
          <w:sz w:val="24"/>
          <w:szCs w:val="24"/>
          <w:highlight w:val="none"/>
          <w:u w:val="none"/>
          <w:lang w:val="en-US" w:eastAsia="zh-CN"/>
        </w:rPr>
        <w:t>本项目</w:t>
      </w:r>
      <w:r>
        <w:rPr>
          <w:rFonts w:hint="eastAsia" w:ascii="仿宋" w:hAnsi="仿宋" w:eastAsia="仿宋" w:cs="仿宋"/>
          <w:color w:val="auto"/>
          <w:sz w:val="24"/>
          <w:szCs w:val="24"/>
          <w:highlight w:val="none"/>
          <w:u w:val="none"/>
        </w:rPr>
        <w:t>履约保证金</w:t>
      </w:r>
      <w:r>
        <w:rPr>
          <w:rFonts w:hint="eastAsia" w:ascii="仿宋" w:hAnsi="仿宋" w:eastAsia="仿宋" w:cs="仿宋"/>
          <w:color w:val="auto"/>
          <w:sz w:val="24"/>
          <w:szCs w:val="24"/>
          <w:highlight w:val="none"/>
          <w:u w:val="single"/>
          <w:lang w:val="en-US" w:eastAsia="zh-CN"/>
        </w:rPr>
        <w:t>贰拾万元</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1627ACCF">
      <w:pPr>
        <w:pStyle w:val="14"/>
        <w:rPr>
          <w:color w:val="auto"/>
          <w:highlight w:val="none"/>
        </w:rPr>
      </w:pPr>
    </w:p>
    <w:p w14:paraId="7209CA00">
      <w:pPr>
        <w:rPr>
          <w:color w:val="auto"/>
          <w:highlight w:val="none"/>
        </w:rPr>
      </w:pPr>
    </w:p>
    <w:p w14:paraId="6AAC2B55">
      <w:pPr>
        <w:pStyle w:val="14"/>
        <w:rPr>
          <w:color w:val="auto"/>
          <w:highlight w:val="none"/>
        </w:rPr>
      </w:pPr>
    </w:p>
    <w:p w14:paraId="4E98747F">
      <w:pPr>
        <w:rPr>
          <w:color w:val="auto"/>
          <w:highlight w:val="none"/>
        </w:rPr>
      </w:pPr>
    </w:p>
    <w:p w14:paraId="0830882C">
      <w:pPr>
        <w:pStyle w:val="14"/>
        <w:rPr>
          <w:color w:val="auto"/>
          <w:highlight w:val="none"/>
        </w:rPr>
      </w:pPr>
    </w:p>
    <w:p w14:paraId="34E42B08">
      <w:pPr>
        <w:rPr>
          <w:color w:val="auto"/>
          <w:highlight w:val="none"/>
        </w:rPr>
      </w:pPr>
    </w:p>
    <w:p w14:paraId="730ECA74">
      <w:pPr>
        <w:rPr>
          <w:color w:val="auto"/>
          <w:highlight w:val="none"/>
        </w:rPr>
      </w:pPr>
    </w:p>
    <w:p w14:paraId="1461BA96">
      <w:pPr>
        <w:pStyle w:val="14"/>
        <w:rPr>
          <w:color w:val="auto"/>
          <w:highlight w:val="none"/>
        </w:rPr>
      </w:pPr>
    </w:p>
    <w:p w14:paraId="5E8D6F56">
      <w:pPr>
        <w:rPr>
          <w:color w:val="auto"/>
          <w:highlight w:val="none"/>
        </w:rPr>
      </w:pPr>
    </w:p>
    <w:p w14:paraId="0D2CE5F3">
      <w:pPr>
        <w:pStyle w:val="14"/>
        <w:rPr>
          <w:color w:val="auto"/>
          <w:highlight w:val="none"/>
        </w:rPr>
      </w:pPr>
    </w:p>
    <w:p w14:paraId="49F938CF">
      <w:pPr>
        <w:rPr>
          <w:color w:val="auto"/>
          <w:highlight w:val="none"/>
        </w:rPr>
      </w:pPr>
    </w:p>
    <w:p w14:paraId="269371C9">
      <w:pPr>
        <w:pStyle w:val="14"/>
        <w:rPr>
          <w:color w:val="auto"/>
          <w:highlight w:val="none"/>
        </w:rPr>
      </w:pPr>
    </w:p>
    <w:p w14:paraId="40B430CB">
      <w:pPr>
        <w:rPr>
          <w:color w:val="auto"/>
          <w:highlight w:val="none"/>
        </w:rPr>
      </w:pPr>
    </w:p>
    <w:p w14:paraId="644A822C">
      <w:pPr>
        <w:pStyle w:val="14"/>
        <w:rPr>
          <w:color w:val="auto"/>
          <w:highlight w:val="none"/>
        </w:rPr>
      </w:pPr>
    </w:p>
    <w:p w14:paraId="69CE3494">
      <w:pPr>
        <w:rPr>
          <w:color w:val="auto"/>
          <w:highlight w:val="none"/>
        </w:rPr>
      </w:pPr>
    </w:p>
    <w:bookmarkEnd w:id="176"/>
    <w:bookmarkEnd w:id="177"/>
    <w:bookmarkEnd w:id="178"/>
    <w:bookmarkEnd w:id="179"/>
    <w:bookmarkEnd w:id="180"/>
    <w:p w14:paraId="5F00A864">
      <w:pPr>
        <w:rPr>
          <w:rFonts w:ascii="仿宋" w:hAnsi="仿宋" w:eastAsia="仿宋" w:cs="仿宋"/>
          <w:b/>
          <w:color w:val="auto"/>
          <w:sz w:val="44"/>
          <w:highlight w:val="none"/>
        </w:rPr>
      </w:pPr>
    </w:p>
    <w:p w14:paraId="3D602941">
      <w:pPr>
        <w:pStyle w:val="19"/>
        <w:spacing w:before="120" w:after="120" w:line="0" w:lineRule="atLeast"/>
        <w:outlineLvl w:val="0"/>
        <w:rPr>
          <w:rFonts w:ascii="仿宋" w:hAnsi="仿宋" w:eastAsia="仿宋" w:cs="仿宋"/>
          <w:b/>
          <w:color w:val="auto"/>
          <w:sz w:val="44"/>
          <w:highlight w:val="none"/>
        </w:rPr>
      </w:pPr>
      <w:bookmarkStart w:id="181" w:name="_Toc120614244"/>
      <w:bookmarkStart w:id="182" w:name="_Toc16938590"/>
      <w:bookmarkStart w:id="183" w:name="_Toc20823346"/>
      <w:bookmarkStart w:id="184" w:name="_Toc479757211"/>
      <w:bookmarkStart w:id="185" w:name="_Toc462564139"/>
    </w:p>
    <w:p w14:paraId="55BE927B">
      <w:pPr>
        <w:pStyle w:val="19"/>
        <w:spacing w:before="120" w:after="120" w:line="0" w:lineRule="atLeast"/>
        <w:ind w:firstLine="2650"/>
        <w:outlineLvl w:val="0"/>
        <w:rPr>
          <w:rFonts w:ascii="仿宋" w:hAnsi="仿宋" w:eastAsia="仿宋" w:cs="仿宋"/>
          <w:b/>
          <w:color w:val="auto"/>
          <w:sz w:val="44"/>
          <w:highlight w:val="none"/>
        </w:rPr>
        <w:sectPr>
          <w:footerReference r:id="rId5" w:type="default"/>
          <w:pgSz w:w="11906" w:h="16838"/>
          <w:pgMar w:top="1418" w:right="1588" w:bottom="1418" w:left="1365" w:header="851" w:footer="907" w:gutter="0"/>
          <w:pgBorders>
            <w:top w:val="none" w:sz="0" w:space="0"/>
            <w:left w:val="none" w:sz="0" w:space="0"/>
            <w:bottom w:val="none" w:sz="0" w:space="0"/>
            <w:right w:val="none" w:sz="0" w:space="0"/>
          </w:pgBorders>
          <w:pgNumType w:start="1"/>
          <w:cols w:space="720" w:num="1"/>
          <w:docGrid w:linePitch="360" w:charSpace="0"/>
        </w:sectPr>
      </w:pPr>
    </w:p>
    <w:p w14:paraId="3971ECAA">
      <w:pPr>
        <w:pStyle w:val="19"/>
        <w:spacing w:before="120" w:after="120" w:line="0" w:lineRule="atLeast"/>
        <w:ind w:firstLine="2650"/>
        <w:outlineLvl w:val="0"/>
        <w:rPr>
          <w:rFonts w:ascii="仿宋" w:hAnsi="仿宋" w:eastAsia="仿宋" w:cs="仿宋"/>
          <w:b/>
          <w:color w:val="auto"/>
          <w:sz w:val="44"/>
          <w:highlight w:val="none"/>
        </w:rPr>
      </w:pPr>
      <w:bookmarkStart w:id="186" w:name="_Toc186493269"/>
      <w:r>
        <w:rPr>
          <w:rFonts w:hint="eastAsia" w:ascii="仿宋" w:hAnsi="仿宋" w:eastAsia="仿宋" w:cs="仿宋"/>
          <w:b/>
          <w:color w:val="auto"/>
          <w:sz w:val="44"/>
          <w:highlight w:val="none"/>
        </w:rPr>
        <w:t>第三章 采购需求</w:t>
      </w:r>
      <w:bookmarkEnd w:id="181"/>
      <w:bookmarkEnd w:id="182"/>
      <w:bookmarkEnd w:id="183"/>
      <w:bookmarkEnd w:id="186"/>
    </w:p>
    <w:p w14:paraId="7155CEB8">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szCs w:val="24"/>
          <w:highlight w:val="none"/>
        </w:rPr>
      </w:pPr>
      <w:bookmarkStart w:id="187" w:name="_Toc26554093"/>
      <w:bookmarkStart w:id="188" w:name="_Toc120614281"/>
      <w:bookmarkStart w:id="189" w:name="_Toc49090575"/>
      <w:r>
        <w:rPr>
          <w:rFonts w:hint="eastAsia" w:ascii="仿宋" w:hAnsi="仿宋" w:eastAsia="仿宋" w:cs="仿宋"/>
          <w:b/>
          <w:bCs/>
          <w:color w:val="auto"/>
          <w:sz w:val="24"/>
          <w:szCs w:val="24"/>
          <w:highlight w:val="none"/>
        </w:rPr>
        <w:t>一、项目</w:t>
      </w:r>
      <w:r>
        <w:rPr>
          <w:rFonts w:hint="eastAsia" w:ascii="仿宋" w:hAnsi="仿宋" w:eastAsia="仿宋" w:cs="仿宋"/>
          <w:b/>
          <w:bCs/>
          <w:color w:val="auto"/>
          <w:sz w:val="24"/>
          <w:szCs w:val="24"/>
          <w:highlight w:val="none"/>
          <w:lang w:val="en-US" w:eastAsia="zh-CN"/>
        </w:rPr>
        <w:t>内容及管护要求</w:t>
      </w:r>
    </w:p>
    <w:p w14:paraId="448A3291">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（一）生活垃圾收运处置【</w:t>
      </w:r>
      <w:r>
        <w:rPr>
          <w:rFonts w:hint="eastAsia" w:ascii="仿宋" w:hAnsi="仿宋" w:eastAsia="仿宋" w:cs="仿宋"/>
          <w:b/>
          <w:bCs/>
          <w:color w:val="auto"/>
          <w:sz w:val="24"/>
          <w:szCs w:val="24"/>
          <w:highlight w:val="none"/>
          <w:lang w:val="en-US" w:eastAsia="zh-CN"/>
        </w:rPr>
        <w:t>包含入户收运（其他垃圾转运处置、厨余垃圾收运处置、可回收物及有害垃圾收运）、垃圾中转房管理保洁、湿垃圾处置中心管理保洁等</w:t>
      </w:r>
      <w:r>
        <w:rPr>
          <w:rFonts w:hint="eastAsia" w:ascii="仿宋" w:hAnsi="仿宋" w:eastAsia="仿宋" w:cs="仿宋"/>
          <w:b/>
          <w:bCs/>
          <w:color w:val="auto"/>
          <w:sz w:val="24"/>
          <w:szCs w:val="24"/>
          <w:highlight w:val="none"/>
          <w:lang w:eastAsia="zh-CN"/>
        </w:rPr>
        <w:t>】</w:t>
      </w:r>
    </w:p>
    <w:p w14:paraId="11C314E4">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垃圾收集清运</w:t>
      </w:r>
      <w:r>
        <w:rPr>
          <w:rFonts w:hint="eastAsia" w:ascii="仿宋" w:hAnsi="仿宋" w:eastAsia="仿宋" w:cs="仿宋"/>
          <w:color w:val="auto"/>
          <w:sz w:val="24"/>
          <w:szCs w:val="24"/>
          <w:highlight w:val="none"/>
        </w:rPr>
        <w:t>管护</w:t>
      </w:r>
      <w:r>
        <w:rPr>
          <w:rFonts w:hint="eastAsia" w:ascii="仿宋" w:hAnsi="仿宋" w:eastAsia="仿宋" w:cs="仿宋"/>
          <w:color w:val="auto"/>
          <w:sz w:val="24"/>
          <w:szCs w:val="24"/>
          <w:highlight w:val="none"/>
          <w:lang w:eastAsia="zh-CN"/>
        </w:rPr>
        <w:t>范围</w:t>
      </w:r>
    </w:p>
    <w:p w14:paraId="0622F154">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按照《江苏省城市生活垃圾分类设施设备配置和维护指南》、《南通市农村生活垃圾分类设施设置规范》和《如东县农村生活垃圾分类、收运处置及设施管护考核办法（试行）》的要求，负责街道区域内七个行政村的所有常住户、企事业单位、商店、超市、政府、学校及范堤社区部分区域所产生的生活垃圾收集清运。</w:t>
      </w:r>
    </w:p>
    <w:p w14:paraId="25641598">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2.垃圾清运管护要求</w:t>
      </w:r>
    </w:p>
    <w:p w14:paraId="7411D694">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积极做好生活垃圾分类工作，按垃圾分类要求分别收运处置。及时入户分类收运生活垃圾清运至各村垃圾中转房，做到日产日清无积存，同时做好农户周边垃圾捡拾及抛弃的沙发、家具等杂物的收运处置工作。</w:t>
      </w:r>
    </w:p>
    <w:p w14:paraId="19B511E0">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及时分类转运中转房垃圾进行无害化处置（其他垃圾送电厂或以其它方式进行处置，易腐垃圾送街道湿垃圾处置中心处置，有害垃圾和可回收物统一归集），做到日产日清无积存；做好中转房内及周边环境的卫生保洁，中转房每月定期（5、15、25号）进行卫生消杀，及时处置污水，保持中转房垃圾设施完好、环境整洁；做好街道易腐垃圾处置中心的正常运行和卫生消杀及污水处置；无人为焚烧垃圾行为。</w:t>
      </w:r>
    </w:p>
    <w:p w14:paraId="6F1C10E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（3）垃圾收运过程中，确保无飘洒散落垃圾及污水外流。</w:t>
      </w:r>
    </w:p>
    <w:p w14:paraId="648B6A5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（4）可回收物、有害垃圾收运至中转房统一处置。</w:t>
      </w:r>
    </w:p>
    <w:p w14:paraId="1EC39011">
      <w:pPr>
        <w:keepNext w:val="0"/>
        <w:keepLines w:val="0"/>
        <w:pageBreakBefore w:val="0"/>
        <w:widowControl w:val="0"/>
        <w:kinsoku/>
        <w:wordWrap/>
        <w:overflowPunct/>
        <w:topLinePunct w:val="0"/>
        <w:autoSpaceDE/>
        <w:autoSpaceDN/>
        <w:bidi w:val="0"/>
        <w:snapToGrid/>
        <w:spacing w:line="360" w:lineRule="auto"/>
        <w:ind w:left="479" w:leftChars="228"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（5）工业垃圾由乙方根据相关收费标准与企业自行协商进行收集，街道与所在村予以配合。 </w:t>
      </w:r>
    </w:p>
    <w:p w14:paraId="074C902A">
      <w:pPr>
        <w:pStyle w:val="35"/>
        <w:keepNext w:val="0"/>
        <w:keepLines w:val="0"/>
        <w:pageBreakBefore w:val="0"/>
        <w:widowControl w:val="0"/>
        <w:kinsoku/>
        <w:wordWrap/>
        <w:overflowPunct/>
        <w:topLinePunct w:val="0"/>
        <w:autoSpaceDE/>
        <w:autoSpaceDN/>
        <w:bidi w:val="0"/>
        <w:snapToGrid/>
        <w:spacing w:line="360" w:lineRule="auto"/>
        <w:ind w:left="0" w:leftChars="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（注:其他垃圾、</w:t>
      </w:r>
      <w:r>
        <w:rPr>
          <w:rFonts w:hint="eastAsia" w:ascii="仿宋" w:hAnsi="仿宋" w:eastAsia="仿宋" w:cs="仿宋"/>
          <w:strike w:val="0"/>
          <w:dstrike w:val="0"/>
          <w:color w:val="auto"/>
          <w:sz w:val="24"/>
          <w:szCs w:val="24"/>
          <w:highlight w:val="none"/>
          <w:lang w:val="en-US" w:eastAsia="zh-CN"/>
        </w:rPr>
        <w:t>可回收物、有害垃圾</w:t>
      </w:r>
      <w:r>
        <w:rPr>
          <w:rFonts w:hint="eastAsia" w:ascii="仿宋" w:hAnsi="仿宋" w:eastAsia="仿宋" w:cs="仿宋"/>
          <w:color w:val="auto"/>
          <w:sz w:val="24"/>
          <w:szCs w:val="24"/>
          <w:highlight w:val="none"/>
          <w:lang w:val="en-US" w:eastAsia="zh-CN"/>
        </w:rPr>
        <w:t>转运处置总量约9000吨/年，易腐垃圾处置总量约720吨/年，总量包干，费用不予调整</w:t>
      </w:r>
      <w:r>
        <w:rPr>
          <w:rFonts w:hint="eastAsia" w:ascii="仿宋" w:hAnsi="仿宋" w:eastAsia="仿宋" w:cs="仿宋"/>
          <w:b/>
          <w:bCs/>
          <w:i w:val="0"/>
          <w:iCs w:val="0"/>
          <w:color w:val="auto"/>
          <w:sz w:val="24"/>
          <w:szCs w:val="24"/>
          <w:highlight w:val="none"/>
          <w:u w:val="none"/>
          <w:lang w:val="en-US" w:eastAsia="zh-CN"/>
        </w:rPr>
        <w:t>。</w:t>
      </w:r>
      <w:r>
        <w:rPr>
          <w:rFonts w:hint="eastAsia" w:ascii="仿宋" w:hAnsi="仿宋" w:eastAsia="仿宋" w:cs="仿宋"/>
          <w:color w:val="auto"/>
          <w:sz w:val="24"/>
          <w:szCs w:val="24"/>
          <w:highlight w:val="none"/>
          <w:lang w:val="en-US" w:eastAsia="zh-CN"/>
        </w:rPr>
        <w:t>）</w:t>
      </w:r>
    </w:p>
    <w:p w14:paraId="4CE8111F">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（二）河道（含河道绿化）管护内容及要求</w:t>
      </w:r>
    </w:p>
    <w:p w14:paraId="7D615DF9">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街道区域范围内一、二级河共16.65公里；三级河共56.53公里；四级河共70.7公里；（其中河道草坪坡20.21公里）。</w:t>
      </w:r>
    </w:p>
    <w:p w14:paraId="3FDC3C49">
      <w:pPr>
        <w:keepNext w:val="0"/>
        <w:keepLines w:val="0"/>
        <w:pageBreakBefore w:val="0"/>
        <w:widowControl w:val="0"/>
        <w:kinsoku/>
        <w:wordWrap/>
        <w:overflowPunct/>
        <w:topLinePunct w:val="0"/>
        <w:autoSpaceDE/>
        <w:autoSpaceDN/>
        <w:bidi w:val="0"/>
        <w:adjustRightInd w:val="0"/>
        <w:snapToGrid/>
        <w:spacing w:after="0"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1.一、二级河管护要求（县管）</w:t>
      </w:r>
    </w:p>
    <w:p w14:paraId="53A5325E">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（1）河坡农作物秸杆等堆积物清理；河坡高草、加拿大一枝黄花清除；配合村对河坡种植的农作物进行处置。</w:t>
      </w:r>
    </w:p>
    <w:p w14:paraId="6FE725EA">
      <w:pPr>
        <w:keepNext w:val="0"/>
        <w:keepLines w:val="0"/>
        <w:pageBreakBefore w:val="0"/>
        <w:widowControl w:val="0"/>
        <w:kinsoku/>
        <w:wordWrap/>
        <w:overflowPunct/>
        <w:topLinePunct w:val="0"/>
        <w:autoSpaceDE/>
        <w:autoSpaceDN/>
        <w:bidi w:val="0"/>
        <w:adjustRightInd w:val="0"/>
        <w:snapToGrid/>
        <w:spacing w:after="0" w:line="360" w:lineRule="auto"/>
        <w:ind w:firstLine="482"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2.三、四级河管护要求</w:t>
      </w:r>
    </w:p>
    <w:p w14:paraId="0C05906E">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三、四级河道按要求长效保洁，做到水面无漂浮垃圾，无水花生/水浮萍/游丝草/水葫芦/大面积青苔等不良水生植物，无农作物秸杆飘浮；及时清理处置河坡堆积的零星杂物、建筑装潢垃圾、农作物秸杆、瓜豆类蔓藤、散失垃圾及</w:t>
      </w:r>
      <w:r>
        <w:rPr>
          <w:rFonts w:hint="eastAsia" w:ascii="仿宋" w:hAnsi="仿宋" w:eastAsia="仿宋" w:cs="仿宋"/>
          <w:color w:val="auto"/>
          <w:sz w:val="24"/>
          <w:szCs w:val="24"/>
          <w:highlight w:val="none"/>
          <w:lang w:val="en-US" w:eastAsia="zh-CN"/>
        </w:rPr>
        <w:t>加拿大一枝黄花</w:t>
      </w:r>
      <w:r>
        <w:rPr>
          <w:rFonts w:hint="eastAsia" w:ascii="仿宋" w:hAnsi="仿宋" w:eastAsia="仿宋" w:cs="仿宋"/>
          <w:b w:val="0"/>
          <w:bCs w:val="0"/>
          <w:color w:val="auto"/>
          <w:sz w:val="24"/>
          <w:szCs w:val="24"/>
          <w:highlight w:val="none"/>
          <w:lang w:val="en-US" w:eastAsia="zh-CN"/>
        </w:rPr>
        <w:t>等；配合村对河坡种植的农作物进行处置。</w:t>
      </w:r>
    </w:p>
    <w:p w14:paraId="42CEFD24">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（2）清除清运河道枯萎芦苇、芦竹、茭白、杂树等高草，并自行处置到位；河道绿化、草坪坡管护。</w:t>
      </w:r>
    </w:p>
    <w:p w14:paraId="0DD9C91D">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（3）及时向村、街道反馈畜禽粪污、工业污水直排及黑臭水体信息。</w:t>
      </w:r>
    </w:p>
    <w:p w14:paraId="3A942CE8">
      <w:pPr>
        <w:keepNext w:val="0"/>
        <w:keepLines w:val="0"/>
        <w:pageBreakBefore w:val="0"/>
        <w:widowControl w:val="0"/>
        <w:kinsoku/>
        <w:wordWrap/>
        <w:overflowPunct/>
        <w:topLinePunct w:val="0"/>
        <w:autoSpaceDE/>
        <w:autoSpaceDN/>
        <w:bidi w:val="0"/>
        <w:adjustRightInd w:val="0"/>
        <w:snapToGrid/>
        <w:spacing w:after="0" w:line="360" w:lineRule="auto"/>
        <w:ind w:firstLine="48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3.沟塘管护要求</w:t>
      </w:r>
    </w:p>
    <w:p w14:paraId="0D3AA895">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乡村公路两侧顺路沟塘按三、四级河道日常保洁要求进行长效管护;其它沿路沟塘做到视野范围内散失生活垃圾及时捡拾。</w:t>
      </w:r>
    </w:p>
    <w:p w14:paraId="7B10639F">
      <w:pPr>
        <w:keepNext w:val="0"/>
        <w:keepLines w:val="0"/>
        <w:pageBreakBefore w:val="0"/>
        <w:widowControl w:val="0"/>
        <w:kinsoku/>
        <w:wordWrap/>
        <w:overflowPunct/>
        <w:topLinePunct w:val="0"/>
        <w:autoSpaceDE/>
        <w:autoSpaceDN/>
        <w:bidi w:val="0"/>
        <w:adjustRightInd w:val="0"/>
        <w:snapToGrid/>
        <w:spacing w:after="0"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4.河道绿化管护要求</w:t>
      </w:r>
    </w:p>
    <w:p w14:paraId="2551ADD5">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（1）河道两侧绿化树木不定期进行修剪，及时扶正倒伏、倾斜的树木；及时清除树上攀爬蔓藤、杂树、枯死树木，</w:t>
      </w:r>
      <w:r>
        <w:rPr>
          <w:rFonts w:hint="eastAsia" w:ascii="仿宋" w:hAnsi="仿宋" w:eastAsia="仿宋" w:cs="仿宋"/>
          <w:color w:val="auto"/>
          <w:sz w:val="24"/>
          <w:szCs w:val="24"/>
          <w:highlight w:val="none"/>
          <w:lang w:val="en-US" w:eastAsia="zh-CN"/>
        </w:rPr>
        <w:t>不得留置河道、道路、桥梁</w:t>
      </w:r>
      <w:r>
        <w:rPr>
          <w:rFonts w:hint="eastAsia" w:ascii="仿宋" w:hAnsi="仿宋" w:eastAsia="仿宋" w:cs="仿宋"/>
          <w:b w:val="0"/>
          <w:bCs w:val="0"/>
          <w:color w:val="auto"/>
          <w:sz w:val="24"/>
          <w:szCs w:val="24"/>
          <w:highlight w:val="none"/>
          <w:lang w:val="en-US" w:eastAsia="zh-CN"/>
        </w:rPr>
        <w:t>及</w:t>
      </w:r>
      <w:r>
        <w:rPr>
          <w:rFonts w:hint="eastAsia" w:ascii="仿宋" w:hAnsi="仿宋" w:eastAsia="仿宋" w:cs="仿宋"/>
          <w:color w:val="auto"/>
          <w:sz w:val="24"/>
          <w:szCs w:val="24"/>
          <w:highlight w:val="none"/>
          <w:lang w:val="en-US" w:eastAsia="zh-CN"/>
        </w:rPr>
        <w:t>水下范围</w:t>
      </w:r>
      <w:r>
        <w:rPr>
          <w:rFonts w:hint="eastAsia" w:ascii="仿宋" w:hAnsi="仿宋" w:eastAsia="仿宋" w:cs="仿宋"/>
          <w:b w:val="0"/>
          <w:bCs w:val="0"/>
          <w:color w:val="auto"/>
          <w:sz w:val="24"/>
          <w:szCs w:val="24"/>
          <w:highlight w:val="none"/>
          <w:lang w:val="en-US" w:eastAsia="zh-CN"/>
        </w:rPr>
        <w:t>。</w:t>
      </w:r>
    </w:p>
    <w:p w14:paraId="6F05B62C">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（2）及时</w:t>
      </w:r>
      <w:r>
        <w:rPr>
          <w:rFonts w:hint="eastAsia" w:ascii="仿宋" w:hAnsi="仿宋" w:eastAsia="仿宋" w:cs="仿宋"/>
          <w:color w:val="auto"/>
          <w:sz w:val="24"/>
          <w:szCs w:val="24"/>
          <w:highlight w:val="none"/>
          <w:lang w:val="en-US" w:eastAsia="zh-CN"/>
        </w:rPr>
        <w:t>拔除密栽色带苗木</w:t>
      </w:r>
      <w:r>
        <w:rPr>
          <w:rFonts w:hint="eastAsia" w:ascii="仿宋" w:hAnsi="仿宋" w:eastAsia="仿宋" w:cs="仿宋"/>
          <w:b w:val="0"/>
          <w:bCs w:val="0"/>
          <w:color w:val="auto"/>
          <w:sz w:val="24"/>
          <w:szCs w:val="24"/>
          <w:highlight w:val="none"/>
          <w:lang w:val="en-US" w:eastAsia="zh-CN"/>
        </w:rPr>
        <w:t>及</w:t>
      </w:r>
      <w:r>
        <w:rPr>
          <w:rFonts w:hint="eastAsia" w:ascii="仿宋" w:hAnsi="仿宋" w:eastAsia="仿宋" w:cs="仿宋"/>
          <w:color w:val="auto"/>
          <w:sz w:val="24"/>
          <w:szCs w:val="24"/>
          <w:highlight w:val="none"/>
          <w:lang w:val="en-US" w:eastAsia="zh-CN"/>
        </w:rPr>
        <w:t>草</w:t>
      </w:r>
      <w:r>
        <w:rPr>
          <w:rFonts w:hint="eastAsia" w:ascii="仿宋" w:hAnsi="仿宋" w:eastAsia="仿宋" w:cs="仿宋"/>
          <w:b w:val="0"/>
          <w:bCs w:val="0"/>
          <w:color w:val="auto"/>
          <w:sz w:val="24"/>
          <w:szCs w:val="24"/>
          <w:highlight w:val="none"/>
          <w:lang w:val="en-US" w:eastAsia="zh-CN"/>
        </w:rPr>
        <w:t>坪</w:t>
      </w:r>
      <w:r>
        <w:rPr>
          <w:rFonts w:hint="eastAsia" w:ascii="仿宋" w:hAnsi="仿宋" w:eastAsia="仿宋" w:cs="仿宋"/>
          <w:color w:val="auto"/>
          <w:sz w:val="24"/>
          <w:szCs w:val="24"/>
          <w:highlight w:val="none"/>
          <w:lang w:val="en-US" w:eastAsia="zh-CN"/>
        </w:rPr>
        <w:t>内杂草、</w:t>
      </w:r>
      <w:r>
        <w:rPr>
          <w:rFonts w:hint="eastAsia" w:ascii="仿宋" w:hAnsi="仿宋" w:eastAsia="仿宋" w:cs="仿宋"/>
          <w:b w:val="0"/>
          <w:bCs w:val="0"/>
          <w:color w:val="auto"/>
          <w:sz w:val="24"/>
          <w:szCs w:val="24"/>
          <w:highlight w:val="none"/>
          <w:lang w:val="en-US" w:eastAsia="zh-CN"/>
        </w:rPr>
        <w:t>芦竹</w:t>
      </w:r>
      <w:r>
        <w:rPr>
          <w:rFonts w:hint="eastAsia" w:ascii="仿宋" w:hAnsi="仿宋" w:eastAsia="仿宋" w:cs="仿宋"/>
          <w:color w:val="auto"/>
          <w:sz w:val="24"/>
          <w:szCs w:val="24"/>
          <w:highlight w:val="none"/>
          <w:lang w:val="en-US" w:eastAsia="zh-CN"/>
        </w:rPr>
        <w:t>、芦苇等；定期对草</w:t>
      </w:r>
      <w:r>
        <w:rPr>
          <w:rFonts w:hint="eastAsia" w:ascii="仿宋" w:hAnsi="仿宋" w:eastAsia="仿宋" w:cs="仿宋"/>
          <w:b w:val="0"/>
          <w:bCs w:val="0"/>
          <w:color w:val="auto"/>
          <w:sz w:val="24"/>
          <w:szCs w:val="24"/>
          <w:highlight w:val="none"/>
          <w:lang w:val="en-US" w:eastAsia="zh-CN"/>
        </w:rPr>
        <w:t>坪</w:t>
      </w:r>
      <w:r>
        <w:rPr>
          <w:rFonts w:hint="eastAsia" w:ascii="仿宋" w:hAnsi="仿宋" w:eastAsia="仿宋" w:cs="仿宋"/>
          <w:color w:val="auto"/>
          <w:sz w:val="24"/>
          <w:szCs w:val="24"/>
          <w:highlight w:val="none"/>
          <w:lang w:val="en-US" w:eastAsia="zh-CN"/>
        </w:rPr>
        <w:t>割草（保持不高于15厘米，严禁喷洒除草剂），杂草不得留置河道、道路、桥梁</w:t>
      </w:r>
      <w:r>
        <w:rPr>
          <w:rFonts w:hint="eastAsia" w:ascii="仿宋" w:hAnsi="仿宋" w:eastAsia="仿宋" w:cs="仿宋"/>
          <w:b w:val="0"/>
          <w:bCs w:val="0"/>
          <w:color w:val="auto"/>
          <w:sz w:val="24"/>
          <w:szCs w:val="24"/>
          <w:highlight w:val="none"/>
          <w:lang w:val="en-US" w:eastAsia="zh-CN"/>
        </w:rPr>
        <w:t>及</w:t>
      </w:r>
      <w:r>
        <w:rPr>
          <w:rFonts w:hint="eastAsia" w:ascii="仿宋" w:hAnsi="仿宋" w:eastAsia="仿宋" w:cs="仿宋"/>
          <w:color w:val="auto"/>
          <w:sz w:val="24"/>
          <w:szCs w:val="24"/>
          <w:highlight w:val="none"/>
          <w:lang w:val="en-US" w:eastAsia="zh-CN"/>
        </w:rPr>
        <w:t>水下范围</w:t>
      </w:r>
    </w:p>
    <w:p w14:paraId="6939CBB0">
      <w:pPr>
        <w:keepNext w:val="0"/>
        <w:keepLines w:val="0"/>
        <w:pageBreakBefore w:val="0"/>
        <w:widowControl w:val="0"/>
        <w:kinsoku/>
        <w:wordWrap/>
        <w:overflowPunct/>
        <w:topLinePunct w:val="0"/>
        <w:autoSpaceDE/>
        <w:autoSpaceDN/>
        <w:bidi w:val="0"/>
        <w:adjustRightInd w:val="0"/>
        <w:snapToGrid/>
        <w:spacing w:after="0" w:line="360" w:lineRule="auto"/>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（注：先进行全域预算，按年度对河道、沟塘整治工程质保期内的工程量进行服务费核减）。</w:t>
      </w:r>
    </w:p>
    <w:p w14:paraId="3B187B85">
      <w:pPr>
        <w:keepNext w:val="0"/>
        <w:keepLines w:val="0"/>
        <w:pageBreakBefore w:val="0"/>
        <w:widowControl w:val="0"/>
        <w:kinsoku/>
        <w:wordWrap/>
        <w:overflowPunct/>
        <w:topLinePunct w:val="0"/>
        <w:autoSpaceDE/>
        <w:autoSpaceDN/>
        <w:bidi w:val="0"/>
        <w:adjustRightInd w:val="0"/>
        <w:snapToGrid/>
        <w:spacing w:after="0"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（三）农村道路（含桥梁）及绿化管护要求</w:t>
      </w:r>
    </w:p>
    <w:p w14:paraId="76491EF5">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全街道目前共有道路396.918公里（其中县道27.71公里，乡村公路99.528公里，村组道路269.68公里）。</w:t>
      </w:r>
    </w:p>
    <w:p w14:paraId="4C4D53A3">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（1）县道路边及路边沟塘垃圾捡拾、农作物秸杆等堆积杂物清理、路两侧加拿大一枝黄花清除（包含掘坎路两侧行道树管护）。</w:t>
      </w:r>
    </w:p>
    <w:p w14:paraId="6FA31425">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（2）农村道路保持清洁，农路两侧视野范围内无散失生活垃圾,清理处置路边、路边沟塘堆积的零星杂物、农作物秸杆、瓜豆类蔓藤等；道路边线清晰，无泥土、杂物等占路覆盖。</w:t>
      </w:r>
    </w:p>
    <w:p w14:paraId="34ABB316">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（3）雨后路面积水及时排放，路肩雨淋漕沟及时培土修复（1㎡内）。</w:t>
      </w:r>
    </w:p>
    <w:p w14:paraId="1F304055">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合理安排农村道路路肩(坡)割草频率，乡村公路每年不少于10次，村组道路每年不少于7次，保证路肩(坡)无15cm以上高草现象，路坡割至路田分界沟或路田分界处，割草后的路面及时保洁；及时清除道路两侧的加拿大一枝黄花；配合村对道路路肩、边坡种植的农作物进行处置；道路两侧绿化树木不定期进行修剪，及时扶正倒伏、倾斜树木，及时清除树上攀爬蔓藤、杂树、枯死树木，对影响视线和遮挡示警标志的树木要随时修剪,乡村公路树木一年一次病虫害（刷白）防治。</w:t>
      </w:r>
    </w:p>
    <w:p w14:paraId="17EB556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（5）及时扶正倒伏、倾斜的示警标志、标识等；及时清除路边两侧电线杆、路(桥)护拦、车口房、公示牌等可视范围内悬挂、张贴的小广告及攀爬蔓藤。如发现示警设施缺少或损坏及时向甲方报告。</w:t>
      </w:r>
    </w:p>
    <w:p w14:paraId="70090645">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（6）桥梁保持清洁，无散失垃圾、泥沙等，及时清除桥头两侧影响视线的高杆植物，桥面泄水孔保持畅通，伸缩缝无堵塞物；桥下零星杂物及时清理。           （注：先进行全域预算，按年度对道路整治工程质保期内的工程量进行服务费核减）。</w:t>
      </w:r>
    </w:p>
    <w:p w14:paraId="04EDBDF6">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（四）农作物秸杆及建筑垃圾清运处置</w:t>
      </w:r>
    </w:p>
    <w:p w14:paraId="64B8E0C8">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城中街道七个行政村区域内，夏秋两季各村所有定点位置的农作物秸杆及一年四季瓜、豆类蔓藤和建筑垃圾等及时清理，由乙方进行无害化处置。</w:t>
      </w:r>
    </w:p>
    <w:p w14:paraId="6A9DDB93">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（五）积分制平台运行</w:t>
      </w:r>
    </w:p>
    <w:p w14:paraId="706FFEE2">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农村人居环境卫生、垃圾分类等各项积分统计，具体运行要求根据甲方考核细则执行。</w:t>
      </w:r>
    </w:p>
    <w:p w14:paraId="4138D3B9">
      <w:pPr>
        <w:pStyle w:val="35"/>
        <w:keepNext w:val="0"/>
        <w:keepLines w:val="0"/>
        <w:pageBreakBefore w:val="0"/>
        <w:widowControl w:val="0"/>
        <w:numPr>
          <w:ilvl w:val="0"/>
          <w:numId w:val="0"/>
        </w:numPr>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（六）其他要求</w:t>
      </w:r>
    </w:p>
    <w:p w14:paraId="4D492F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1.突发公共事件、灾害性天气等情形的应急处置、环卫信访件处置。</w:t>
      </w:r>
    </w:p>
    <w:p w14:paraId="50737B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2.重大活动环境卫生保障。</w:t>
      </w:r>
    </w:p>
    <w:p w14:paraId="4D139F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3.村部周边、公厕、园林景观、泵站及渠道等公共区域的卫生保洁、绿化管护。</w:t>
      </w:r>
    </w:p>
    <w:p w14:paraId="2B629756">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二</w:t>
      </w:r>
      <w:r>
        <w:rPr>
          <w:rFonts w:hint="eastAsia" w:ascii="仿宋" w:hAnsi="仿宋" w:eastAsia="仿宋" w:cs="仿宋"/>
          <w:b/>
          <w:bCs/>
          <w:color w:val="auto"/>
          <w:sz w:val="24"/>
          <w:highlight w:val="none"/>
        </w:rPr>
        <w:t>、管护人员、设备配备与使用</w:t>
      </w:r>
    </w:p>
    <w:p w14:paraId="36587827">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（一）管护人员配备</w:t>
      </w:r>
    </w:p>
    <w:p w14:paraId="4E0235E1">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1.管护人员</w:t>
      </w:r>
      <w:r>
        <w:rPr>
          <w:rFonts w:hint="eastAsia" w:ascii="仿宋" w:hAnsi="仿宋" w:eastAsia="仿宋" w:cs="仿宋"/>
          <w:color w:val="auto"/>
          <w:sz w:val="24"/>
          <w:szCs w:val="24"/>
          <w:highlight w:val="none"/>
          <w:lang w:eastAsia="zh-CN"/>
        </w:rPr>
        <w:t>的配备要求：</w:t>
      </w:r>
      <w:r>
        <w:rPr>
          <w:rFonts w:hint="eastAsia" w:ascii="仿宋" w:hAnsi="仿宋" w:eastAsia="仿宋" w:cs="仿宋"/>
          <w:b/>
          <w:bCs/>
          <w:color w:val="auto"/>
          <w:sz w:val="24"/>
          <w:szCs w:val="24"/>
          <w:highlight w:val="none"/>
          <w:u w:val="none"/>
          <w:lang w:eastAsia="zh-CN"/>
        </w:rPr>
        <w:t>在岗</w:t>
      </w:r>
      <w:r>
        <w:rPr>
          <w:rFonts w:hint="eastAsia" w:ascii="仿宋" w:hAnsi="仿宋" w:eastAsia="仿宋" w:cs="仿宋"/>
          <w:b/>
          <w:bCs/>
          <w:color w:val="auto"/>
          <w:sz w:val="24"/>
          <w:szCs w:val="24"/>
          <w:highlight w:val="none"/>
          <w:u w:val="none"/>
          <w:lang w:val="en-US" w:eastAsia="zh-CN"/>
        </w:rPr>
        <w:t>工作人员</w:t>
      </w:r>
      <w:r>
        <w:rPr>
          <w:rFonts w:hint="eastAsia" w:ascii="仿宋" w:hAnsi="仿宋" w:eastAsia="仿宋" w:cs="仿宋"/>
          <w:b/>
          <w:bCs/>
          <w:color w:val="auto"/>
          <w:sz w:val="24"/>
          <w:szCs w:val="24"/>
          <w:highlight w:val="none"/>
          <w:u w:val="none"/>
          <w:lang w:eastAsia="zh-CN"/>
        </w:rPr>
        <w:t>不得低于</w:t>
      </w:r>
      <w:r>
        <w:rPr>
          <w:rFonts w:hint="eastAsia" w:ascii="仿宋" w:hAnsi="仿宋" w:eastAsia="仿宋" w:cs="仿宋"/>
          <w:b/>
          <w:bCs/>
          <w:color w:val="auto"/>
          <w:sz w:val="24"/>
          <w:szCs w:val="24"/>
          <w:highlight w:val="none"/>
          <w:u w:val="none"/>
          <w:lang w:val="en-US" w:eastAsia="zh-CN"/>
        </w:rPr>
        <w:t>87名</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lang w:val="en-US" w:eastAsia="zh-CN"/>
        </w:rPr>
        <w:t>其中管理人员不少于4名</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color w:val="auto"/>
          <w:sz w:val="24"/>
          <w:szCs w:val="24"/>
          <w:highlight w:val="none"/>
          <w:u w:val="none"/>
          <w:lang w:eastAsia="zh-CN"/>
        </w:rPr>
        <w:t>须提供承诺函，签订合同</w:t>
      </w:r>
      <w:r>
        <w:rPr>
          <w:rFonts w:hint="eastAsia" w:ascii="仿宋" w:hAnsi="仿宋" w:eastAsia="仿宋" w:cs="仿宋"/>
          <w:color w:val="auto"/>
          <w:sz w:val="24"/>
          <w:szCs w:val="24"/>
          <w:highlight w:val="none"/>
          <w:u w:val="none"/>
          <w:lang w:val="en-US" w:eastAsia="zh-CN"/>
        </w:rPr>
        <w:t>后</w:t>
      </w:r>
      <w:r>
        <w:rPr>
          <w:rFonts w:hint="eastAsia" w:ascii="仿宋" w:hAnsi="仿宋" w:eastAsia="仿宋" w:cs="仿宋"/>
          <w:color w:val="auto"/>
          <w:sz w:val="24"/>
          <w:szCs w:val="24"/>
          <w:highlight w:val="none"/>
          <w:u w:val="none"/>
          <w:lang w:eastAsia="zh-CN"/>
        </w:rPr>
        <w:t>一个月内乙方需提供</w:t>
      </w:r>
      <w:r>
        <w:rPr>
          <w:rFonts w:hint="eastAsia" w:ascii="仿宋" w:hAnsi="仿宋" w:eastAsia="仿宋" w:cs="仿宋"/>
          <w:color w:val="auto"/>
          <w:sz w:val="24"/>
          <w:szCs w:val="24"/>
          <w:highlight w:val="none"/>
          <w:u w:val="none"/>
          <w:lang w:val="en-US" w:eastAsia="zh-CN"/>
        </w:rPr>
        <w:t>在甲方区域范围内工作人员的</w:t>
      </w:r>
      <w:r>
        <w:rPr>
          <w:rFonts w:hint="eastAsia" w:ascii="仿宋" w:hAnsi="仿宋" w:eastAsia="仿宋" w:cs="仿宋"/>
          <w:color w:val="auto"/>
          <w:sz w:val="24"/>
          <w:szCs w:val="24"/>
          <w:highlight w:val="none"/>
          <w:u w:val="none"/>
          <w:lang w:eastAsia="zh-CN"/>
        </w:rPr>
        <w:t>保险、</w:t>
      </w:r>
      <w:r>
        <w:rPr>
          <w:rFonts w:hint="eastAsia" w:ascii="仿宋" w:hAnsi="仿宋" w:eastAsia="仿宋" w:cs="仿宋"/>
          <w:color w:val="auto"/>
          <w:sz w:val="24"/>
          <w:szCs w:val="24"/>
          <w:highlight w:val="none"/>
          <w:u w:val="none"/>
          <w:lang w:val="en-US" w:eastAsia="zh-CN"/>
        </w:rPr>
        <w:t>用工合同</w:t>
      </w:r>
      <w:r>
        <w:rPr>
          <w:rFonts w:hint="eastAsia" w:ascii="仿宋" w:hAnsi="仿宋" w:eastAsia="仿宋" w:cs="仿宋"/>
          <w:color w:val="auto"/>
          <w:sz w:val="24"/>
          <w:szCs w:val="24"/>
          <w:highlight w:val="none"/>
          <w:lang w:eastAsia="zh-CN"/>
        </w:rPr>
        <w:t>。</w:t>
      </w:r>
    </w:p>
    <w:p w14:paraId="48B38218">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不得使用超过70周岁人员。</w:t>
      </w:r>
    </w:p>
    <w:p w14:paraId="62D48FAF">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（二）管护设备配备</w:t>
      </w:r>
    </w:p>
    <w:p w14:paraId="4AA1B24F">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1.乙方须配备3吨及以上</w:t>
      </w:r>
      <w:r>
        <w:rPr>
          <w:rFonts w:hint="eastAsia" w:ascii="仿宋" w:hAnsi="仿宋" w:eastAsia="仿宋" w:cs="仿宋"/>
          <w:b/>
          <w:bCs/>
          <w:color w:val="auto"/>
          <w:sz w:val="24"/>
          <w:szCs w:val="24"/>
          <w:highlight w:val="none"/>
          <w:lang w:eastAsia="zh-CN"/>
        </w:rPr>
        <w:t>压缩式提桶垃圾车</w:t>
      </w:r>
      <w:r>
        <w:rPr>
          <w:rFonts w:hint="eastAsia" w:ascii="仿宋" w:hAnsi="仿宋" w:eastAsia="仿宋" w:cs="仿宋"/>
          <w:b/>
          <w:bCs/>
          <w:color w:val="auto"/>
          <w:sz w:val="24"/>
          <w:szCs w:val="24"/>
          <w:highlight w:val="none"/>
          <w:lang w:val="en-US" w:eastAsia="zh-CN"/>
        </w:rPr>
        <w:t>不得少于2辆，机动作业保洁船不少于2艘，3吨及以上清洗车不得少于1辆，入户收集四桶及以上电动车不少于42辆，带斗三轮电动车不少于15辆，3吨及以上秸秆、建筑垃圾收集车不少于2辆，小型机具、器具、辅材等其他设备满足项目需求。</w:t>
      </w:r>
    </w:p>
    <w:p w14:paraId="212E75D5">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2.投标供应商在中标后1个月内配齐以上车辆、船等设备（提供发票，不接受租赁）并在投标文件中自行承诺，如配备不到位，甲方有权解除合同，不退还履约保证金。</w:t>
      </w:r>
    </w:p>
    <w:p w14:paraId="24463FEA">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szCs w:val="21"/>
          <w:highlight w:val="none"/>
          <w:lang w:val="en-US" w:eastAsia="zh-CN"/>
        </w:rPr>
        <w:t>三</w:t>
      </w:r>
      <w:r>
        <w:rPr>
          <w:rFonts w:hint="eastAsia" w:ascii="仿宋" w:hAnsi="仿宋" w:eastAsia="仿宋" w:cs="仿宋"/>
          <w:b/>
          <w:bCs/>
          <w:color w:val="auto"/>
          <w:sz w:val="24"/>
          <w:szCs w:val="21"/>
          <w:highlight w:val="none"/>
        </w:rPr>
        <w:t>、</w:t>
      </w:r>
      <w:r>
        <w:rPr>
          <w:rFonts w:hint="eastAsia" w:ascii="仿宋" w:hAnsi="仿宋" w:eastAsia="仿宋" w:cs="仿宋"/>
          <w:b/>
          <w:bCs/>
          <w:color w:val="auto"/>
          <w:sz w:val="24"/>
          <w:highlight w:val="none"/>
        </w:rPr>
        <w:t>考核管理</w:t>
      </w:r>
    </w:p>
    <w:p w14:paraId="3D7AD02F">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甲方按照管护要求</w:t>
      </w:r>
      <w:r>
        <w:rPr>
          <w:rFonts w:hint="eastAsia" w:ascii="仿宋" w:hAnsi="仿宋" w:eastAsia="仿宋" w:cs="仿宋"/>
          <w:color w:val="auto"/>
          <w:sz w:val="24"/>
          <w:szCs w:val="24"/>
          <w:highlight w:val="none"/>
          <w:u w:val="none"/>
          <w:lang w:eastAsia="zh-CN"/>
        </w:rPr>
        <w:t>对乙方进行日常督查考核，</w:t>
      </w:r>
      <w:r>
        <w:rPr>
          <w:rFonts w:hint="eastAsia" w:ascii="仿宋" w:hAnsi="仿宋" w:eastAsia="仿宋" w:cs="仿宋"/>
          <w:color w:val="auto"/>
          <w:sz w:val="24"/>
          <w:szCs w:val="24"/>
          <w:highlight w:val="none"/>
          <w:u w:val="none"/>
          <w:lang w:val="en-US" w:eastAsia="zh-CN"/>
        </w:rPr>
        <w:t>每</w:t>
      </w:r>
      <w:r>
        <w:rPr>
          <w:rFonts w:hint="eastAsia" w:ascii="仿宋" w:hAnsi="仿宋" w:eastAsia="仿宋" w:cs="仿宋"/>
          <w:color w:val="auto"/>
          <w:sz w:val="24"/>
          <w:szCs w:val="24"/>
          <w:highlight w:val="none"/>
          <w:u w:val="none"/>
          <w:lang w:eastAsia="zh-CN"/>
        </w:rPr>
        <w:t>月</w:t>
      </w:r>
      <w:r>
        <w:rPr>
          <w:rFonts w:hint="eastAsia" w:ascii="仿宋" w:hAnsi="仿宋" w:eastAsia="仿宋" w:cs="仿宋"/>
          <w:color w:val="auto"/>
          <w:sz w:val="24"/>
          <w:szCs w:val="24"/>
          <w:highlight w:val="none"/>
          <w:u w:val="none"/>
          <w:lang w:val="en-US" w:eastAsia="zh-CN"/>
        </w:rPr>
        <w:t>反馈考核结果，考核</w:t>
      </w:r>
      <w:r>
        <w:rPr>
          <w:rFonts w:hint="eastAsia" w:ascii="仿宋" w:hAnsi="仿宋" w:eastAsia="仿宋" w:cs="仿宋"/>
          <w:color w:val="auto"/>
          <w:sz w:val="24"/>
          <w:szCs w:val="24"/>
          <w:highlight w:val="none"/>
          <w:u w:val="none"/>
          <w:lang w:eastAsia="zh-CN"/>
        </w:rPr>
        <w:t>结果与服务费</w:t>
      </w:r>
      <w:r>
        <w:rPr>
          <w:rFonts w:hint="eastAsia" w:ascii="仿宋" w:hAnsi="仿宋" w:eastAsia="仿宋" w:cs="仿宋"/>
          <w:color w:val="auto"/>
          <w:sz w:val="24"/>
          <w:szCs w:val="24"/>
          <w:highlight w:val="none"/>
          <w:u w:val="none"/>
          <w:lang w:val="en-US" w:eastAsia="zh-CN"/>
        </w:rPr>
        <w:t>结算</w:t>
      </w:r>
      <w:r>
        <w:rPr>
          <w:rFonts w:hint="eastAsia" w:ascii="仿宋" w:hAnsi="仿宋" w:eastAsia="仿宋" w:cs="仿宋"/>
          <w:color w:val="auto"/>
          <w:sz w:val="24"/>
          <w:szCs w:val="24"/>
          <w:highlight w:val="none"/>
          <w:u w:val="none"/>
          <w:lang w:eastAsia="zh-CN"/>
        </w:rPr>
        <w:t>挂钩。</w:t>
      </w:r>
      <w:r>
        <w:rPr>
          <w:rFonts w:hint="eastAsia" w:ascii="仿宋" w:hAnsi="仿宋" w:eastAsia="仿宋" w:cs="仿宋"/>
          <w:color w:val="auto"/>
          <w:sz w:val="24"/>
          <w:szCs w:val="24"/>
          <w:highlight w:val="none"/>
          <w:lang w:val="en-US" w:eastAsia="zh-CN"/>
        </w:rPr>
        <w:t>根据《如东县城中街道农村环境卫生长效管护百分制考核细则》（详见附件）要求，月度绩效考核由街道和村（社区）共同实施，其中街道考核结果占60%，村（社区）考核结果占40%（各村考核按平均分计算）。每月考核得分与当月基本价款结算系数如下：</w:t>
      </w:r>
    </w:p>
    <w:p w14:paraId="1728A237">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1、得分90分及以上的为优秀，按100%结算，其中得分95分及以上的另奖励10000元;</w:t>
      </w:r>
    </w:p>
    <w:p w14:paraId="220F2BC3">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2、得分85分至90分（不含90分）的为良好，按98%结算;</w:t>
      </w:r>
    </w:p>
    <w:p w14:paraId="499BEEAC">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3、得分80分至85分（不含85分）的为一般，按95%结算;</w:t>
      </w:r>
    </w:p>
    <w:p w14:paraId="54216840">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4、得分80分以下的</w:t>
      </w:r>
      <w:r>
        <w:rPr>
          <w:rFonts w:hint="eastAsia" w:ascii="仿宋" w:hAnsi="仿宋" w:eastAsia="仿宋" w:cs="仿宋"/>
          <w:color w:val="auto"/>
          <w:sz w:val="21"/>
          <w:szCs w:val="21"/>
          <w:highlight w:val="none"/>
          <w:lang w:val="en-US" w:eastAsia="zh-CN"/>
        </w:rPr>
        <w:t>（不含80分）</w:t>
      </w:r>
      <w:r>
        <w:rPr>
          <w:rFonts w:hint="eastAsia" w:ascii="仿宋" w:hAnsi="仿宋" w:eastAsia="仿宋" w:cs="仿宋"/>
          <w:b w:val="0"/>
          <w:bCs w:val="0"/>
          <w:color w:val="auto"/>
          <w:sz w:val="24"/>
          <w:highlight w:val="none"/>
          <w:lang w:val="en-US" w:eastAsia="zh-CN"/>
        </w:rPr>
        <w:t>，按实际得分占比结算。</w:t>
      </w:r>
    </w:p>
    <w:p w14:paraId="50C3AD80">
      <w:pPr>
        <w:keepNext w:val="0"/>
        <w:keepLines w:val="0"/>
        <w:pageBreakBefore w:val="0"/>
        <w:widowControl w:val="0"/>
        <w:numPr>
          <w:ilvl w:val="0"/>
          <w:numId w:val="0"/>
        </w:numPr>
        <w:kinsoku/>
        <w:wordWrap/>
        <w:overflowPunct/>
        <w:topLinePunct w:val="0"/>
        <w:autoSpaceDE/>
        <w:autoSpaceDN/>
        <w:bidi w:val="0"/>
        <w:snapToGrid/>
        <w:spacing w:line="360" w:lineRule="auto"/>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四、付款方式</w:t>
      </w:r>
    </w:p>
    <w:p w14:paraId="599B01BC">
      <w:pPr>
        <w:keepNext w:val="0"/>
        <w:keepLines w:val="0"/>
        <w:pageBreakBefore w:val="0"/>
        <w:widowControl w:val="0"/>
        <w:numPr>
          <w:ilvl w:val="0"/>
          <w:numId w:val="0"/>
        </w:numPr>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乙方根据街道和村考核结果与甲方按季度进行结算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其中入户垃圾收运服务费用由各村支付，</w:t>
      </w:r>
      <w:r>
        <w:rPr>
          <w:rFonts w:hint="eastAsia" w:ascii="仿宋" w:hAnsi="仿宋" w:eastAsia="仿宋" w:cs="仿宋"/>
          <w:b/>
          <w:bCs/>
          <w:color w:val="auto"/>
          <w:sz w:val="24"/>
          <w:szCs w:val="24"/>
          <w:highlight w:val="none"/>
          <w:lang w:val="en-US" w:eastAsia="zh-CN"/>
        </w:rPr>
        <w:t>街道按实际中标价格，测算分割到各村</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highlight w:val="none"/>
          <w:lang w:val="en-US" w:eastAsia="zh-CN"/>
        </w:rPr>
        <w:t>。</w:t>
      </w:r>
    </w:p>
    <w:p w14:paraId="607087E8">
      <w:pPr>
        <w:keepNext w:val="0"/>
        <w:keepLines w:val="0"/>
        <w:pageBreakBefore w:val="0"/>
        <w:widowControl w:val="0"/>
        <w:numPr>
          <w:ilvl w:val="0"/>
          <w:numId w:val="0"/>
        </w:numPr>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注：</w:t>
      </w:r>
      <w:r>
        <w:rPr>
          <w:rFonts w:hint="eastAsia" w:ascii="仿宋" w:hAnsi="仿宋" w:eastAsia="仿宋" w:cs="仿宋"/>
          <w:b w:val="0"/>
          <w:bCs w:val="0"/>
          <w:color w:val="auto"/>
          <w:sz w:val="24"/>
          <w:szCs w:val="24"/>
          <w:highlight w:val="none"/>
        </w:rPr>
        <w:t>易腐垃圾处置中心水电、污水处置费用及各中转房电费按实凭票结算</w:t>
      </w:r>
      <w:r>
        <w:rPr>
          <w:rFonts w:hint="eastAsia" w:ascii="仿宋" w:hAnsi="仿宋" w:eastAsia="仿宋" w:cs="仿宋"/>
          <w:b w:val="0"/>
          <w:bCs w:val="0"/>
          <w:color w:val="auto"/>
          <w:sz w:val="24"/>
          <w:szCs w:val="24"/>
          <w:highlight w:val="none"/>
          <w:lang w:eastAsia="zh-CN"/>
        </w:rPr>
        <w:t>。</w:t>
      </w:r>
    </w:p>
    <w:p w14:paraId="761150AE">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五</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违约责任</w:t>
      </w:r>
    </w:p>
    <w:p w14:paraId="146D02F7">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strike w:val="0"/>
          <w:color w:val="auto"/>
          <w:sz w:val="24"/>
          <w:szCs w:val="24"/>
          <w:highlight w:val="none"/>
          <w:lang w:val="en-US" w:eastAsia="zh-CN"/>
        </w:rPr>
      </w:pPr>
      <w:r>
        <w:rPr>
          <w:rFonts w:hint="eastAsia" w:ascii="仿宋" w:hAnsi="仿宋" w:eastAsia="仿宋" w:cs="仿宋"/>
          <w:color w:val="auto"/>
          <w:sz w:val="24"/>
          <w:szCs w:val="24"/>
          <w:highlight w:val="none"/>
          <w:lang w:eastAsia="zh-CN"/>
        </w:rPr>
        <w:t>（一）乙方不</w:t>
      </w:r>
      <w:r>
        <w:rPr>
          <w:rFonts w:hint="eastAsia" w:ascii="仿宋" w:hAnsi="仿宋" w:eastAsia="仿宋" w:cs="仿宋"/>
          <w:strike w:val="0"/>
          <w:dstrike w:val="0"/>
          <w:color w:val="auto"/>
          <w:sz w:val="24"/>
          <w:szCs w:val="24"/>
          <w:highlight w:val="none"/>
          <w:lang w:val="en-US" w:eastAsia="zh-CN"/>
        </w:rPr>
        <w:t>得</w:t>
      </w:r>
      <w:r>
        <w:rPr>
          <w:rFonts w:hint="eastAsia" w:ascii="仿宋" w:hAnsi="仿宋" w:eastAsia="仿宋" w:cs="仿宋"/>
          <w:color w:val="auto"/>
          <w:sz w:val="24"/>
          <w:szCs w:val="24"/>
          <w:highlight w:val="none"/>
          <w:lang w:eastAsia="zh-CN"/>
        </w:rPr>
        <w:t>转包，</w:t>
      </w:r>
      <w:r>
        <w:rPr>
          <w:rFonts w:hint="eastAsia" w:ascii="仿宋" w:hAnsi="仿宋" w:eastAsia="仿宋" w:cs="仿宋"/>
          <w:strike w:val="0"/>
          <w:dstrike w:val="0"/>
          <w:color w:val="auto"/>
          <w:sz w:val="24"/>
          <w:szCs w:val="24"/>
          <w:highlight w:val="none"/>
          <w:lang w:val="en-US" w:eastAsia="zh-CN"/>
        </w:rPr>
        <w:t>否则</w:t>
      </w:r>
      <w:r>
        <w:rPr>
          <w:rFonts w:hint="eastAsia" w:ascii="仿宋" w:hAnsi="仿宋" w:eastAsia="仿宋" w:cs="仿宋"/>
          <w:color w:val="auto"/>
          <w:sz w:val="24"/>
          <w:szCs w:val="24"/>
          <w:highlight w:val="none"/>
          <w:lang w:eastAsia="zh-CN"/>
        </w:rPr>
        <w:t>甲方有权</w:t>
      </w:r>
      <w:r>
        <w:rPr>
          <w:rFonts w:hint="eastAsia" w:ascii="仿宋" w:hAnsi="仿宋" w:eastAsia="仿宋" w:cs="仿宋"/>
          <w:strike w:val="0"/>
          <w:dstrike w:val="0"/>
          <w:color w:val="auto"/>
          <w:sz w:val="24"/>
          <w:szCs w:val="24"/>
          <w:highlight w:val="none"/>
          <w:lang w:val="en-US" w:eastAsia="zh-CN"/>
        </w:rPr>
        <w:t>解除</w:t>
      </w:r>
      <w:r>
        <w:rPr>
          <w:rFonts w:hint="eastAsia" w:ascii="仿宋" w:hAnsi="仿宋" w:eastAsia="仿宋" w:cs="仿宋"/>
          <w:color w:val="auto"/>
          <w:sz w:val="24"/>
          <w:szCs w:val="24"/>
          <w:highlight w:val="none"/>
          <w:lang w:eastAsia="zh-CN"/>
        </w:rPr>
        <w:t>合同</w:t>
      </w:r>
      <w:r>
        <w:rPr>
          <w:rFonts w:hint="eastAsia" w:ascii="仿宋" w:hAnsi="仿宋" w:eastAsia="仿宋" w:cs="仿宋"/>
          <w:color w:val="auto"/>
          <w:sz w:val="24"/>
          <w:szCs w:val="24"/>
          <w:highlight w:val="none"/>
          <w:lang w:val="en-US" w:eastAsia="zh-CN"/>
        </w:rPr>
        <w:t>且</w:t>
      </w:r>
      <w:r>
        <w:rPr>
          <w:rFonts w:hint="eastAsia" w:ascii="仿宋" w:hAnsi="仿宋" w:eastAsia="仿宋" w:cs="仿宋"/>
          <w:color w:val="auto"/>
          <w:sz w:val="24"/>
          <w:szCs w:val="24"/>
          <w:highlight w:val="none"/>
          <w:lang w:eastAsia="zh-CN"/>
        </w:rPr>
        <w:t>履约保证金</w:t>
      </w:r>
      <w:r>
        <w:rPr>
          <w:rFonts w:hint="eastAsia" w:ascii="仿宋" w:hAnsi="仿宋" w:eastAsia="仿宋" w:cs="仿宋"/>
          <w:color w:val="auto"/>
          <w:sz w:val="24"/>
          <w:szCs w:val="24"/>
          <w:highlight w:val="none"/>
          <w:lang w:val="en-US" w:eastAsia="zh-CN"/>
        </w:rPr>
        <w:t>不予退还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乙方还应承担年度服务费5%的违约金</w:t>
      </w:r>
      <w:r>
        <w:rPr>
          <w:rFonts w:hint="eastAsia" w:ascii="仿宋" w:hAnsi="仿宋" w:eastAsia="仿宋" w:cs="仿宋"/>
          <w:strike w:val="0"/>
          <w:dstrike w:val="0"/>
          <w:color w:val="auto"/>
          <w:sz w:val="24"/>
          <w:szCs w:val="24"/>
          <w:highlight w:val="none"/>
          <w:lang w:val="en-US" w:eastAsia="zh-CN"/>
        </w:rPr>
        <w:t>。</w:t>
      </w:r>
    </w:p>
    <w:p w14:paraId="2241D76D">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strike w:val="0"/>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）乙方不按规定完成任务或未按</w:t>
      </w:r>
      <w:r>
        <w:rPr>
          <w:rFonts w:hint="eastAsia" w:ascii="仿宋" w:hAnsi="仿宋" w:eastAsia="仿宋" w:cs="仿宋"/>
          <w:strike w:val="0"/>
          <w:dstrike w:val="0"/>
          <w:color w:val="auto"/>
          <w:sz w:val="24"/>
          <w:szCs w:val="24"/>
          <w:highlight w:val="none"/>
          <w:lang w:val="en-US" w:eastAsia="zh-CN"/>
        </w:rPr>
        <w:t>约定</w:t>
      </w:r>
      <w:r>
        <w:rPr>
          <w:rFonts w:hint="eastAsia" w:ascii="仿宋" w:hAnsi="仿宋" w:eastAsia="仿宋" w:cs="仿宋"/>
          <w:color w:val="auto"/>
          <w:sz w:val="24"/>
          <w:szCs w:val="24"/>
          <w:highlight w:val="none"/>
          <w:lang w:eastAsia="zh-CN"/>
        </w:rPr>
        <w:t>投入人力、物力和设备。甲方要求乙方限期整改，逾期未整改的，甲方有权</w:t>
      </w:r>
      <w:r>
        <w:rPr>
          <w:rFonts w:hint="eastAsia" w:ascii="仿宋" w:hAnsi="仿宋" w:eastAsia="仿宋" w:cs="仿宋"/>
          <w:color w:val="auto"/>
          <w:sz w:val="24"/>
          <w:szCs w:val="24"/>
          <w:highlight w:val="none"/>
          <w:lang w:val="en-US" w:eastAsia="zh-CN"/>
        </w:rPr>
        <w:t>解除</w:t>
      </w:r>
      <w:r>
        <w:rPr>
          <w:rFonts w:hint="eastAsia" w:ascii="仿宋" w:hAnsi="仿宋" w:eastAsia="仿宋" w:cs="仿宋"/>
          <w:color w:val="auto"/>
          <w:sz w:val="24"/>
          <w:szCs w:val="24"/>
          <w:highlight w:val="none"/>
          <w:lang w:eastAsia="zh-CN"/>
        </w:rPr>
        <w:t>合同</w:t>
      </w:r>
      <w:r>
        <w:rPr>
          <w:rFonts w:hint="eastAsia" w:ascii="仿宋" w:hAnsi="仿宋" w:eastAsia="仿宋" w:cs="仿宋"/>
          <w:color w:val="auto"/>
          <w:sz w:val="24"/>
          <w:szCs w:val="24"/>
          <w:highlight w:val="none"/>
          <w:lang w:val="en-US" w:eastAsia="zh-CN"/>
        </w:rPr>
        <w:t>且</w:t>
      </w:r>
      <w:r>
        <w:rPr>
          <w:rFonts w:hint="eastAsia" w:ascii="仿宋" w:hAnsi="仿宋" w:eastAsia="仿宋" w:cs="仿宋"/>
          <w:color w:val="auto"/>
          <w:sz w:val="24"/>
          <w:szCs w:val="24"/>
          <w:highlight w:val="none"/>
          <w:lang w:eastAsia="zh-CN"/>
        </w:rPr>
        <w:t>履约保证金</w:t>
      </w:r>
      <w:r>
        <w:rPr>
          <w:rFonts w:hint="eastAsia" w:ascii="仿宋" w:hAnsi="仿宋" w:eastAsia="仿宋" w:cs="仿宋"/>
          <w:color w:val="auto"/>
          <w:sz w:val="24"/>
          <w:szCs w:val="24"/>
          <w:highlight w:val="none"/>
          <w:lang w:val="en-US" w:eastAsia="zh-CN"/>
        </w:rPr>
        <w:t>不予退还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乙方还应承担年度服务费5%的违约金</w:t>
      </w:r>
      <w:r>
        <w:rPr>
          <w:rFonts w:hint="eastAsia" w:ascii="仿宋" w:hAnsi="仿宋" w:eastAsia="仿宋" w:cs="仿宋"/>
          <w:strike w:val="0"/>
          <w:dstrike w:val="0"/>
          <w:color w:val="auto"/>
          <w:sz w:val="24"/>
          <w:szCs w:val="24"/>
          <w:highlight w:val="none"/>
          <w:lang w:val="en-US" w:eastAsia="zh-CN"/>
        </w:rPr>
        <w:t>。</w:t>
      </w:r>
    </w:p>
    <w:p w14:paraId="0A118541">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strike/>
          <w:dstrike w:val="0"/>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eastAsia="zh-CN"/>
        </w:rPr>
        <w:t>）因乙方</w:t>
      </w:r>
      <w:r>
        <w:rPr>
          <w:rFonts w:hint="eastAsia" w:ascii="仿宋" w:hAnsi="仿宋" w:eastAsia="仿宋" w:cs="仿宋"/>
          <w:strike w:val="0"/>
          <w:dstrike w:val="0"/>
          <w:color w:val="auto"/>
          <w:sz w:val="24"/>
          <w:szCs w:val="24"/>
          <w:highlight w:val="none"/>
          <w:lang w:val="en-US" w:eastAsia="zh-CN"/>
        </w:rPr>
        <w:t>的</w:t>
      </w:r>
      <w:r>
        <w:rPr>
          <w:rFonts w:hint="eastAsia" w:ascii="仿宋" w:hAnsi="仿宋" w:eastAsia="仿宋" w:cs="仿宋"/>
          <w:color w:val="auto"/>
          <w:sz w:val="24"/>
          <w:szCs w:val="24"/>
          <w:highlight w:val="none"/>
          <w:lang w:eastAsia="zh-CN"/>
        </w:rPr>
        <w:t>原因</w:t>
      </w:r>
      <w:r>
        <w:rPr>
          <w:rFonts w:hint="eastAsia" w:ascii="仿宋" w:hAnsi="仿宋" w:eastAsia="仿宋" w:cs="仿宋"/>
          <w:strike w:val="0"/>
          <w:dstrike w:val="0"/>
          <w:color w:val="auto"/>
          <w:sz w:val="24"/>
          <w:szCs w:val="24"/>
          <w:highlight w:val="none"/>
          <w:lang w:val="en-US" w:eastAsia="zh-CN"/>
        </w:rPr>
        <w:t>造成</w:t>
      </w:r>
      <w:r>
        <w:rPr>
          <w:rFonts w:hint="eastAsia" w:ascii="仿宋" w:hAnsi="仿宋" w:eastAsia="仿宋" w:cs="仿宋"/>
          <w:color w:val="auto"/>
          <w:sz w:val="24"/>
          <w:szCs w:val="24"/>
          <w:highlight w:val="none"/>
          <w:lang w:eastAsia="zh-CN"/>
        </w:rPr>
        <w:t>甲方、乙方或第三方人身、财产等损害的，由乙方承担全部责任并负责善后处理，</w:t>
      </w:r>
      <w:r>
        <w:rPr>
          <w:rFonts w:hint="eastAsia" w:ascii="仿宋" w:hAnsi="仿宋" w:eastAsia="仿宋" w:cs="仿宋"/>
          <w:color w:val="auto"/>
          <w:sz w:val="24"/>
          <w:szCs w:val="24"/>
          <w:highlight w:val="none"/>
          <w:lang w:val="en-US" w:eastAsia="zh-CN"/>
        </w:rPr>
        <w:t>与甲方无关</w:t>
      </w:r>
      <w:r>
        <w:rPr>
          <w:rFonts w:hint="eastAsia" w:ascii="仿宋" w:hAnsi="仿宋" w:eastAsia="仿宋" w:cs="仿宋"/>
          <w:color w:val="auto"/>
          <w:sz w:val="24"/>
          <w:szCs w:val="24"/>
          <w:highlight w:val="none"/>
          <w:lang w:eastAsia="zh-CN"/>
        </w:rPr>
        <w:t>。</w:t>
      </w:r>
    </w:p>
    <w:p w14:paraId="36402522">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eastAsia="zh-CN"/>
        </w:rPr>
        <w:t>）乙方</w:t>
      </w:r>
      <w:r>
        <w:rPr>
          <w:rFonts w:hint="eastAsia" w:ascii="仿宋" w:hAnsi="仿宋" w:eastAsia="仿宋" w:cs="仿宋"/>
          <w:strike w:val="0"/>
          <w:dstrike w:val="0"/>
          <w:color w:val="auto"/>
          <w:sz w:val="24"/>
          <w:szCs w:val="24"/>
          <w:highlight w:val="none"/>
          <w:lang w:val="en-US" w:eastAsia="zh-CN"/>
        </w:rPr>
        <w:t>有下列情形</w:t>
      </w:r>
      <w:r>
        <w:rPr>
          <w:rFonts w:hint="eastAsia" w:ascii="仿宋" w:hAnsi="仿宋" w:eastAsia="仿宋" w:cs="仿宋"/>
          <w:color w:val="auto"/>
          <w:sz w:val="24"/>
          <w:szCs w:val="24"/>
          <w:highlight w:val="none"/>
          <w:lang w:eastAsia="zh-CN"/>
        </w:rPr>
        <w:t>之一，甲方有权</w:t>
      </w:r>
      <w:r>
        <w:rPr>
          <w:rFonts w:hint="eastAsia" w:ascii="仿宋" w:hAnsi="仿宋" w:eastAsia="仿宋" w:cs="仿宋"/>
          <w:color w:val="auto"/>
          <w:sz w:val="24"/>
          <w:szCs w:val="24"/>
          <w:highlight w:val="none"/>
          <w:lang w:val="en-US" w:eastAsia="zh-CN"/>
        </w:rPr>
        <w:t>解除</w:t>
      </w:r>
      <w:r>
        <w:rPr>
          <w:rFonts w:hint="eastAsia" w:ascii="仿宋" w:hAnsi="仿宋" w:eastAsia="仿宋" w:cs="仿宋"/>
          <w:color w:val="auto"/>
          <w:sz w:val="24"/>
          <w:szCs w:val="24"/>
          <w:highlight w:val="none"/>
          <w:lang w:eastAsia="zh-CN"/>
        </w:rPr>
        <w:t>合同</w:t>
      </w:r>
      <w:r>
        <w:rPr>
          <w:rFonts w:hint="eastAsia" w:ascii="仿宋" w:hAnsi="仿宋" w:eastAsia="仿宋" w:cs="仿宋"/>
          <w:color w:val="auto"/>
          <w:sz w:val="24"/>
          <w:szCs w:val="24"/>
          <w:highlight w:val="none"/>
          <w:lang w:val="en-US" w:eastAsia="zh-CN"/>
        </w:rPr>
        <w:t>且</w:t>
      </w:r>
      <w:r>
        <w:rPr>
          <w:rFonts w:hint="eastAsia" w:ascii="仿宋" w:hAnsi="仿宋" w:eastAsia="仿宋" w:cs="仿宋"/>
          <w:color w:val="auto"/>
          <w:sz w:val="24"/>
          <w:szCs w:val="24"/>
          <w:highlight w:val="none"/>
          <w:lang w:eastAsia="zh-CN"/>
        </w:rPr>
        <w:t>履约保证金</w:t>
      </w:r>
      <w:r>
        <w:rPr>
          <w:rFonts w:hint="eastAsia" w:ascii="仿宋" w:hAnsi="仿宋" w:eastAsia="仿宋" w:cs="仿宋"/>
          <w:color w:val="auto"/>
          <w:sz w:val="24"/>
          <w:szCs w:val="24"/>
          <w:highlight w:val="none"/>
          <w:lang w:val="en-US" w:eastAsia="zh-CN"/>
        </w:rPr>
        <w:t>不予退还，乙方还应承担年度服务费总额5%的违约金</w:t>
      </w:r>
      <w:r>
        <w:rPr>
          <w:rFonts w:hint="eastAsia" w:ascii="仿宋" w:hAnsi="仿宋" w:eastAsia="仿宋" w:cs="仿宋"/>
          <w:color w:val="auto"/>
          <w:sz w:val="24"/>
          <w:szCs w:val="24"/>
          <w:highlight w:val="none"/>
          <w:lang w:eastAsia="zh-CN"/>
        </w:rPr>
        <w:t>：</w:t>
      </w:r>
    </w:p>
    <w:p w14:paraId="03E3180F">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1</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u w:val="none"/>
          <w:lang w:eastAsia="zh-CN"/>
        </w:rPr>
        <w:t>一年内</w:t>
      </w:r>
      <w:r>
        <w:rPr>
          <w:rFonts w:hint="eastAsia" w:ascii="仿宋" w:hAnsi="仿宋" w:eastAsia="仿宋" w:cs="仿宋"/>
          <w:color w:val="auto"/>
          <w:sz w:val="24"/>
          <w:szCs w:val="24"/>
          <w:highlight w:val="none"/>
          <w:u w:val="none"/>
          <w:lang w:val="en-US" w:eastAsia="zh-CN"/>
        </w:rPr>
        <w:t>累计三</w:t>
      </w:r>
      <w:r>
        <w:rPr>
          <w:rFonts w:hint="eastAsia" w:ascii="仿宋" w:hAnsi="仿宋" w:eastAsia="仿宋" w:cs="仿宋"/>
          <w:b w:val="0"/>
          <w:bCs w:val="0"/>
          <w:color w:val="auto"/>
          <w:sz w:val="24"/>
          <w:szCs w:val="24"/>
          <w:highlight w:val="none"/>
          <w:u w:val="none"/>
          <w:lang w:val="en-US" w:eastAsia="zh-CN"/>
        </w:rPr>
        <w:t>个月度</w:t>
      </w:r>
      <w:r>
        <w:rPr>
          <w:rFonts w:hint="eastAsia" w:ascii="仿宋" w:hAnsi="仿宋" w:eastAsia="仿宋" w:cs="仿宋"/>
          <w:b w:val="0"/>
          <w:bCs w:val="0"/>
          <w:color w:val="auto"/>
          <w:sz w:val="24"/>
          <w:szCs w:val="24"/>
          <w:highlight w:val="none"/>
          <w:u w:val="none"/>
          <w:lang w:eastAsia="zh-CN"/>
        </w:rPr>
        <w:t>考核</w:t>
      </w:r>
      <w:r>
        <w:rPr>
          <w:rFonts w:hint="eastAsia" w:ascii="仿宋" w:hAnsi="仿宋" w:eastAsia="仿宋" w:cs="仿宋"/>
          <w:b w:val="0"/>
          <w:bCs w:val="0"/>
          <w:color w:val="auto"/>
          <w:sz w:val="24"/>
          <w:szCs w:val="24"/>
          <w:highlight w:val="none"/>
          <w:u w:val="none"/>
          <w:lang w:val="en-US" w:eastAsia="zh-CN"/>
        </w:rPr>
        <w:t>低于80分</w:t>
      </w:r>
      <w:r>
        <w:rPr>
          <w:rFonts w:hint="eastAsia" w:ascii="仿宋" w:hAnsi="仿宋" w:eastAsia="仿宋" w:cs="仿宋"/>
          <w:b w:val="0"/>
          <w:bCs w:val="0"/>
          <w:color w:val="auto"/>
          <w:sz w:val="24"/>
          <w:szCs w:val="24"/>
          <w:highlight w:val="none"/>
          <w:u w:val="none"/>
          <w:lang w:eastAsia="zh-CN"/>
        </w:rPr>
        <w:t>。</w:t>
      </w:r>
    </w:p>
    <w:p w14:paraId="233A8B23">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lang w:val="en-US" w:eastAsia="zh-CN"/>
        </w:rPr>
        <w:t>.甲方针对</w:t>
      </w:r>
      <w:r>
        <w:rPr>
          <w:rFonts w:hint="eastAsia" w:ascii="仿宋" w:hAnsi="仿宋" w:eastAsia="仿宋" w:cs="仿宋"/>
          <w:color w:val="auto"/>
          <w:sz w:val="24"/>
          <w:szCs w:val="24"/>
          <w:highlight w:val="none"/>
          <w:lang w:eastAsia="zh-CN"/>
        </w:rPr>
        <w:t>同一个问题发出书面整改通知</w:t>
      </w:r>
      <w:r>
        <w:rPr>
          <w:rFonts w:hint="eastAsia" w:ascii="仿宋" w:hAnsi="仿宋" w:eastAsia="仿宋" w:cs="仿宋"/>
          <w:color w:val="auto"/>
          <w:sz w:val="24"/>
          <w:szCs w:val="24"/>
          <w:highlight w:val="none"/>
          <w:lang w:val="en-US" w:eastAsia="zh-CN"/>
        </w:rPr>
        <w:t>两</w:t>
      </w:r>
      <w:r>
        <w:rPr>
          <w:rFonts w:hint="eastAsia" w:ascii="仿宋" w:hAnsi="仿宋" w:eastAsia="仿宋" w:cs="仿宋"/>
          <w:color w:val="auto"/>
          <w:sz w:val="24"/>
          <w:szCs w:val="24"/>
          <w:highlight w:val="none"/>
          <w:lang w:eastAsia="zh-CN"/>
        </w:rPr>
        <w:t>次</w:t>
      </w:r>
      <w:r>
        <w:rPr>
          <w:rFonts w:hint="eastAsia" w:ascii="仿宋" w:hAnsi="仿宋" w:eastAsia="仿宋" w:cs="仿宋"/>
          <w:color w:val="auto"/>
          <w:sz w:val="24"/>
          <w:szCs w:val="24"/>
          <w:highlight w:val="none"/>
          <w:lang w:val="en-US" w:eastAsia="zh-CN"/>
        </w:rPr>
        <w:t>仍不</w:t>
      </w:r>
      <w:r>
        <w:rPr>
          <w:rFonts w:hint="eastAsia" w:ascii="仿宋" w:hAnsi="仿宋" w:eastAsia="仿宋" w:cs="仿宋"/>
          <w:color w:val="auto"/>
          <w:sz w:val="24"/>
          <w:szCs w:val="24"/>
          <w:highlight w:val="none"/>
          <w:lang w:eastAsia="zh-CN"/>
        </w:rPr>
        <w:t>能在规定时间内整改</w:t>
      </w:r>
      <w:r>
        <w:rPr>
          <w:rFonts w:hint="eastAsia" w:ascii="仿宋" w:hAnsi="仿宋" w:eastAsia="仿宋" w:cs="仿宋"/>
          <w:color w:val="auto"/>
          <w:sz w:val="24"/>
          <w:szCs w:val="24"/>
          <w:highlight w:val="none"/>
          <w:lang w:val="en-US" w:eastAsia="zh-CN"/>
        </w:rPr>
        <w:t>到位</w:t>
      </w:r>
      <w:r>
        <w:rPr>
          <w:rFonts w:hint="eastAsia" w:ascii="仿宋" w:hAnsi="仿宋" w:eastAsia="仿宋" w:cs="仿宋"/>
          <w:color w:val="auto"/>
          <w:sz w:val="24"/>
          <w:szCs w:val="24"/>
          <w:highlight w:val="none"/>
          <w:lang w:eastAsia="zh-CN"/>
        </w:rPr>
        <w:t>。</w:t>
      </w:r>
    </w:p>
    <w:p w14:paraId="01C3A3E5">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六、</w:t>
      </w:r>
      <w:r>
        <w:rPr>
          <w:rFonts w:hint="eastAsia" w:ascii="仿宋" w:hAnsi="仿宋" w:eastAsia="仿宋" w:cs="仿宋"/>
          <w:b/>
          <w:bCs/>
          <w:color w:val="auto"/>
          <w:sz w:val="24"/>
          <w:highlight w:val="none"/>
        </w:rPr>
        <w:t>注意事项</w:t>
      </w:r>
    </w:p>
    <w:p w14:paraId="3B952BD1">
      <w:pPr>
        <w:pStyle w:val="14"/>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1.投标人中标后</w:t>
      </w:r>
      <w:r>
        <w:rPr>
          <w:rFonts w:hint="eastAsia" w:ascii="仿宋" w:hAnsi="仿宋" w:eastAsia="仿宋" w:cs="仿宋"/>
          <w:b/>
          <w:bCs/>
          <w:color w:val="auto"/>
          <w:sz w:val="24"/>
          <w:szCs w:val="24"/>
          <w:highlight w:val="none"/>
          <w:u w:val="none"/>
          <w:lang w:eastAsia="zh-CN"/>
        </w:rPr>
        <w:t>必须在城中街道</w:t>
      </w:r>
      <w:r>
        <w:rPr>
          <w:rFonts w:hint="eastAsia" w:ascii="仿宋" w:hAnsi="仿宋" w:eastAsia="仿宋" w:cs="仿宋"/>
          <w:b/>
          <w:bCs/>
          <w:color w:val="auto"/>
          <w:sz w:val="24"/>
          <w:szCs w:val="24"/>
          <w:highlight w:val="none"/>
          <w:u w:val="none"/>
          <w:lang w:val="en-US" w:eastAsia="zh-CN"/>
        </w:rPr>
        <w:t>北场村湿垃圾处置中心设立项目部，房屋租赁协议双方另行协商签订</w:t>
      </w:r>
      <w:r>
        <w:rPr>
          <w:rFonts w:hint="eastAsia" w:ascii="仿宋" w:hAnsi="仿宋" w:eastAsia="仿宋" w:cs="仿宋"/>
          <w:b/>
          <w:bCs/>
          <w:color w:val="auto"/>
          <w:sz w:val="24"/>
          <w:szCs w:val="24"/>
          <w:highlight w:val="none"/>
        </w:rPr>
        <w:t>。</w:t>
      </w:r>
    </w:p>
    <w:p w14:paraId="39680F84">
      <w:pPr>
        <w:pStyle w:val="14"/>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2.投标人自行踏勘现场，了解现场实际情况，中标单位不得以不了解现场情况为由而要求另行增加费用。</w:t>
      </w:r>
    </w:p>
    <w:p w14:paraId="2B0320E4">
      <w:pPr>
        <w:keepNext w:val="0"/>
        <w:keepLines w:val="0"/>
        <w:pageBreakBefore w:val="0"/>
        <w:widowControl w:val="0"/>
        <w:kinsoku/>
        <w:wordWrap/>
        <w:overflowPunct/>
        <w:topLinePunct w:val="0"/>
        <w:autoSpaceDE/>
        <w:autoSpaceDN/>
        <w:bidi w:val="0"/>
        <w:snapToGrid/>
        <w:spacing w:line="360" w:lineRule="auto"/>
        <w:ind w:firstLine="480"/>
        <w:textAlignment w:val="auto"/>
        <w:rPr>
          <w:rFonts w:hint="eastAsia" w:ascii="楷体" w:hAnsi="楷体" w:eastAsia="楷体" w:cs="楷体"/>
          <w:b/>
          <w:bCs/>
          <w:color w:val="auto"/>
          <w:sz w:val="24"/>
          <w:szCs w:val="24"/>
          <w:highlight w:val="none"/>
          <w:lang w:val="zh-CN"/>
        </w:rPr>
      </w:pPr>
      <w:r>
        <w:rPr>
          <w:rFonts w:hint="eastAsia" w:ascii="仿宋" w:hAnsi="仿宋" w:eastAsia="仿宋" w:cs="仿宋"/>
          <w:b/>
          <w:bCs/>
          <w:color w:val="auto"/>
          <w:sz w:val="24"/>
          <w:szCs w:val="24"/>
          <w:highlight w:val="none"/>
          <w:lang w:val="en-US" w:eastAsia="zh-CN"/>
        </w:rPr>
        <w:t>3.中标单位必须在15天内与原服务单位做好交接工作。</w:t>
      </w:r>
    </w:p>
    <w:p w14:paraId="29B56582">
      <w:pPr>
        <w:spacing w:line="360" w:lineRule="auto"/>
        <w:ind w:firstLine="48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4.街道设建筑垃圾临时中转点（4037.42㎡），地点：五总村，中标单位根据相关规定支付租赁费用。</w:t>
      </w:r>
    </w:p>
    <w:p w14:paraId="3C038639">
      <w:pPr>
        <w:spacing w:line="360" w:lineRule="auto"/>
        <w:rPr>
          <w:rFonts w:ascii="宋体" w:hAnsi="宋体" w:cs="Arial"/>
          <w:bCs/>
          <w:color w:val="auto"/>
          <w:sz w:val="24"/>
          <w:szCs w:val="24"/>
          <w:highlight w:val="none"/>
        </w:rPr>
      </w:pPr>
    </w:p>
    <w:p w14:paraId="52B9FFAE">
      <w:pPr>
        <w:pStyle w:val="35"/>
        <w:rPr>
          <w:rFonts w:cs="Arial"/>
          <w:bCs/>
          <w:color w:val="auto"/>
          <w:sz w:val="24"/>
          <w:szCs w:val="24"/>
          <w:highlight w:val="none"/>
        </w:rPr>
      </w:pPr>
    </w:p>
    <w:p w14:paraId="0F09F69C">
      <w:pPr>
        <w:pStyle w:val="35"/>
        <w:rPr>
          <w:rFonts w:cs="Arial"/>
          <w:bCs/>
          <w:color w:val="auto"/>
          <w:sz w:val="24"/>
          <w:szCs w:val="24"/>
          <w:highlight w:val="none"/>
        </w:rPr>
      </w:pPr>
    </w:p>
    <w:p w14:paraId="458F5D37">
      <w:pPr>
        <w:pStyle w:val="35"/>
        <w:rPr>
          <w:rFonts w:cs="Arial"/>
          <w:bCs/>
          <w:color w:val="auto"/>
          <w:sz w:val="24"/>
          <w:szCs w:val="24"/>
          <w:highlight w:val="none"/>
        </w:rPr>
      </w:pPr>
    </w:p>
    <w:p w14:paraId="32CE0EF7">
      <w:pPr>
        <w:pStyle w:val="35"/>
        <w:rPr>
          <w:rFonts w:cs="Arial"/>
          <w:bCs/>
          <w:color w:val="auto"/>
          <w:sz w:val="24"/>
          <w:szCs w:val="24"/>
          <w:highlight w:val="none"/>
        </w:rPr>
      </w:pPr>
    </w:p>
    <w:p w14:paraId="19657D4D">
      <w:pPr>
        <w:spacing w:line="360" w:lineRule="auto"/>
        <w:ind w:firstLine="2209"/>
        <w:outlineLvl w:val="0"/>
        <w:rPr>
          <w:rFonts w:hint="eastAsia" w:ascii="仿宋" w:hAnsi="仿宋" w:eastAsia="仿宋" w:cs="仿宋"/>
          <w:b/>
          <w:color w:val="auto"/>
          <w:sz w:val="44"/>
          <w:highlight w:val="none"/>
        </w:rPr>
      </w:pPr>
    </w:p>
    <w:p w14:paraId="4D7858BC">
      <w:pPr>
        <w:spacing w:line="360" w:lineRule="auto"/>
        <w:ind w:firstLine="2209"/>
        <w:outlineLvl w:val="0"/>
        <w:rPr>
          <w:rFonts w:hint="eastAsia" w:ascii="仿宋" w:hAnsi="仿宋" w:eastAsia="仿宋" w:cs="仿宋"/>
          <w:b/>
          <w:color w:val="auto"/>
          <w:sz w:val="44"/>
          <w:highlight w:val="none"/>
        </w:rPr>
      </w:pPr>
    </w:p>
    <w:p w14:paraId="1C888EA6">
      <w:pPr>
        <w:spacing w:line="360" w:lineRule="auto"/>
        <w:ind w:firstLine="2209"/>
        <w:outlineLvl w:val="0"/>
        <w:rPr>
          <w:rFonts w:hint="eastAsia" w:ascii="仿宋" w:hAnsi="仿宋" w:eastAsia="仿宋" w:cs="仿宋"/>
          <w:b/>
          <w:color w:val="auto"/>
          <w:sz w:val="44"/>
          <w:highlight w:val="none"/>
        </w:rPr>
      </w:pPr>
    </w:p>
    <w:p w14:paraId="32D67E20">
      <w:pPr>
        <w:spacing w:line="360" w:lineRule="auto"/>
        <w:ind w:firstLine="2209"/>
        <w:outlineLvl w:val="0"/>
        <w:rPr>
          <w:rFonts w:hint="eastAsia" w:ascii="仿宋" w:hAnsi="仿宋" w:eastAsia="仿宋" w:cs="仿宋"/>
          <w:b/>
          <w:color w:val="auto"/>
          <w:sz w:val="44"/>
          <w:highlight w:val="none"/>
        </w:rPr>
      </w:pPr>
    </w:p>
    <w:p w14:paraId="2039C95A">
      <w:pPr>
        <w:spacing w:line="360" w:lineRule="auto"/>
        <w:ind w:firstLine="2209"/>
        <w:outlineLvl w:val="0"/>
        <w:rPr>
          <w:rFonts w:hint="eastAsia" w:ascii="仿宋" w:hAnsi="仿宋" w:eastAsia="仿宋" w:cs="仿宋"/>
          <w:b/>
          <w:color w:val="auto"/>
          <w:sz w:val="44"/>
          <w:highlight w:val="none"/>
        </w:rPr>
      </w:pPr>
    </w:p>
    <w:p w14:paraId="7A1DF950">
      <w:pPr>
        <w:spacing w:line="360" w:lineRule="auto"/>
        <w:ind w:firstLine="2209"/>
        <w:outlineLvl w:val="0"/>
        <w:rPr>
          <w:rFonts w:hint="eastAsia" w:ascii="仿宋" w:hAnsi="仿宋" w:eastAsia="仿宋" w:cs="仿宋"/>
          <w:b/>
          <w:color w:val="auto"/>
          <w:sz w:val="44"/>
          <w:highlight w:val="none"/>
        </w:rPr>
      </w:pPr>
    </w:p>
    <w:p w14:paraId="1063EE60">
      <w:pPr>
        <w:spacing w:line="360" w:lineRule="auto"/>
        <w:ind w:firstLine="2209"/>
        <w:outlineLvl w:val="0"/>
        <w:rPr>
          <w:rFonts w:hint="eastAsia" w:ascii="仿宋" w:hAnsi="仿宋" w:eastAsia="仿宋" w:cs="仿宋"/>
          <w:b/>
          <w:color w:val="auto"/>
          <w:sz w:val="44"/>
          <w:highlight w:val="none"/>
        </w:rPr>
      </w:pPr>
    </w:p>
    <w:p w14:paraId="2CD7E927">
      <w:pPr>
        <w:rPr>
          <w:rFonts w:hint="eastAsia" w:ascii="仿宋" w:hAnsi="仿宋" w:eastAsia="仿宋" w:cs="仿宋"/>
          <w:b/>
          <w:color w:val="auto"/>
          <w:sz w:val="44"/>
          <w:highlight w:val="none"/>
        </w:rPr>
      </w:pPr>
      <w:bookmarkStart w:id="190" w:name="_Toc186493270"/>
      <w:r>
        <w:rPr>
          <w:rFonts w:hint="eastAsia" w:ascii="仿宋" w:hAnsi="仿宋" w:eastAsia="仿宋" w:cs="仿宋"/>
          <w:b/>
          <w:color w:val="auto"/>
          <w:sz w:val="44"/>
          <w:highlight w:val="none"/>
        </w:rPr>
        <w:br w:type="page"/>
      </w:r>
    </w:p>
    <w:p w14:paraId="15D61460">
      <w:pPr>
        <w:spacing w:line="360" w:lineRule="auto"/>
        <w:jc w:val="center"/>
        <w:outlineLvl w:val="0"/>
        <w:rPr>
          <w:rFonts w:ascii="仿宋" w:hAnsi="仿宋" w:eastAsia="仿宋" w:cs="仿宋"/>
          <w:bCs/>
          <w:color w:val="auto"/>
          <w:sz w:val="44"/>
          <w:highlight w:val="none"/>
        </w:rPr>
      </w:pPr>
      <w:r>
        <w:rPr>
          <w:rFonts w:hint="eastAsia" w:ascii="仿宋" w:hAnsi="仿宋" w:eastAsia="仿宋" w:cs="仿宋"/>
          <w:b/>
          <w:color w:val="auto"/>
          <w:sz w:val="44"/>
          <w:highlight w:val="none"/>
        </w:rPr>
        <w:t>第四章  评标方</w:t>
      </w:r>
      <w:r>
        <w:rPr>
          <w:rFonts w:hint="eastAsia" w:ascii="仿宋" w:hAnsi="仿宋" w:eastAsia="仿宋" w:cs="仿宋"/>
          <w:b/>
          <w:bCs/>
          <w:color w:val="auto"/>
          <w:sz w:val="44"/>
          <w:highlight w:val="none"/>
        </w:rPr>
        <w:t>法与评标标准</w:t>
      </w:r>
      <w:bookmarkEnd w:id="190"/>
    </w:p>
    <w:p w14:paraId="1EDF46F6">
      <w:pPr>
        <w:outlineLvl w:val="1"/>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一、评审方法：</w:t>
      </w:r>
    </w:p>
    <w:p w14:paraId="1F0B74AC">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用综合评分法，由评标委员会对投标人资格进行审查，然后对符合资格的投标人的投标文件进行符合性审查，最后评标委员会对符合性审查合格的投标文件商务、技术部分进行评估，综合比较与评价。投标人商务技术分和价格分的合计分值，为该投标人的评标总得分。</w:t>
      </w:r>
    </w:p>
    <w:p w14:paraId="4891ACDF">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评标结果按评审后得分由高到低顺序排列，确定中标候选人名单并按顺序确定中标人。得分相同的，按投标报价由低到高顺序排列。得分且投标报价相同的并列,按照技术指标优劣顺序推荐。</w:t>
      </w:r>
    </w:p>
    <w:tbl>
      <w:tblPr>
        <w:tblStyle w:val="36"/>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6"/>
        <w:gridCol w:w="2461"/>
        <w:gridCol w:w="5390"/>
      </w:tblGrid>
      <w:tr w14:paraId="44843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noWrap w:val="0"/>
            <w:vAlign w:val="center"/>
          </w:tcPr>
          <w:p w14:paraId="07753204">
            <w:pPr>
              <w:spacing w:line="500" w:lineRule="exact"/>
              <w:ind w:firstLine="2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分包号</w:t>
            </w:r>
          </w:p>
        </w:tc>
        <w:tc>
          <w:tcPr>
            <w:tcW w:w="2461" w:type="dxa"/>
            <w:noWrap w:val="0"/>
            <w:vAlign w:val="center"/>
          </w:tcPr>
          <w:p w14:paraId="7E93FA01">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选取中标候选人数量</w:t>
            </w:r>
          </w:p>
        </w:tc>
        <w:tc>
          <w:tcPr>
            <w:tcW w:w="5390" w:type="dxa"/>
            <w:noWrap w:val="0"/>
            <w:vAlign w:val="center"/>
          </w:tcPr>
          <w:p w14:paraId="34C6906C">
            <w:pPr>
              <w:spacing w:line="500" w:lineRule="exact"/>
              <w:ind w:firstLine="135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选取中标候选人的原则</w:t>
            </w:r>
          </w:p>
        </w:tc>
      </w:tr>
      <w:tr w14:paraId="2D2CF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noWrap w:val="0"/>
            <w:vAlign w:val="center"/>
          </w:tcPr>
          <w:p w14:paraId="56B9EF6D">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461" w:type="dxa"/>
            <w:noWrap w:val="0"/>
            <w:vAlign w:val="center"/>
          </w:tcPr>
          <w:p w14:paraId="6A968598">
            <w:pPr>
              <w:spacing w:line="500" w:lineRule="exact"/>
              <w:ind w:firstLine="873"/>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390" w:type="dxa"/>
            <w:noWrap w:val="0"/>
            <w:vAlign w:val="center"/>
          </w:tcPr>
          <w:p w14:paraId="5F6A33A6">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满足招标文件全部实质性要求，且按照评审因素的量化指标评审得分最高的投标人为中标候选人。</w:t>
            </w:r>
          </w:p>
        </w:tc>
      </w:tr>
    </w:tbl>
    <w:p w14:paraId="6C6D5588">
      <w:pPr>
        <w:spacing w:line="5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二、政府采购政策功能落实：</w:t>
      </w:r>
    </w:p>
    <w:p w14:paraId="720F6334">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1、小微型企业价格扣除</w:t>
      </w:r>
    </w:p>
    <w:p w14:paraId="46DA0669">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（1）本项目对小型和微型企业产品给予10%的扣除价格，用扣除后的价格参与评审。</w:t>
      </w:r>
    </w:p>
    <w:p w14:paraId="7C8BCBCB">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（2）供应商需按照《政府采购促进中小企业发展管理办法》（财库﹝2020﹞46 号）的规定提供相应的《中小企业声明函》。</w:t>
      </w:r>
    </w:p>
    <w:p w14:paraId="0E1248CF">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（3）企业标准请参照《关于印发中小企业划型标准规定的通知》（工信部联企业[2011]300号）文件规定自行填写。</w:t>
      </w:r>
    </w:p>
    <w:p w14:paraId="79309331">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2、残疾人福利单位价格扣除</w:t>
      </w:r>
    </w:p>
    <w:p w14:paraId="6FA057F4">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（1）本项目对残疾人福利性单位，给予10%的价格扣除，用扣除后的价格参与评审。</w:t>
      </w:r>
    </w:p>
    <w:p w14:paraId="0331DF53">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（2）残疾人福利单位需按照招标文件的要求提供《残疾人福利性单位声明函》。</w:t>
      </w:r>
    </w:p>
    <w:p w14:paraId="5F2B08A5">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（3）残疾人福利单位标准请参照《关于促进残疾人就业政府采购政策的通知》（财库〔2017〕141号）。</w:t>
      </w:r>
    </w:p>
    <w:p w14:paraId="6CC15C4E">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3、监狱和戒毒企业价格扣除</w:t>
      </w:r>
    </w:p>
    <w:p w14:paraId="3EDE039E">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（1）本项目对监狱和戒毒企业（简称监狱企业）给予10%的价格扣除，用扣除后的价格参与评审。</w:t>
      </w:r>
    </w:p>
    <w:p w14:paraId="3FABF836">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109752C">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（3）监狱企业标准请参照《关于政府采购支持监狱企业发展有关问题的通知》（财库[2014]68号）。</w:t>
      </w:r>
    </w:p>
    <w:p w14:paraId="45E39545">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4、残疾人福利单位、监狱企业属于小型、微型企业的，不重复享受政策。</w:t>
      </w:r>
    </w:p>
    <w:p w14:paraId="0758299D">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如本项目同意联合体参加投标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扣除，用扣除后的价格参与评审。</w:t>
      </w:r>
    </w:p>
    <w:p w14:paraId="4E62F9A0">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6、联合体各方均为小型、微型企业（残疾人福利单位、监狱企业）的，联合体享受10%价格扣除，用扣除后的价格参与评审。</w:t>
      </w:r>
    </w:p>
    <w:p w14:paraId="486D25F3">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7、专门面向中小企业采购的项目或者采购包，不再执行价格评审优惠的扶持政策。</w:t>
      </w:r>
    </w:p>
    <w:p w14:paraId="43112D77">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8、根据《江苏省政府采购信用管理暂行办法》的规定，供应商信用评价结果为三星的扣2分，评价结果为二星的扣3分，评价结果为一星的扣4分。</w:t>
      </w:r>
    </w:p>
    <w:p w14:paraId="37D7E03C">
      <w:pPr>
        <w:spacing w:line="5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三、评标方法与评标标准：</w:t>
      </w:r>
    </w:p>
    <w:p w14:paraId="2584EB1D">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本项目采用综合评分法。评委会将按下列评审因素与评审标准进行评分，总分值为100分。</w:t>
      </w:r>
    </w:p>
    <w:p w14:paraId="36DCC3A3">
      <w:pPr>
        <w:spacing w:line="500" w:lineRule="exact"/>
        <w:ind w:firstLine="241"/>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3.1、价格分（</w:t>
      </w:r>
      <w:r>
        <w:rPr>
          <w:rFonts w:hint="eastAsia" w:ascii="仿宋" w:hAnsi="仿宋" w:eastAsia="仿宋" w:cs="仿宋"/>
          <w:b/>
          <w:bCs/>
          <w:color w:val="auto"/>
          <w:sz w:val="24"/>
          <w:szCs w:val="24"/>
          <w:highlight w:val="none"/>
          <w:lang w:val="en-US" w:eastAsia="zh-CN"/>
        </w:rPr>
        <w:t>30</w:t>
      </w:r>
      <w:r>
        <w:rPr>
          <w:rFonts w:hint="eastAsia" w:ascii="仿宋" w:hAnsi="仿宋" w:eastAsia="仿宋" w:cs="仿宋"/>
          <w:b/>
          <w:bCs/>
          <w:color w:val="auto"/>
          <w:sz w:val="24"/>
          <w:szCs w:val="24"/>
          <w:highlight w:val="none"/>
        </w:rPr>
        <w:t>分）：</w:t>
      </w:r>
    </w:p>
    <w:p w14:paraId="26EC48E7">
      <w:pPr>
        <w:spacing w:line="500" w:lineRule="exact"/>
        <w:ind w:firstLine="555"/>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统一采用低价优先法计算，即满足招标文件要求且投标价格最低的投标报价为评标基准价，其价格分为满分。其他投标人的价格分统一按照下列公式计算（注：计算过程和最后得分均四舍五入保留小数点后两位数）：</w:t>
      </w:r>
    </w:p>
    <w:p w14:paraId="29DBB2EF">
      <w:pPr>
        <w:spacing w:line="500" w:lineRule="exact"/>
        <w:ind w:firstLine="555"/>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投标报价得分=（评标基准价/投标报价）×价格权值×100</w:t>
      </w:r>
      <w:r>
        <w:rPr>
          <w:rFonts w:hint="eastAsia" w:ascii="仿宋" w:hAnsi="仿宋" w:eastAsia="仿宋" w:cs="仿宋"/>
          <w:color w:val="auto"/>
          <w:sz w:val="24"/>
          <w:szCs w:val="24"/>
          <w:highlight w:val="none"/>
          <w:lang w:val="en-US" w:eastAsia="zh-CN"/>
        </w:rPr>
        <w:t>%</w:t>
      </w:r>
    </w:p>
    <w:p w14:paraId="36C9353C">
      <w:pPr>
        <w:spacing w:line="500" w:lineRule="exact"/>
        <w:ind w:firstLine="241"/>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3.2、商务技术分（</w:t>
      </w:r>
      <w:r>
        <w:rPr>
          <w:rFonts w:hint="eastAsia" w:ascii="仿宋" w:hAnsi="仿宋" w:eastAsia="仿宋" w:cs="仿宋"/>
          <w:b/>
          <w:bCs/>
          <w:color w:val="auto"/>
          <w:sz w:val="24"/>
          <w:szCs w:val="24"/>
          <w:highlight w:val="none"/>
          <w:lang w:val="en-US" w:eastAsia="zh-CN"/>
        </w:rPr>
        <w:t>70</w:t>
      </w:r>
      <w:r>
        <w:rPr>
          <w:rFonts w:hint="eastAsia" w:ascii="仿宋" w:hAnsi="仿宋" w:eastAsia="仿宋" w:cs="仿宋"/>
          <w:b/>
          <w:bCs/>
          <w:color w:val="auto"/>
          <w:sz w:val="24"/>
          <w:szCs w:val="24"/>
          <w:highlight w:val="none"/>
        </w:rPr>
        <w:t>分）：</w:t>
      </w:r>
    </w:p>
    <w:p w14:paraId="5CACF375">
      <w:pPr>
        <w:spacing w:line="500" w:lineRule="exact"/>
        <w:ind w:firstLine="555"/>
        <w:rPr>
          <w:rFonts w:ascii="仿宋" w:hAnsi="仿宋" w:eastAsia="仿宋" w:cs="仿宋"/>
          <w:color w:val="auto"/>
          <w:highlight w:val="none"/>
        </w:rPr>
      </w:pPr>
      <w:r>
        <w:rPr>
          <w:rFonts w:hint="eastAsia" w:ascii="仿宋" w:hAnsi="仿宋" w:eastAsia="仿宋" w:cs="仿宋"/>
          <w:color w:val="auto"/>
          <w:sz w:val="24"/>
          <w:szCs w:val="24"/>
          <w:highlight w:val="none"/>
        </w:rPr>
        <w:t>各供应商得分为评标小组成员评分的算术平均分，分值保留小数点后两位。</w:t>
      </w:r>
    </w:p>
    <w:tbl>
      <w:tblPr>
        <w:tblStyle w:val="36"/>
        <w:tblW w:w="8975" w:type="dxa"/>
        <w:jc w:val="center"/>
        <w:tblLayout w:type="fixed"/>
        <w:tblCellMar>
          <w:top w:w="0" w:type="dxa"/>
          <w:left w:w="108" w:type="dxa"/>
          <w:bottom w:w="0" w:type="dxa"/>
          <w:right w:w="108" w:type="dxa"/>
        </w:tblCellMar>
      </w:tblPr>
      <w:tblGrid>
        <w:gridCol w:w="769"/>
        <w:gridCol w:w="1487"/>
        <w:gridCol w:w="5719"/>
        <w:gridCol w:w="1000"/>
      </w:tblGrid>
      <w:tr w14:paraId="3EEAB997">
        <w:tblPrEx>
          <w:tblCellMar>
            <w:top w:w="0" w:type="dxa"/>
            <w:left w:w="108" w:type="dxa"/>
            <w:bottom w:w="0" w:type="dxa"/>
            <w:right w:w="108" w:type="dxa"/>
          </w:tblCellMar>
        </w:tblPrEx>
        <w:trPr>
          <w:trHeight w:val="450" w:hRule="atLeast"/>
          <w:jc w:val="center"/>
        </w:trPr>
        <w:tc>
          <w:tcPr>
            <w:tcW w:w="769" w:type="dxa"/>
            <w:tcBorders>
              <w:top w:val="single" w:color="000000" w:sz="4" w:space="0"/>
              <w:left w:val="single" w:color="000000" w:sz="4" w:space="0"/>
              <w:bottom w:val="single" w:color="000000" w:sz="4" w:space="0"/>
              <w:right w:val="single" w:color="000000" w:sz="4" w:space="0"/>
            </w:tcBorders>
            <w:noWrap w:val="0"/>
            <w:vAlign w:val="center"/>
          </w:tcPr>
          <w:p w14:paraId="48527392">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序号</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325ED7A3">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评分点名称</w:t>
            </w:r>
          </w:p>
        </w:tc>
        <w:tc>
          <w:tcPr>
            <w:tcW w:w="5719" w:type="dxa"/>
            <w:tcBorders>
              <w:top w:val="single" w:color="000000" w:sz="4" w:space="0"/>
              <w:left w:val="single" w:color="000000" w:sz="4" w:space="0"/>
              <w:bottom w:val="single" w:color="000000" w:sz="4" w:space="0"/>
              <w:right w:val="single" w:color="000000" w:sz="4" w:space="0"/>
            </w:tcBorders>
            <w:noWrap w:val="0"/>
            <w:vAlign w:val="center"/>
          </w:tcPr>
          <w:p w14:paraId="759A1B5A">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评审标准</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195DECC">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分值（分）</w:t>
            </w:r>
          </w:p>
        </w:tc>
      </w:tr>
      <w:tr w14:paraId="3FA49618">
        <w:tblPrEx>
          <w:tblCellMar>
            <w:top w:w="0" w:type="dxa"/>
            <w:left w:w="108" w:type="dxa"/>
            <w:bottom w:w="0" w:type="dxa"/>
            <w:right w:w="108" w:type="dxa"/>
          </w:tblCellMar>
        </w:tblPrEx>
        <w:trPr>
          <w:trHeight w:val="90" w:hRule="atLeast"/>
          <w:jc w:val="center"/>
        </w:trPr>
        <w:tc>
          <w:tcPr>
            <w:tcW w:w="769" w:type="dxa"/>
            <w:tcBorders>
              <w:top w:val="single" w:color="000000" w:sz="4" w:space="0"/>
              <w:left w:val="single" w:color="000000" w:sz="4" w:space="0"/>
              <w:bottom w:val="single" w:color="000000" w:sz="4" w:space="0"/>
              <w:right w:val="single" w:color="000000" w:sz="4" w:space="0"/>
            </w:tcBorders>
            <w:noWrap w:val="0"/>
            <w:vAlign w:val="center"/>
          </w:tcPr>
          <w:p w14:paraId="648ABD71">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08BAC776">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企业经营业绩（10分）</w:t>
            </w:r>
          </w:p>
        </w:tc>
        <w:tc>
          <w:tcPr>
            <w:tcW w:w="5719" w:type="dxa"/>
            <w:tcBorders>
              <w:top w:val="single" w:color="000000" w:sz="4" w:space="0"/>
              <w:left w:val="single" w:color="000000" w:sz="4" w:space="0"/>
              <w:bottom w:val="single" w:color="000000" w:sz="4" w:space="0"/>
              <w:right w:val="single" w:color="000000" w:sz="4" w:space="0"/>
            </w:tcBorders>
            <w:noWrap w:val="0"/>
            <w:vAlign w:val="center"/>
          </w:tcPr>
          <w:p w14:paraId="6CD7E860">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投标人自202</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年1月1日以来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以合同签订时间为准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承担过</w:t>
            </w:r>
            <w:r>
              <w:rPr>
                <w:rFonts w:hint="eastAsia" w:ascii="仿宋" w:hAnsi="仿宋" w:eastAsia="仿宋" w:cs="仿宋"/>
                <w:color w:val="auto"/>
                <w:sz w:val="24"/>
                <w:szCs w:val="24"/>
                <w:highlight w:val="none"/>
                <w:lang w:val="en-US" w:eastAsia="zh-CN"/>
              </w:rPr>
              <w:t>乡镇（街道）</w:t>
            </w:r>
            <w:r>
              <w:rPr>
                <w:rFonts w:hint="eastAsia" w:ascii="仿宋" w:hAnsi="仿宋" w:eastAsia="仿宋" w:cs="仿宋"/>
                <w:color w:val="auto"/>
                <w:sz w:val="24"/>
                <w:szCs w:val="24"/>
                <w:highlight w:val="none"/>
              </w:rPr>
              <w:t>年度类似本项目业绩，有一个业绩得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分，本项最多得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49A6CD2A">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提供合同扫描件并加盖投标单位红色实物公章或电子签章。</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C141D52">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bidi="ar"/>
              </w:rPr>
              <w:t>10</w:t>
            </w:r>
          </w:p>
        </w:tc>
      </w:tr>
      <w:tr w14:paraId="229FFD37">
        <w:tblPrEx>
          <w:tblCellMar>
            <w:top w:w="0" w:type="dxa"/>
            <w:left w:w="108" w:type="dxa"/>
            <w:bottom w:w="0" w:type="dxa"/>
            <w:right w:w="108" w:type="dxa"/>
          </w:tblCellMar>
        </w:tblPrEx>
        <w:trPr>
          <w:trHeight w:val="1560" w:hRule="atLeast"/>
          <w:jc w:val="center"/>
        </w:trPr>
        <w:tc>
          <w:tcPr>
            <w:tcW w:w="769" w:type="dxa"/>
            <w:tcBorders>
              <w:top w:val="single" w:color="000000" w:sz="4" w:space="0"/>
              <w:left w:val="single" w:color="000000" w:sz="4" w:space="0"/>
              <w:bottom w:val="single" w:color="000000" w:sz="4" w:space="0"/>
              <w:right w:val="single" w:color="000000" w:sz="4" w:space="0"/>
            </w:tcBorders>
            <w:noWrap w:val="0"/>
            <w:vAlign w:val="center"/>
          </w:tcPr>
          <w:p w14:paraId="22D73757">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2</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7DDDCFEF">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企业经营效果（15分）</w:t>
            </w:r>
          </w:p>
        </w:tc>
        <w:tc>
          <w:tcPr>
            <w:tcW w:w="5719" w:type="dxa"/>
            <w:tcBorders>
              <w:top w:val="single" w:color="000000" w:sz="4" w:space="0"/>
              <w:left w:val="single" w:color="000000" w:sz="4" w:space="0"/>
              <w:bottom w:val="single" w:color="000000" w:sz="4" w:space="0"/>
              <w:right w:val="single" w:color="000000" w:sz="4" w:space="0"/>
            </w:tcBorders>
            <w:noWrap w:val="0"/>
            <w:vAlign w:val="center"/>
          </w:tcPr>
          <w:p w14:paraId="36FCEE0F">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val="en-US" w:eastAsia="zh-CN" w:bidi="ar"/>
              </w:rPr>
              <w:t>2021年度—2024年度中</w:t>
            </w:r>
            <w:r>
              <w:rPr>
                <w:rFonts w:hint="eastAsia" w:ascii="仿宋" w:hAnsi="仿宋" w:eastAsia="仿宋" w:cs="仿宋"/>
                <w:color w:val="auto"/>
                <w:kern w:val="0"/>
                <w:sz w:val="24"/>
                <w:szCs w:val="24"/>
                <w:highlight w:val="none"/>
                <w:lang w:bidi="ar"/>
              </w:rPr>
              <w:t>投标人所服务</w:t>
            </w:r>
            <w:r>
              <w:rPr>
                <w:rFonts w:hint="eastAsia" w:ascii="仿宋" w:hAnsi="仿宋" w:eastAsia="仿宋" w:cs="仿宋"/>
                <w:color w:val="auto"/>
                <w:kern w:val="0"/>
                <w:sz w:val="24"/>
                <w:szCs w:val="24"/>
                <w:highlight w:val="none"/>
                <w:lang w:val="en-US" w:eastAsia="zh-CN" w:bidi="ar"/>
              </w:rPr>
              <w:t>的</w:t>
            </w:r>
            <w:r>
              <w:rPr>
                <w:rFonts w:hint="eastAsia" w:ascii="仿宋" w:hAnsi="仿宋" w:eastAsia="仿宋" w:cs="仿宋"/>
                <w:color w:val="auto"/>
                <w:kern w:val="0"/>
                <w:sz w:val="24"/>
                <w:szCs w:val="24"/>
                <w:highlight w:val="none"/>
                <w:lang w:bidi="ar"/>
              </w:rPr>
              <w:t>类似本项目的乡镇，年度考核在全县（市、区）中排名第1-</w:t>
            </w:r>
            <w:r>
              <w:rPr>
                <w:rFonts w:hint="eastAsia" w:ascii="仿宋" w:hAnsi="仿宋" w:eastAsia="仿宋" w:cs="仿宋"/>
                <w:color w:val="auto"/>
                <w:kern w:val="0"/>
                <w:sz w:val="24"/>
                <w:szCs w:val="24"/>
                <w:highlight w:val="none"/>
                <w:lang w:val="en-US" w:eastAsia="zh-CN" w:bidi="ar"/>
              </w:rPr>
              <w:t>2</w:t>
            </w:r>
            <w:r>
              <w:rPr>
                <w:rFonts w:hint="eastAsia" w:ascii="仿宋" w:hAnsi="仿宋" w:eastAsia="仿宋" w:cs="仿宋"/>
                <w:color w:val="auto"/>
                <w:kern w:val="0"/>
                <w:sz w:val="24"/>
                <w:szCs w:val="24"/>
                <w:highlight w:val="none"/>
                <w:lang w:bidi="ar"/>
              </w:rPr>
              <w:t>名，每年度得</w:t>
            </w:r>
            <w:r>
              <w:rPr>
                <w:rFonts w:hint="eastAsia" w:ascii="仿宋" w:hAnsi="仿宋" w:eastAsia="仿宋" w:cs="仿宋"/>
                <w:color w:val="auto"/>
                <w:kern w:val="0"/>
                <w:sz w:val="24"/>
                <w:szCs w:val="24"/>
                <w:highlight w:val="none"/>
                <w:lang w:val="en-US" w:eastAsia="zh-CN" w:bidi="ar"/>
              </w:rPr>
              <w:t>5</w:t>
            </w:r>
            <w:r>
              <w:rPr>
                <w:rFonts w:hint="eastAsia" w:ascii="仿宋" w:hAnsi="仿宋" w:eastAsia="仿宋" w:cs="仿宋"/>
                <w:color w:val="auto"/>
                <w:kern w:val="0"/>
                <w:sz w:val="24"/>
                <w:szCs w:val="24"/>
                <w:highlight w:val="none"/>
                <w:lang w:bidi="ar"/>
              </w:rPr>
              <w:t>分；第</w:t>
            </w:r>
            <w:r>
              <w:rPr>
                <w:rFonts w:hint="eastAsia" w:ascii="仿宋" w:hAnsi="仿宋" w:eastAsia="仿宋" w:cs="仿宋"/>
                <w:color w:val="auto"/>
                <w:kern w:val="0"/>
                <w:sz w:val="24"/>
                <w:szCs w:val="24"/>
                <w:highlight w:val="none"/>
                <w:lang w:val="en-US" w:eastAsia="zh-CN" w:bidi="ar"/>
              </w:rPr>
              <w:t>3</w:t>
            </w:r>
            <w:r>
              <w:rPr>
                <w:rFonts w:hint="eastAsia" w:ascii="仿宋" w:hAnsi="仿宋" w:eastAsia="仿宋" w:cs="仿宋"/>
                <w:color w:val="auto"/>
                <w:kern w:val="0"/>
                <w:sz w:val="24"/>
                <w:szCs w:val="24"/>
                <w:highlight w:val="none"/>
                <w:lang w:bidi="ar"/>
              </w:rPr>
              <w:t>-</w:t>
            </w:r>
            <w:r>
              <w:rPr>
                <w:rFonts w:hint="eastAsia" w:ascii="仿宋" w:hAnsi="仿宋" w:eastAsia="仿宋" w:cs="仿宋"/>
                <w:color w:val="auto"/>
                <w:kern w:val="0"/>
                <w:sz w:val="24"/>
                <w:szCs w:val="24"/>
                <w:highlight w:val="none"/>
                <w:lang w:val="en-US" w:eastAsia="zh-CN" w:bidi="ar"/>
              </w:rPr>
              <w:t>5</w:t>
            </w:r>
            <w:r>
              <w:rPr>
                <w:rFonts w:hint="eastAsia" w:ascii="仿宋" w:hAnsi="仿宋" w:eastAsia="仿宋" w:cs="仿宋"/>
                <w:color w:val="auto"/>
                <w:kern w:val="0"/>
                <w:sz w:val="24"/>
                <w:szCs w:val="24"/>
                <w:highlight w:val="none"/>
                <w:lang w:bidi="ar"/>
              </w:rPr>
              <w:t>名，每年度得</w:t>
            </w:r>
            <w:r>
              <w:rPr>
                <w:rFonts w:hint="eastAsia" w:ascii="仿宋" w:hAnsi="仿宋" w:eastAsia="仿宋" w:cs="仿宋"/>
                <w:color w:val="auto"/>
                <w:kern w:val="0"/>
                <w:sz w:val="24"/>
                <w:szCs w:val="24"/>
                <w:highlight w:val="none"/>
                <w:lang w:val="en-US" w:eastAsia="zh-CN" w:bidi="ar"/>
              </w:rPr>
              <w:t>2</w:t>
            </w:r>
            <w:r>
              <w:rPr>
                <w:rFonts w:hint="eastAsia" w:ascii="仿宋" w:hAnsi="仿宋" w:eastAsia="仿宋" w:cs="仿宋"/>
                <w:color w:val="auto"/>
                <w:kern w:val="0"/>
                <w:sz w:val="24"/>
                <w:szCs w:val="24"/>
                <w:highlight w:val="none"/>
                <w:lang w:bidi="ar"/>
              </w:rPr>
              <w:t>分</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第5名以后不得分，</w:t>
            </w:r>
            <w:r>
              <w:rPr>
                <w:rFonts w:hint="eastAsia" w:ascii="仿宋" w:hAnsi="仿宋" w:eastAsia="仿宋" w:cs="仿宋"/>
                <w:color w:val="auto"/>
                <w:kern w:val="0"/>
                <w:sz w:val="24"/>
                <w:szCs w:val="24"/>
                <w:highlight w:val="none"/>
                <w:lang w:bidi="ar"/>
              </w:rPr>
              <w:t>本项最多得</w:t>
            </w:r>
            <w:r>
              <w:rPr>
                <w:rFonts w:hint="eastAsia" w:ascii="仿宋" w:hAnsi="仿宋" w:eastAsia="仿宋" w:cs="仿宋"/>
                <w:color w:val="auto"/>
                <w:kern w:val="0"/>
                <w:sz w:val="24"/>
                <w:szCs w:val="24"/>
                <w:highlight w:val="none"/>
                <w:lang w:val="en-US" w:eastAsia="zh-CN" w:bidi="ar"/>
              </w:rPr>
              <w:t>15</w:t>
            </w:r>
            <w:r>
              <w:rPr>
                <w:rFonts w:hint="eastAsia" w:ascii="仿宋" w:hAnsi="仿宋" w:eastAsia="仿宋" w:cs="仿宋"/>
                <w:color w:val="auto"/>
                <w:kern w:val="0"/>
                <w:sz w:val="24"/>
                <w:szCs w:val="24"/>
                <w:highlight w:val="none"/>
                <w:lang w:bidi="ar"/>
              </w:rPr>
              <w:t>分。（项目不累积</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以每年最高排名计分</w:t>
            </w:r>
            <w:r>
              <w:rPr>
                <w:rFonts w:hint="eastAsia" w:ascii="仿宋" w:hAnsi="仿宋" w:eastAsia="仿宋" w:cs="仿宋"/>
                <w:color w:val="auto"/>
                <w:kern w:val="0"/>
                <w:sz w:val="24"/>
                <w:szCs w:val="24"/>
                <w:highlight w:val="none"/>
                <w:lang w:bidi="ar"/>
              </w:rPr>
              <w:t>）</w:t>
            </w:r>
          </w:p>
          <w:p w14:paraId="70058011">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bidi="ar"/>
              </w:rPr>
              <w:t>提供</w:t>
            </w:r>
            <w:r>
              <w:rPr>
                <w:rFonts w:hint="eastAsia" w:ascii="仿宋" w:hAnsi="仿宋" w:eastAsia="仿宋" w:cs="仿宋"/>
                <w:color w:val="auto"/>
                <w:kern w:val="0"/>
                <w:sz w:val="24"/>
                <w:szCs w:val="24"/>
                <w:highlight w:val="none"/>
                <w:lang w:val="en-US" w:eastAsia="zh-CN" w:bidi="ar"/>
              </w:rPr>
              <w:t>服务合同及职能部门出具的</w:t>
            </w:r>
            <w:r>
              <w:rPr>
                <w:rFonts w:hint="eastAsia" w:ascii="仿宋" w:hAnsi="仿宋" w:eastAsia="仿宋" w:cs="仿宋"/>
                <w:color w:val="auto"/>
                <w:kern w:val="0"/>
                <w:sz w:val="24"/>
                <w:szCs w:val="24"/>
                <w:highlight w:val="none"/>
                <w:lang w:bidi="ar"/>
              </w:rPr>
              <w:t>证明材料扫描件并加盖投标单位红色实物公章或电子签章</w:t>
            </w:r>
            <w:r>
              <w:rPr>
                <w:rFonts w:hint="eastAsia" w:ascii="仿宋" w:hAnsi="仿宋" w:eastAsia="仿宋" w:cs="仿宋"/>
                <w:color w:val="auto"/>
                <w:kern w:val="0"/>
                <w:sz w:val="24"/>
                <w:szCs w:val="24"/>
                <w:highlight w:val="none"/>
                <w:lang w:eastAsia="zh-CN" w:bidi="ar"/>
              </w:rPr>
              <w:t>。</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02586C9">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15</w:t>
            </w:r>
          </w:p>
        </w:tc>
      </w:tr>
      <w:tr w14:paraId="1DC6E547">
        <w:tblPrEx>
          <w:tblCellMar>
            <w:top w:w="0" w:type="dxa"/>
            <w:left w:w="108" w:type="dxa"/>
            <w:bottom w:w="0" w:type="dxa"/>
            <w:right w:w="108" w:type="dxa"/>
          </w:tblCellMar>
        </w:tblPrEx>
        <w:trPr>
          <w:trHeight w:val="90" w:hRule="atLeast"/>
          <w:jc w:val="center"/>
        </w:trPr>
        <w:tc>
          <w:tcPr>
            <w:tcW w:w="769" w:type="dxa"/>
            <w:tcBorders>
              <w:top w:val="single" w:color="000000" w:sz="4" w:space="0"/>
              <w:left w:val="single" w:color="000000" w:sz="4" w:space="0"/>
              <w:bottom w:val="single" w:color="000000" w:sz="4" w:space="0"/>
              <w:right w:val="single" w:color="000000" w:sz="4" w:space="0"/>
            </w:tcBorders>
            <w:noWrap w:val="0"/>
            <w:vAlign w:val="center"/>
          </w:tcPr>
          <w:p w14:paraId="6FB3D1DF">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val="en-US" w:eastAsia="zh-CN" w:bidi="ar"/>
              </w:rPr>
              <w:t>3</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246C846C">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bidi="ar"/>
              </w:rPr>
              <w:t>企业</w:t>
            </w:r>
            <w:r>
              <w:rPr>
                <w:rFonts w:hint="eastAsia" w:ascii="仿宋" w:hAnsi="仿宋" w:eastAsia="仿宋" w:cs="仿宋"/>
                <w:b/>
                <w:bCs/>
                <w:color w:val="auto"/>
                <w:kern w:val="0"/>
                <w:sz w:val="24"/>
                <w:szCs w:val="24"/>
                <w:highlight w:val="none"/>
                <w:lang w:val="en-US" w:eastAsia="zh-CN" w:bidi="ar"/>
              </w:rPr>
              <w:t>认证证书</w:t>
            </w:r>
          </w:p>
          <w:p w14:paraId="6B884AC0">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w:t>
            </w:r>
            <w:r>
              <w:rPr>
                <w:rFonts w:hint="eastAsia" w:ascii="仿宋" w:hAnsi="仿宋" w:eastAsia="仿宋" w:cs="仿宋"/>
                <w:b/>
                <w:bCs/>
                <w:color w:val="auto"/>
                <w:kern w:val="0"/>
                <w:sz w:val="24"/>
                <w:szCs w:val="24"/>
                <w:highlight w:val="none"/>
                <w:lang w:val="en-US" w:eastAsia="zh-CN" w:bidi="ar"/>
              </w:rPr>
              <w:t>3</w:t>
            </w:r>
            <w:r>
              <w:rPr>
                <w:rFonts w:hint="eastAsia" w:ascii="仿宋" w:hAnsi="仿宋" w:eastAsia="仿宋" w:cs="仿宋"/>
                <w:b/>
                <w:bCs/>
                <w:color w:val="auto"/>
                <w:kern w:val="0"/>
                <w:sz w:val="24"/>
                <w:szCs w:val="24"/>
                <w:highlight w:val="none"/>
                <w:lang w:bidi="ar"/>
              </w:rPr>
              <w:t>分）</w:t>
            </w:r>
          </w:p>
        </w:tc>
        <w:tc>
          <w:tcPr>
            <w:tcW w:w="5719" w:type="dxa"/>
            <w:tcBorders>
              <w:top w:val="single" w:color="000000" w:sz="4" w:space="0"/>
              <w:left w:val="single" w:color="000000" w:sz="4" w:space="0"/>
              <w:bottom w:val="single" w:color="000000" w:sz="4" w:space="0"/>
              <w:right w:val="single" w:color="000000" w:sz="4" w:space="0"/>
            </w:tcBorders>
            <w:noWrap w:val="0"/>
            <w:vAlign w:val="center"/>
          </w:tcPr>
          <w:p w14:paraId="5703163D">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val="en-US" w:eastAsia="zh-CN" w:bidi="ar"/>
              </w:rPr>
              <w:t>投标人</w:t>
            </w:r>
            <w:r>
              <w:rPr>
                <w:rFonts w:hint="eastAsia" w:ascii="仿宋" w:hAnsi="仿宋" w:eastAsia="仿宋" w:cs="仿宋"/>
                <w:color w:val="auto"/>
                <w:kern w:val="0"/>
                <w:sz w:val="24"/>
                <w:szCs w:val="24"/>
                <w:highlight w:val="none"/>
                <w:lang w:bidi="ar"/>
              </w:rPr>
              <w:t>具</w:t>
            </w:r>
            <w:r>
              <w:rPr>
                <w:rFonts w:hint="eastAsia" w:ascii="仿宋" w:hAnsi="仿宋" w:eastAsia="仿宋" w:cs="仿宋"/>
                <w:color w:val="auto"/>
                <w:kern w:val="0"/>
                <w:sz w:val="24"/>
                <w:szCs w:val="24"/>
                <w:highlight w:val="none"/>
                <w:lang w:val="en-US" w:eastAsia="zh-CN" w:bidi="ar"/>
              </w:rPr>
              <w:t>有质量管理体系认证（ISO9001）证书</w:t>
            </w:r>
            <w:r>
              <w:rPr>
                <w:rFonts w:hint="eastAsia" w:ascii="仿宋" w:hAnsi="仿宋" w:eastAsia="仿宋" w:cs="仿宋"/>
                <w:color w:val="auto"/>
                <w:kern w:val="0"/>
                <w:sz w:val="24"/>
                <w:szCs w:val="24"/>
                <w:highlight w:val="none"/>
                <w:lang w:bidi="ar"/>
              </w:rPr>
              <w:t>的得</w:t>
            </w:r>
            <w:r>
              <w:rPr>
                <w:rFonts w:hint="eastAsia" w:ascii="仿宋" w:hAnsi="仿宋" w:eastAsia="仿宋" w:cs="仿宋"/>
                <w:color w:val="auto"/>
                <w:kern w:val="0"/>
                <w:sz w:val="24"/>
                <w:szCs w:val="24"/>
                <w:highlight w:val="none"/>
                <w:lang w:val="en-US" w:eastAsia="zh-CN" w:bidi="ar"/>
              </w:rPr>
              <w:t>3</w:t>
            </w:r>
            <w:r>
              <w:rPr>
                <w:rFonts w:hint="eastAsia" w:ascii="仿宋" w:hAnsi="仿宋" w:eastAsia="仿宋" w:cs="仿宋"/>
                <w:color w:val="auto"/>
                <w:kern w:val="0"/>
                <w:sz w:val="24"/>
                <w:szCs w:val="24"/>
                <w:highlight w:val="none"/>
                <w:lang w:bidi="ar"/>
              </w:rPr>
              <w:t>分。</w:t>
            </w:r>
          </w:p>
          <w:p w14:paraId="548FAE91">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注：证书需在有效期内，提供证书扫描件</w:t>
            </w:r>
            <w:r>
              <w:rPr>
                <w:rFonts w:hint="eastAsia" w:ascii="仿宋" w:hAnsi="仿宋" w:eastAsia="仿宋" w:cs="仿宋"/>
                <w:color w:val="auto"/>
                <w:sz w:val="24"/>
                <w:szCs w:val="24"/>
                <w:highlight w:val="none"/>
              </w:rPr>
              <w:t>并加盖投标单位红色实物公章或电子签章</w:t>
            </w:r>
            <w:r>
              <w:rPr>
                <w:rFonts w:hint="eastAsia" w:ascii="仿宋" w:hAnsi="仿宋" w:eastAsia="仿宋" w:cs="仿宋"/>
                <w:color w:val="auto"/>
                <w:kern w:val="0"/>
                <w:sz w:val="24"/>
                <w:szCs w:val="24"/>
                <w:highlight w:val="none"/>
                <w:lang w:bidi="ar"/>
              </w:rPr>
              <w:t>。</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AD3D4AD">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val="en-US" w:eastAsia="zh-CN" w:bidi="ar"/>
              </w:rPr>
              <w:t>3</w:t>
            </w:r>
          </w:p>
        </w:tc>
      </w:tr>
      <w:tr w14:paraId="539F2536">
        <w:tblPrEx>
          <w:tblCellMar>
            <w:top w:w="0" w:type="dxa"/>
            <w:left w:w="108" w:type="dxa"/>
            <w:bottom w:w="0" w:type="dxa"/>
            <w:right w:w="108" w:type="dxa"/>
          </w:tblCellMar>
        </w:tblPrEx>
        <w:trPr>
          <w:trHeight w:val="90" w:hRule="atLeast"/>
          <w:jc w:val="center"/>
        </w:trPr>
        <w:tc>
          <w:tcPr>
            <w:tcW w:w="769" w:type="dxa"/>
            <w:tcBorders>
              <w:top w:val="single" w:color="000000" w:sz="4" w:space="0"/>
              <w:left w:val="single" w:color="000000" w:sz="4" w:space="0"/>
              <w:bottom w:val="single" w:color="000000" w:sz="4" w:space="0"/>
              <w:right w:val="single" w:color="000000" w:sz="4" w:space="0"/>
            </w:tcBorders>
            <w:noWrap w:val="0"/>
            <w:vAlign w:val="center"/>
          </w:tcPr>
          <w:p w14:paraId="17BFBCD8">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437EF076">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企业荣誉（6分）</w:t>
            </w:r>
          </w:p>
        </w:tc>
        <w:tc>
          <w:tcPr>
            <w:tcW w:w="5719" w:type="dxa"/>
            <w:tcBorders>
              <w:top w:val="single" w:color="000000" w:sz="4" w:space="0"/>
              <w:left w:val="single" w:color="000000" w:sz="4" w:space="0"/>
              <w:bottom w:val="single" w:color="000000" w:sz="4" w:space="0"/>
              <w:right w:val="single" w:color="000000" w:sz="4" w:space="0"/>
            </w:tcBorders>
            <w:noWrap w:val="0"/>
            <w:vAlign w:val="center"/>
          </w:tcPr>
          <w:p w14:paraId="5988B098">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投标人自2021年1月1日以来（时间以荣誉证书或获奖证书或者机关单位出具的文件为准）具有县级机关单位颁发的荣誉证书或者获奖证书的得1分；具有地市级机关单位颁发的荣誉证书或者获奖证书的得2分；具有省级及以上机关单位颁发的荣誉证书或者获奖证书的得3分，本项最多得6分。</w:t>
            </w:r>
          </w:p>
          <w:p w14:paraId="0B27355C">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注：提供荣誉证书或获奖证书或者机关单位出具的文件扫描件</w:t>
            </w:r>
            <w:r>
              <w:rPr>
                <w:rFonts w:hint="eastAsia" w:ascii="仿宋" w:hAnsi="仿宋" w:eastAsia="仿宋" w:cs="仿宋"/>
                <w:color w:val="auto"/>
                <w:sz w:val="24"/>
                <w:szCs w:val="24"/>
                <w:highlight w:val="none"/>
              </w:rPr>
              <w:t>并加盖投标单位红色实物公章或电子签章</w:t>
            </w:r>
            <w:r>
              <w:rPr>
                <w:rFonts w:hint="eastAsia" w:ascii="仿宋" w:hAnsi="仿宋" w:eastAsia="仿宋" w:cs="仿宋"/>
                <w:color w:val="auto"/>
                <w:sz w:val="24"/>
                <w:szCs w:val="24"/>
                <w:highlight w:val="none"/>
                <w:lang w:eastAsia="zh-CN"/>
              </w:rPr>
              <w:t>。</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7C2423F">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6</w:t>
            </w:r>
          </w:p>
        </w:tc>
      </w:tr>
      <w:tr w14:paraId="0CFE8507">
        <w:tblPrEx>
          <w:tblCellMar>
            <w:top w:w="0" w:type="dxa"/>
            <w:left w:w="108" w:type="dxa"/>
            <w:bottom w:w="0" w:type="dxa"/>
            <w:right w:w="108" w:type="dxa"/>
          </w:tblCellMar>
        </w:tblPrEx>
        <w:trPr>
          <w:trHeight w:val="430" w:hRule="atLeast"/>
          <w:jc w:val="center"/>
        </w:trPr>
        <w:tc>
          <w:tcPr>
            <w:tcW w:w="769" w:type="dxa"/>
            <w:tcBorders>
              <w:top w:val="single" w:color="000000" w:sz="4" w:space="0"/>
              <w:left w:val="single" w:color="000000" w:sz="4" w:space="0"/>
              <w:bottom w:val="single" w:color="000000" w:sz="4" w:space="0"/>
              <w:right w:val="single" w:color="000000" w:sz="4" w:space="0"/>
            </w:tcBorders>
            <w:noWrap w:val="0"/>
            <w:vAlign w:val="center"/>
          </w:tcPr>
          <w:p w14:paraId="20DBD0CC">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1487" w:type="dxa"/>
            <w:tcBorders>
              <w:top w:val="single" w:color="000000" w:sz="4" w:space="0"/>
              <w:left w:val="single" w:color="000000" w:sz="4" w:space="0"/>
              <w:bottom w:val="single" w:color="000000" w:sz="4" w:space="0"/>
              <w:right w:val="single" w:color="000000" w:sz="4" w:space="0"/>
            </w:tcBorders>
            <w:noWrap w:val="0"/>
            <w:vAlign w:val="center"/>
          </w:tcPr>
          <w:p w14:paraId="10BA6FF0">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b/>
                <w:bCs/>
                <w:color w:val="auto"/>
                <w:kern w:val="0"/>
                <w:sz w:val="24"/>
                <w:szCs w:val="24"/>
                <w:highlight w:val="none"/>
                <w:lang w:bidi="ar"/>
              </w:rPr>
            </w:pPr>
            <w:r>
              <w:rPr>
                <w:rFonts w:hint="eastAsia" w:ascii="仿宋" w:hAnsi="仿宋" w:eastAsia="仿宋" w:cs="仿宋"/>
                <w:b/>
                <w:bCs/>
                <w:color w:val="auto"/>
                <w:kern w:val="0"/>
                <w:sz w:val="24"/>
                <w:szCs w:val="24"/>
                <w:highlight w:val="none"/>
                <w:lang w:val="en-US" w:eastAsia="zh-CN" w:bidi="ar"/>
              </w:rPr>
              <w:t>企业</w:t>
            </w:r>
            <w:r>
              <w:rPr>
                <w:rFonts w:hint="eastAsia" w:ascii="仿宋" w:hAnsi="仿宋" w:eastAsia="仿宋" w:cs="仿宋"/>
                <w:b/>
                <w:bCs/>
                <w:color w:val="auto"/>
                <w:kern w:val="0"/>
                <w:sz w:val="24"/>
                <w:szCs w:val="24"/>
                <w:highlight w:val="none"/>
                <w:lang w:bidi="ar"/>
              </w:rPr>
              <w:t>综合实力</w:t>
            </w:r>
          </w:p>
          <w:p w14:paraId="6C58AEC0">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w:t>
            </w:r>
            <w:r>
              <w:rPr>
                <w:rFonts w:hint="eastAsia" w:ascii="仿宋" w:hAnsi="仿宋" w:eastAsia="仿宋" w:cs="仿宋"/>
                <w:b/>
                <w:bCs/>
                <w:color w:val="auto"/>
                <w:kern w:val="0"/>
                <w:sz w:val="24"/>
                <w:szCs w:val="24"/>
                <w:highlight w:val="none"/>
                <w:lang w:val="en-US" w:eastAsia="zh-CN" w:bidi="ar"/>
              </w:rPr>
              <w:t>6</w:t>
            </w:r>
            <w:r>
              <w:rPr>
                <w:rFonts w:hint="eastAsia" w:ascii="仿宋" w:hAnsi="仿宋" w:eastAsia="仿宋" w:cs="仿宋"/>
                <w:b/>
                <w:bCs/>
                <w:color w:val="auto"/>
                <w:kern w:val="0"/>
                <w:sz w:val="24"/>
                <w:szCs w:val="24"/>
                <w:highlight w:val="none"/>
                <w:lang w:bidi="ar"/>
              </w:rPr>
              <w:t>分）</w:t>
            </w:r>
          </w:p>
        </w:tc>
        <w:tc>
          <w:tcPr>
            <w:tcW w:w="5719" w:type="dxa"/>
            <w:tcBorders>
              <w:top w:val="single" w:color="000000" w:sz="4" w:space="0"/>
              <w:left w:val="single" w:color="000000" w:sz="4" w:space="0"/>
              <w:bottom w:val="single" w:color="000000" w:sz="4" w:space="0"/>
              <w:right w:val="single" w:color="000000" w:sz="4" w:space="0"/>
            </w:tcBorders>
            <w:noWrap w:val="0"/>
            <w:vAlign w:val="center"/>
          </w:tcPr>
          <w:p w14:paraId="1467A323">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（1）投标人具有</w:t>
            </w:r>
            <w:r>
              <w:rPr>
                <w:rFonts w:hint="eastAsia" w:ascii="仿宋" w:hAnsi="仿宋" w:eastAsia="仿宋" w:cs="仿宋"/>
                <w:color w:val="auto"/>
                <w:kern w:val="0"/>
                <w:sz w:val="24"/>
                <w:szCs w:val="24"/>
                <w:highlight w:val="none"/>
                <w:lang w:val="en-US" w:eastAsia="zh-CN" w:bidi="ar"/>
              </w:rPr>
              <w:t>2辆及以上</w:t>
            </w:r>
            <w:r>
              <w:rPr>
                <w:rFonts w:hint="eastAsia" w:ascii="仿宋" w:hAnsi="仿宋" w:eastAsia="仿宋" w:cs="仿宋"/>
                <w:color w:val="auto"/>
                <w:kern w:val="0"/>
                <w:sz w:val="24"/>
                <w:szCs w:val="24"/>
                <w:highlight w:val="none"/>
                <w:lang w:bidi="ar"/>
              </w:rPr>
              <w:t>垃圾压缩车</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3吨及以上</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的得2分</w:t>
            </w:r>
            <w:r>
              <w:rPr>
                <w:rFonts w:hint="eastAsia" w:ascii="仿宋" w:hAnsi="仿宋" w:eastAsia="仿宋" w:cs="仿宋"/>
                <w:color w:val="auto"/>
                <w:kern w:val="0"/>
                <w:sz w:val="24"/>
                <w:szCs w:val="24"/>
                <w:highlight w:val="none"/>
                <w:lang w:eastAsia="zh-CN" w:bidi="ar"/>
              </w:rPr>
              <w:t>；</w:t>
            </w:r>
          </w:p>
          <w:p w14:paraId="730A9456">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（2）投标人</w:t>
            </w:r>
            <w:r>
              <w:rPr>
                <w:rFonts w:hint="eastAsia" w:ascii="仿宋" w:hAnsi="仿宋" w:eastAsia="仿宋" w:cs="仿宋"/>
                <w:color w:val="auto"/>
                <w:kern w:val="0"/>
                <w:sz w:val="24"/>
                <w:szCs w:val="24"/>
                <w:highlight w:val="none"/>
                <w:lang w:val="en-US" w:eastAsia="zh-CN" w:bidi="ar"/>
              </w:rPr>
              <w:t>具有3吨及以上清洗车的</w:t>
            </w:r>
            <w:r>
              <w:rPr>
                <w:rFonts w:hint="eastAsia" w:ascii="仿宋" w:hAnsi="仿宋" w:eastAsia="仿宋" w:cs="仿宋"/>
                <w:color w:val="auto"/>
                <w:kern w:val="0"/>
                <w:sz w:val="24"/>
                <w:szCs w:val="24"/>
                <w:highlight w:val="none"/>
                <w:lang w:bidi="ar"/>
              </w:rPr>
              <w:t>得</w:t>
            </w:r>
            <w:r>
              <w:rPr>
                <w:rFonts w:hint="eastAsia" w:ascii="仿宋" w:hAnsi="仿宋" w:eastAsia="仿宋" w:cs="仿宋"/>
                <w:color w:val="auto"/>
                <w:kern w:val="0"/>
                <w:sz w:val="24"/>
                <w:szCs w:val="24"/>
                <w:highlight w:val="none"/>
                <w:lang w:val="en-US" w:eastAsia="zh-CN" w:bidi="ar"/>
              </w:rPr>
              <w:t>2分；</w:t>
            </w:r>
          </w:p>
          <w:p w14:paraId="6F04CD9B">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w:t>
            </w:r>
            <w:r>
              <w:rPr>
                <w:rFonts w:hint="eastAsia" w:ascii="仿宋" w:hAnsi="仿宋" w:eastAsia="仿宋" w:cs="仿宋"/>
                <w:color w:val="auto"/>
                <w:kern w:val="0"/>
                <w:sz w:val="24"/>
                <w:szCs w:val="24"/>
                <w:highlight w:val="none"/>
                <w:lang w:val="en-US" w:eastAsia="zh-CN" w:bidi="ar"/>
              </w:rPr>
              <w:t>3</w:t>
            </w:r>
            <w:r>
              <w:rPr>
                <w:rFonts w:hint="eastAsia" w:ascii="仿宋" w:hAnsi="仿宋" w:eastAsia="仿宋" w:cs="仿宋"/>
                <w:color w:val="auto"/>
                <w:kern w:val="0"/>
                <w:sz w:val="24"/>
                <w:szCs w:val="24"/>
                <w:highlight w:val="none"/>
                <w:lang w:bidi="ar"/>
              </w:rPr>
              <w:t>）投标人具有</w:t>
            </w:r>
            <w:r>
              <w:rPr>
                <w:rFonts w:hint="eastAsia" w:ascii="仿宋" w:hAnsi="仿宋" w:eastAsia="仿宋" w:cs="仿宋"/>
                <w:color w:val="auto"/>
                <w:kern w:val="0"/>
                <w:sz w:val="24"/>
                <w:szCs w:val="24"/>
                <w:highlight w:val="none"/>
                <w:lang w:val="en-US" w:eastAsia="zh-CN" w:bidi="ar"/>
              </w:rPr>
              <w:t>机动</w:t>
            </w:r>
            <w:r>
              <w:rPr>
                <w:rFonts w:hint="eastAsia" w:ascii="仿宋" w:hAnsi="仿宋" w:eastAsia="仿宋" w:cs="仿宋"/>
                <w:color w:val="auto"/>
                <w:kern w:val="0"/>
                <w:sz w:val="24"/>
                <w:szCs w:val="24"/>
                <w:highlight w:val="none"/>
                <w:lang w:bidi="ar"/>
              </w:rPr>
              <w:t>作业保洁船</w:t>
            </w:r>
            <w:r>
              <w:rPr>
                <w:rFonts w:hint="eastAsia" w:ascii="仿宋" w:hAnsi="仿宋" w:eastAsia="仿宋" w:cs="仿宋"/>
                <w:color w:val="auto"/>
                <w:kern w:val="0"/>
                <w:sz w:val="24"/>
                <w:szCs w:val="24"/>
                <w:highlight w:val="none"/>
                <w:lang w:val="en-US" w:eastAsia="zh-CN" w:bidi="ar"/>
              </w:rPr>
              <w:t>的</w:t>
            </w:r>
            <w:r>
              <w:rPr>
                <w:rFonts w:hint="eastAsia" w:ascii="仿宋" w:hAnsi="仿宋" w:eastAsia="仿宋" w:cs="仿宋"/>
                <w:color w:val="auto"/>
                <w:kern w:val="0"/>
                <w:sz w:val="24"/>
                <w:szCs w:val="24"/>
                <w:highlight w:val="none"/>
                <w:lang w:bidi="ar"/>
              </w:rPr>
              <w:t>得</w:t>
            </w:r>
            <w:r>
              <w:rPr>
                <w:rFonts w:hint="eastAsia" w:ascii="仿宋" w:hAnsi="仿宋" w:eastAsia="仿宋" w:cs="仿宋"/>
                <w:color w:val="auto"/>
                <w:kern w:val="0"/>
                <w:sz w:val="24"/>
                <w:szCs w:val="24"/>
                <w:highlight w:val="none"/>
                <w:lang w:val="en-US" w:eastAsia="zh-CN" w:bidi="ar"/>
              </w:rPr>
              <w:t>2</w:t>
            </w:r>
            <w:r>
              <w:rPr>
                <w:rFonts w:hint="eastAsia" w:ascii="仿宋" w:hAnsi="仿宋" w:eastAsia="仿宋" w:cs="仿宋"/>
                <w:color w:val="auto"/>
                <w:kern w:val="0"/>
                <w:sz w:val="24"/>
                <w:szCs w:val="24"/>
                <w:highlight w:val="none"/>
                <w:lang w:bidi="ar"/>
              </w:rPr>
              <w:t>分</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bidi="ar"/>
              </w:rPr>
              <w:br w:type="textWrapping"/>
            </w:r>
            <w:r>
              <w:rPr>
                <w:rFonts w:hint="eastAsia" w:ascii="仿宋" w:hAnsi="仿宋" w:eastAsia="仿宋" w:cs="仿宋"/>
                <w:color w:val="auto"/>
                <w:kern w:val="0"/>
                <w:sz w:val="24"/>
                <w:szCs w:val="24"/>
                <w:highlight w:val="none"/>
                <w:lang w:bidi="ar"/>
              </w:rPr>
              <w:t>注：提供正式购置发票扫描件</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以上设备所有人必须是投标单位</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sz w:val="24"/>
                <w:szCs w:val="24"/>
                <w:highlight w:val="none"/>
              </w:rPr>
              <w:t>并加盖投标单位红色实物公章或电子签章</w:t>
            </w:r>
            <w:r>
              <w:rPr>
                <w:rFonts w:hint="eastAsia" w:ascii="仿宋" w:hAnsi="仿宋" w:eastAsia="仿宋" w:cs="仿宋"/>
                <w:color w:val="auto"/>
                <w:kern w:val="0"/>
                <w:sz w:val="24"/>
                <w:szCs w:val="24"/>
                <w:highlight w:val="none"/>
                <w:lang w:bidi="ar"/>
              </w:rPr>
              <w:t>。</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B4A7837">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bidi="ar"/>
              </w:rPr>
              <w:t>6</w:t>
            </w:r>
          </w:p>
        </w:tc>
      </w:tr>
      <w:tr w14:paraId="7F223043">
        <w:tblPrEx>
          <w:tblCellMar>
            <w:top w:w="0" w:type="dxa"/>
            <w:left w:w="108" w:type="dxa"/>
            <w:bottom w:w="0" w:type="dxa"/>
            <w:right w:w="108" w:type="dxa"/>
          </w:tblCellMar>
        </w:tblPrEx>
        <w:trPr>
          <w:trHeight w:val="1376" w:hRule="atLeast"/>
          <w:jc w:val="center"/>
        </w:trPr>
        <w:tc>
          <w:tcPr>
            <w:tcW w:w="769" w:type="dxa"/>
            <w:vMerge w:val="restart"/>
            <w:tcBorders>
              <w:top w:val="single" w:color="000000" w:sz="4" w:space="0"/>
              <w:left w:val="single" w:color="000000" w:sz="4" w:space="0"/>
              <w:bottom w:val="single" w:color="000000" w:sz="4" w:space="0"/>
              <w:right w:val="single" w:color="000000" w:sz="4" w:space="0"/>
            </w:tcBorders>
            <w:noWrap w:val="0"/>
            <w:vAlign w:val="center"/>
          </w:tcPr>
          <w:p w14:paraId="38B3D04F">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val="en-US" w:eastAsia="zh-CN" w:bidi="ar"/>
              </w:rPr>
              <w:t>6</w:t>
            </w:r>
          </w:p>
        </w:tc>
        <w:tc>
          <w:tcPr>
            <w:tcW w:w="1487" w:type="dxa"/>
            <w:vMerge w:val="restart"/>
            <w:tcBorders>
              <w:top w:val="single" w:color="000000" w:sz="4" w:space="0"/>
              <w:left w:val="single" w:color="000000" w:sz="4" w:space="0"/>
              <w:bottom w:val="single" w:color="000000" w:sz="4" w:space="0"/>
              <w:right w:val="single" w:color="000000" w:sz="4" w:space="0"/>
            </w:tcBorders>
            <w:noWrap w:val="0"/>
            <w:vAlign w:val="center"/>
          </w:tcPr>
          <w:p w14:paraId="4D03DAAA">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全域保洁</w:t>
            </w:r>
            <w:r>
              <w:rPr>
                <w:rFonts w:hint="eastAsia" w:ascii="仿宋" w:hAnsi="仿宋" w:eastAsia="仿宋" w:cs="仿宋"/>
                <w:b/>
                <w:bCs/>
                <w:color w:val="auto"/>
                <w:kern w:val="0"/>
                <w:sz w:val="24"/>
                <w:szCs w:val="24"/>
                <w:highlight w:val="none"/>
                <w:lang w:val="en-US" w:eastAsia="zh-CN" w:bidi="ar"/>
              </w:rPr>
              <w:t>整体</w:t>
            </w:r>
            <w:r>
              <w:rPr>
                <w:rFonts w:hint="eastAsia" w:ascii="仿宋" w:hAnsi="仿宋" w:eastAsia="仿宋" w:cs="仿宋"/>
                <w:b/>
                <w:bCs/>
                <w:color w:val="auto"/>
                <w:kern w:val="0"/>
                <w:sz w:val="24"/>
                <w:szCs w:val="24"/>
                <w:highlight w:val="none"/>
                <w:lang w:bidi="ar"/>
              </w:rPr>
              <w:t>运作方案（</w:t>
            </w:r>
            <w:r>
              <w:rPr>
                <w:rFonts w:hint="eastAsia" w:ascii="仿宋" w:hAnsi="仿宋" w:eastAsia="仿宋" w:cs="仿宋"/>
                <w:b/>
                <w:bCs/>
                <w:color w:val="auto"/>
                <w:kern w:val="0"/>
                <w:sz w:val="24"/>
                <w:szCs w:val="24"/>
                <w:highlight w:val="none"/>
                <w:lang w:val="en-US" w:eastAsia="zh-CN" w:bidi="ar"/>
              </w:rPr>
              <w:t>30</w:t>
            </w:r>
            <w:r>
              <w:rPr>
                <w:rFonts w:hint="eastAsia" w:ascii="仿宋" w:hAnsi="仿宋" w:eastAsia="仿宋" w:cs="仿宋"/>
                <w:b/>
                <w:bCs/>
                <w:color w:val="auto"/>
                <w:kern w:val="0"/>
                <w:sz w:val="24"/>
                <w:szCs w:val="24"/>
                <w:highlight w:val="none"/>
                <w:lang w:bidi="ar"/>
              </w:rPr>
              <w:t>分）</w:t>
            </w:r>
          </w:p>
        </w:tc>
        <w:tc>
          <w:tcPr>
            <w:tcW w:w="5719" w:type="dxa"/>
            <w:tcBorders>
              <w:top w:val="single" w:color="000000" w:sz="4" w:space="0"/>
              <w:left w:val="single" w:color="000000" w:sz="4" w:space="0"/>
              <w:bottom w:val="single" w:color="000000" w:sz="4" w:space="0"/>
              <w:right w:val="single" w:color="000000" w:sz="4" w:space="0"/>
            </w:tcBorders>
            <w:noWrap w:val="0"/>
            <w:vAlign w:val="center"/>
          </w:tcPr>
          <w:p w14:paraId="3944CC80">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一、</w:t>
            </w:r>
            <w:r>
              <w:rPr>
                <w:rFonts w:hint="eastAsia" w:ascii="仿宋" w:hAnsi="仿宋" w:eastAsia="仿宋" w:cs="仿宋"/>
                <w:b/>
                <w:bCs/>
                <w:color w:val="auto"/>
                <w:kern w:val="0"/>
                <w:sz w:val="24"/>
                <w:szCs w:val="24"/>
                <w:highlight w:val="none"/>
                <w:lang w:bidi="ar"/>
              </w:rPr>
              <w:t>管理机制与</w:t>
            </w:r>
            <w:r>
              <w:rPr>
                <w:rFonts w:hint="eastAsia" w:ascii="仿宋" w:hAnsi="仿宋" w:eastAsia="仿宋" w:cs="仿宋"/>
                <w:b/>
                <w:bCs/>
                <w:color w:val="auto"/>
                <w:kern w:val="0"/>
                <w:sz w:val="24"/>
                <w:szCs w:val="24"/>
                <w:highlight w:val="none"/>
                <w:lang w:val="en-US" w:eastAsia="zh-CN" w:bidi="ar"/>
              </w:rPr>
              <w:t>各项</w:t>
            </w:r>
            <w:r>
              <w:rPr>
                <w:rFonts w:hint="eastAsia" w:ascii="仿宋" w:hAnsi="仿宋" w:eastAsia="仿宋" w:cs="仿宋"/>
                <w:b/>
                <w:bCs/>
                <w:color w:val="auto"/>
                <w:kern w:val="0"/>
                <w:sz w:val="24"/>
                <w:szCs w:val="24"/>
                <w:highlight w:val="none"/>
                <w:lang w:bidi="ar"/>
              </w:rPr>
              <w:t>制度（</w:t>
            </w:r>
            <w:r>
              <w:rPr>
                <w:rFonts w:hint="eastAsia" w:ascii="仿宋" w:hAnsi="仿宋" w:eastAsia="仿宋" w:cs="仿宋"/>
                <w:b/>
                <w:bCs/>
                <w:color w:val="auto"/>
                <w:kern w:val="0"/>
                <w:sz w:val="24"/>
                <w:szCs w:val="24"/>
                <w:highlight w:val="none"/>
                <w:lang w:val="en-US" w:eastAsia="zh-CN" w:bidi="ar"/>
              </w:rPr>
              <w:t>4</w:t>
            </w:r>
            <w:r>
              <w:rPr>
                <w:rFonts w:hint="eastAsia" w:ascii="仿宋" w:hAnsi="仿宋" w:eastAsia="仿宋" w:cs="仿宋"/>
                <w:b/>
                <w:bCs/>
                <w:color w:val="auto"/>
                <w:kern w:val="0"/>
                <w:sz w:val="24"/>
                <w:szCs w:val="24"/>
                <w:highlight w:val="none"/>
                <w:lang w:bidi="ar"/>
              </w:rPr>
              <w:t>分）</w:t>
            </w:r>
            <w:r>
              <w:rPr>
                <w:rFonts w:hint="eastAsia" w:ascii="仿宋" w:hAnsi="仿宋" w:eastAsia="仿宋" w:cs="仿宋"/>
                <w:b/>
                <w:bCs/>
                <w:color w:val="auto"/>
                <w:kern w:val="0"/>
                <w:sz w:val="24"/>
                <w:szCs w:val="24"/>
                <w:highlight w:val="none"/>
                <w:lang w:bidi="ar"/>
              </w:rPr>
              <w:br w:type="textWrapping"/>
            </w:r>
            <w:r>
              <w:rPr>
                <w:rFonts w:hint="eastAsia" w:ascii="仿宋" w:hAnsi="仿宋" w:eastAsia="仿宋" w:cs="仿宋"/>
                <w:color w:val="auto"/>
                <w:kern w:val="0"/>
                <w:sz w:val="24"/>
                <w:szCs w:val="24"/>
                <w:highlight w:val="none"/>
                <w:lang w:bidi="ar"/>
              </w:rPr>
              <w:t>包括：日常考核、激励考核机制、监督机制、自我约束机制、信息反馈及处理机制、人员的使用、考核、淘汰机制，其他相应管理制度。</w:t>
            </w:r>
          </w:p>
          <w:p w14:paraId="65D7A97B">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szCs w:val="24"/>
                <w:highlight w:val="none"/>
                <w:lang w:bidi="ar"/>
              </w:rPr>
              <w:t>各项</w:t>
            </w:r>
            <w:r>
              <w:rPr>
                <w:rFonts w:hint="eastAsia" w:ascii="仿宋" w:hAnsi="仿宋" w:eastAsia="仿宋" w:cs="仿宋"/>
                <w:color w:val="auto"/>
                <w:kern w:val="0"/>
                <w:sz w:val="24"/>
                <w:szCs w:val="24"/>
                <w:highlight w:val="none"/>
                <w:lang w:val="en-US" w:eastAsia="zh-CN" w:bidi="ar"/>
              </w:rPr>
              <w:t>机制及</w:t>
            </w:r>
            <w:r>
              <w:rPr>
                <w:rFonts w:hint="eastAsia" w:ascii="仿宋" w:hAnsi="仿宋" w:eastAsia="仿宋" w:cs="仿宋"/>
                <w:color w:val="auto"/>
                <w:kern w:val="0"/>
                <w:sz w:val="24"/>
                <w:szCs w:val="24"/>
                <w:highlight w:val="none"/>
                <w:lang w:bidi="ar"/>
              </w:rPr>
              <w:t>制度操作性强</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切合实际的得4分；</w:t>
            </w:r>
          </w:p>
          <w:p w14:paraId="3C11939A">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2.</w:t>
            </w:r>
            <w:r>
              <w:rPr>
                <w:rFonts w:hint="eastAsia" w:ascii="仿宋" w:hAnsi="仿宋" w:eastAsia="仿宋" w:cs="仿宋"/>
                <w:color w:val="auto"/>
                <w:kern w:val="0"/>
                <w:sz w:val="24"/>
                <w:szCs w:val="24"/>
                <w:highlight w:val="none"/>
                <w:lang w:bidi="ar"/>
              </w:rPr>
              <w:t>各项</w:t>
            </w:r>
            <w:r>
              <w:rPr>
                <w:rFonts w:hint="eastAsia" w:ascii="仿宋" w:hAnsi="仿宋" w:eastAsia="仿宋" w:cs="仿宋"/>
                <w:color w:val="auto"/>
                <w:kern w:val="0"/>
                <w:sz w:val="24"/>
                <w:szCs w:val="24"/>
                <w:highlight w:val="none"/>
                <w:lang w:val="en-US" w:eastAsia="zh-CN" w:bidi="ar"/>
              </w:rPr>
              <w:t>机制及</w:t>
            </w:r>
            <w:r>
              <w:rPr>
                <w:rFonts w:hint="eastAsia" w:ascii="仿宋" w:hAnsi="仿宋" w:eastAsia="仿宋" w:cs="仿宋"/>
                <w:color w:val="auto"/>
                <w:kern w:val="0"/>
                <w:sz w:val="24"/>
                <w:szCs w:val="24"/>
                <w:highlight w:val="none"/>
                <w:lang w:bidi="ar"/>
              </w:rPr>
              <w:t>制度操作性</w:t>
            </w:r>
            <w:r>
              <w:rPr>
                <w:rFonts w:hint="eastAsia" w:ascii="仿宋" w:hAnsi="仿宋" w:eastAsia="仿宋" w:cs="仿宋"/>
                <w:color w:val="auto"/>
                <w:kern w:val="0"/>
                <w:sz w:val="24"/>
                <w:szCs w:val="24"/>
                <w:highlight w:val="none"/>
                <w:lang w:val="en-US" w:eastAsia="zh-CN" w:bidi="ar"/>
              </w:rPr>
              <w:t>一般</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基本切合实际的得2分；</w:t>
            </w:r>
          </w:p>
          <w:p w14:paraId="6D26F19F">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w:t>
            </w:r>
            <w:r>
              <w:rPr>
                <w:rFonts w:hint="eastAsia" w:ascii="仿宋" w:hAnsi="仿宋" w:eastAsia="仿宋" w:cs="仿宋"/>
                <w:color w:val="auto"/>
                <w:kern w:val="0"/>
                <w:sz w:val="24"/>
                <w:szCs w:val="24"/>
                <w:highlight w:val="none"/>
                <w:lang w:bidi="ar"/>
              </w:rPr>
              <w:t>各项</w:t>
            </w:r>
            <w:r>
              <w:rPr>
                <w:rFonts w:hint="eastAsia" w:ascii="仿宋" w:hAnsi="仿宋" w:eastAsia="仿宋" w:cs="仿宋"/>
                <w:color w:val="auto"/>
                <w:kern w:val="0"/>
                <w:sz w:val="24"/>
                <w:szCs w:val="24"/>
                <w:highlight w:val="none"/>
                <w:lang w:val="en-US" w:eastAsia="zh-CN" w:bidi="ar"/>
              </w:rPr>
              <w:t>机制及</w:t>
            </w:r>
            <w:r>
              <w:rPr>
                <w:rFonts w:hint="eastAsia" w:ascii="仿宋" w:hAnsi="仿宋" w:eastAsia="仿宋" w:cs="仿宋"/>
                <w:color w:val="auto"/>
                <w:kern w:val="0"/>
                <w:sz w:val="24"/>
                <w:szCs w:val="24"/>
                <w:highlight w:val="none"/>
                <w:lang w:bidi="ar"/>
              </w:rPr>
              <w:t>制度操作性</w:t>
            </w:r>
            <w:r>
              <w:rPr>
                <w:rFonts w:hint="eastAsia" w:ascii="仿宋" w:hAnsi="仿宋" w:eastAsia="仿宋" w:cs="仿宋"/>
                <w:color w:val="auto"/>
                <w:kern w:val="0"/>
                <w:sz w:val="24"/>
                <w:szCs w:val="24"/>
                <w:highlight w:val="none"/>
                <w:lang w:val="en-US" w:eastAsia="zh-CN" w:bidi="ar"/>
              </w:rPr>
              <w:t>不强</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不切合实际的得1分；</w:t>
            </w:r>
          </w:p>
          <w:p w14:paraId="1B54EF9E">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4.未提供方案的不得分。</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5323744">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val="en-US" w:eastAsia="zh-CN" w:bidi="ar"/>
              </w:rPr>
              <w:t>4</w:t>
            </w:r>
          </w:p>
        </w:tc>
      </w:tr>
      <w:tr w14:paraId="32A4F739">
        <w:tblPrEx>
          <w:tblCellMar>
            <w:top w:w="0" w:type="dxa"/>
            <w:left w:w="108" w:type="dxa"/>
            <w:bottom w:w="0" w:type="dxa"/>
            <w:right w:w="108" w:type="dxa"/>
          </w:tblCellMar>
        </w:tblPrEx>
        <w:trPr>
          <w:trHeight w:val="1650" w:hRule="atLeast"/>
          <w:jc w:val="center"/>
        </w:trPr>
        <w:tc>
          <w:tcPr>
            <w:tcW w:w="7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56284C">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仿宋" w:hAnsi="仿宋" w:eastAsia="仿宋" w:cs="仿宋"/>
                <w:color w:val="auto"/>
                <w:sz w:val="24"/>
                <w:szCs w:val="24"/>
                <w:highlight w:val="none"/>
              </w:rPr>
            </w:pPr>
          </w:p>
        </w:tc>
        <w:tc>
          <w:tcPr>
            <w:tcW w:w="14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7FA119">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仿宋" w:hAnsi="仿宋" w:eastAsia="仿宋" w:cs="仿宋"/>
                <w:b/>
                <w:bCs/>
                <w:color w:val="auto"/>
                <w:sz w:val="24"/>
                <w:szCs w:val="24"/>
                <w:highlight w:val="none"/>
              </w:rPr>
            </w:pPr>
          </w:p>
        </w:tc>
        <w:tc>
          <w:tcPr>
            <w:tcW w:w="5719" w:type="dxa"/>
            <w:tcBorders>
              <w:top w:val="single" w:color="000000" w:sz="4" w:space="0"/>
              <w:left w:val="single" w:color="000000" w:sz="4" w:space="0"/>
              <w:bottom w:val="single" w:color="000000" w:sz="4" w:space="0"/>
              <w:right w:val="single" w:color="000000" w:sz="4" w:space="0"/>
            </w:tcBorders>
            <w:noWrap w:val="0"/>
            <w:vAlign w:val="center"/>
          </w:tcPr>
          <w:p w14:paraId="7178D611">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b/>
                <w:bCs/>
                <w:color w:val="auto"/>
                <w:kern w:val="0"/>
                <w:sz w:val="24"/>
                <w:szCs w:val="24"/>
                <w:highlight w:val="none"/>
                <w:lang w:bidi="ar"/>
              </w:rPr>
            </w:pPr>
            <w:r>
              <w:rPr>
                <w:rFonts w:hint="eastAsia" w:ascii="仿宋" w:hAnsi="仿宋" w:eastAsia="仿宋" w:cs="仿宋"/>
                <w:b/>
                <w:bCs/>
                <w:color w:val="auto"/>
                <w:kern w:val="0"/>
                <w:sz w:val="24"/>
                <w:szCs w:val="24"/>
                <w:highlight w:val="none"/>
                <w:lang w:val="en-US" w:eastAsia="zh-CN" w:bidi="ar"/>
              </w:rPr>
              <w:t>二、</w:t>
            </w:r>
            <w:r>
              <w:rPr>
                <w:rFonts w:hint="eastAsia" w:ascii="仿宋" w:hAnsi="仿宋" w:eastAsia="仿宋" w:cs="仿宋"/>
                <w:b/>
                <w:bCs/>
                <w:color w:val="auto"/>
                <w:kern w:val="0"/>
                <w:sz w:val="24"/>
                <w:szCs w:val="24"/>
                <w:highlight w:val="none"/>
                <w:lang w:bidi="ar"/>
              </w:rPr>
              <w:t>作业方案（</w:t>
            </w:r>
            <w:r>
              <w:rPr>
                <w:rFonts w:hint="eastAsia" w:ascii="仿宋" w:hAnsi="仿宋" w:eastAsia="仿宋" w:cs="仿宋"/>
                <w:b/>
                <w:bCs/>
                <w:color w:val="auto"/>
                <w:kern w:val="0"/>
                <w:sz w:val="24"/>
                <w:szCs w:val="24"/>
                <w:highlight w:val="none"/>
                <w:lang w:val="en-US" w:eastAsia="zh-CN" w:bidi="ar"/>
              </w:rPr>
              <w:t>4</w:t>
            </w:r>
            <w:r>
              <w:rPr>
                <w:rFonts w:hint="eastAsia" w:ascii="仿宋" w:hAnsi="仿宋" w:eastAsia="仿宋" w:cs="仿宋"/>
                <w:b/>
                <w:bCs/>
                <w:color w:val="auto"/>
                <w:kern w:val="0"/>
                <w:sz w:val="24"/>
                <w:szCs w:val="24"/>
                <w:highlight w:val="none"/>
                <w:lang w:bidi="ar"/>
              </w:rPr>
              <w:t>分）</w:t>
            </w:r>
          </w:p>
          <w:p w14:paraId="072C7CEF">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Style w:val="241"/>
                <w:rFonts w:hint="eastAsia" w:ascii="仿宋" w:hAnsi="仿宋" w:eastAsia="仿宋" w:cs="仿宋"/>
                <w:color w:val="auto"/>
                <w:sz w:val="24"/>
                <w:szCs w:val="24"/>
                <w:highlight w:val="none"/>
                <w:lang w:eastAsia="zh-CN" w:bidi="ar"/>
              </w:rPr>
            </w:pPr>
            <w:r>
              <w:rPr>
                <w:rStyle w:val="241"/>
                <w:rFonts w:hint="eastAsia" w:ascii="仿宋" w:hAnsi="仿宋" w:eastAsia="仿宋" w:cs="仿宋"/>
                <w:color w:val="auto"/>
                <w:sz w:val="24"/>
                <w:szCs w:val="24"/>
                <w:highlight w:val="none"/>
                <w:lang w:bidi="ar"/>
              </w:rPr>
              <w:t>包括：项目负责人、管理人员、作业人员和作业设备投入、工作流程</w:t>
            </w:r>
            <w:r>
              <w:rPr>
                <w:rStyle w:val="241"/>
                <w:rFonts w:hint="eastAsia" w:ascii="仿宋" w:hAnsi="仿宋" w:eastAsia="仿宋" w:cs="仿宋"/>
                <w:color w:val="auto"/>
                <w:sz w:val="24"/>
                <w:szCs w:val="24"/>
                <w:highlight w:val="none"/>
                <w:lang w:eastAsia="zh-CN" w:bidi="ar"/>
              </w:rPr>
              <w:t>、</w:t>
            </w:r>
            <w:r>
              <w:rPr>
                <w:rStyle w:val="241"/>
                <w:rFonts w:hint="eastAsia" w:ascii="仿宋" w:hAnsi="仿宋" w:eastAsia="仿宋" w:cs="仿宋"/>
                <w:color w:val="auto"/>
                <w:sz w:val="24"/>
                <w:szCs w:val="24"/>
                <w:highlight w:val="none"/>
                <w:lang w:bidi="ar"/>
              </w:rPr>
              <w:t>垃圾日产日清方案</w:t>
            </w:r>
            <w:r>
              <w:rPr>
                <w:rStyle w:val="241"/>
                <w:rFonts w:hint="eastAsia" w:ascii="仿宋" w:hAnsi="仿宋" w:eastAsia="仿宋" w:cs="仿宋"/>
                <w:color w:val="auto"/>
                <w:sz w:val="24"/>
                <w:szCs w:val="24"/>
                <w:highlight w:val="none"/>
                <w:lang w:eastAsia="zh-CN" w:bidi="ar"/>
              </w:rPr>
              <w:t>、</w:t>
            </w:r>
            <w:r>
              <w:rPr>
                <w:rStyle w:val="241"/>
                <w:rFonts w:hint="eastAsia" w:ascii="仿宋" w:hAnsi="仿宋" w:eastAsia="仿宋" w:cs="仿宋"/>
                <w:color w:val="auto"/>
                <w:sz w:val="24"/>
                <w:szCs w:val="24"/>
                <w:highlight w:val="none"/>
                <w:lang w:bidi="ar"/>
              </w:rPr>
              <w:t>垃圾分类控制</w:t>
            </w:r>
            <w:r>
              <w:rPr>
                <w:rStyle w:val="241"/>
                <w:rFonts w:hint="eastAsia" w:ascii="仿宋" w:hAnsi="仿宋" w:eastAsia="仿宋" w:cs="仿宋"/>
                <w:color w:val="auto"/>
                <w:sz w:val="24"/>
                <w:szCs w:val="24"/>
                <w:highlight w:val="none"/>
                <w:lang w:eastAsia="zh-CN" w:bidi="ar"/>
              </w:rPr>
              <w:t>。</w:t>
            </w:r>
          </w:p>
          <w:p w14:paraId="3465BD2A">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Style w:val="241"/>
                <w:rFonts w:hint="eastAsia" w:ascii="仿宋" w:hAnsi="仿宋" w:eastAsia="仿宋" w:cs="仿宋"/>
                <w:color w:val="auto"/>
                <w:sz w:val="24"/>
                <w:szCs w:val="24"/>
                <w:highlight w:val="none"/>
                <w:lang w:val="en-US" w:eastAsia="zh-CN" w:bidi="ar"/>
              </w:rPr>
              <w:t>1.方案</w:t>
            </w:r>
            <w:r>
              <w:rPr>
                <w:rFonts w:hint="eastAsia" w:ascii="仿宋" w:hAnsi="仿宋" w:eastAsia="仿宋" w:cs="仿宋"/>
                <w:color w:val="auto"/>
                <w:kern w:val="0"/>
                <w:sz w:val="24"/>
                <w:szCs w:val="24"/>
                <w:highlight w:val="none"/>
                <w:lang w:bidi="ar"/>
              </w:rPr>
              <w:t>操作性强</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切合实际的得4分；</w:t>
            </w:r>
          </w:p>
          <w:p w14:paraId="61CF8402">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Style w:val="241"/>
                <w:rFonts w:hint="eastAsia" w:ascii="仿宋" w:hAnsi="仿宋" w:eastAsia="仿宋" w:cs="仿宋"/>
                <w:color w:val="auto"/>
                <w:sz w:val="24"/>
                <w:szCs w:val="24"/>
                <w:highlight w:val="none"/>
                <w:lang w:val="en-US" w:eastAsia="zh-CN" w:bidi="ar"/>
              </w:rPr>
              <w:t>2.方案</w:t>
            </w:r>
            <w:r>
              <w:rPr>
                <w:rFonts w:hint="eastAsia" w:ascii="仿宋" w:hAnsi="仿宋" w:eastAsia="仿宋" w:cs="仿宋"/>
                <w:color w:val="auto"/>
                <w:kern w:val="0"/>
                <w:sz w:val="24"/>
                <w:szCs w:val="24"/>
                <w:highlight w:val="none"/>
                <w:lang w:bidi="ar"/>
              </w:rPr>
              <w:t>操作性</w:t>
            </w:r>
            <w:r>
              <w:rPr>
                <w:rFonts w:hint="eastAsia" w:ascii="仿宋" w:hAnsi="仿宋" w:eastAsia="仿宋" w:cs="仿宋"/>
                <w:color w:val="auto"/>
                <w:kern w:val="0"/>
                <w:sz w:val="24"/>
                <w:szCs w:val="24"/>
                <w:highlight w:val="none"/>
                <w:lang w:val="en-US" w:eastAsia="zh-CN" w:bidi="ar"/>
              </w:rPr>
              <w:t>一般</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基本切合实际的得2分；</w:t>
            </w:r>
          </w:p>
          <w:p w14:paraId="533C0B66">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w:t>
            </w:r>
            <w:r>
              <w:rPr>
                <w:rStyle w:val="241"/>
                <w:rFonts w:hint="eastAsia" w:ascii="仿宋" w:hAnsi="仿宋" w:eastAsia="仿宋" w:cs="仿宋"/>
                <w:color w:val="auto"/>
                <w:sz w:val="24"/>
                <w:szCs w:val="24"/>
                <w:highlight w:val="none"/>
                <w:lang w:val="en-US" w:eastAsia="zh-CN" w:bidi="ar"/>
              </w:rPr>
              <w:t>方案</w:t>
            </w:r>
            <w:r>
              <w:rPr>
                <w:rFonts w:hint="eastAsia" w:ascii="仿宋" w:hAnsi="仿宋" w:eastAsia="仿宋" w:cs="仿宋"/>
                <w:color w:val="auto"/>
                <w:kern w:val="0"/>
                <w:sz w:val="24"/>
                <w:szCs w:val="24"/>
                <w:highlight w:val="none"/>
                <w:lang w:bidi="ar"/>
              </w:rPr>
              <w:t>操作性</w:t>
            </w:r>
            <w:r>
              <w:rPr>
                <w:rFonts w:hint="eastAsia" w:ascii="仿宋" w:hAnsi="仿宋" w:eastAsia="仿宋" w:cs="仿宋"/>
                <w:color w:val="auto"/>
                <w:kern w:val="0"/>
                <w:sz w:val="24"/>
                <w:szCs w:val="24"/>
                <w:highlight w:val="none"/>
                <w:lang w:val="en-US" w:eastAsia="zh-CN" w:bidi="ar"/>
              </w:rPr>
              <w:t>不强</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不切合实际的得1分；</w:t>
            </w:r>
          </w:p>
          <w:p w14:paraId="693D6616">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4.未提供方案不得分。</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A3B1C38">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val="en-US" w:eastAsia="zh-CN" w:bidi="ar"/>
              </w:rPr>
              <w:t>4</w:t>
            </w:r>
          </w:p>
        </w:tc>
      </w:tr>
      <w:tr w14:paraId="2189C2C2">
        <w:tblPrEx>
          <w:tblCellMar>
            <w:top w:w="0" w:type="dxa"/>
            <w:left w:w="108" w:type="dxa"/>
            <w:bottom w:w="0" w:type="dxa"/>
            <w:right w:w="108" w:type="dxa"/>
          </w:tblCellMar>
        </w:tblPrEx>
        <w:trPr>
          <w:trHeight w:val="970" w:hRule="atLeast"/>
          <w:jc w:val="center"/>
        </w:trPr>
        <w:tc>
          <w:tcPr>
            <w:tcW w:w="7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1256EE">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仿宋" w:hAnsi="仿宋" w:eastAsia="仿宋" w:cs="仿宋"/>
                <w:color w:val="auto"/>
                <w:sz w:val="24"/>
                <w:szCs w:val="24"/>
                <w:highlight w:val="none"/>
              </w:rPr>
            </w:pPr>
          </w:p>
        </w:tc>
        <w:tc>
          <w:tcPr>
            <w:tcW w:w="14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99B8F0">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仿宋" w:hAnsi="仿宋" w:eastAsia="仿宋" w:cs="仿宋"/>
                <w:b/>
                <w:bCs/>
                <w:color w:val="auto"/>
                <w:sz w:val="24"/>
                <w:szCs w:val="24"/>
                <w:highlight w:val="none"/>
              </w:rPr>
            </w:pPr>
          </w:p>
        </w:tc>
        <w:tc>
          <w:tcPr>
            <w:tcW w:w="5719" w:type="dxa"/>
            <w:tcBorders>
              <w:top w:val="single" w:color="000000" w:sz="4" w:space="0"/>
              <w:left w:val="single" w:color="000000" w:sz="4" w:space="0"/>
              <w:bottom w:val="single" w:color="000000" w:sz="4" w:space="0"/>
              <w:right w:val="single" w:color="000000" w:sz="4" w:space="0"/>
            </w:tcBorders>
            <w:noWrap w:val="0"/>
            <w:vAlign w:val="center"/>
          </w:tcPr>
          <w:p w14:paraId="729709BF">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Style w:val="241"/>
                <w:rFonts w:hint="eastAsia" w:ascii="仿宋" w:hAnsi="仿宋" w:eastAsia="仿宋" w:cs="仿宋"/>
                <w:b/>
                <w:bCs/>
                <w:color w:val="auto"/>
                <w:sz w:val="24"/>
                <w:szCs w:val="24"/>
                <w:highlight w:val="none"/>
                <w:lang w:bidi="ar"/>
              </w:rPr>
            </w:pPr>
            <w:r>
              <w:rPr>
                <w:rStyle w:val="241"/>
                <w:rFonts w:hint="eastAsia" w:ascii="仿宋" w:hAnsi="仿宋" w:eastAsia="仿宋" w:cs="仿宋"/>
                <w:b/>
                <w:bCs/>
                <w:color w:val="auto"/>
                <w:sz w:val="24"/>
                <w:szCs w:val="24"/>
                <w:highlight w:val="none"/>
                <w:lang w:val="en-US" w:eastAsia="zh-CN" w:bidi="ar"/>
              </w:rPr>
              <w:t>三、</w:t>
            </w:r>
            <w:r>
              <w:rPr>
                <w:rStyle w:val="241"/>
                <w:rFonts w:hint="eastAsia" w:ascii="仿宋" w:hAnsi="仿宋" w:eastAsia="仿宋" w:cs="仿宋"/>
                <w:b/>
                <w:bCs/>
                <w:color w:val="auto"/>
                <w:sz w:val="24"/>
                <w:szCs w:val="24"/>
                <w:highlight w:val="none"/>
                <w:lang w:bidi="ar"/>
              </w:rPr>
              <w:t>安全措施（</w:t>
            </w:r>
            <w:r>
              <w:rPr>
                <w:rStyle w:val="241"/>
                <w:rFonts w:hint="eastAsia" w:ascii="仿宋" w:hAnsi="仿宋" w:eastAsia="仿宋" w:cs="仿宋"/>
                <w:b/>
                <w:bCs/>
                <w:color w:val="auto"/>
                <w:sz w:val="24"/>
                <w:szCs w:val="24"/>
                <w:highlight w:val="none"/>
                <w:lang w:val="en-US" w:eastAsia="zh-CN" w:bidi="ar"/>
              </w:rPr>
              <w:t>5</w:t>
            </w:r>
            <w:r>
              <w:rPr>
                <w:rStyle w:val="241"/>
                <w:rFonts w:hint="eastAsia" w:ascii="仿宋" w:hAnsi="仿宋" w:eastAsia="仿宋" w:cs="仿宋"/>
                <w:b/>
                <w:bCs/>
                <w:color w:val="auto"/>
                <w:sz w:val="24"/>
                <w:szCs w:val="24"/>
                <w:highlight w:val="none"/>
                <w:lang w:bidi="ar"/>
              </w:rPr>
              <w:t>分）</w:t>
            </w:r>
          </w:p>
          <w:p w14:paraId="7E971295">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Style w:val="241"/>
                <w:rFonts w:hint="eastAsia" w:ascii="仿宋" w:hAnsi="仿宋" w:eastAsia="仿宋" w:cs="仿宋"/>
                <w:color w:val="auto"/>
                <w:sz w:val="24"/>
                <w:szCs w:val="24"/>
                <w:highlight w:val="none"/>
                <w:lang w:bidi="ar"/>
              </w:rPr>
            </w:pPr>
            <w:r>
              <w:rPr>
                <w:rStyle w:val="241"/>
                <w:rFonts w:hint="eastAsia" w:ascii="仿宋" w:hAnsi="仿宋" w:eastAsia="仿宋" w:cs="仿宋"/>
                <w:color w:val="auto"/>
                <w:sz w:val="24"/>
                <w:szCs w:val="24"/>
                <w:highlight w:val="none"/>
                <w:lang w:bidi="ar"/>
              </w:rPr>
              <w:t>包括：安全制度、安全实施器材配备、规范用工及安全文明作业保障措施、劳动保护、安全事故处理措施。</w:t>
            </w:r>
          </w:p>
          <w:p w14:paraId="0F00D54E">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Style w:val="241"/>
                <w:rFonts w:hint="eastAsia" w:ascii="仿宋" w:hAnsi="仿宋" w:eastAsia="仿宋" w:cs="仿宋"/>
                <w:color w:val="auto"/>
                <w:sz w:val="24"/>
                <w:szCs w:val="24"/>
                <w:highlight w:val="none"/>
                <w:lang w:val="en-US" w:eastAsia="zh-CN" w:bidi="ar"/>
              </w:rPr>
              <w:t>1.安全措施方案</w:t>
            </w:r>
            <w:r>
              <w:rPr>
                <w:rFonts w:hint="eastAsia" w:ascii="仿宋" w:hAnsi="仿宋" w:eastAsia="仿宋" w:cs="仿宋"/>
                <w:color w:val="auto"/>
                <w:kern w:val="0"/>
                <w:sz w:val="24"/>
                <w:szCs w:val="24"/>
                <w:highlight w:val="none"/>
                <w:lang w:bidi="ar"/>
              </w:rPr>
              <w:t>操作性强</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切合实际的得5分；</w:t>
            </w:r>
          </w:p>
          <w:p w14:paraId="4FA9F72F">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Style w:val="241"/>
                <w:rFonts w:hint="eastAsia" w:ascii="仿宋" w:hAnsi="仿宋" w:eastAsia="仿宋" w:cs="仿宋"/>
                <w:color w:val="auto"/>
                <w:sz w:val="24"/>
                <w:szCs w:val="24"/>
                <w:highlight w:val="none"/>
                <w:lang w:val="en-US" w:eastAsia="zh-CN" w:bidi="ar"/>
              </w:rPr>
              <w:t>2.安全措施方案</w:t>
            </w:r>
            <w:r>
              <w:rPr>
                <w:rFonts w:hint="eastAsia" w:ascii="仿宋" w:hAnsi="仿宋" w:eastAsia="仿宋" w:cs="仿宋"/>
                <w:color w:val="auto"/>
                <w:kern w:val="0"/>
                <w:sz w:val="24"/>
                <w:szCs w:val="24"/>
                <w:highlight w:val="none"/>
                <w:lang w:bidi="ar"/>
              </w:rPr>
              <w:t>操作性</w:t>
            </w:r>
            <w:r>
              <w:rPr>
                <w:rFonts w:hint="eastAsia" w:ascii="仿宋" w:hAnsi="仿宋" w:eastAsia="仿宋" w:cs="仿宋"/>
                <w:color w:val="auto"/>
                <w:kern w:val="0"/>
                <w:sz w:val="24"/>
                <w:szCs w:val="24"/>
                <w:highlight w:val="none"/>
                <w:lang w:val="en-US" w:eastAsia="zh-CN" w:bidi="ar"/>
              </w:rPr>
              <w:t>一般</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基本切合实际的得3分；</w:t>
            </w:r>
          </w:p>
          <w:p w14:paraId="28511F8D">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3.安全措施</w:t>
            </w:r>
            <w:r>
              <w:rPr>
                <w:rStyle w:val="241"/>
                <w:rFonts w:hint="eastAsia" w:ascii="仿宋" w:hAnsi="仿宋" w:eastAsia="仿宋" w:cs="仿宋"/>
                <w:color w:val="auto"/>
                <w:sz w:val="24"/>
                <w:szCs w:val="24"/>
                <w:highlight w:val="none"/>
                <w:lang w:val="en-US" w:eastAsia="zh-CN" w:bidi="ar"/>
              </w:rPr>
              <w:t>方案</w:t>
            </w:r>
            <w:r>
              <w:rPr>
                <w:rFonts w:hint="eastAsia" w:ascii="仿宋" w:hAnsi="仿宋" w:eastAsia="仿宋" w:cs="仿宋"/>
                <w:color w:val="auto"/>
                <w:kern w:val="0"/>
                <w:sz w:val="24"/>
                <w:szCs w:val="24"/>
                <w:highlight w:val="none"/>
                <w:lang w:bidi="ar"/>
              </w:rPr>
              <w:t>操作性</w:t>
            </w:r>
            <w:r>
              <w:rPr>
                <w:rFonts w:hint="eastAsia" w:ascii="仿宋" w:hAnsi="仿宋" w:eastAsia="仿宋" w:cs="仿宋"/>
                <w:color w:val="auto"/>
                <w:kern w:val="0"/>
                <w:sz w:val="24"/>
                <w:szCs w:val="24"/>
                <w:highlight w:val="none"/>
                <w:lang w:val="en-US" w:eastAsia="zh-CN" w:bidi="ar"/>
              </w:rPr>
              <w:t>不强</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不切合实际的得1分；</w:t>
            </w:r>
          </w:p>
          <w:p w14:paraId="5359ABE4">
            <w:pPr>
              <w:pStyle w:val="14"/>
              <w:keepNext w:val="0"/>
              <w:keepLines w:val="0"/>
              <w:pageBreakBefore w:val="0"/>
              <w:kinsoku/>
              <w:wordWrap/>
              <w:overflowPunct/>
              <w:topLinePunct w:val="0"/>
              <w:autoSpaceDE/>
              <w:autoSpaceDN/>
              <w:bidi w:val="0"/>
              <w:adjustRightInd/>
              <w:snapToGrid/>
              <w:spacing w:line="360" w:lineRule="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4.未提供方案不得分。</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10B75636">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r>
      <w:tr w14:paraId="236F0349">
        <w:tblPrEx>
          <w:tblCellMar>
            <w:top w:w="0" w:type="dxa"/>
            <w:left w:w="108" w:type="dxa"/>
            <w:bottom w:w="0" w:type="dxa"/>
            <w:right w:w="108" w:type="dxa"/>
          </w:tblCellMar>
        </w:tblPrEx>
        <w:trPr>
          <w:trHeight w:val="990" w:hRule="atLeast"/>
          <w:jc w:val="center"/>
        </w:trPr>
        <w:tc>
          <w:tcPr>
            <w:tcW w:w="7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75C9E0">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仿宋" w:hAnsi="仿宋" w:eastAsia="仿宋" w:cs="仿宋"/>
                <w:color w:val="auto"/>
                <w:sz w:val="24"/>
                <w:szCs w:val="24"/>
                <w:highlight w:val="none"/>
              </w:rPr>
            </w:pPr>
          </w:p>
        </w:tc>
        <w:tc>
          <w:tcPr>
            <w:tcW w:w="14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375151">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仿宋" w:hAnsi="仿宋" w:eastAsia="仿宋" w:cs="仿宋"/>
                <w:b/>
                <w:bCs/>
                <w:color w:val="auto"/>
                <w:sz w:val="24"/>
                <w:szCs w:val="24"/>
                <w:highlight w:val="none"/>
              </w:rPr>
            </w:pPr>
          </w:p>
        </w:tc>
        <w:tc>
          <w:tcPr>
            <w:tcW w:w="5719" w:type="dxa"/>
            <w:tcBorders>
              <w:top w:val="single" w:color="000000" w:sz="4" w:space="0"/>
              <w:left w:val="single" w:color="000000" w:sz="4" w:space="0"/>
              <w:bottom w:val="single" w:color="000000" w:sz="4" w:space="0"/>
              <w:right w:val="single" w:color="000000" w:sz="4" w:space="0"/>
            </w:tcBorders>
            <w:noWrap w:val="0"/>
            <w:vAlign w:val="center"/>
          </w:tcPr>
          <w:p w14:paraId="21C08542">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Style w:val="241"/>
                <w:rFonts w:hint="eastAsia" w:ascii="仿宋" w:hAnsi="仿宋" w:eastAsia="仿宋" w:cs="仿宋"/>
                <w:b/>
                <w:bCs/>
                <w:color w:val="auto"/>
                <w:sz w:val="24"/>
                <w:szCs w:val="24"/>
                <w:highlight w:val="none"/>
                <w:lang w:bidi="ar"/>
              </w:rPr>
            </w:pPr>
            <w:r>
              <w:rPr>
                <w:rStyle w:val="241"/>
                <w:rFonts w:hint="eastAsia" w:ascii="仿宋" w:hAnsi="仿宋" w:eastAsia="仿宋" w:cs="仿宋"/>
                <w:b/>
                <w:bCs/>
                <w:color w:val="auto"/>
                <w:sz w:val="24"/>
                <w:szCs w:val="24"/>
                <w:highlight w:val="none"/>
                <w:lang w:val="en-US" w:eastAsia="zh-CN" w:bidi="ar"/>
              </w:rPr>
              <w:t>四、</w:t>
            </w:r>
            <w:r>
              <w:rPr>
                <w:rStyle w:val="241"/>
                <w:rFonts w:hint="eastAsia" w:ascii="仿宋" w:hAnsi="仿宋" w:eastAsia="仿宋" w:cs="仿宋"/>
                <w:b/>
                <w:bCs/>
                <w:color w:val="auto"/>
                <w:sz w:val="24"/>
                <w:szCs w:val="24"/>
                <w:highlight w:val="none"/>
                <w:lang w:bidi="ar"/>
              </w:rPr>
              <w:t>应急措施（</w:t>
            </w:r>
            <w:r>
              <w:rPr>
                <w:rStyle w:val="241"/>
                <w:rFonts w:hint="eastAsia" w:ascii="仿宋" w:hAnsi="仿宋" w:eastAsia="仿宋" w:cs="仿宋"/>
                <w:b/>
                <w:bCs/>
                <w:color w:val="auto"/>
                <w:sz w:val="24"/>
                <w:szCs w:val="24"/>
                <w:highlight w:val="none"/>
                <w:lang w:val="en-US" w:eastAsia="zh-CN" w:bidi="ar"/>
              </w:rPr>
              <w:t>5</w:t>
            </w:r>
            <w:r>
              <w:rPr>
                <w:rStyle w:val="241"/>
                <w:rFonts w:hint="eastAsia" w:ascii="仿宋" w:hAnsi="仿宋" w:eastAsia="仿宋" w:cs="仿宋"/>
                <w:b/>
                <w:bCs/>
                <w:color w:val="auto"/>
                <w:sz w:val="24"/>
                <w:szCs w:val="24"/>
                <w:highlight w:val="none"/>
                <w:lang w:bidi="ar"/>
              </w:rPr>
              <w:t>分）</w:t>
            </w:r>
          </w:p>
          <w:p w14:paraId="5D6D33DB">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Style w:val="241"/>
                <w:rFonts w:hint="eastAsia" w:ascii="仿宋" w:hAnsi="仿宋" w:eastAsia="仿宋" w:cs="仿宋"/>
                <w:color w:val="auto"/>
                <w:sz w:val="24"/>
                <w:szCs w:val="24"/>
                <w:highlight w:val="none"/>
                <w:lang w:bidi="ar"/>
              </w:rPr>
            </w:pPr>
            <w:r>
              <w:rPr>
                <w:rStyle w:val="241"/>
                <w:rFonts w:hint="eastAsia" w:ascii="仿宋" w:hAnsi="仿宋" w:eastAsia="仿宋" w:cs="仿宋"/>
                <w:b w:val="0"/>
                <w:bCs w:val="0"/>
                <w:color w:val="auto"/>
                <w:sz w:val="24"/>
                <w:szCs w:val="24"/>
                <w:highlight w:val="none"/>
                <w:lang w:val="en-US" w:eastAsia="zh-CN" w:bidi="ar"/>
              </w:rPr>
              <w:t>包括：</w:t>
            </w:r>
            <w:r>
              <w:rPr>
                <w:rStyle w:val="241"/>
                <w:rFonts w:hint="eastAsia" w:ascii="仿宋" w:hAnsi="仿宋" w:eastAsia="仿宋" w:cs="仿宋"/>
                <w:b w:val="0"/>
                <w:bCs w:val="0"/>
                <w:color w:val="auto"/>
                <w:sz w:val="24"/>
                <w:szCs w:val="24"/>
                <w:highlight w:val="none"/>
                <w:lang w:bidi="ar"/>
              </w:rPr>
              <w:t>节</w:t>
            </w:r>
            <w:r>
              <w:rPr>
                <w:rStyle w:val="241"/>
                <w:rFonts w:hint="eastAsia" w:ascii="仿宋" w:hAnsi="仿宋" w:eastAsia="仿宋" w:cs="仿宋"/>
                <w:color w:val="auto"/>
                <w:sz w:val="24"/>
                <w:szCs w:val="24"/>
                <w:highlight w:val="none"/>
                <w:lang w:bidi="ar"/>
              </w:rPr>
              <w:t>假日预案、迎接重大活动及检查评比的保障措施、突发事件的处理方案及措施。</w:t>
            </w:r>
          </w:p>
          <w:p w14:paraId="378FF118">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Style w:val="241"/>
                <w:rFonts w:hint="eastAsia" w:ascii="仿宋" w:hAnsi="仿宋" w:eastAsia="仿宋" w:cs="仿宋"/>
                <w:color w:val="auto"/>
                <w:sz w:val="24"/>
                <w:szCs w:val="24"/>
                <w:highlight w:val="none"/>
                <w:lang w:val="en-US" w:eastAsia="zh-CN" w:bidi="ar"/>
              </w:rPr>
              <w:t>1.应急措施方案</w:t>
            </w:r>
            <w:r>
              <w:rPr>
                <w:rFonts w:hint="eastAsia" w:ascii="仿宋" w:hAnsi="仿宋" w:eastAsia="仿宋" w:cs="仿宋"/>
                <w:color w:val="auto"/>
                <w:kern w:val="0"/>
                <w:sz w:val="24"/>
                <w:szCs w:val="24"/>
                <w:highlight w:val="none"/>
                <w:lang w:bidi="ar"/>
              </w:rPr>
              <w:t>操作性强</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切合实际的得5分；</w:t>
            </w:r>
          </w:p>
          <w:p w14:paraId="7E43B50B">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Style w:val="241"/>
                <w:rFonts w:hint="eastAsia" w:ascii="仿宋" w:hAnsi="仿宋" w:eastAsia="仿宋" w:cs="仿宋"/>
                <w:color w:val="auto"/>
                <w:sz w:val="24"/>
                <w:szCs w:val="24"/>
                <w:highlight w:val="none"/>
                <w:lang w:val="en-US" w:eastAsia="zh-CN" w:bidi="ar"/>
              </w:rPr>
              <w:t>2.应急措施方案</w:t>
            </w:r>
            <w:r>
              <w:rPr>
                <w:rFonts w:hint="eastAsia" w:ascii="仿宋" w:hAnsi="仿宋" w:eastAsia="仿宋" w:cs="仿宋"/>
                <w:color w:val="auto"/>
                <w:kern w:val="0"/>
                <w:sz w:val="24"/>
                <w:szCs w:val="24"/>
                <w:highlight w:val="none"/>
                <w:lang w:bidi="ar"/>
              </w:rPr>
              <w:t>操作性</w:t>
            </w:r>
            <w:r>
              <w:rPr>
                <w:rFonts w:hint="eastAsia" w:ascii="仿宋" w:hAnsi="仿宋" w:eastAsia="仿宋" w:cs="仿宋"/>
                <w:color w:val="auto"/>
                <w:kern w:val="0"/>
                <w:sz w:val="24"/>
                <w:szCs w:val="24"/>
                <w:highlight w:val="none"/>
                <w:lang w:val="en-US" w:eastAsia="zh-CN" w:bidi="ar"/>
              </w:rPr>
              <w:t>一般</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基本切合实际的得3分；</w:t>
            </w:r>
          </w:p>
          <w:p w14:paraId="6D3C058E">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w:t>
            </w:r>
            <w:r>
              <w:rPr>
                <w:rStyle w:val="241"/>
                <w:rFonts w:hint="eastAsia" w:ascii="仿宋" w:hAnsi="仿宋" w:eastAsia="仿宋" w:cs="仿宋"/>
                <w:color w:val="auto"/>
                <w:sz w:val="24"/>
                <w:szCs w:val="24"/>
                <w:highlight w:val="none"/>
                <w:lang w:val="en-US" w:eastAsia="zh-CN" w:bidi="ar"/>
              </w:rPr>
              <w:t>应急措施方案</w:t>
            </w:r>
            <w:r>
              <w:rPr>
                <w:rFonts w:hint="eastAsia" w:ascii="仿宋" w:hAnsi="仿宋" w:eastAsia="仿宋" w:cs="仿宋"/>
                <w:color w:val="auto"/>
                <w:kern w:val="0"/>
                <w:sz w:val="24"/>
                <w:szCs w:val="24"/>
                <w:highlight w:val="none"/>
                <w:lang w:bidi="ar"/>
              </w:rPr>
              <w:t>操作性</w:t>
            </w:r>
            <w:r>
              <w:rPr>
                <w:rFonts w:hint="eastAsia" w:ascii="仿宋" w:hAnsi="仿宋" w:eastAsia="仿宋" w:cs="仿宋"/>
                <w:color w:val="auto"/>
                <w:kern w:val="0"/>
                <w:sz w:val="24"/>
                <w:szCs w:val="24"/>
                <w:highlight w:val="none"/>
                <w:lang w:val="en-US" w:eastAsia="zh-CN" w:bidi="ar"/>
              </w:rPr>
              <w:t>不强</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不切合实际的得1分；</w:t>
            </w:r>
          </w:p>
          <w:p w14:paraId="47C2007C">
            <w:pPr>
              <w:pStyle w:val="14"/>
              <w:keepNext w:val="0"/>
              <w:keepLines w:val="0"/>
              <w:pageBreakBefore w:val="0"/>
              <w:kinsoku/>
              <w:wordWrap/>
              <w:overflowPunct/>
              <w:topLinePunct w:val="0"/>
              <w:autoSpaceDE/>
              <w:autoSpaceDN/>
              <w:bidi w:val="0"/>
              <w:adjustRightInd/>
              <w:snapToGrid/>
              <w:spacing w:line="360" w:lineRule="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bidi="ar"/>
              </w:rPr>
              <w:t>4.未提供方案不得分。</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5F9393F">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Style w:val="241"/>
                <w:rFonts w:hint="eastAsia" w:ascii="仿宋" w:hAnsi="仿宋" w:eastAsia="仿宋" w:cs="仿宋"/>
                <w:color w:val="auto"/>
                <w:sz w:val="24"/>
                <w:szCs w:val="24"/>
                <w:highlight w:val="none"/>
                <w:lang w:eastAsia="zh-CN" w:bidi="ar"/>
              </w:rPr>
            </w:pPr>
            <w:r>
              <w:rPr>
                <w:rStyle w:val="241"/>
                <w:rFonts w:hint="eastAsia" w:ascii="仿宋" w:hAnsi="仿宋" w:eastAsia="仿宋" w:cs="仿宋"/>
                <w:color w:val="auto"/>
                <w:sz w:val="24"/>
                <w:szCs w:val="24"/>
                <w:highlight w:val="none"/>
                <w:lang w:val="en-US" w:eastAsia="zh-CN" w:bidi="ar"/>
              </w:rPr>
              <w:t>5</w:t>
            </w:r>
          </w:p>
        </w:tc>
      </w:tr>
      <w:tr w14:paraId="532ED260">
        <w:tblPrEx>
          <w:tblCellMar>
            <w:top w:w="0" w:type="dxa"/>
            <w:left w:w="108" w:type="dxa"/>
            <w:bottom w:w="0" w:type="dxa"/>
            <w:right w:w="108" w:type="dxa"/>
          </w:tblCellMar>
        </w:tblPrEx>
        <w:trPr>
          <w:trHeight w:val="990" w:hRule="atLeast"/>
          <w:jc w:val="center"/>
        </w:trPr>
        <w:tc>
          <w:tcPr>
            <w:tcW w:w="7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576880">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仿宋" w:hAnsi="仿宋" w:eastAsia="仿宋" w:cs="仿宋"/>
                <w:color w:val="auto"/>
                <w:sz w:val="24"/>
                <w:szCs w:val="24"/>
                <w:highlight w:val="none"/>
              </w:rPr>
            </w:pPr>
          </w:p>
        </w:tc>
        <w:tc>
          <w:tcPr>
            <w:tcW w:w="14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5BE813">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仿宋" w:hAnsi="仿宋" w:eastAsia="仿宋" w:cs="仿宋"/>
                <w:b/>
                <w:bCs/>
                <w:color w:val="auto"/>
                <w:sz w:val="24"/>
                <w:szCs w:val="24"/>
                <w:highlight w:val="none"/>
              </w:rPr>
            </w:pPr>
          </w:p>
        </w:tc>
        <w:tc>
          <w:tcPr>
            <w:tcW w:w="5719" w:type="dxa"/>
            <w:tcBorders>
              <w:top w:val="single" w:color="000000" w:sz="4" w:space="0"/>
              <w:left w:val="single" w:color="000000" w:sz="4" w:space="0"/>
              <w:bottom w:val="single" w:color="000000" w:sz="4" w:space="0"/>
              <w:right w:val="single" w:color="000000" w:sz="4" w:space="0"/>
            </w:tcBorders>
            <w:noWrap w:val="0"/>
            <w:vAlign w:val="center"/>
          </w:tcPr>
          <w:p w14:paraId="4E48A995">
            <w:pPr>
              <w:pStyle w:val="14"/>
              <w:keepNext w:val="0"/>
              <w:keepLines w:val="0"/>
              <w:pageBreakBefore w:val="0"/>
              <w:kinsoku/>
              <w:wordWrap/>
              <w:overflowPunct/>
              <w:topLinePunct w:val="0"/>
              <w:autoSpaceDE/>
              <w:autoSpaceDN/>
              <w:bidi w:val="0"/>
              <w:adjustRightInd/>
              <w:snapToGrid/>
              <w:spacing w:line="360" w:lineRule="auto"/>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五、建筑垃圾及秸秆处置方案措施（10分）</w:t>
            </w:r>
          </w:p>
          <w:p w14:paraId="6EC101E3">
            <w:pPr>
              <w:pStyle w:val="14"/>
              <w:keepNext w:val="0"/>
              <w:keepLines w:val="0"/>
              <w:pageBreakBefore w:val="0"/>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包括建筑垃圾及秸秆处置的运输方案、处置方式及方案。</w:t>
            </w:r>
          </w:p>
          <w:p w14:paraId="044D9AA3">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Style w:val="241"/>
                <w:rFonts w:hint="eastAsia" w:ascii="仿宋" w:hAnsi="仿宋" w:eastAsia="仿宋" w:cs="仿宋"/>
                <w:color w:val="auto"/>
                <w:sz w:val="24"/>
                <w:szCs w:val="24"/>
                <w:highlight w:val="none"/>
                <w:lang w:val="en-US" w:eastAsia="zh-CN" w:bidi="ar"/>
              </w:rPr>
              <w:t>1.</w:t>
            </w:r>
            <w:r>
              <w:rPr>
                <w:rFonts w:hint="eastAsia" w:ascii="仿宋" w:hAnsi="仿宋" w:eastAsia="仿宋" w:cs="仿宋"/>
                <w:color w:val="auto"/>
                <w:kern w:val="0"/>
                <w:sz w:val="24"/>
                <w:szCs w:val="24"/>
                <w:highlight w:val="none"/>
                <w:lang w:val="en-US" w:eastAsia="zh-CN" w:bidi="ar"/>
              </w:rPr>
              <w:t>建筑垃圾及秸秆处置措施</w:t>
            </w:r>
            <w:r>
              <w:rPr>
                <w:rStyle w:val="241"/>
                <w:rFonts w:hint="eastAsia" w:ascii="仿宋" w:hAnsi="仿宋" w:eastAsia="仿宋" w:cs="仿宋"/>
                <w:color w:val="auto"/>
                <w:sz w:val="24"/>
                <w:szCs w:val="24"/>
                <w:highlight w:val="none"/>
                <w:lang w:val="en-US" w:eastAsia="zh-CN" w:bidi="ar"/>
              </w:rPr>
              <w:t>方案</w:t>
            </w:r>
            <w:r>
              <w:rPr>
                <w:rFonts w:hint="eastAsia" w:ascii="仿宋" w:hAnsi="仿宋" w:eastAsia="仿宋" w:cs="仿宋"/>
                <w:color w:val="auto"/>
                <w:kern w:val="0"/>
                <w:sz w:val="24"/>
                <w:szCs w:val="24"/>
                <w:highlight w:val="none"/>
                <w:lang w:bidi="ar"/>
              </w:rPr>
              <w:t>操作性强</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切合实际的得10分；</w:t>
            </w:r>
          </w:p>
          <w:p w14:paraId="7E1B4349">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Style w:val="241"/>
                <w:rFonts w:hint="eastAsia" w:ascii="仿宋" w:hAnsi="仿宋" w:eastAsia="仿宋" w:cs="仿宋"/>
                <w:color w:val="auto"/>
                <w:sz w:val="24"/>
                <w:szCs w:val="24"/>
                <w:highlight w:val="none"/>
                <w:lang w:val="en-US" w:eastAsia="zh-CN" w:bidi="ar"/>
              </w:rPr>
              <w:t>2.</w:t>
            </w:r>
            <w:r>
              <w:rPr>
                <w:rFonts w:hint="eastAsia" w:ascii="仿宋" w:hAnsi="仿宋" w:eastAsia="仿宋" w:cs="仿宋"/>
                <w:color w:val="auto"/>
                <w:kern w:val="0"/>
                <w:sz w:val="24"/>
                <w:szCs w:val="24"/>
                <w:highlight w:val="none"/>
                <w:lang w:val="en-US" w:eastAsia="zh-CN" w:bidi="ar"/>
              </w:rPr>
              <w:t>建筑垃圾及秸秆处置措施</w:t>
            </w:r>
            <w:r>
              <w:rPr>
                <w:rStyle w:val="241"/>
                <w:rFonts w:hint="eastAsia" w:ascii="仿宋" w:hAnsi="仿宋" w:eastAsia="仿宋" w:cs="仿宋"/>
                <w:color w:val="auto"/>
                <w:sz w:val="24"/>
                <w:szCs w:val="24"/>
                <w:highlight w:val="none"/>
                <w:lang w:val="en-US" w:eastAsia="zh-CN" w:bidi="ar"/>
              </w:rPr>
              <w:t>方案</w:t>
            </w:r>
            <w:r>
              <w:rPr>
                <w:rFonts w:hint="eastAsia" w:ascii="仿宋" w:hAnsi="仿宋" w:eastAsia="仿宋" w:cs="仿宋"/>
                <w:color w:val="auto"/>
                <w:kern w:val="0"/>
                <w:sz w:val="24"/>
                <w:szCs w:val="24"/>
                <w:highlight w:val="none"/>
                <w:lang w:bidi="ar"/>
              </w:rPr>
              <w:t>操作性</w:t>
            </w:r>
            <w:r>
              <w:rPr>
                <w:rFonts w:hint="eastAsia" w:ascii="仿宋" w:hAnsi="仿宋" w:eastAsia="仿宋" w:cs="仿宋"/>
                <w:color w:val="auto"/>
                <w:kern w:val="0"/>
                <w:sz w:val="24"/>
                <w:szCs w:val="24"/>
                <w:highlight w:val="none"/>
                <w:lang w:val="en-US" w:eastAsia="zh-CN" w:bidi="ar"/>
              </w:rPr>
              <w:t>一般</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基本切合实际的得5分；</w:t>
            </w:r>
          </w:p>
          <w:p w14:paraId="0033684C">
            <w:pPr>
              <w:pStyle w:val="14"/>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3.建筑垃圾及秸秆处置措施</w:t>
            </w:r>
            <w:r>
              <w:rPr>
                <w:rStyle w:val="241"/>
                <w:rFonts w:hint="eastAsia" w:ascii="仿宋" w:hAnsi="仿宋" w:eastAsia="仿宋" w:cs="仿宋"/>
                <w:color w:val="auto"/>
                <w:sz w:val="24"/>
                <w:szCs w:val="24"/>
                <w:highlight w:val="none"/>
                <w:lang w:val="en-US" w:eastAsia="zh-CN" w:bidi="ar"/>
              </w:rPr>
              <w:t>方案</w:t>
            </w:r>
            <w:r>
              <w:rPr>
                <w:rFonts w:hint="eastAsia" w:ascii="仿宋" w:hAnsi="仿宋" w:eastAsia="仿宋" w:cs="仿宋"/>
                <w:color w:val="auto"/>
                <w:kern w:val="0"/>
                <w:sz w:val="24"/>
                <w:szCs w:val="24"/>
                <w:highlight w:val="none"/>
                <w:lang w:bidi="ar"/>
              </w:rPr>
              <w:t>操作性</w:t>
            </w:r>
            <w:r>
              <w:rPr>
                <w:rFonts w:hint="eastAsia" w:ascii="仿宋" w:hAnsi="仿宋" w:eastAsia="仿宋" w:cs="仿宋"/>
                <w:color w:val="auto"/>
                <w:kern w:val="0"/>
                <w:sz w:val="24"/>
                <w:szCs w:val="24"/>
                <w:highlight w:val="none"/>
                <w:lang w:val="en-US" w:eastAsia="zh-CN" w:bidi="ar"/>
              </w:rPr>
              <w:t>不强</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不切合实际的得1分；</w:t>
            </w:r>
          </w:p>
          <w:p w14:paraId="095BED0E">
            <w:pPr>
              <w:pStyle w:val="14"/>
              <w:keepNext w:val="0"/>
              <w:keepLines w:val="0"/>
              <w:pageBreakBefore w:val="0"/>
              <w:kinsoku/>
              <w:wordWrap/>
              <w:overflowPunct/>
              <w:topLinePunct w:val="0"/>
              <w:autoSpaceDE/>
              <w:autoSpaceDN/>
              <w:bidi w:val="0"/>
              <w:adjustRightInd/>
              <w:snapToGrid/>
              <w:spacing w:line="360" w:lineRule="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4.未提供方案不得分。</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1DEE7B1">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Style w:val="241"/>
                <w:rFonts w:hint="eastAsia" w:ascii="仿宋" w:hAnsi="仿宋" w:eastAsia="仿宋" w:cs="仿宋"/>
                <w:color w:val="auto"/>
                <w:sz w:val="24"/>
                <w:szCs w:val="24"/>
                <w:highlight w:val="none"/>
                <w:lang w:val="en-US" w:eastAsia="zh-CN" w:bidi="ar"/>
              </w:rPr>
            </w:pPr>
            <w:r>
              <w:rPr>
                <w:rStyle w:val="241"/>
                <w:rFonts w:hint="eastAsia" w:ascii="仿宋" w:hAnsi="仿宋" w:eastAsia="仿宋" w:cs="仿宋"/>
                <w:color w:val="auto"/>
                <w:sz w:val="24"/>
                <w:szCs w:val="24"/>
                <w:highlight w:val="none"/>
                <w:lang w:val="en-US" w:eastAsia="zh-CN" w:bidi="ar"/>
              </w:rPr>
              <w:t>10</w:t>
            </w:r>
          </w:p>
        </w:tc>
      </w:tr>
      <w:tr w14:paraId="712410DD">
        <w:tblPrEx>
          <w:tblCellMar>
            <w:top w:w="0" w:type="dxa"/>
            <w:left w:w="108" w:type="dxa"/>
            <w:bottom w:w="0" w:type="dxa"/>
            <w:right w:w="108" w:type="dxa"/>
          </w:tblCellMar>
        </w:tblPrEx>
        <w:trPr>
          <w:trHeight w:val="1230" w:hRule="atLeast"/>
          <w:jc w:val="center"/>
        </w:trPr>
        <w:tc>
          <w:tcPr>
            <w:tcW w:w="76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91BF62">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仿宋" w:hAnsi="仿宋" w:eastAsia="仿宋" w:cs="仿宋"/>
                <w:color w:val="auto"/>
                <w:sz w:val="24"/>
                <w:szCs w:val="24"/>
                <w:highlight w:val="none"/>
              </w:rPr>
            </w:pPr>
          </w:p>
        </w:tc>
        <w:tc>
          <w:tcPr>
            <w:tcW w:w="14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5AF179">
            <w:pPr>
              <w:keepNext w:val="0"/>
              <w:keepLines w:val="0"/>
              <w:pageBreakBefore w:val="0"/>
              <w:kinsoku/>
              <w:wordWrap/>
              <w:overflowPunct/>
              <w:topLinePunct w:val="0"/>
              <w:autoSpaceDE/>
              <w:autoSpaceDN/>
              <w:bidi w:val="0"/>
              <w:adjustRightInd/>
              <w:snapToGrid/>
              <w:spacing w:line="360" w:lineRule="auto"/>
              <w:jc w:val="center"/>
              <w:outlineLvl w:val="9"/>
              <w:rPr>
                <w:rFonts w:hint="eastAsia" w:ascii="仿宋" w:hAnsi="仿宋" w:eastAsia="仿宋" w:cs="仿宋"/>
                <w:b/>
                <w:bCs/>
                <w:color w:val="auto"/>
                <w:sz w:val="24"/>
                <w:szCs w:val="24"/>
                <w:highlight w:val="none"/>
              </w:rPr>
            </w:pPr>
          </w:p>
        </w:tc>
        <w:tc>
          <w:tcPr>
            <w:tcW w:w="5719" w:type="dxa"/>
            <w:tcBorders>
              <w:top w:val="single" w:color="000000" w:sz="4" w:space="0"/>
              <w:left w:val="single" w:color="000000" w:sz="4" w:space="0"/>
              <w:bottom w:val="single" w:color="000000" w:sz="4" w:space="0"/>
              <w:right w:val="single" w:color="000000" w:sz="4" w:space="0"/>
            </w:tcBorders>
            <w:noWrap w:val="0"/>
            <w:vAlign w:val="center"/>
          </w:tcPr>
          <w:p w14:paraId="3C2B2AFB">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outlineLvl w:val="9"/>
              <w:rPr>
                <w:rStyle w:val="241"/>
                <w:rFonts w:hint="eastAsia" w:ascii="仿宋" w:hAnsi="仿宋" w:eastAsia="仿宋" w:cs="仿宋"/>
                <w:color w:val="auto"/>
                <w:sz w:val="24"/>
                <w:szCs w:val="24"/>
                <w:highlight w:val="none"/>
                <w:lang w:val="en-US" w:bidi="ar"/>
              </w:rPr>
            </w:pPr>
            <w:r>
              <w:rPr>
                <w:rFonts w:hint="eastAsia" w:ascii="仿宋" w:hAnsi="仿宋" w:eastAsia="仿宋" w:cs="仿宋"/>
                <w:b/>
                <w:bCs/>
                <w:color w:val="auto"/>
                <w:kern w:val="0"/>
                <w:sz w:val="24"/>
                <w:szCs w:val="24"/>
                <w:highlight w:val="none"/>
                <w:lang w:val="en-US" w:eastAsia="zh-CN" w:bidi="ar"/>
              </w:rPr>
              <w:t>六、</w:t>
            </w:r>
            <w:r>
              <w:rPr>
                <w:rFonts w:hint="eastAsia" w:ascii="仿宋" w:hAnsi="仿宋" w:eastAsia="仿宋" w:cs="仿宋"/>
                <w:b/>
                <w:bCs/>
                <w:color w:val="auto"/>
                <w:kern w:val="0"/>
                <w:sz w:val="24"/>
                <w:szCs w:val="24"/>
                <w:highlight w:val="none"/>
                <w:lang w:bidi="ar"/>
              </w:rPr>
              <w:t>各项承诺（</w:t>
            </w:r>
            <w:r>
              <w:rPr>
                <w:rFonts w:hint="eastAsia" w:ascii="仿宋" w:hAnsi="仿宋" w:eastAsia="仿宋" w:cs="仿宋"/>
                <w:b/>
                <w:bCs/>
                <w:color w:val="auto"/>
                <w:kern w:val="0"/>
                <w:sz w:val="24"/>
                <w:szCs w:val="24"/>
                <w:highlight w:val="none"/>
                <w:lang w:val="en-US" w:eastAsia="zh-CN" w:bidi="ar"/>
              </w:rPr>
              <w:t>2</w:t>
            </w:r>
            <w:r>
              <w:rPr>
                <w:rFonts w:hint="eastAsia" w:ascii="仿宋" w:hAnsi="仿宋" w:eastAsia="仿宋" w:cs="仿宋"/>
                <w:b/>
                <w:bCs/>
                <w:color w:val="auto"/>
                <w:kern w:val="0"/>
                <w:sz w:val="24"/>
                <w:szCs w:val="24"/>
                <w:highlight w:val="none"/>
                <w:lang w:bidi="ar"/>
              </w:rPr>
              <w:t>分）</w:t>
            </w:r>
            <w:r>
              <w:rPr>
                <w:rFonts w:hint="eastAsia" w:ascii="仿宋" w:hAnsi="仿宋" w:eastAsia="仿宋" w:cs="仿宋"/>
                <w:b/>
                <w:bCs/>
                <w:color w:val="auto"/>
                <w:kern w:val="0"/>
                <w:sz w:val="24"/>
                <w:szCs w:val="24"/>
                <w:highlight w:val="none"/>
                <w:lang w:bidi="ar"/>
              </w:rPr>
              <w:br w:type="textWrapping"/>
            </w:r>
            <w:r>
              <w:rPr>
                <w:rStyle w:val="241"/>
                <w:rFonts w:hint="eastAsia" w:ascii="仿宋" w:hAnsi="仿宋" w:eastAsia="仿宋" w:cs="仿宋"/>
                <w:color w:val="auto"/>
                <w:sz w:val="24"/>
                <w:szCs w:val="24"/>
                <w:highlight w:val="none"/>
                <w:lang w:bidi="ar"/>
              </w:rPr>
              <w:t>包括质量承诺、对发生各类安全事故善后处理承诺、依法规范用工承诺</w:t>
            </w:r>
            <w:r>
              <w:rPr>
                <w:rStyle w:val="241"/>
                <w:rFonts w:hint="eastAsia" w:ascii="仿宋" w:hAnsi="仿宋" w:eastAsia="仿宋" w:cs="仿宋"/>
                <w:color w:val="auto"/>
                <w:sz w:val="24"/>
                <w:szCs w:val="24"/>
                <w:highlight w:val="none"/>
                <w:lang w:eastAsia="zh-CN" w:bidi="ar"/>
              </w:rPr>
              <w:t>、</w:t>
            </w:r>
            <w:r>
              <w:rPr>
                <w:rStyle w:val="241"/>
                <w:rFonts w:hint="eastAsia" w:ascii="仿宋" w:hAnsi="仿宋" w:eastAsia="仿宋" w:cs="仿宋"/>
                <w:color w:val="auto"/>
                <w:sz w:val="24"/>
                <w:szCs w:val="24"/>
                <w:highlight w:val="none"/>
                <w:lang w:bidi="ar"/>
              </w:rPr>
              <w:t>应对履约期内各类风险承诺</w:t>
            </w:r>
            <w:r>
              <w:rPr>
                <w:rStyle w:val="241"/>
                <w:rFonts w:hint="eastAsia" w:ascii="仿宋" w:hAnsi="仿宋" w:eastAsia="仿宋" w:cs="仿宋"/>
                <w:color w:val="auto"/>
                <w:sz w:val="24"/>
                <w:szCs w:val="24"/>
                <w:highlight w:val="none"/>
                <w:lang w:eastAsia="zh-CN" w:bidi="ar"/>
              </w:rPr>
              <w:t>、</w:t>
            </w:r>
            <w:r>
              <w:rPr>
                <w:rStyle w:val="241"/>
                <w:rFonts w:hint="eastAsia" w:ascii="仿宋" w:hAnsi="仿宋" w:eastAsia="仿宋" w:cs="仿宋"/>
                <w:color w:val="auto"/>
                <w:sz w:val="24"/>
                <w:szCs w:val="24"/>
                <w:highlight w:val="none"/>
                <w:lang w:val="en-US" w:eastAsia="zh-CN" w:bidi="ar"/>
              </w:rPr>
              <w:t>应对不可抗力事件及时处理承诺</w:t>
            </w:r>
            <w:r>
              <w:rPr>
                <w:rStyle w:val="241"/>
                <w:rFonts w:hint="eastAsia" w:ascii="仿宋" w:hAnsi="仿宋" w:eastAsia="仿宋" w:cs="仿宋"/>
                <w:color w:val="auto"/>
                <w:sz w:val="24"/>
                <w:szCs w:val="24"/>
                <w:highlight w:val="none"/>
                <w:lang w:bidi="ar"/>
              </w:rPr>
              <w:t>等。</w:t>
            </w:r>
            <w:r>
              <w:rPr>
                <w:rStyle w:val="241"/>
                <w:rFonts w:hint="eastAsia" w:ascii="仿宋" w:hAnsi="仿宋" w:eastAsia="仿宋" w:cs="仿宋"/>
                <w:color w:val="auto"/>
                <w:sz w:val="24"/>
                <w:szCs w:val="24"/>
                <w:highlight w:val="none"/>
                <w:lang w:val="en-US" w:eastAsia="zh-CN" w:bidi="ar"/>
              </w:rPr>
              <w:t>全部提供得2分。</w:t>
            </w:r>
          </w:p>
          <w:p w14:paraId="4A4D39BF">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center"/>
              <w:outlineLvl w:val="9"/>
              <w:rPr>
                <w:rFonts w:hint="eastAsia" w:ascii="仿宋" w:hAnsi="仿宋" w:eastAsia="仿宋" w:cs="仿宋"/>
                <w:b/>
                <w:bCs/>
                <w:color w:val="auto"/>
                <w:sz w:val="24"/>
                <w:szCs w:val="24"/>
                <w:highlight w:val="none"/>
              </w:rPr>
            </w:pPr>
            <w:r>
              <w:rPr>
                <w:rStyle w:val="241"/>
                <w:rFonts w:hint="eastAsia" w:ascii="仿宋" w:hAnsi="仿宋" w:eastAsia="仿宋" w:cs="仿宋"/>
                <w:color w:val="auto"/>
                <w:sz w:val="24"/>
                <w:szCs w:val="24"/>
                <w:highlight w:val="none"/>
                <w:lang w:val="en-US" w:eastAsia="zh-CN" w:bidi="ar"/>
              </w:rPr>
              <w:t>须</w:t>
            </w:r>
            <w:r>
              <w:rPr>
                <w:rStyle w:val="241"/>
                <w:rFonts w:hint="eastAsia" w:ascii="仿宋" w:hAnsi="仿宋" w:eastAsia="仿宋" w:cs="仿宋"/>
                <w:color w:val="auto"/>
                <w:sz w:val="24"/>
                <w:szCs w:val="24"/>
                <w:highlight w:val="none"/>
                <w:lang w:bidi="ar"/>
              </w:rPr>
              <w:t>提供承诺书，格式自拟，内容需包含但不限于以上需承诺内容。</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1818A869">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val="en-US" w:eastAsia="zh-CN" w:bidi="ar"/>
              </w:rPr>
              <w:t>2</w:t>
            </w:r>
          </w:p>
        </w:tc>
      </w:tr>
    </w:tbl>
    <w:p w14:paraId="42F50599">
      <w:pPr>
        <w:pStyle w:val="35"/>
        <w:ind w:left="0" w:leftChars="0" w:firstLine="0" w:firstLineChars="0"/>
        <w:rPr>
          <w:rFonts w:ascii="仿宋" w:hAnsi="仿宋" w:eastAsia="仿宋" w:cs="仿宋"/>
          <w:color w:val="auto"/>
          <w:sz w:val="22"/>
          <w:szCs w:val="22"/>
          <w:highlight w:val="none"/>
        </w:rPr>
      </w:pPr>
    </w:p>
    <w:p w14:paraId="28B2F221">
      <w:pPr>
        <w:widowControl/>
        <w:jc w:val="left"/>
        <w:rPr>
          <w:rFonts w:ascii="宋体" w:hAnsi="宋体"/>
          <w:color w:val="auto"/>
          <w:szCs w:val="20"/>
          <w:highlight w:val="none"/>
        </w:rPr>
      </w:pPr>
      <w:r>
        <w:rPr>
          <w:color w:val="auto"/>
          <w:highlight w:val="none"/>
        </w:rPr>
        <w:br w:type="page" w:clear="all"/>
      </w:r>
    </w:p>
    <w:p w14:paraId="2987010C">
      <w:pPr>
        <w:pStyle w:val="35"/>
        <w:rPr>
          <w:color w:val="auto"/>
          <w:highlight w:val="none"/>
        </w:rPr>
      </w:pPr>
    </w:p>
    <w:p w14:paraId="6D6C3A27">
      <w:pPr>
        <w:ind w:firstLine="2209" w:firstLineChars="500"/>
        <w:jc w:val="both"/>
        <w:rPr>
          <w:rFonts w:ascii="宋体" w:hAnsi="宋体" w:cs="宋体"/>
          <w:b/>
          <w:bCs/>
          <w:color w:val="auto"/>
          <w:sz w:val="44"/>
          <w:szCs w:val="44"/>
          <w:highlight w:val="none"/>
        </w:rPr>
      </w:pPr>
      <w:r>
        <w:rPr>
          <w:rFonts w:hint="eastAsia" w:ascii="宋体" w:hAnsi="宋体" w:cs="宋体"/>
          <w:b/>
          <w:bCs/>
          <w:color w:val="auto"/>
          <w:sz w:val="44"/>
          <w:szCs w:val="44"/>
          <w:highlight w:val="none"/>
        </w:rPr>
        <w:t>第五章  合同文本格式</w:t>
      </w:r>
    </w:p>
    <w:p w14:paraId="6788FDD7">
      <w:pPr>
        <w:rPr>
          <w:rFonts w:ascii="宋体" w:hAnsi="宋体" w:cs="宋体"/>
          <w:color w:val="auto"/>
          <w:highlight w:val="none"/>
        </w:rPr>
      </w:pPr>
      <w:bookmarkStart w:id="191" w:name="_Hlt16619350"/>
    </w:p>
    <w:p w14:paraId="71BD0D11">
      <w:pPr>
        <w:pStyle w:val="78"/>
        <w:ind w:left="0" w:leftChars="0" w:firstLine="0" w:firstLineChars="0"/>
        <w:rPr>
          <w:rFonts w:ascii="宋体" w:hAnsi="宋体" w:cs="宋体"/>
          <w:color w:val="auto"/>
          <w:sz w:val="24"/>
          <w:highlight w:val="none"/>
        </w:rPr>
      </w:pPr>
    </w:p>
    <w:bookmarkEnd w:id="191"/>
    <w:p w14:paraId="79C6575C">
      <w:pPr>
        <w:pStyle w:val="243"/>
        <w:numPr>
          <w:ilvl w:val="0"/>
          <w:numId w:val="0"/>
        </w:numPr>
        <w:ind w:leftChars="0" w:firstLine="1285" w:firstLineChars="400"/>
        <w:jc w:val="both"/>
        <w:rPr>
          <w:rFonts w:hint="default" w:ascii="仿宋" w:hAnsi="仿宋" w:eastAsia="仿宋" w:cs="仿宋"/>
          <w:b/>
          <w:bCs/>
          <w:strike w:val="0"/>
          <w:color w:val="auto"/>
          <w:kern w:val="2"/>
          <w:position w:val="0"/>
          <w:sz w:val="32"/>
          <w:szCs w:val="32"/>
          <w:highlight w:val="none"/>
          <w:lang w:val="en-US" w:eastAsia="zh-CN" w:bidi="ar-SA"/>
        </w:rPr>
      </w:pPr>
      <w:r>
        <w:rPr>
          <w:rFonts w:hint="eastAsia" w:ascii="仿宋" w:hAnsi="仿宋" w:eastAsia="仿宋" w:cs="仿宋"/>
          <w:b/>
          <w:bCs/>
          <w:color w:val="auto"/>
          <w:kern w:val="2"/>
          <w:position w:val="0"/>
          <w:sz w:val="32"/>
          <w:szCs w:val="32"/>
          <w:highlight w:val="none"/>
          <w:lang w:val="en-US" w:eastAsia="zh-CN" w:bidi="ar-SA"/>
        </w:rPr>
        <w:t>如东县城中街道农村环境卫生长效管护服务</w:t>
      </w:r>
      <w:r>
        <w:rPr>
          <w:rFonts w:hint="eastAsia" w:ascii="仿宋" w:hAnsi="仿宋" w:eastAsia="仿宋" w:cs="仿宋"/>
          <w:b/>
          <w:bCs/>
          <w:strike w:val="0"/>
          <w:dstrike w:val="0"/>
          <w:color w:val="auto"/>
          <w:kern w:val="2"/>
          <w:position w:val="0"/>
          <w:sz w:val="32"/>
          <w:szCs w:val="32"/>
          <w:highlight w:val="none"/>
          <w:lang w:val="en-US" w:eastAsia="zh-CN" w:bidi="ar-SA"/>
        </w:rPr>
        <w:t>合同</w:t>
      </w:r>
    </w:p>
    <w:p w14:paraId="7B2C2003">
      <w:pPr>
        <w:keepNext w:val="0"/>
        <w:keepLines w:val="0"/>
        <w:pageBreakBefore w:val="0"/>
        <w:widowControl w:val="0"/>
        <w:kinsoku/>
        <w:wordWrap/>
        <w:overflowPunct/>
        <w:topLinePunct w:val="0"/>
        <w:autoSpaceDE/>
        <w:autoSpaceDN/>
        <w:bidi w:val="0"/>
        <w:spacing w:line="480" w:lineRule="exact"/>
        <w:jc w:val="both"/>
        <w:textAlignment w:val="auto"/>
        <w:rPr>
          <w:rFonts w:hint="eastAsia" w:ascii="仿宋" w:hAnsi="仿宋" w:eastAsia="仿宋" w:cs="仿宋"/>
          <w:b/>
          <w:bCs/>
          <w:color w:val="auto"/>
          <w:sz w:val="28"/>
          <w:szCs w:val="28"/>
          <w:highlight w:val="none"/>
          <w:lang w:eastAsia="zh-CN"/>
        </w:rPr>
      </w:pPr>
    </w:p>
    <w:p w14:paraId="5FDB4D9F">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发包人：如东县人民政府城中街道办事处　　　　　　（以下简称甲方）</w:t>
      </w:r>
    </w:p>
    <w:p w14:paraId="4B9C23B1">
      <w:pPr>
        <w:pStyle w:val="35"/>
        <w:ind w:left="0" w:leftChars="0" w:firstLine="0" w:firstLineChars="0"/>
        <w:rPr>
          <w:rFonts w:hint="default"/>
          <w:color w:val="auto"/>
          <w:highlight w:val="none"/>
          <w:lang w:val="en-US" w:eastAsia="zh-CN"/>
        </w:rPr>
      </w:pPr>
      <w:r>
        <w:rPr>
          <w:rFonts w:hint="eastAsia" w:ascii="仿宋" w:hAnsi="仿宋" w:eastAsia="仿宋" w:cs="仿宋"/>
          <w:b w:val="0"/>
          <w:bCs w:val="0"/>
          <w:color w:val="auto"/>
          <w:sz w:val="24"/>
          <w:szCs w:val="24"/>
          <w:highlight w:val="none"/>
          <w:lang w:val="en-US" w:eastAsia="zh-CN"/>
        </w:rPr>
        <w:t>住  所：如东县城中街道钟山路299号</w:t>
      </w:r>
    </w:p>
    <w:p w14:paraId="351A7978">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承包人：　　　　　　　　　　　　　　　　　　　　（以下简称乙方）</w:t>
      </w:r>
    </w:p>
    <w:p w14:paraId="67577357">
      <w:pPr>
        <w:pStyle w:val="35"/>
        <w:ind w:left="0" w:leftChars="0" w:firstLine="0" w:firstLineChars="0"/>
        <w:rPr>
          <w:rFonts w:hint="eastAsia"/>
          <w:color w:val="auto"/>
          <w:highlight w:val="none"/>
          <w:lang w:eastAsia="zh-CN"/>
        </w:rPr>
      </w:pPr>
      <w:r>
        <w:rPr>
          <w:rFonts w:hint="eastAsia" w:ascii="仿宋" w:hAnsi="仿宋" w:eastAsia="仿宋" w:cs="仿宋"/>
          <w:b w:val="0"/>
          <w:bCs w:val="0"/>
          <w:color w:val="auto"/>
          <w:sz w:val="24"/>
          <w:szCs w:val="24"/>
          <w:highlight w:val="none"/>
          <w:lang w:val="en-US" w:eastAsia="zh-CN"/>
        </w:rPr>
        <w:t>住  所：</w:t>
      </w:r>
    </w:p>
    <w:p w14:paraId="7B05589F">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为推进社会主义新农村建设，创造和谐社会环境，围绕农村环境卫生长效管理工作要求，结合我街道实际，甲乙双方本着诚实信用、平等互利的原则，</w:t>
      </w:r>
      <w:r>
        <w:rPr>
          <w:rFonts w:hint="eastAsia" w:ascii="仿宋" w:hAnsi="仿宋" w:eastAsia="仿宋" w:cs="仿宋"/>
          <w:b w:val="0"/>
          <w:bCs w:val="0"/>
          <w:strike w:val="0"/>
          <w:dstrike w:val="0"/>
          <w:color w:val="auto"/>
          <w:sz w:val="24"/>
          <w:szCs w:val="24"/>
          <w:highlight w:val="none"/>
          <w:lang w:val="en-US" w:eastAsia="zh-CN"/>
        </w:rPr>
        <w:t>签署</w:t>
      </w:r>
      <w:r>
        <w:rPr>
          <w:rFonts w:hint="eastAsia" w:ascii="仿宋" w:hAnsi="仿宋" w:eastAsia="仿宋" w:cs="仿宋"/>
          <w:b w:val="0"/>
          <w:bCs w:val="0"/>
          <w:color w:val="auto"/>
          <w:sz w:val="24"/>
          <w:szCs w:val="24"/>
          <w:highlight w:val="none"/>
          <w:lang w:eastAsia="zh-CN"/>
        </w:rPr>
        <w:t>如下服务合同：</w:t>
      </w:r>
    </w:p>
    <w:p w14:paraId="4DCF8300">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一、项目</w:t>
      </w:r>
      <w:r>
        <w:rPr>
          <w:rFonts w:hint="eastAsia" w:ascii="仿宋" w:hAnsi="仿宋" w:eastAsia="仿宋" w:cs="仿宋"/>
          <w:b/>
          <w:bCs/>
          <w:color w:val="auto"/>
          <w:sz w:val="24"/>
          <w:szCs w:val="24"/>
          <w:highlight w:val="none"/>
          <w:lang w:val="en-US" w:eastAsia="zh-CN"/>
        </w:rPr>
        <w:t>内容及管护要求</w:t>
      </w:r>
    </w:p>
    <w:p w14:paraId="67086CAA">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（一）生活垃圾收运处置【</w:t>
      </w:r>
      <w:r>
        <w:rPr>
          <w:rFonts w:hint="eastAsia" w:ascii="仿宋" w:hAnsi="仿宋" w:eastAsia="仿宋" w:cs="仿宋"/>
          <w:b/>
          <w:bCs/>
          <w:color w:val="auto"/>
          <w:sz w:val="24"/>
          <w:szCs w:val="24"/>
          <w:highlight w:val="none"/>
          <w:lang w:val="en-US" w:eastAsia="zh-CN"/>
        </w:rPr>
        <w:t>包含入户收运（其他垃圾转运处置、厨余垃圾收运处置、可回收物及有害垃圾收运）、垃圾中转房管理保洁、湿垃圾处置中心管理保洁等</w:t>
      </w:r>
      <w:r>
        <w:rPr>
          <w:rFonts w:hint="eastAsia" w:ascii="仿宋" w:hAnsi="仿宋" w:eastAsia="仿宋" w:cs="仿宋"/>
          <w:b/>
          <w:bCs/>
          <w:color w:val="auto"/>
          <w:sz w:val="24"/>
          <w:szCs w:val="24"/>
          <w:highlight w:val="none"/>
          <w:lang w:eastAsia="zh-CN"/>
        </w:rPr>
        <w:t>】</w:t>
      </w:r>
    </w:p>
    <w:p w14:paraId="6839A1BF">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垃圾收集清运</w:t>
      </w:r>
      <w:r>
        <w:rPr>
          <w:rFonts w:hint="eastAsia" w:ascii="仿宋" w:hAnsi="仿宋" w:eastAsia="仿宋" w:cs="仿宋"/>
          <w:color w:val="auto"/>
          <w:sz w:val="24"/>
          <w:szCs w:val="24"/>
          <w:highlight w:val="none"/>
        </w:rPr>
        <w:t>管护</w:t>
      </w:r>
      <w:r>
        <w:rPr>
          <w:rFonts w:hint="eastAsia" w:ascii="仿宋" w:hAnsi="仿宋" w:eastAsia="仿宋" w:cs="仿宋"/>
          <w:color w:val="auto"/>
          <w:sz w:val="24"/>
          <w:szCs w:val="24"/>
          <w:highlight w:val="none"/>
          <w:lang w:eastAsia="zh-CN"/>
        </w:rPr>
        <w:t>范围</w:t>
      </w:r>
    </w:p>
    <w:p w14:paraId="0AF15BCF">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按照《江苏省城市生活垃圾分类设施设备配置和维护指南》、《南通市农村生活垃圾分类设施设置规范》和《如东县农村生活垃圾分类、收运处置及设施管护考核办法（试行）》的要求，负责街道区域内七个行政村的所有常住户、企事业单位、商店、超市、政府、学校及范堤社区部分区域所产生的生活垃圾收集清运。</w:t>
      </w:r>
    </w:p>
    <w:p w14:paraId="69801C7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2.垃圾清运管护要求</w:t>
      </w:r>
    </w:p>
    <w:p w14:paraId="47628413">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积极做好生活垃圾分类工作，按垃圾分类要求分别收运处置。及时入户分类收运生活垃圾清运至各村垃圾中转房，做到日产日清无积存，同时做好农户周边垃圾捡拾及抛弃的沙发、家具等杂物的收运处置工作。</w:t>
      </w:r>
    </w:p>
    <w:p w14:paraId="4A8FEEF0">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及时分类转运中转房垃圾进行无害化处置（其他垃圾送电厂或以其它方式进行处置，易腐垃圾送街道湿垃圾处置中心处置，有害垃圾和可回收物统一归集），做到日产日清无积存；做好中转房内及周边环境的卫生保洁，中转房每月定期（5、15、25号）进行卫生消杀，及时处置污水，保持中转房垃圾设施完好、环境整洁；做好街道易腐垃圾处置中心的正常运行和卫生消杀及污水处置；无人为焚烧垃圾行为。</w:t>
      </w:r>
    </w:p>
    <w:p w14:paraId="082C2536">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（3）垃圾收运过程中，确保无飘洒散落垃圾及污水外流。</w:t>
      </w:r>
    </w:p>
    <w:p w14:paraId="3CEC7985">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（4）可回收物、有害垃圾收运至中转房统一处置。</w:t>
      </w:r>
    </w:p>
    <w:p w14:paraId="72DC6914">
      <w:pPr>
        <w:keepNext w:val="0"/>
        <w:keepLines w:val="0"/>
        <w:pageBreakBefore w:val="0"/>
        <w:widowControl w:val="0"/>
        <w:kinsoku/>
        <w:wordWrap/>
        <w:overflowPunct/>
        <w:topLinePunct w:val="0"/>
        <w:autoSpaceDE/>
        <w:autoSpaceDN/>
        <w:bidi w:val="0"/>
        <w:snapToGrid/>
        <w:spacing w:line="360" w:lineRule="auto"/>
        <w:ind w:left="479" w:leftChars="228"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（5）工业垃圾由乙方根据相关收费标准与企业自行协商进行收集，街道与</w:t>
      </w:r>
    </w:p>
    <w:p w14:paraId="34A43F57">
      <w:pPr>
        <w:keepNext w:val="0"/>
        <w:keepLines w:val="0"/>
        <w:pageBreakBefore w:val="0"/>
        <w:widowControl w:val="0"/>
        <w:kinsoku/>
        <w:wordWrap/>
        <w:overflowPunct/>
        <w:topLinePunct w:val="0"/>
        <w:autoSpaceDE/>
        <w:autoSpaceDN/>
        <w:bidi w:val="0"/>
        <w:snapToGrid/>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所在村予以配合。 </w:t>
      </w:r>
    </w:p>
    <w:p w14:paraId="559F3196">
      <w:pPr>
        <w:pStyle w:val="35"/>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（注:其他垃圾、</w:t>
      </w:r>
      <w:r>
        <w:rPr>
          <w:rFonts w:hint="eastAsia" w:ascii="仿宋" w:hAnsi="仿宋" w:eastAsia="仿宋" w:cs="仿宋"/>
          <w:strike w:val="0"/>
          <w:dstrike w:val="0"/>
          <w:color w:val="auto"/>
          <w:sz w:val="24"/>
          <w:szCs w:val="24"/>
          <w:highlight w:val="none"/>
          <w:lang w:val="en-US" w:eastAsia="zh-CN"/>
        </w:rPr>
        <w:t>可回收物、有害垃圾</w:t>
      </w:r>
      <w:r>
        <w:rPr>
          <w:rFonts w:hint="eastAsia" w:ascii="仿宋" w:hAnsi="仿宋" w:eastAsia="仿宋" w:cs="仿宋"/>
          <w:color w:val="auto"/>
          <w:sz w:val="24"/>
          <w:szCs w:val="24"/>
          <w:highlight w:val="none"/>
          <w:lang w:val="en-US" w:eastAsia="zh-CN"/>
        </w:rPr>
        <w:t>转运处置总量约9000吨/年，易腐垃圾处置总量约720吨/年，总量包干，费用不予调整</w:t>
      </w:r>
      <w:r>
        <w:rPr>
          <w:rFonts w:hint="eastAsia" w:ascii="仿宋" w:hAnsi="仿宋" w:eastAsia="仿宋" w:cs="仿宋"/>
          <w:b/>
          <w:bCs/>
          <w:i w:val="0"/>
          <w:iCs w:val="0"/>
          <w:color w:val="auto"/>
          <w:sz w:val="24"/>
          <w:szCs w:val="24"/>
          <w:highlight w:val="none"/>
          <w:u w:val="none"/>
          <w:lang w:val="en-US" w:eastAsia="zh-CN"/>
        </w:rPr>
        <w:t>。</w:t>
      </w:r>
      <w:r>
        <w:rPr>
          <w:rFonts w:hint="eastAsia" w:ascii="仿宋" w:hAnsi="仿宋" w:eastAsia="仿宋" w:cs="仿宋"/>
          <w:color w:val="auto"/>
          <w:sz w:val="24"/>
          <w:szCs w:val="24"/>
          <w:highlight w:val="none"/>
          <w:lang w:val="en-US" w:eastAsia="zh-CN"/>
        </w:rPr>
        <w:t>）</w:t>
      </w:r>
    </w:p>
    <w:p w14:paraId="75921498">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（二）河道（含河道绿化）管护内容及要求</w:t>
      </w:r>
    </w:p>
    <w:p w14:paraId="1A4B426B">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街道区域范围内一、二级河共16.65公里；三级河共56.53公里；四级河共70.7公里。（其中河道草坪坡20.21公里)</w:t>
      </w:r>
    </w:p>
    <w:p w14:paraId="555BBE57">
      <w:pPr>
        <w:keepNext w:val="0"/>
        <w:keepLines w:val="0"/>
        <w:pageBreakBefore w:val="0"/>
        <w:widowControl w:val="0"/>
        <w:kinsoku/>
        <w:wordWrap/>
        <w:overflowPunct/>
        <w:topLinePunct w:val="0"/>
        <w:autoSpaceDE/>
        <w:autoSpaceDN/>
        <w:bidi w:val="0"/>
        <w:adjustRightInd w:val="0"/>
        <w:snapToGrid/>
        <w:spacing w:after="0"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1.一、二级河管护要求（县管）</w:t>
      </w:r>
    </w:p>
    <w:p w14:paraId="07A65E85">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河坡农作物秸杆等堆积物清理；河坡高草、加拿大一枝黄花清除；配合村对河坡种植的农作物进行处置。</w:t>
      </w:r>
    </w:p>
    <w:p w14:paraId="4AA3655A">
      <w:pPr>
        <w:keepNext w:val="0"/>
        <w:keepLines w:val="0"/>
        <w:pageBreakBefore w:val="0"/>
        <w:widowControl w:val="0"/>
        <w:kinsoku/>
        <w:wordWrap/>
        <w:overflowPunct/>
        <w:topLinePunct w:val="0"/>
        <w:autoSpaceDE/>
        <w:autoSpaceDN/>
        <w:bidi w:val="0"/>
        <w:adjustRightInd w:val="0"/>
        <w:snapToGrid/>
        <w:spacing w:after="0" w:line="360" w:lineRule="auto"/>
        <w:ind w:firstLine="482"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2.三、四级河管护要求</w:t>
      </w:r>
    </w:p>
    <w:p w14:paraId="30D69B27">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三、四级河道按要求长效保洁，做到水面无漂浮垃圾，无水花生/水浮萍/游丝草/水葫芦/大面积青苔等不良水生植物，无农作物秸杆飘浮；及时清理处置河坡堆积的零星杂物、建筑装潢垃圾、农作物秸杆、瓜豆类蔓藤、散失垃圾及</w:t>
      </w:r>
      <w:r>
        <w:rPr>
          <w:rFonts w:hint="eastAsia" w:ascii="仿宋" w:hAnsi="仿宋" w:eastAsia="仿宋" w:cs="仿宋"/>
          <w:color w:val="auto"/>
          <w:sz w:val="24"/>
          <w:szCs w:val="24"/>
          <w:highlight w:val="none"/>
          <w:lang w:val="en-US" w:eastAsia="zh-CN"/>
        </w:rPr>
        <w:t>加拿大一枝黄花</w:t>
      </w:r>
      <w:r>
        <w:rPr>
          <w:rFonts w:hint="eastAsia" w:ascii="仿宋" w:hAnsi="仿宋" w:eastAsia="仿宋" w:cs="仿宋"/>
          <w:b w:val="0"/>
          <w:bCs w:val="0"/>
          <w:color w:val="auto"/>
          <w:sz w:val="24"/>
          <w:szCs w:val="24"/>
          <w:highlight w:val="none"/>
          <w:lang w:val="en-US" w:eastAsia="zh-CN"/>
        </w:rPr>
        <w:t>等；配合村对河坡种植的农作物进行处置。</w:t>
      </w:r>
    </w:p>
    <w:p w14:paraId="5A98D6CA">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（2）清除清运河道枯萎芦苇、芦竹、茭白、杂树等高草，并自行处置到位；河道绿化、草坪坡管护。</w:t>
      </w:r>
    </w:p>
    <w:p w14:paraId="62C11D1C">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（3）及时向村、街道反馈畜禽粪污、工业污水直排及黑臭水体信息。</w:t>
      </w:r>
    </w:p>
    <w:p w14:paraId="10B4C7D8">
      <w:pPr>
        <w:keepNext w:val="0"/>
        <w:keepLines w:val="0"/>
        <w:pageBreakBefore w:val="0"/>
        <w:widowControl w:val="0"/>
        <w:kinsoku/>
        <w:wordWrap/>
        <w:overflowPunct/>
        <w:topLinePunct w:val="0"/>
        <w:autoSpaceDE/>
        <w:autoSpaceDN/>
        <w:bidi w:val="0"/>
        <w:adjustRightInd w:val="0"/>
        <w:snapToGrid/>
        <w:spacing w:after="0" w:line="360" w:lineRule="auto"/>
        <w:ind w:firstLine="48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3.沟塘管护要求</w:t>
      </w:r>
    </w:p>
    <w:p w14:paraId="55662649">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乡村公路两侧顺路沟塘按三、四级河道日常保洁要求进行长效管护，其它沿路沟塘做到视野范围内散失生活垃圾及时捡拾。</w:t>
      </w:r>
    </w:p>
    <w:p w14:paraId="4FE2446E">
      <w:pPr>
        <w:keepNext w:val="0"/>
        <w:keepLines w:val="0"/>
        <w:pageBreakBefore w:val="0"/>
        <w:widowControl w:val="0"/>
        <w:kinsoku/>
        <w:wordWrap/>
        <w:overflowPunct/>
        <w:topLinePunct w:val="0"/>
        <w:autoSpaceDE/>
        <w:autoSpaceDN/>
        <w:bidi w:val="0"/>
        <w:adjustRightInd w:val="0"/>
        <w:snapToGrid/>
        <w:spacing w:after="0"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4.河道绿化管护要求</w:t>
      </w:r>
    </w:p>
    <w:p w14:paraId="53B152D2">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（1）河道两侧绿化树木不定期进行修剪，及时扶正倒伏、倾斜的树木；及时清除树上攀爬蔓藤、杂树、枯死树木，</w:t>
      </w:r>
      <w:r>
        <w:rPr>
          <w:rFonts w:hint="eastAsia" w:ascii="仿宋" w:hAnsi="仿宋" w:eastAsia="仿宋" w:cs="仿宋"/>
          <w:color w:val="auto"/>
          <w:sz w:val="24"/>
          <w:szCs w:val="24"/>
          <w:highlight w:val="none"/>
          <w:lang w:val="en-US" w:eastAsia="zh-CN"/>
        </w:rPr>
        <w:t>不得留置河道、道路、桥梁</w:t>
      </w:r>
      <w:r>
        <w:rPr>
          <w:rFonts w:hint="eastAsia" w:ascii="仿宋" w:hAnsi="仿宋" w:eastAsia="仿宋" w:cs="仿宋"/>
          <w:b w:val="0"/>
          <w:bCs w:val="0"/>
          <w:color w:val="auto"/>
          <w:sz w:val="24"/>
          <w:szCs w:val="24"/>
          <w:highlight w:val="none"/>
          <w:lang w:val="en-US" w:eastAsia="zh-CN"/>
        </w:rPr>
        <w:t>及</w:t>
      </w:r>
      <w:r>
        <w:rPr>
          <w:rFonts w:hint="eastAsia" w:ascii="仿宋" w:hAnsi="仿宋" w:eastAsia="仿宋" w:cs="仿宋"/>
          <w:color w:val="auto"/>
          <w:sz w:val="24"/>
          <w:szCs w:val="24"/>
          <w:highlight w:val="none"/>
          <w:lang w:val="en-US" w:eastAsia="zh-CN"/>
        </w:rPr>
        <w:t>水下范围</w:t>
      </w:r>
      <w:r>
        <w:rPr>
          <w:rFonts w:hint="eastAsia" w:ascii="仿宋" w:hAnsi="仿宋" w:eastAsia="仿宋" w:cs="仿宋"/>
          <w:b w:val="0"/>
          <w:bCs w:val="0"/>
          <w:color w:val="auto"/>
          <w:sz w:val="24"/>
          <w:szCs w:val="24"/>
          <w:highlight w:val="none"/>
          <w:lang w:val="en-US" w:eastAsia="zh-CN"/>
        </w:rPr>
        <w:t>。</w:t>
      </w:r>
    </w:p>
    <w:p w14:paraId="3801E91A">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（2）及时</w:t>
      </w:r>
      <w:r>
        <w:rPr>
          <w:rFonts w:hint="eastAsia" w:ascii="仿宋" w:hAnsi="仿宋" w:eastAsia="仿宋" w:cs="仿宋"/>
          <w:color w:val="auto"/>
          <w:sz w:val="24"/>
          <w:szCs w:val="24"/>
          <w:highlight w:val="none"/>
          <w:lang w:val="en-US" w:eastAsia="zh-CN"/>
        </w:rPr>
        <w:t>拔除密栽色带苗木</w:t>
      </w:r>
      <w:r>
        <w:rPr>
          <w:rFonts w:hint="eastAsia" w:ascii="仿宋" w:hAnsi="仿宋" w:eastAsia="仿宋" w:cs="仿宋"/>
          <w:b w:val="0"/>
          <w:bCs w:val="0"/>
          <w:color w:val="auto"/>
          <w:sz w:val="24"/>
          <w:szCs w:val="24"/>
          <w:highlight w:val="none"/>
          <w:lang w:val="en-US" w:eastAsia="zh-CN"/>
        </w:rPr>
        <w:t>及</w:t>
      </w:r>
      <w:r>
        <w:rPr>
          <w:rFonts w:hint="eastAsia" w:ascii="仿宋" w:hAnsi="仿宋" w:eastAsia="仿宋" w:cs="仿宋"/>
          <w:color w:val="auto"/>
          <w:sz w:val="24"/>
          <w:szCs w:val="24"/>
          <w:highlight w:val="none"/>
          <w:lang w:val="en-US" w:eastAsia="zh-CN"/>
        </w:rPr>
        <w:t>草</w:t>
      </w:r>
      <w:r>
        <w:rPr>
          <w:rFonts w:hint="eastAsia" w:ascii="仿宋" w:hAnsi="仿宋" w:eastAsia="仿宋" w:cs="仿宋"/>
          <w:b w:val="0"/>
          <w:bCs w:val="0"/>
          <w:color w:val="auto"/>
          <w:sz w:val="24"/>
          <w:szCs w:val="24"/>
          <w:highlight w:val="none"/>
          <w:lang w:val="en-US" w:eastAsia="zh-CN"/>
        </w:rPr>
        <w:t>坪</w:t>
      </w:r>
      <w:r>
        <w:rPr>
          <w:rFonts w:hint="eastAsia" w:ascii="仿宋" w:hAnsi="仿宋" w:eastAsia="仿宋" w:cs="仿宋"/>
          <w:color w:val="auto"/>
          <w:sz w:val="24"/>
          <w:szCs w:val="24"/>
          <w:highlight w:val="none"/>
          <w:lang w:val="en-US" w:eastAsia="zh-CN"/>
        </w:rPr>
        <w:t>内杂草、</w:t>
      </w:r>
      <w:r>
        <w:rPr>
          <w:rFonts w:hint="eastAsia" w:ascii="仿宋" w:hAnsi="仿宋" w:eastAsia="仿宋" w:cs="仿宋"/>
          <w:b w:val="0"/>
          <w:bCs w:val="0"/>
          <w:color w:val="auto"/>
          <w:sz w:val="24"/>
          <w:szCs w:val="24"/>
          <w:highlight w:val="none"/>
          <w:lang w:val="en-US" w:eastAsia="zh-CN"/>
        </w:rPr>
        <w:t>芦竹</w:t>
      </w:r>
      <w:r>
        <w:rPr>
          <w:rFonts w:hint="eastAsia" w:ascii="仿宋" w:hAnsi="仿宋" w:eastAsia="仿宋" w:cs="仿宋"/>
          <w:color w:val="auto"/>
          <w:sz w:val="24"/>
          <w:szCs w:val="24"/>
          <w:highlight w:val="none"/>
          <w:lang w:val="en-US" w:eastAsia="zh-CN"/>
        </w:rPr>
        <w:t>、芦苇等；定期对草</w:t>
      </w:r>
      <w:r>
        <w:rPr>
          <w:rFonts w:hint="eastAsia" w:ascii="仿宋" w:hAnsi="仿宋" w:eastAsia="仿宋" w:cs="仿宋"/>
          <w:b w:val="0"/>
          <w:bCs w:val="0"/>
          <w:color w:val="auto"/>
          <w:sz w:val="24"/>
          <w:szCs w:val="24"/>
          <w:highlight w:val="none"/>
          <w:lang w:val="en-US" w:eastAsia="zh-CN"/>
        </w:rPr>
        <w:t>坪</w:t>
      </w:r>
      <w:r>
        <w:rPr>
          <w:rFonts w:hint="eastAsia" w:ascii="仿宋" w:hAnsi="仿宋" w:eastAsia="仿宋" w:cs="仿宋"/>
          <w:color w:val="auto"/>
          <w:sz w:val="24"/>
          <w:szCs w:val="24"/>
          <w:highlight w:val="none"/>
          <w:lang w:val="en-US" w:eastAsia="zh-CN"/>
        </w:rPr>
        <w:t>割草（保持不高于15厘米，严禁喷洒除草剂），杂草不得留置河道、道路、桥梁</w:t>
      </w:r>
      <w:r>
        <w:rPr>
          <w:rFonts w:hint="eastAsia" w:ascii="仿宋" w:hAnsi="仿宋" w:eastAsia="仿宋" w:cs="仿宋"/>
          <w:b w:val="0"/>
          <w:bCs w:val="0"/>
          <w:color w:val="auto"/>
          <w:sz w:val="24"/>
          <w:szCs w:val="24"/>
          <w:highlight w:val="none"/>
          <w:lang w:val="en-US" w:eastAsia="zh-CN"/>
        </w:rPr>
        <w:t>及</w:t>
      </w:r>
      <w:r>
        <w:rPr>
          <w:rFonts w:hint="eastAsia" w:ascii="仿宋" w:hAnsi="仿宋" w:eastAsia="仿宋" w:cs="仿宋"/>
          <w:color w:val="auto"/>
          <w:sz w:val="24"/>
          <w:szCs w:val="24"/>
          <w:highlight w:val="none"/>
          <w:lang w:val="en-US" w:eastAsia="zh-CN"/>
        </w:rPr>
        <w:t>水下范围。</w:t>
      </w:r>
    </w:p>
    <w:p w14:paraId="4A79D226">
      <w:pPr>
        <w:keepNext w:val="0"/>
        <w:keepLines w:val="0"/>
        <w:pageBreakBefore w:val="0"/>
        <w:widowControl w:val="0"/>
        <w:kinsoku/>
        <w:wordWrap/>
        <w:overflowPunct/>
        <w:topLinePunct w:val="0"/>
        <w:autoSpaceDE/>
        <w:autoSpaceDN/>
        <w:bidi w:val="0"/>
        <w:adjustRightInd w:val="0"/>
        <w:snapToGrid/>
        <w:spacing w:after="0" w:line="360" w:lineRule="auto"/>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（注：先进行全域预算，按年度对河道、沟塘整治工程质保期内的工程量进行服务费核减）。</w:t>
      </w:r>
    </w:p>
    <w:p w14:paraId="485556D7">
      <w:pPr>
        <w:keepNext w:val="0"/>
        <w:keepLines w:val="0"/>
        <w:pageBreakBefore w:val="0"/>
        <w:widowControl w:val="0"/>
        <w:kinsoku/>
        <w:wordWrap/>
        <w:overflowPunct/>
        <w:topLinePunct w:val="0"/>
        <w:autoSpaceDE/>
        <w:autoSpaceDN/>
        <w:bidi w:val="0"/>
        <w:adjustRightInd w:val="0"/>
        <w:snapToGrid/>
        <w:spacing w:after="0"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（三）农村道路（含桥梁）及绿化管护要求</w:t>
      </w:r>
    </w:p>
    <w:p w14:paraId="5FE94E44">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全街道目前共有道路396.918公里（其中县道27.71公里，乡村公路99.528公里，村组道路269.68公里）。</w:t>
      </w:r>
    </w:p>
    <w:p w14:paraId="0BA3B255">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（1）县道路边及路边沟塘垃圾捡拾、农作物秸杆等堆积杂物清理、路两侧加拿大一枝黄花清除（包含掘坎路两侧行道树管护）。</w:t>
      </w:r>
    </w:p>
    <w:p w14:paraId="295BB3AA">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（2）农村道路保持清洁，农路两侧视野范围内无散失生活垃圾,清理处置路边、路边沟塘堆积的零星杂物、农作物秸杆、瓜豆类蔓藤等；道路边线清晰，无泥土、杂物等占路覆盖。</w:t>
      </w:r>
    </w:p>
    <w:p w14:paraId="2F3DC5DF">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（3）雨后路面积水及时排放，路肩雨淋漕沟及时培土修复（1㎡内）。</w:t>
      </w:r>
    </w:p>
    <w:p w14:paraId="4AC5567C">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合理安排农村道路路肩(坡)割草频率，乡村公路每年不少于10次，村组道路每年不少于7次，保证路肩(坡)无15cm以上高草现象，路坡割至路田分界沟或路田分界处，割草后的路面及时保洁；及时清除道路两侧的加拿大一枝黄花；配合村对道路路肩、边坡种植的农作物进行处置；道路两侧绿化树木不定期进行修剪，及时扶正倒伏、倾斜树木，及时清除树上攀爬蔓藤、杂树、枯死树木，对影响视线和遮挡示警标志的树木要随时修剪,乡村公路树木一年一次病虫害（刷白）防治。</w:t>
      </w:r>
    </w:p>
    <w:p w14:paraId="7CADC2F6">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（5）及时扶正倒伏、倾斜的示警标志、标识等；及时清除路边两侧电线杆、路(桥)护拦、车口房、公示牌等可视范围内悬挂、张贴的小广告及攀爬蔓藤。如发现示警设施缺少或损坏及时向甲方报告。</w:t>
      </w:r>
    </w:p>
    <w:p w14:paraId="78FC56F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（6）桥梁保持清洁，无散失垃圾、泥沙等，及时清除桥头两侧影响视线的高杆植物，桥面泄水孔保持畅通，伸缩缝无堵塞物；桥下零星杂物及时清理。         （注：先进行全域预算，按年度对道路整治工程质保期内的工程量进行服务费核减）</w:t>
      </w:r>
    </w:p>
    <w:p w14:paraId="2B14E806">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（四）农作物秸杆及建筑垃圾清运处置</w:t>
      </w:r>
    </w:p>
    <w:p w14:paraId="00568FCA">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城中街道七个行政村区域内，夏秋两季各村定点位置的农作物秸杆及一年四季瓜、豆类蔓藤和建筑垃圾等及时清理，由乙方进行无害化处置。</w:t>
      </w:r>
    </w:p>
    <w:p w14:paraId="1631D103">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（五）积分制平台运行</w:t>
      </w:r>
    </w:p>
    <w:p w14:paraId="29A57204">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农村人居环境卫生、垃圾分类等各项积分统计，具体运行要求根据甲方考核细则执行。</w:t>
      </w:r>
    </w:p>
    <w:p w14:paraId="25E46EBC">
      <w:pPr>
        <w:pStyle w:val="35"/>
        <w:keepNext w:val="0"/>
        <w:keepLines w:val="0"/>
        <w:pageBreakBefore w:val="0"/>
        <w:widowControl w:val="0"/>
        <w:numPr>
          <w:ilvl w:val="0"/>
          <w:numId w:val="0"/>
        </w:numPr>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（六）其他要求</w:t>
      </w:r>
    </w:p>
    <w:p w14:paraId="469ADD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1.突发公共事件、灾害性天气等情形的应急处置、环卫信访件处置。</w:t>
      </w:r>
    </w:p>
    <w:p w14:paraId="436ACE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2.重大活动环境卫生保障。</w:t>
      </w:r>
    </w:p>
    <w:p w14:paraId="24A22A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3.村部周边、公厕、园林景观、泵站及渠道等公共区域的卫生保洁、绿化管护。</w:t>
      </w:r>
    </w:p>
    <w:p w14:paraId="598C4F2A">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二</w:t>
      </w:r>
      <w:r>
        <w:rPr>
          <w:rFonts w:hint="eastAsia" w:ascii="仿宋" w:hAnsi="仿宋" w:eastAsia="仿宋" w:cs="仿宋"/>
          <w:b/>
          <w:bCs/>
          <w:color w:val="auto"/>
          <w:sz w:val="24"/>
          <w:highlight w:val="none"/>
        </w:rPr>
        <w:t>、管护人员、设备配备与使用</w:t>
      </w:r>
    </w:p>
    <w:p w14:paraId="152DF860">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（一）管护人员配备</w:t>
      </w:r>
    </w:p>
    <w:p w14:paraId="7EECA94B">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1.管护人员</w:t>
      </w:r>
      <w:r>
        <w:rPr>
          <w:rFonts w:hint="eastAsia" w:ascii="仿宋" w:hAnsi="仿宋" w:eastAsia="仿宋" w:cs="仿宋"/>
          <w:color w:val="auto"/>
          <w:sz w:val="24"/>
          <w:szCs w:val="24"/>
          <w:highlight w:val="none"/>
          <w:lang w:eastAsia="zh-CN"/>
        </w:rPr>
        <w:t>的配备要求：</w:t>
      </w:r>
      <w:r>
        <w:rPr>
          <w:rFonts w:hint="eastAsia" w:ascii="仿宋" w:hAnsi="仿宋" w:eastAsia="仿宋" w:cs="仿宋"/>
          <w:b/>
          <w:bCs/>
          <w:color w:val="auto"/>
          <w:sz w:val="24"/>
          <w:szCs w:val="24"/>
          <w:highlight w:val="none"/>
          <w:u w:val="none"/>
          <w:lang w:eastAsia="zh-CN"/>
        </w:rPr>
        <w:t>在岗</w:t>
      </w:r>
      <w:r>
        <w:rPr>
          <w:rFonts w:hint="eastAsia" w:ascii="仿宋" w:hAnsi="仿宋" w:eastAsia="仿宋" w:cs="仿宋"/>
          <w:b/>
          <w:bCs/>
          <w:color w:val="auto"/>
          <w:sz w:val="24"/>
          <w:szCs w:val="24"/>
          <w:highlight w:val="none"/>
          <w:u w:val="none"/>
          <w:lang w:val="en-US" w:eastAsia="zh-CN"/>
        </w:rPr>
        <w:t>工作人员</w:t>
      </w:r>
      <w:r>
        <w:rPr>
          <w:rFonts w:hint="eastAsia" w:ascii="仿宋" w:hAnsi="仿宋" w:eastAsia="仿宋" w:cs="仿宋"/>
          <w:b/>
          <w:bCs/>
          <w:color w:val="auto"/>
          <w:sz w:val="24"/>
          <w:szCs w:val="24"/>
          <w:highlight w:val="none"/>
          <w:u w:val="none"/>
          <w:lang w:eastAsia="zh-CN"/>
        </w:rPr>
        <w:t>不得低于</w:t>
      </w:r>
      <w:r>
        <w:rPr>
          <w:rFonts w:hint="eastAsia" w:ascii="仿宋" w:hAnsi="仿宋" w:eastAsia="仿宋" w:cs="仿宋"/>
          <w:b/>
          <w:bCs/>
          <w:color w:val="auto"/>
          <w:sz w:val="24"/>
          <w:szCs w:val="24"/>
          <w:highlight w:val="none"/>
          <w:u w:val="none"/>
          <w:lang w:val="en-US" w:eastAsia="zh-CN"/>
        </w:rPr>
        <w:t>87名</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szCs w:val="24"/>
          <w:highlight w:val="none"/>
          <w:u w:val="none"/>
          <w:lang w:val="en-US" w:eastAsia="zh-CN"/>
        </w:rPr>
        <w:t>其中管理人员不少于4名</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color w:val="auto"/>
          <w:sz w:val="24"/>
          <w:szCs w:val="24"/>
          <w:highlight w:val="none"/>
          <w:u w:val="none"/>
          <w:lang w:eastAsia="zh-CN"/>
        </w:rPr>
        <w:t>须提供承诺函，签订合同</w:t>
      </w:r>
      <w:r>
        <w:rPr>
          <w:rFonts w:hint="eastAsia" w:ascii="仿宋" w:hAnsi="仿宋" w:eastAsia="仿宋" w:cs="仿宋"/>
          <w:color w:val="auto"/>
          <w:sz w:val="24"/>
          <w:szCs w:val="24"/>
          <w:highlight w:val="none"/>
          <w:u w:val="none"/>
          <w:lang w:val="en-US" w:eastAsia="zh-CN"/>
        </w:rPr>
        <w:t>后</w:t>
      </w:r>
      <w:r>
        <w:rPr>
          <w:rFonts w:hint="eastAsia" w:ascii="仿宋" w:hAnsi="仿宋" w:eastAsia="仿宋" w:cs="仿宋"/>
          <w:color w:val="auto"/>
          <w:sz w:val="24"/>
          <w:szCs w:val="24"/>
          <w:highlight w:val="none"/>
          <w:u w:val="none"/>
          <w:lang w:eastAsia="zh-CN"/>
        </w:rPr>
        <w:t>一个月内乙方需提供</w:t>
      </w:r>
      <w:r>
        <w:rPr>
          <w:rFonts w:hint="eastAsia" w:ascii="仿宋" w:hAnsi="仿宋" w:eastAsia="仿宋" w:cs="仿宋"/>
          <w:color w:val="auto"/>
          <w:sz w:val="24"/>
          <w:szCs w:val="24"/>
          <w:highlight w:val="none"/>
          <w:u w:val="none"/>
          <w:lang w:val="en-US" w:eastAsia="zh-CN"/>
        </w:rPr>
        <w:t>在甲方区域范围内工作人员的</w:t>
      </w:r>
      <w:r>
        <w:rPr>
          <w:rFonts w:hint="eastAsia" w:ascii="仿宋" w:hAnsi="仿宋" w:eastAsia="仿宋" w:cs="仿宋"/>
          <w:color w:val="auto"/>
          <w:sz w:val="24"/>
          <w:szCs w:val="24"/>
          <w:highlight w:val="none"/>
          <w:u w:val="none"/>
          <w:lang w:eastAsia="zh-CN"/>
        </w:rPr>
        <w:t>保险、</w:t>
      </w:r>
      <w:r>
        <w:rPr>
          <w:rFonts w:hint="eastAsia" w:ascii="仿宋" w:hAnsi="仿宋" w:eastAsia="仿宋" w:cs="仿宋"/>
          <w:color w:val="auto"/>
          <w:sz w:val="24"/>
          <w:szCs w:val="24"/>
          <w:highlight w:val="none"/>
          <w:u w:val="none"/>
          <w:lang w:val="en-US" w:eastAsia="zh-CN"/>
        </w:rPr>
        <w:t>用工合同</w:t>
      </w:r>
      <w:r>
        <w:rPr>
          <w:rFonts w:hint="eastAsia" w:ascii="仿宋" w:hAnsi="仿宋" w:eastAsia="仿宋" w:cs="仿宋"/>
          <w:color w:val="auto"/>
          <w:sz w:val="24"/>
          <w:szCs w:val="24"/>
          <w:highlight w:val="none"/>
          <w:lang w:eastAsia="zh-CN"/>
        </w:rPr>
        <w:t>。</w:t>
      </w:r>
    </w:p>
    <w:p w14:paraId="2AB19C9A">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不得使用超过70周岁人员。</w:t>
      </w:r>
    </w:p>
    <w:p w14:paraId="60D032C7">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（二）管护设备配备</w:t>
      </w:r>
    </w:p>
    <w:p w14:paraId="5D70A048">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1.乙方须配备3吨及以上</w:t>
      </w:r>
      <w:r>
        <w:rPr>
          <w:rFonts w:hint="eastAsia" w:ascii="仿宋" w:hAnsi="仿宋" w:eastAsia="仿宋" w:cs="仿宋"/>
          <w:b/>
          <w:bCs/>
          <w:color w:val="auto"/>
          <w:sz w:val="24"/>
          <w:szCs w:val="24"/>
          <w:highlight w:val="none"/>
          <w:lang w:eastAsia="zh-CN"/>
        </w:rPr>
        <w:t>压缩式提桶垃圾车</w:t>
      </w:r>
      <w:r>
        <w:rPr>
          <w:rFonts w:hint="eastAsia" w:ascii="仿宋" w:hAnsi="仿宋" w:eastAsia="仿宋" w:cs="仿宋"/>
          <w:b/>
          <w:bCs/>
          <w:color w:val="auto"/>
          <w:sz w:val="24"/>
          <w:szCs w:val="24"/>
          <w:highlight w:val="none"/>
          <w:lang w:val="en-US" w:eastAsia="zh-CN"/>
        </w:rPr>
        <w:t>不得少于2辆，机动作业保洁船不少于2艘，3吨及以上清洗车不得少于1辆，入户收集四桶及以上电动车不少于42辆，带斗三轮电动车不少于15辆，3吨及以上秸秆、建筑垃圾收集车不少于2辆，小型机具、器具、辅材等其他设备满足项目需求。</w:t>
      </w:r>
    </w:p>
    <w:p w14:paraId="75F4C8CF">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2.乙方在中标后1个月内按投标文件中的承诺配齐车辆、船等设备（提供发票，不接受租赁），如配备不到位，甲方有权解除合同，不退还履约保证金。</w:t>
      </w:r>
    </w:p>
    <w:p w14:paraId="36275830">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szCs w:val="21"/>
          <w:highlight w:val="none"/>
          <w:lang w:val="en-US" w:eastAsia="zh-CN"/>
        </w:rPr>
        <w:t>三</w:t>
      </w:r>
      <w:r>
        <w:rPr>
          <w:rFonts w:hint="eastAsia" w:ascii="仿宋" w:hAnsi="仿宋" w:eastAsia="仿宋" w:cs="仿宋"/>
          <w:b/>
          <w:bCs/>
          <w:color w:val="auto"/>
          <w:sz w:val="24"/>
          <w:szCs w:val="21"/>
          <w:highlight w:val="none"/>
        </w:rPr>
        <w:t>、</w:t>
      </w:r>
      <w:r>
        <w:rPr>
          <w:rFonts w:hint="eastAsia" w:ascii="仿宋" w:hAnsi="仿宋" w:eastAsia="仿宋" w:cs="仿宋"/>
          <w:b/>
          <w:bCs/>
          <w:color w:val="auto"/>
          <w:sz w:val="24"/>
          <w:highlight w:val="none"/>
        </w:rPr>
        <w:t>考核管理</w:t>
      </w:r>
    </w:p>
    <w:p w14:paraId="5072FAA3">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甲方按照管护要求</w:t>
      </w:r>
      <w:r>
        <w:rPr>
          <w:rFonts w:hint="eastAsia" w:ascii="仿宋" w:hAnsi="仿宋" w:eastAsia="仿宋" w:cs="仿宋"/>
          <w:color w:val="auto"/>
          <w:sz w:val="24"/>
          <w:szCs w:val="24"/>
          <w:highlight w:val="none"/>
          <w:u w:val="none"/>
          <w:lang w:eastAsia="zh-CN"/>
        </w:rPr>
        <w:t>对乙方进行日常督查考核，</w:t>
      </w:r>
      <w:r>
        <w:rPr>
          <w:rFonts w:hint="eastAsia" w:ascii="仿宋" w:hAnsi="仿宋" w:eastAsia="仿宋" w:cs="仿宋"/>
          <w:color w:val="auto"/>
          <w:sz w:val="24"/>
          <w:szCs w:val="24"/>
          <w:highlight w:val="none"/>
          <w:u w:val="none"/>
          <w:lang w:val="en-US" w:eastAsia="zh-CN"/>
        </w:rPr>
        <w:t>每</w:t>
      </w:r>
      <w:r>
        <w:rPr>
          <w:rFonts w:hint="eastAsia" w:ascii="仿宋" w:hAnsi="仿宋" w:eastAsia="仿宋" w:cs="仿宋"/>
          <w:color w:val="auto"/>
          <w:sz w:val="24"/>
          <w:szCs w:val="24"/>
          <w:highlight w:val="none"/>
          <w:u w:val="none"/>
          <w:lang w:eastAsia="zh-CN"/>
        </w:rPr>
        <w:t>月</w:t>
      </w:r>
      <w:r>
        <w:rPr>
          <w:rFonts w:hint="eastAsia" w:ascii="仿宋" w:hAnsi="仿宋" w:eastAsia="仿宋" w:cs="仿宋"/>
          <w:color w:val="auto"/>
          <w:sz w:val="24"/>
          <w:szCs w:val="24"/>
          <w:highlight w:val="none"/>
          <w:u w:val="none"/>
          <w:lang w:val="en-US" w:eastAsia="zh-CN"/>
        </w:rPr>
        <w:t>反馈考核结果，考核</w:t>
      </w:r>
      <w:r>
        <w:rPr>
          <w:rFonts w:hint="eastAsia" w:ascii="仿宋" w:hAnsi="仿宋" w:eastAsia="仿宋" w:cs="仿宋"/>
          <w:color w:val="auto"/>
          <w:sz w:val="24"/>
          <w:szCs w:val="24"/>
          <w:highlight w:val="none"/>
          <w:u w:val="none"/>
          <w:lang w:eastAsia="zh-CN"/>
        </w:rPr>
        <w:t>结果与服务费</w:t>
      </w:r>
      <w:r>
        <w:rPr>
          <w:rFonts w:hint="eastAsia" w:ascii="仿宋" w:hAnsi="仿宋" w:eastAsia="仿宋" w:cs="仿宋"/>
          <w:color w:val="auto"/>
          <w:sz w:val="24"/>
          <w:szCs w:val="24"/>
          <w:highlight w:val="none"/>
          <w:u w:val="none"/>
          <w:lang w:val="en-US" w:eastAsia="zh-CN"/>
        </w:rPr>
        <w:t>结算</w:t>
      </w:r>
      <w:r>
        <w:rPr>
          <w:rFonts w:hint="eastAsia" w:ascii="仿宋" w:hAnsi="仿宋" w:eastAsia="仿宋" w:cs="仿宋"/>
          <w:color w:val="auto"/>
          <w:sz w:val="24"/>
          <w:szCs w:val="24"/>
          <w:highlight w:val="none"/>
          <w:u w:val="none"/>
          <w:lang w:eastAsia="zh-CN"/>
        </w:rPr>
        <w:t>挂钩。</w:t>
      </w:r>
      <w:r>
        <w:rPr>
          <w:rFonts w:hint="eastAsia" w:ascii="仿宋" w:hAnsi="仿宋" w:eastAsia="仿宋" w:cs="仿宋"/>
          <w:color w:val="auto"/>
          <w:sz w:val="24"/>
          <w:szCs w:val="24"/>
          <w:highlight w:val="none"/>
          <w:lang w:val="en-US" w:eastAsia="zh-CN"/>
        </w:rPr>
        <w:t>根据《如东县城中街道农村环境卫生长效管护百分制考核细则》（详见附件）要求，月度绩效考核由街道和村（社区）共同实施，其中街道考核结果占60%，村（社区）考核结果占40%（各村考核按平均分计算）。每月考核得分与当月基本价款结算系数如下：</w:t>
      </w:r>
    </w:p>
    <w:p w14:paraId="01078EAC">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1、得分90分及以上的为优秀，按100%结算，其中得分95分及以上的另奖励10000元；</w:t>
      </w:r>
    </w:p>
    <w:p w14:paraId="4F2F0C8B">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2、得分85分至90分（不含90分）的为良好，按98%结算；</w:t>
      </w:r>
    </w:p>
    <w:p w14:paraId="47A19CA1">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3、得分80分至85分（不含85分）的为一般，按95%结算；</w:t>
      </w:r>
    </w:p>
    <w:p w14:paraId="241CDEB7">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4、得分80分以下的</w:t>
      </w:r>
      <w:r>
        <w:rPr>
          <w:rFonts w:hint="eastAsia" w:ascii="仿宋" w:hAnsi="仿宋" w:eastAsia="仿宋" w:cs="仿宋"/>
          <w:color w:val="auto"/>
          <w:sz w:val="21"/>
          <w:szCs w:val="21"/>
          <w:highlight w:val="none"/>
          <w:lang w:val="en-US" w:eastAsia="zh-CN"/>
        </w:rPr>
        <w:t>（不含80分）</w:t>
      </w:r>
      <w:r>
        <w:rPr>
          <w:rFonts w:hint="eastAsia" w:ascii="仿宋" w:hAnsi="仿宋" w:eastAsia="仿宋" w:cs="仿宋"/>
          <w:b w:val="0"/>
          <w:bCs w:val="0"/>
          <w:color w:val="auto"/>
          <w:sz w:val="24"/>
          <w:highlight w:val="none"/>
          <w:lang w:val="en-US" w:eastAsia="zh-CN"/>
        </w:rPr>
        <w:t>，按实际得分占比结算。</w:t>
      </w:r>
    </w:p>
    <w:p w14:paraId="557B86CA">
      <w:pPr>
        <w:keepNext w:val="0"/>
        <w:keepLines w:val="0"/>
        <w:pageBreakBefore w:val="0"/>
        <w:widowControl w:val="0"/>
        <w:numPr>
          <w:ilvl w:val="0"/>
          <w:numId w:val="0"/>
        </w:numPr>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具体考核细则详见本合同附件。</w:t>
      </w:r>
    </w:p>
    <w:p w14:paraId="1D74E786">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lang w:eastAsia="zh-CN"/>
        </w:rPr>
        <w:t>、双方权利义务</w:t>
      </w:r>
    </w:p>
    <w:p w14:paraId="6ED96F2C">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（一）甲方权利义务</w:t>
      </w:r>
    </w:p>
    <w:p w14:paraId="0B38B45B">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审定乙方制定的农村环境卫生管护方案；检查、监督乙方作业的实施情况。</w:t>
      </w:r>
    </w:p>
    <w:p w14:paraId="63EE5FED">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配合乙方做好相关方面的协调工作，</w:t>
      </w:r>
      <w:r>
        <w:rPr>
          <w:rFonts w:hint="eastAsia" w:ascii="仿宋" w:hAnsi="仿宋" w:eastAsia="仿宋" w:cs="仿宋"/>
          <w:color w:val="auto"/>
          <w:sz w:val="24"/>
          <w:szCs w:val="24"/>
          <w:highlight w:val="none"/>
          <w:lang w:val="en-US" w:eastAsia="zh-CN"/>
        </w:rPr>
        <w:t>加强社会宣传，为乙方营造良好的工作环境。</w:t>
      </w:r>
    </w:p>
    <w:p w14:paraId="6D47E222">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lang w:val="en-US" w:eastAsia="zh-CN"/>
        </w:rPr>
        <w:t>.负责街道区</w:t>
      </w:r>
      <w:r>
        <w:rPr>
          <w:rFonts w:hint="eastAsia" w:ascii="仿宋" w:hAnsi="仿宋" w:eastAsia="仿宋" w:cs="仿宋"/>
          <w:color w:val="auto"/>
          <w:sz w:val="24"/>
          <w:szCs w:val="24"/>
          <w:highlight w:val="none"/>
          <w:lang w:eastAsia="zh-CN"/>
        </w:rPr>
        <w:t>垃圾房（亭、桶等）的规划建设，指导各村（社区）垃圾中转房提档升级。</w:t>
      </w:r>
    </w:p>
    <w:p w14:paraId="7A052885">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根据街道和村考核结果计算服务费用，按季度支付。（</w:t>
      </w:r>
      <w:r>
        <w:rPr>
          <w:rFonts w:hint="eastAsia" w:ascii="仿宋" w:hAnsi="仿宋" w:eastAsia="仿宋" w:cs="仿宋"/>
          <w:color w:val="auto"/>
          <w:sz w:val="24"/>
          <w:szCs w:val="24"/>
          <w:highlight w:val="none"/>
          <w:lang w:val="en-US" w:eastAsia="zh-CN"/>
        </w:rPr>
        <w:t>其中入户垃圾收运服务费用由各村支付，</w:t>
      </w:r>
      <w:r>
        <w:rPr>
          <w:rFonts w:hint="eastAsia" w:ascii="仿宋" w:hAnsi="仿宋" w:eastAsia="仿宋" w:cs="仿宋"/>
          <w:b/>
          <w:bCs/>
          <w:color w:val="auto"/>
          <w:sz w:val="24"/>
          <w:szCs w:val="24"/>
          <w:highlight w:val="none"/>
          <w:lang w:val="en-US" w:eastAsia="zh-CN"/>
        </w:rPr>
        <w:t>街道按实际中标价格，测算分割到各村</w:t>
      </w:r>
      <w:r>
        <w:rPr>
          <w:rFonts w:hint="eastAsia" w:ascii="仿宋" w:hAnsi="仿宋" w:eastAsia="仿宋" w:cs="仿宋"/>
          <w:color w:val="auto"/>
          <w:sz w:val="24"/>
          <w:szCs w:val="24"/>
          <w:highlight w:val="none"/>
          <w:lang w:eastAsia="zh-CN"/>
        </w:rPr>
        <w:t>）</w:t>
      </w:r>
    </w:p>
    <w:p w14:paraId="4785788C">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及时传达、通报上级精神，并按精神要求指导乙方工作。</w:t>
      </w:r>
    </w:p>
    <w:p w14:paraId="1F1A83FE">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（二）乙方权利义务</w:t>
      </w:r>
    </w:p>
    <w:p w14:paraId="0E6D7743">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依法具备独立法人资格，能够独立承担民事责任</w:t>
      </w:r>
      <w:r>
        <w:rPr>
          <w:rFonts w:hint="eastAsia" w:ascii="仿宋" w:hAnsi="仿宋" w:eastAsia="仿宋" w:cs="仿宋"/>
          <w:color w:val="auto"/>
          <w:sz w:val="24"/>
          <w:szCs w:val="24"/>
          <w:highlight w:val="none"/>
          <w:u w:val="none"/>
          <w:lang w:eastAsia="zh-CN"/>
        </w:rPr>
        <w:t>，</w:t>
      </w:r>
      <w:r>
        <w:rPr>
          <w:rFonts w:hint="eastAsia" w:ascii="仿宋" w:hAnsi="仿宋" w:eastAsia="仿宋" w:cs="仿宋"/>
          <w:b/>
          <w:bCs/>
          <w:color w:val="auto"/>
          <w:sz w:val="24"/>
          <w:szCs w:val="24"/>
          <w:highlight w:val="none"/>
          <w:u w:val="none"/>
          <w:lang w:eastAsia="zh-CN"/>
        </w:rPr>
        <w:t>必须在城中街道</w:t>
      </w:r>
      <w:r>
        <w:rPr>
          <w:rFonts w:hint="eastAsia" w:ascii="仿宋" w:hAnsi="仿宋" w:eastAsia="仿宋" w:cs="仿宋"/>
          <w:b/>
          <w:bCs/>
          <w:color w:val="auto"/>
          <w:sz w:val="24"/>
          <w:szCs w:val="24"/>
          <w:highlight w:val="none"/>
          <w:u w:val="none"/>
          <w:lang w:val="en-US" w:eastAsia="zh-CN"/>
        </w:rPr>
        <w:t>北场村湿垃圾处置中心设立项目部，房屋租赁协议双方另行协商签订</w:t>
      </w:r>
      <w:r>
        <w:rPr>
          <w:rFonts w:hint="eastAsia" w:ascii="仿宋" w:hAnsi="仿宋" w:eastAsia="仿宋" w:cs="仿宋"/>
          <w:b/>
          <w:bCs/>
          <w:color w:val="auto"/>
          <w:sz w:val="24"/>
          <w:szCs w:val="24"/>
          <w:highlight w:val="none"/>
          <w:u w:val="none"/>
          <w:lang w:eastAsia="zh-CN"/>
        </w:rPr>
        <w:t>。</w:t>
      </w:r>
    </w:p>
    <w:p w14:paraId="4C7FA109">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根据甲方的要求和有关法律、法规及本合同的约定，制定农村环境卫生长效管护作业实施方案，完成各项工程作业任务，达到农村环境卫生长效管护</w:t>
      </w:r>
      <w:r>
        <w:rPr>
          <w:rFonts w:hint="eastAsia" w:ascii="仿宋" w:hAnsi="仿宋" w:eastAsia="仿宋" w:cs="仿宋"/>
          <w:color w:val="auto"/>
          <w:sz w:val="24"/>
          <w:szCs w:val="24"/>
          <w:highlight w:val="none"/>
          <w:lang w:val="en-US" w:eastAsia="zh-CN"/>
        </w:rPr>
        <w:t>考核</w:t>
      </w:r>
      <w:r>
        <w:rPr>
          <w:rFonts w:hint="eastAsia" w:ascii="仿宋" w:hAnsi="仿宋" w:eastAsia="仿宋" w:cs="仿宋"/>
          <w:color w:val="auto"/>
          <w:sz w:val="24"/>
          <w:szCs w:val="24"/>
          <w:highlight w:val="none"/>
          <w:u w:val="none"/>
          <w:lang w:eastAsia="zh-CN"/>
        </w:rPr>
        <w:t>要求</w:t>
      </w:r>
      <w:r>
        <w:rPr>
          <w:rFonts w:hint="eastAsia" w:ascii="仿宋" w:hAnsi="仿宋" w:eastAsia="仿宋" w:cs="仿宋"/>
          <w:color w:val="auto"/>
          <w:sz w:val="24"/>
          <w:szCs w:val="24"/>
          <w:highlight w:val="none"/>
          <w:lang w:eastAsia="zh-CN"/>
        </w:rPr>
        <w:t>。</w:t>
      </w:r>
    </w:p>
    <w:p w14:paraId="65A01CDC">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乙方应主动为员工缴纳意外伤害保险，建立农民工工资专用账户、员工花名册，</w:t>
      </w:r>
      <w:r>
        <w:rPr>
          <w:rFonts w:hint="eastAsia" w:ascii="仿宋" w:hAnsi="仿宋" w:eastAsia="仿宋" w:cs="仿宋"/>
          <w:color w:val="auto"/>
          <w:sz w:val="24"/>
          <w:szCs w:val="24"/>
          <w:highlight w:val="none"/>
          <w:u w:val="none"/>
          <w:lang w:eastAsia="zh-CN"/>
        </w:rPr>
        <w:t>由银行代发工资</w:t>
      </w:r>
      <w:r>
        <w:rPr>
          <w:rFonts w:hint="eastAsia" w:ascii="仿宋" w:hAnsi="仿宋" w:eastAsia="仿宋" w:cs="仿宋"/>
          <w:color w:val="auto"/>
          <w:sz w:val="24"/>
          <w:szCs w:val="24"/>
          <w:highlight w:val="none"/>
          <w:lang w:eastAsia="zh-CN"/>
        </w:rPr>
        <w:t>，并报一份到街道存档备查。</w:t>
      </w:r>
    </w:p>
    <w:p w14:paraId="6EDC0185">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eastAsia="zh-CN"/>
        </w:rPr>
        <w:t>乙方主动接受街道、村的监督、检查和指导，及时完成交办的临时性、突发性任务，对甲方提出的意见及时采纳并采取相应整改措施。</w:t>
      </w:r>
    </w:p>
    <w:p w14:paraId="124F9922">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依法为员工提供劳动安全保障，注重文明作业、安全操作。定期召开管护人员例会，做好安全管护培训，及时布置、点评和指导管护工作，并做好记录。自觉遵守交通规则，统一着装上岗，自觉遵守作业规范。所有人员发生的任何安全事故均由乙方负责并承担一切责任。</w:t>
      </w:r>
    </w:p>
    <w:p w14:paraId="16F40101">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乙方有向责任区域内村民做好垃圾分类宣传工作的义务，引导居民规范处置生活垃圾、帮助垃圾分类；引导群众不向道路、河道，乱扔垃圾、乱倒污水，爱护绿化，共同维护好优美的生活环境。</w:t>
      </w:r>
    </w:p>
    <w:p w14:paraId="500CEB00">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szCs w:val="24"/>
          <w:highlight w:val="none"/>
          <w:u w:val="none"/>
          <w:lang w:val="en-US" w:eastAsia="zh-CN"/>
        </w:rPr>
      </w:pPr>
      <w:r>
        <w:rPr>
          <w:rFonts w:hint="eastAsia" w:ascii="仿宋" w:hAnsi="仿宋" w:eastAsia="仿宋" w:cs="仿宋"/>
          <w:b w:val="0"/>
          <w:bCs w:val="0"/>
          <w:color w:val="auto"/>
          <w:sz w:val="24"/>
          <w:szCs w:val="24"/>
          <w:highlight w:val="none"/>
          <w:u w:val="none"/>
          <w:lang w:val="en-US" w:eastAsia="zh-CN"/>
        </w:rPr>
        <w:t>7.乙方因突击性任务，服务时间和质量满足不了要求，需要村（社区）安排人员协助保洁服务时，书面报街道相关部门后由村（社区）实施，相关费用由乙方支付，用工期间人员安全由乙方负责监管。</w:t>
      </w:r>
    </w:p>
    <w:p w14:paraId="73605AC4">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8.乙方必须在15天内与原服务单位做好交接工作。</w:t>
      </w:r>
    </w:p>
    <w:p w14:paraId="3CF4D340">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lang w:eastAsia="zh-CN"/>
        </w:rPr>
        <w:t>、协议期限</w:t>
      </w:r>
    </w:p>
    <w:p w14:paraId="52823534">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val="en-US" w:eastAsia="zh-CN"/>
        </w:rPr>
        <w:t>协议期限为叁</w:t>
      </w:r>
      <w:r>
        <w:rPr>
          <w:rFonts w:hint="eastAsia" w:ascii="仿宋" w:hAnsi="仿宋" w:eastAsia="仿宋" w:cs="仿宋"/>
          <w:b/>
          <w:bCs/>
          <w:color w:val="auto"/>
          <w:sz w:val="24"/>
          <w:szCs w:val="24"/>
          <w:highlight w:val="none"/>
          <w:lang w:eastAsia="zh-CN"/>
        </w:rPr>
        <w:t>年</w:t>
      </w:r>
      <w:r>
        <w:rPr>
          <w:rFonts w:hint="eastAsia" w:ascii="仿宋" w:hAnsi="仿宋" w:eastAsia="仿宋" w:cs="仿宋"/>
          <w:color w:val="auto"/>
          <w:sz w:val="24"/>
          <w:szCs w:val="24"/>
          <w:highlight w:val="none"/>
          <w:lang w:eastAsia="zh-CN"/>
        </w:rPr>
        <w:t>，即自202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　月　日至202</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年　月　日止。</w:t>
      </w:r>
    </w:p>
    <w:p w14:paraId="7E90831A">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lang w:eastAsia="zh-CN"/>
        </w:rPr>
        <w:t>、协议价款及支付方式</w:t>
      </w:r>
    </w:p>
    <w:p w14:paraId="02F36CED">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（一）协议价款</w:t>
      </w:r>
    </w:p>
    <w:p w14:paraId="5308B8D0">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FF0000"/>
          <w:sz w:val="24"/>
          <w:szCs w:val="24"/>
          <w:highlight w:val="none"/>
          <w:lang w:eastAsia="zh-CN"/>
        </w:rPr>
      </w:pPr>
      <w:r>
        <w:rPr>
          <w:rFonts w:hint="eastAsia" w:ascii="仿宋" w:hAnsi="仿宋" w:eastAsia="仿宋" w:cs="仿宋"/>
          <w:color w:val="auto"/>
          <w:sz w:val="24"/>
          <w:szCs w:val="24"/>
          <w:highlight w:val="none"/>
          <w:lang w:val="en-US" w:eastAsia="zh-CN"/>
        </w:rPr>
        <w:t>三年</w:t>
      </w:r>
      <w:r>
        <w:rPr>
          <w:rFonts w:hint="eastAsia" w:ascii="仿宋" w:hAnsi="仿宋" w:eastAsia="仿宋" w:cs="仿宋"/>
          <w:color w:val="auto"/>
          <w:sz w:val="24"/>
          <w:szCs w:val="24"/>
          <w:highlight w:val="none"/>
          <w:lang w:eastAsia="zh-CN"/>
        </w:rPr>
        <w:t>合同服务期协议价款人民币【含税价】（大写）</w:t>
      </w:r>
      <w:r>
        <w:rPr>
          <w:rFonts w:hint="eastAsia" w:ascii="仿宋" w:hAnsi="仿宋" w:eastAsia="仿宋" w:cs="仿宋"/>
          <w:color w:val="auto"/>
          <w:sz w:val="24"/>
          <w:szCs w:val="24"/>
          <w:highlight w:val="none"/>
          <w:u w:val="single"/>
          <w:lang w:eastAsia="zh-CN"/>
        </w:rPr>
        <w:t>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元）。。</w:t>
      </w:r>
    </w:p>
    <w:p w14:paraId="36D61716">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（二）支付方式</w:t>
      </w:r>
    </w:p>
    <w:p w14:paraId="6E10A419">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乙方根据考核结果与甲方按季度进行结算</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其中入户垃圾收运服务费用由各村支付，街道按实际中标价格，测算分割到各村</w:t>
      </w:r>
      <w:r>
        <w:rPr>
          <w:rFonts w:hint="eastAsia" w:ascii="仿宋" w:hAnsi="仿宋" w:eastAsia="仿宋" w:cs="仿宋"/>
          <w:b/>
          <w:bCs/>
          <w:color w:val="auto"/>
          <w:sz w:val="24"/>
          <w:szCs w:val="24"/>
          <w:highlight w:val="none"/>
          <w:lang w:eastAsia="zh-CN"/>
        </w:rPr>
        <w:t>）</w:t>
      </w:r>
      <w:r>
        <w:rPr>
          <w:rFonts w:hint="eastAsia" w:ascii="仿宋" w:hAnsi="仿宋" w:eastAsia="仿宋" w:cs="仿宋"/>
          <w:b w:val="0"/>
          <w:bCs w:val="0"/>
          <w:color w:val="auto"/>
          <w:sz w:val="24"/>
          <w:highlight w:val="none"/>
          <w:lang w:val="en-US" w:eastAsia="zh-CN"/>
        </w:rPr>
        <w:t>。</w:t>
      </w:r>
    </w:p>
    <w:p w14:paraId="370F19EF">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注：易腐垃圾处置中心水电、污水处置费用及各中转房电费按实凭票结算。</w:t>
      </w:r>
    </w:p>
    <w:p w14:paraId="4D586CFF">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lang w:eastAsia="zh-CN"/>
        </w:rPr>
        <w:t>、履约保证金</w:t>
      </w:r>
    </w:p>
    <w:p w14:paraId="14253BA7">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为保证本协议的有效履行，乙方</w:t>
      </w:r>
      <w:r>
        <w:rPr>
          <w:rFonts w:hint="eastAsia" w:ascii="仿宋" w:hAnsi="仿宋" w:eastAsia="仿宋" w:cs="仿宋"/>
          <w:color w:val="auto"/>
          <w:sz w:val="24"/>
          <w:szCs w:val="24"/>
          <w:highlight w:val="none"/>
          <w:lang w:val="en-US" w:eastAsia="zh-CN"/>
        </w:rPr>
        <w:t>须</w:t>
      </w:r>
      <w:r>
        <w:rPr>
          <w:rFonts w:hint="eastAsia" w:ascii="仿宋" w:hAnsi="仿宋" w:eastAsia="仿宋" w:cs="仿宋"/>
          <w:b w:val="0"/>
          <w:bCs w:val="0"/>
          <w:color w:val="auto"/>
          <w:sz w:val="24"/>
          <w:szCs w:val="24"/>
          <w:highlight w:val="none"/>
          <w:lang w:eastAsia="zh-CN"/>
        </w:rPr>
        <w:t>缴纳履约保证金人</w:t>
      </w:r>
      <w:r>
        <w:rPr>
          <w:rFonts w:hint="eastAsia" w:ascii="仿宋" w:hAnsi="仿宋" w:eastAsia="仿宋" w:cs="仿宋"/>
          <w:color w:val="auto"/>
          <w:sz w:val="24"/>
          <w:szCs w:val="24"/>
          <w:highlight w:val="none"/>
          <w:lang w:eastAsia="zh-CN"/>
        </w:rPr>
        <w:t>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贰拾</w:t>
      </w:r>
      <w:r>
        <w:rPr>
          <w:rFonts w:hint="eastAsia" w:ascii="仿宋" w:hAnsi="仿宋" w:eastAsia="仿宋" w:cs="仿宋"/>
          <w:color w:val="auto"/>
          <w:sz w:val="24"/>
          <w:szCs w:val="24"/>
          <w:highlight w:val="none"/>
          <w:u w:val="single"/>
          <w:lang w:eastAsia="zh-CN"/>
        </w:rPr>
        <w:t>万元</w:t>
      </w:r>
      <w:r>
        <w:rPr>
          <w:rFonts w:hint="eastAsia" w:ascii="仿宋" w:hAnsi="仿宋" w:eastAsia="仿宋" w:cs="仿宋"/>
          <w:color w:val="auto"/>
          <w:sz w:val="24"/>
          <w:szCs w:val="24"/>
          <w:highlight w:val="none"/>
          <w:lang w:eastAsia="zh-CN"/>
        </w:rPr>
        <w:t>，协议期内无违约行为，可在协议期满后退</w:t>
      </w:r>
      <w:r>
        <w:rPr>
          <w:rFonts w:hint="eastAsia" w:ascii="仿宋" w:hAnsi="仿宋" w:eastAsia="仿宋" w:cs="仿宋"/>
          <w:color w:val="auto"/>
          <w:sz w:val="24"/>
          <w:szCs w:val="24"/>
          <w:highlight w:val="none"/>
          <w:lang w:val="en-US" w:eastAsia="zh-CN"/>
        </w:rPr>
        <w:t>还</w:t>
      </w:r>
      <w:r>
        <w:rPr>
          <w:rFonts w:hint="eastAsia" w:ascii="仿宋" w:hAnsi="仿宋" w:eastAsia="仿宋" w:cs="仿宋"/>
          <w:color w:val="auto"/>
          <w:sz w:val="24"/>
          <w:szCs w:val="24"/>
          <w:highlight w:val="none"/>
          <w:lang w:eastAsia="zh-CN"/>
        </w:rPr>
        <w:t>。</w:t>
      </w:r>
    </w:p>
    <w:p w14:paraId="02E436CF">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八</w:t>
      </w:r>
      <w:r>
        <w:rPr>
          <w:rFonts w:hint="eastAsia" w:ascii="仿宋" w:hAnsi="仿宋" w:eastAsia="仿宋" w:cs="仿宋"/>
          <w:b/>
          <w:bCs/>
          <w:color w:val="auto"/>
          <w:sz w:val="24"/>
          <w:szCs w:val="24"/>
          <w:highlight w:val="none"/>
          <w:lang w:eastAsia="zh-CN"/>
        </w:rPr>
        <w:t>、违约责任</w:t>
      </w:r>
    </w:p>
    <w:p w14:paraId="61D0346C">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strike w:val="0"/>
          <w:color w:val="auto"/>
          <w:sz w:val="24"/>
          <w:szCs w:val="24"/>
          <w:highlight w:val="none"/>
          <w:lang w:val="en-US" w:eastAsia="zh-CN"/>
        </w:rPr>
      </w:pPr>
      <w:r>
        <w:rPr>
          <w:rFonts w:hint="eastAsia" w:ascii="仿宋" w:hAnsi="仿宋" w:eastAsia="仿宋" w:cs="仿宋"/>
          <w:color w:val="auto"/>
          <w:sz w:val="24"/>
          <w:szCs w:val="24"/>
          <w:highlight w:val="none"/>
          <w:lang w:eastAsia="zh-CN"/>
        </w:rPr>
        <w:t>（一）乙方不</w:t>
      </w:r>
      <w:r>
        <w:rPr>
          <w:rFonts w:hint="eastAsia" w:ascii="仿宋" w:hAnsi="仿宋" w:eastAsia="仿宋" w:cs="仿宋"/>
          <w:strike w:val="0"/>
          <w:dstrike w:val="0"/>
          <w:color w:val="auto"/>
          <w:sz w:val="24"/>
          <w:szCs w:val="24"/>
          <w:highlight w:val="none"/>
          <w:lang w:val="en-US" w:eastAsia="zh-CN"/>
        </w:rPr>
        <w:t>得</w:t>
      </w:r>
      <w:r>
        <w:rPr>
          <w:rFonts w:hint="eastAsia" w:ascii="仿宋" w:hAnsi="仿宋" w:eastAsia="仿宋" w:cs="仿宋"/>
          <w:color w:val="auto"/>
          <w:sz w:val="24"/>
          <w:szCs w:val="24"/>
          <w:highlight w:val="none"/>
          <w:lang w:eastAsia="zh-CN"/>
        </w:rPr>
        <w:t>转包，</w:t>
      </w:r>
      <w:r>
        <w:rPr>
          <w:rFonts w:hint="eastAsia" w:ascii="仿宋" w:hAnsi="仿宋" w:eastAsia="仿宋" w:cs="仿宋"/>
          <w:strike w:val="0"/>
          <w:dstrike w:val="0"/>
          <w:color w:val="auto"/>
          <w:sz w:val="24"/>
          <w:szCs w:val="24"/>
          <w:highlight w:val="none"/>
          <w:lang w:val="en-US" w:eastAsia="zh-CN"/>
        </w:rPr>
        <w:t>否则</w:t>
      </w:r>
      <w:r>
        <w:rPr>
          <w:rFonts w:hint="eastAsia" w:ascii="仿宋" w:hAnsi="仿宋" w:eastAsia="仿宋" w:cs="仿宋"/>
          <w:color w:val="auto"/>
          <w:sz w:val="24"/>
          <w:szCs w:val="24"/>
          <w:highlight w:val="none"/>
          <w:lang w:eastAsia="zh-CN"/>
        </w:rPr>
        <w:t>甲方有权</w:t>
      </w:r>
      <w:r>
        <w:rPr>
          <w:rFonts w:hint="eastAsia" w:ascii="仿宋" w:hAnsi="仿宋" w:eastAsia="仿宋" w:cs="仿宋"/>
          <w:strike w:val="0"/>
          <w:dstrike w:val="0"/>
          <w:color w:val="auto"/>
          <w:sz w:val="24"/>
          <w:szCs w:val="24"/>
          <w:highlight w:val="none"/>
          <w:lang w:val="en-US" w:eastAsia="zh-CN"/>
        </w:rPr>
        <w:t>解除</w:t>
      </w:r>
      <w:r>
        <w:rPr>
          <w:rFonts w:hint="eastAsia" w:ascii="仿宋" w:hAnsi="仿宋" w:eastAsia="仿宋" w:cs="仿宋"/>
          <w:color w:val="auto"/>
          <w:sz w:val="24"/>
          <w:szCs w:val="24"/>
          <w:highlight w:val="none"/>
          <w:lang w:eastAsia="zh-CN"/>
        </w:rPr>
        <w:t>合同</w:t>
      </w:r>
      <w:r>
        <w:rPr>
          <w:rFonts w:hint="eastAsia" w:ascii="仿宋" w:hAnsi="仿宋" w:eastAsia="仿宋" w:cs="仿宋"/>
          <w:color w:val="auto"/>
          <w:sz w:val="24"/>
          <w:szCs w:val="24"/>
          <w:highlight w:val="none"/>
          <w:lang w:val="en-US" w:eastAsia="zh-CN"/>
        </w:rPr>
        <w:t>且</w:t>
      </w:r>
      <w:r>
        <w:rPr>
          <w:rFonts w:hint="eastAsia" w:ascii="仿宋" w:hAnsi="仿宋" w:eastAsia="仿宋" w:cs="仿宋"/>
          <w:color w:val="auto"/>
          <w:sz w:val="24"/>
          <w:szCs w:val="24"/>
          <w:highlight w:val="none"/>
          <w:lang w:eastAsia="zh-CN"/>
        </w:rPr>
        <w:t>履约保证金</w:t>
      </w:r>
      <w:r>
        <w:rPr>
          <w:rFonts w:hint="eastAsia" w:ascii="仿宋" w:hAnsi="仿宋" w:eastAsia="仿宋" w:cs="仿宋"/>
          <w:color w:val="auto"/>
          <w:sz w:val="24"/>
          <w:szCs w:val="24"/>
          <w:highlight w:val="none"/>
          <w:lang w:val="en-US" w:eastAsia="zh-CN"/>
        </w:rPr>
        <w:t>不予退还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乙方还应承担年度服务费5%的违约金</w:t>
      </w:r>
      <w:r>
        <w:rPr>
          <w:rFonts w:hint="eastAsia" w:ascii="仿宋" w:hAnsi="仿宋" w:eastAsia="仿宋" w:cs="仿宋"/>
          <w:strike w:val="0"/>
          <w:dstrike w:val="0"/>
          <w:color w:val="auto"/>
          <w:sz w:val="24"/>
          <w:szCs w:val="24"/>
          <w:highlight w:val="none"/>
          <w:lang w:val="en-US" w:eastAsia="zh-CN"/>
        </w:rPr>
        <w:t>。</w:t>
      </w:r>
    </w:p>
    <w:p w14:paraId="500ACB97">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strike w:val="0"/>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）乙方不按规定完成任务或未按</w:t>
      </w:r>
      <w:r>
        <w:rPr>
          <w:rFonts w:hint="eastAsia" w:ascii="仿宋" w:hAnsi="仿宋" w:eastAsia="仿宋" w:cs="仿宋"/>
          <w:strike w:val="0"/>
          <w:dstrike w:val="0"/>
          <w:color w:val="auto"/>
          <w:sz w:val="24"/>
          <w:szCs w:val="24"/>
          <w:highlight w:val="none"/>
          <w:lang w:val="en-US" w:eastAsia="zh-CN"/>
        </w:rPr>
        <w:t>约定</w:t>
      </w:r>
      <w:r>
        <w:rPr>
          <w:rFonts w:hint="eastAsia" w:ascii="仿宋" w:hAnsi="仿宋" w:eastAsia="仿宋" w:cs="仿宋"/>
          <w:color w:val="auto"/>
          <w:sz w:val="24"/>
          <w:szCs w:val="24"/>
          <w:highlight w:val="none"/>
          <w:lang w:eastAsia="zh-CN"/>
        </w:rPr>
        <w:t>投入人力、物力和设备。甲方要求乙方限期整改，逾期未整改的，甲方有权</w:t>
      </w:r>
      <w:r>
        <w:rPr>
          <w:rFonts w:hint="eastAsia" w:ascii="仿宋" w:hAnsi="仿宋" w:eastAsia="仿宋" w:cs="仿宋"/>
          <w:color w:val="auto"/>
          <w:sz w:val="24"/>
          <w:szCs w:val="24"/>
          <w:highlight w:val="none"/>
          <w:lang w:val="en-US" w:eastAsia="zh-CN"/>
        </w:rPr>
        <w:t>解除</w:t>
      </w:r>
      <w:r>
        <w:rPr>
          <w:rFonts w:hint="eastAsia" w:ascii="仿宋" w:hAnsi="仿宋" w:eastAsia="仿宋" w:cs="仿宋"/>
          <w:color w:val="auto"/>
          <w:sz w:val="24"/>
          <w:szCs w:val="24"/>
          <w:highlight w:val="none"/>
          <w:lang w:eastAsia="zh-CN"/>
        </w:rPr>
        <w:t>合同</w:t>
      </w:r>
      <w:r>
        <w:rPr>
          <w:rFonts w:hint="eastAsia" w:ascii="仿宋" w:hAnsi="仿宋" w:eastAsia="仿宋" w:cs="仿宋"/>
          <w:color w:val="auto"/>
          <w:sz w:val="24"/>
          <w:szCs w:val="24"/>
          <w:highlight w:val="none"/>
          <w:lang w:val="en-US" w:eastAsia="zh-CN"/>
        </w:rPr>
        <w:t>且</w:t>
      </w:r>
      <w:r>
        <w:rPr>
          <w:rFonts w:hint="eastAsia" w:ascii="仿宋" w:hAnsi="仿宋" w:eastAsia="仿宋" w:cs="仿宋"/>
          <w:color w:val="auto"/>
          <w:sz w:val="24"/>
          <w:szCs w:val="24"/>
          <w:highlight w:val="none"/>
          <w:lang w:eastAsia="zh-CN"/>
        </w:rPr>
        <w:t>履约保证金</w:t>
      </w:r>
      <w:r>
        <w:rPr>
          <w:rFonts w:hint="eastAsia" w:ascii="仿宋" w:hAnsi="仿宋" w:eastAsia="仿宋" w:cs="仿宋"/>
          <w:color w:val="auto"/>
          <w:sz w:val="24"/>
          <w:szCs w:val="24"/>
          <w:highlight w:val="none"/>
          <w:lang w:val="en-US" w:eastAsia="zh-CN"/>
        </w:rPr>
        <w:t>不予退还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乙方还应承担年度服务费5%的违约金</w:t>
      </w:r>
      <w:r>
        <w:rPr>
          <w:rFonts w:hint="eastAsia" w:ascii="仿宋" w:hAnsi="仿宋" w:eastAsia="仿宋" w:cs="仿宋"/>
          <w:strike w:val="0"/>
          <w:dstrike w:val="0"/>
          <w:color w:val="auto"/>
          <w:sz w:val="24"/>
          <w:szCs w:val="24"/>
          <w:highlight w:val="none"/>
          <w:lang w:val="en-US" w:eastAsia="zh-CN"/>
        </w:rPr>
        <w:t>。</w:t>
      </w:r>
    </w:p>
    <w:p w14:paraId="3B49B4A0">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strike/>
          <w:dstrike w:val="0"/>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eastAsia="zh-CN"/>
        </w:rPr>
        <w:t>）因乙方</w:t>
      </w:r>
      <w:r>
        <w:rPr>
          <w:rFonts w:hint="eastAsia" w:ascii="仿宋" w:hAnsi="仿宋" w:eastAsia="仿宋" w:cs="仿宋"/>
          <w:strike w:val="0"/>
          <w:dstrike w:val="0"/>
          <w:color w:val="auto"/>
          <w:sz w:val="24"/>
          <w:szCs w:val="24"/>
          <w:highlight w:val="none"/>
          <w:lang w:val="en-US" w:eastAsia="zh-CN"/>
        </w:rPr>
        <w:t>的</w:t>
      </w:r>
      <w:r>
        <w:rPr>
          <w:rFonts w:hint="eastAsia" w:ascii="仿宋" w:hAnsi="仿宋" w:eastAsia="仿宋" w:cs="仿宋"/>
          <w:color w:val="auto"/>
          <w:sz w:val="24"/>
          <w:szCs w:val="24"/>
          <w:highlight w:val="none"/>
          <w:lang w:eastAsia="zh-CN"/>
        </w:rPr>
        <w:t>原因</w:t>
      </w:r>
      <w:r>
        <w:rPr>
          <w:rFonts w:hint="eastAsia" w:ascii="仿宋" w:hAnsi="仿宋" w:eastAsia="仿宋" w:cs="仿宋"/>
          <w:strike w:val="0"/>
          <w:dstrike w:val="0"/>
          <w:color w:val="auto"/>
          <w:sz w:val="24"/>
          <w:szCs w:val="24"/>
          <w:highlight w:val="none"/>
          <w:lang w:val="en-US" w:eastAsia="zh-CN"/>
        </w:rPr>
        <w:t>造成</w:t>
      </w:r>
      <w:r>
        <w:rPr>
          <w:rFonts w:hint="eastAsia" w:ascii="仿宋" w:hAnsi="仿宋" w:eastAsia="仿宋" w:cs="仿宋"/>
          <w:color w:val="auto"/>
          <w:sz w:val="24"/>
          <w:szCs w:val="24"/>
          <w:highlight w:val="none"/>
          <w:lang w:eastAsia="zh-CN"/>
        </w:rPr>
        <w:t>甲方、乙方或第三方人身、财产等损害的，由乙方承担全部责任并负责善后处理，</w:t>
      </w:r>
      <w:r>
        <w:rPr>
          <w:rFonts w:hint="eastAsia" w:ascii="仿宋" w:hAnsi="仿宋" w:eastAsia="仿宋" w:cs="仿宋"/>
          <w:color w:val="auto"/>
          <w:sz w:val="24"/>
          <w:szCs w:val="24"/>
          <w:highlight w:val="none"/>
          <w:lang w:val="en-US" w:eastAsia="zh-CN"/>
        </w:rPr>
        <w:t>与甲方无关</w:t>
      </w:r>
      <w:r>
        <w:rPr>
          <w:rFonts w:hint="eastAsia" w:ascii="仿宋" w:hAnsi="仿宋" w:eastAsia="仿宋" w:cs="仿宋"/>
          <w:color w:val="auto"/>
          <w:sz w:val="24"/>
          <w:szCs w:val="24"/>
          <w:highlight w:val="none"/>
          <w:lang w:eastAsia="zh-CN"/>
        </w:rPr>
        <w:t>。</w:t>
      </w:r>
    </w:p>
    <w:p w14:paraId="77979EF2">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lang w:eastAsia="zh-CN"/>
        </w:rPr>
        <w:t>）乙方</w:t>
      </w:r>
      <w:r>
        <w:rPr>
          <w:rFonts w:hint="eastAsia" w:ascii="仿宋" w:hAnsi="仿宋" w:eastAsia="仿宋" w:cs="仿宋"/>
          <w:strike w:val="0"/>
          <w:dstrike w:val="0"/>
          <w:color w:val="auto"/>
          <w:sz w:val="24"/>
          <w:szCs w:val="24"/>
          <w:highlight w:val="none"/>
          <w:lang w:val="en-US" w:eastAsia="zh-CN"/>
        </w:rPr>
        <w:t>有下列情形</w:t>
      </w:r>
      <w:r>
        <w:rPr>
          <w:rFonts w:hint="eastAsia" w:ascii="仿宋" w:hAnsi="仿宋" w:eastAsia="仿宋" w:cs="仿宋"/>
          <w:color w:val="auto"/>
          <w:sz w:val="24"/>
          <w:szCs w:val="24"/>
          <w:highlight w:val="none"/>
          <w:lang w:eastAsia="zh-CN"/>
        </w:rPr>
        <w:t>之一，甲方有权</w:t>
      </w:r>
      <w:r>
        <w:rPr>
          <w:rFonts w:hint="eastAsia" w:ascii="仿宋" w:hAnsi="仿宋" w:eastAsia="仿宋" w:cs="仿宋"/>
          <w:color w:val="auto"/>
          <w:sz w:val="24"/>
          <w:szCs w:val="24"/>
          <w:highlight w:val="none"/>
          <w:lang w:val="en-US" w:eastAsia="zh-CN"/>
        </w:rPr>
        <w:t>解除</w:t>
      </w:r>
      <w:r>
        <w:rPr>
          <w:rFonts w:hint="eastAsia" w:ascii="仿宋" w:hAnsi="仿宋" w:eastAsia="仿宋" w:cs="仿宋"/>
          <w:color w:val="auto"/>
          <w:sz w:val="24"/>
          <w:szCs w:val="24"/>
          <w:highlight w:val="none"/>
          <w:lang w:eastAsia="zh-CN"/>
        </w:rPr>
        <w:t>合同</w:t>
      </w:r>
      <w:r>
        <w:rPr>
          <w:rFonts w:hint="eastAsia" w:ascii="仿宋" w:hAnsi="仿宋" w:eastAsia="仿宋" w:cs="仿宋"/>
          <w:color w:val="auto"/>
          <w:sz w:val="24"/>
          <w:szCs w:val="24"/>
          <w:highlight w:val="none"/>
          <w:lang w:val="en-US" w:eastAsia="zh-CN"/>
        </w:rPr>
        <w:t>且</w:t>
      </w:r>
      <w:r>
        <w:rPr>
          <w:rFonts w:hint="eastAsia" w:ascii="仿宋" w:hAnsi="仿宋" w:eastAsia="仿宋" w:cs="仿宋"/>
          <w:color w:val="auto"/>
          <w:sz w:val="24"/>
          <w:szCs w:val="24"/>
          <w:highlight w:val="none"/>
          <w:lang w:eastAsia="zh-CN"/>
        </w:rPr>
        <w:t>履约保证金</w:t>
      </w:r>
      <w:r>
        <w:rPr>
          <w:rFonts w:hint="eastAsia" w:ascii="仿宋" w:hAnsi="仿宋" w:eastAsia="仿宋" w:cs="仿宋"/>
          <w:color w:val="auto"/>
          <w:sz w:val="24"/>
          <w:szCs w:val="24"/>
          <w:highlight w:val="none"/>
          <w:lang w:val="en-US" w:eastAsia="zh-CN"/>
        </w:rPr>
        <w:t>不予退还，乙方还应承担年度服务费总额5%的违约金</w:t>
      </w:r>
      <w:r>
        <w:rPr>
          <w:rFonts w:hint="eastAsia" w:ascii="仿宋" w:hAnsi="仿宋" w:eastAsia="仿宋" w:cs="仿宋"/>
          <w:color w:val="auto"/>
          <w:sz w:val="24"/>
          <w:szCs w:val="24"/>
          <w:highlight w:val="none"/>
          <w:lang w:eastAsia="zh-CN"/>
        </w:rPr>
        <w:t>：</w:t>
      </w:r>
    </w:p>
    <w:p w14:paraId="1212F70B">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1</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u w:val="none"/>
          <w:lang w:eastAsia="zh-CN"/>
        </w:rPr>
        <w:t>一年内</w:t>
      </w:r>
      <w:r>
        <w:rPr>
          <w:rFonts w:hint="eastAsia" w:ascii="仿宋" w:hAnsi="仿宋" w:eastAsia="仿宋" w:cs="仿宋"/>
          <w:color w:val="auto"/>
          <w:sz w:val="24"/>
          <w:szCs w:val="24"/>
          <w:highlight w:val="none"/>
          <w:u w:val="none"/>
          <w:lang w:val="en-US" w:eastAsia="zh-CN"/>
        </w:rPr>
        <w:t>累计三</w:t>
      </w:r>
      <w:r>
        <w:rPr>
          <w:rFonts w:hint="eastAsia" w:ascii="仿宋" w:hAnsi="仿宋" w:eastAsia="仿宋" w:cs="仿宋"/>
          <w:b w:val="0"/>
          <w:bCs w:val="0"/>
          <w:color w:val="auto"/>
          <w:sz w:val="24"/>
          <w:szCs w:val="24"/>
          <w:highlight w:val="none"/>
          <w:u w:val="none"/>
          <w:lang w:val="en-US" w:eastAsia="zh-CN"/>
        </w:rPr>
        <w:t>个月度</w:t>
      </w:r>
      <w:r>
        <w:rPr>
          <w:rFonts w:hint="eastAsia" w:ascii="仿宋" w:hAnsi="仿宋" w:eastAsia="仿宋" w:cs="仿宋"/>
          <w:b w:val="0"/>
          <w:bCs w:val="0"/>
          <w:color w:val="auto"/>
          <w:sz w:val="24"/>
          <w:szCs w:val="24"/>
          <w:highlight w:val="none"/>
          <w:u w:val="none"/>
          <w:lang w:eastAsia="zh-CN"/>
        </w:rPr>
        <w:t>考核</w:t>
      </w:r>
      <w:r>
        <w:rPr>
          <w:rFonts w:hint="eastAsia" w:ascii="仿宋" w:hAnsi="仿宋" w:eastAsia="仿宋" w:cs="仿宋"/>
          <w:b w:val="0"/>
          <w:bCs w:val="0"/>
          <w:color w:val="auto"/>
          <w:sz w:val="24"/>
          <w:szCs w:val="24"/>
          <w:highlight w:val="none"/>
          <w:u w:val="none"/>
          <w:lang w:val="en-US" w:eastAsia="zh-CN"/>
        </w:rPr>
        <w:t>低于80分</w:t>
      </w:r>
      <w:r>
        <w:rPr>
          <w:rFonts w:hint="eastAsia" w:ascii="仿宋" w:hAnsi="仿宋" w:eastAsia="仿宋" w:cs="仿宋"/>
          <w:b w:val="0"/>
          <w:bCs w:val="0"/>
          <w:color w:val="auto"/>
          <w:sz w:val="24"/>
          <w:szCs w:val="24"/>
          <w:highlight w:val="none"/>
          <w:u w:val="none"/>
          <w:lang w:eastAsia="zh-CN"/>
        </w:rPr>
        <w:t>。</w:t>
      </w:r>
    </w:p>
    <w:p w14:paraId="7E9CF2E2">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lang w:val="en-US" w:eastAsia="zh-CN"/>
        </w:rPr>
        <w:t>.甲方针对</w:t>
      </w:r>
      <w:r>
        <w:rPr>
          <w:rFonts w:hint="eastAsia" w:ascii="仿宋" w:hAnsi="仿宋" w:eastAsia="仿宋" w:cs="仿宋"/>
          <w:color w:val="auto"/>
          <w:sz w:val="24"/>
          <w:szCs w:val="24"/>
          <w:highlight w:val="none"/>
          <w:lang w:eastAsia="zh-CN"/>
        </w:rPr>
        <w:t>同一个问题发出书面整改通知</w:t>
      </w:r>
      <w:r>
        <w:rPr>
          <w:rFonts w:hint="eastAsia" w:ascii="仿宋" w:hAnsi="仿宋" w:eastAsia="仿宋" w:cs="仿宋"/>
          <w:color w:val="auto"/>
          <w:sz w:val="24"/>
          <w:szCs w:val="24"/>
          <w:highlight w:val="none"/>
          <w:lang w:val="en-US" w:eastAsia="zh-CN"/>
        </w:rPr>
        <w:t>两</w:t>
      </w:r>
      <w:r>
        <w:rPr>
          <w:rFonts w:hint="eastAsia" w:ascii="仿宋" w:hAnsi="仿宋" w:eastAsia="仿宋" w:cs="仿宋"/>
          <w:color w:val="auto"/>
          <w:sz w:val="24"/>
          <w:szCs w:val="24"/>
          <w:highlight w:val="none"/>
          <w:lang w:eastAsia="zh-CN"/>
        </w:rPr>
        <w:t>次</w:t>
      </w:r>
      <w:r>
        <w:rPr>
          <w:rFonts w:hint="eastAsia" w:ascii="仿宋" w:hAnsi="仿宋" w:eastAsia="仿宋" w:cs="仿宋"/>
          <w:color w:val="auto"/>
          <w:sz w:val="24"/>
          <w:szCs w:val="24"/>
          <w:highlight w:val="none"/>
          <w:lang w:val="en-US" w:eastAsia="zh-CN"/>
        </w:rPr>
        <w:t>仍不</w:t>
      </w:r>
      <w:r>
        <w:rPr>
          <w:rFonts w:hint="eastAsia" w:ascii="仿宋" w:hAnsi="仿宋" w:eastAsia="仿宋" w:cs="仿宋"/>
          <w:color w:val="auto"/>
          <w:sz w:val="24"/>
          <w:szCs w:val="24"/>
          <w:highlight w:val="none"/>
          <w:lang w:eastAsia="zh-CN"/>
        </w:rPr>
        <w:t>能在规定时间内整改</w:t>
      </w:r>
      <w:r>
        <w:rPr>
          <w:rFonts w:hint="eastAsia" w:ascii="仿宋" w:hAnsi="仿宋" w:eastAsia="仿宋" w:cs="仿宋"/>
          <w:color w:val="auto"/>
          <w:sz w:val="24"/>
          <w:szCs w:val="24"/>
          <w:highlight w:val="none"/>
          <w:lang w:val="en-US" w:eastAsia="zh-CN"/>
        </w:rPr>
        <w:t>到位</w:t>
      </w:r>
      <w:r>
        <w:rPr>
          <w:rFonts w:hint="eastAsia" w:ascii="仿宋" w:hAnsi="仿宋" w:eastAsia="仿宋" w:cs="仿宋"/>
          <w:color w:val="auto"/>
          <w:sz w:val="24"/>
          <w:szCs w:val="24"/>
          <w:highlight w:val="none"/>
          <w:lang w:eastAsia="zh-CN"/>
        </w:rPr>
        <w:t>。</w:t>
      </w:r>
    </w:p>
    <w:p w14:paraId="5EABEE2C">
      <w:pPr>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九</w:t>
      </w:r>
      <w:r>
        <w:rPr>
          <w:rFonts w:hint="eastAsia" w:ascii="仿宋" w:hAnsi="仿宋" w:eastAsia="仿宋" w:cs="仿宋"/>
          <w:b/>
          <w:bCs/>
          <w:color w:val="auto"/>
          <w:sz w:val="24"/>
          <w:szCs w:val="24"/>
          <w:highlight w:val="none"/>
          <w:lang w:eastAsia="zh-CN"/>
        </w:rPr>
        <w:t>、争议的解决办法</w:t>
      </w:r>
    </w:p>
    <w:p w14:paraId="0BB59E55">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本合同如发生争议，双方应协商解决，协商不成时，可向如东县人民法院提起诉讼。败诉方须承担诉讼费、律师费、保全费等费用。</w:t>
      </w:r>
    </w:p>
    <w:p w14:paraId="045FD1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十、</w:t>
      </w:r>
      <w:r>
        <w:rPr>
          <w:rFonts w:hint="eastAsia" w:ascii="仿宋" w:hAnsi="仿宋" w:eastAsia="仿宋" w:cs="仿宋"/>
          <w:b/>
          <w:bCs/>
          <w:color w:val="auto"/>
          <w:sz w:val="24"/>
          <w:szCs w:val="24"/>
          <w:highlight w:val="none"/>
        </w:rPr>
        <w:t>联系人及送达</w:t>
      </w:r>
    </w:p>
    <w:p w14:paraId="5E0904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1.甲方指派</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为履行本协议的联系人（手机：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09FF7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2.乙方指派</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为履行本协议的联系人（手机：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EE67D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双方共同确认本合同首部所载明的住所地，为双方有效的送达地址。今后凡与本合同项下有关的文书函件以及相关法律文书、诉讼文书送达地址均以此为准。双方承诺在住所地发生变更时，应及时通知对方，否则因住所地不准确，或住所地变更后未及时书面告知对方，导致合同往来文书函件及法律文书被拒绝签收、无法送达等情形的，应自行承担有效送达的法律后果。</w:t>
      </w:r>
    </w:p>
    <w:p w14:paraId="0F3DD0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十一、</w:t>
      </w:r>
      <w:r>
        <w:rPr>
          <w:rFonts w:hint="eastAsia" w:ascii="仿宋" w:hAnsi="仿宋" w:eastAsia="仿宋" w:cs="仿宋"/>
          <w:b/>
          <w:bCs/>
          <w:color w:val="auto"/>
          <w:sz w:val="24"/>
          <w:szCs w:val="24"/>
          <w:highlight w:val="none"/>
          <w:lang w:eastAsia="zh-CN"/>
        </w:rPr>
        <w:t>合同的生效、解除与终止</w:t>
      </w:r>
    </w:p>
    <w:p w14:paraId="68048E07">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（一）本合同期限为</w:t>
      </w:r>
      <w:r>
        <w:rPr>
          <w:rFonts w:hint="eastAsia" w:ascii="仿宋" w:hAnsi="仿宋" w:eastAsia="仿宋" w:cs="仿宋"/>
          <w:color w:val="auto"/>
          <w:sz w:val="24"/>
          <w:szCs w:val="24"/>
          <w:highlight w:val="none"/>
          <w:lang w:val="en-US" w:eastAsia="zh-CN"/>
        </w:rPr>
        <w:t>3年</w:t>
      </w:r>
      <w:r>
        <w:rPr>
          <w:rFonts w:hint="eastAsia" w:ascii="仿宋" w:hAnsi="仿宋" w:eastAsia="仿宋" w:cs="仿宋"/>
          <w:color w:val="auto"/>
          <w:sz w:val="24"/>
          <w:szCs w:val="24"/>
          <w:highlight w:val="none"/>
          <w:lang w:eastAsia="zh-CN"/>
        </w:rPr>
        <w:t>，自签订之日起生效。</w:t>
      </w:r>
    </w:p>
    <w:p w14:paraId="66A3B8EB">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（二）本合同执行期间，如遇不可抗力，致使合同无法履行时，双方应按有关法律规定及时协商处理。</w:t>
      </w:r>
    </w:p>
    <w:p w14:paraId="25D8942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（三）本协议未尽事宜，经甲乙双方协商确认后补订协议。本协议及其附件和补充协议中未规定的事宜，均遵照法律、法规和规章执行。</w:t>
      </w:r>
    </w:p>
    <w:p w14:paraId="7C382CC7">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none"/>
          <w:lang w:eastAsia="zh-CN"/>
        </w:rPr>
        <w:t>（四）合同文件组成：（</w:t>
      </w:r>
      <w:r>
        <w:rPr>
          <w:rFonts w:hint="eastAsia" w:ascii="仿宋" w:hAnsi="仿宋" w:eastAsia="仿宋" w:cs="仿宋"/>
          <w:color w:val="auto"/>
          <w:sz w:val="24"/>
          <w:szCs w:val="24"/>
          <w:highlight w:val="none"/>
          <w:u w:val="none"/>
          <w:lang w:val="en-US" w:eastAsia="zh-CN"/>
        </w:rPr>
        <w:t>1）</w:t>
      </w:r>
      <w:r>
        <w:rPr>
          <w:rFonts w:hint="eastAsia" w:ascii="仿宋" w:hAnsi="仿宋" w:eastAsia="仿宋" w:cs="仿宋"/>
          <w:color w:val="auto"/>
          <w:sz w:val="24"/>
          <w:szCs w:val="24"/>
          <w:highlight w:val="none"/>
          <w:u w:val="none"/>
          <w:lang w:eastAsia="zh-CN"/>
        </w:rPr>
        <w:t>本承包协议；（</w:t>
      </w:r>
      <w:r>
        <w:rPr>
          <w:rFonts w:hint="eastAsia" w:ascii="仿宋" w:hAnsi="仿宋" w:eastAsia="仿宋" w:cs="仿宋"/>
          <w:color w:val="auto"/>
          <w:sz w:val="24"/>
          <w:szCs w:val="24"/>
          <w:highlight w:val="none"/>
          <w:u w:val="none"/>
          <w:lang w:val="en-US" w:eastAsia="zh-CN"/>
        </w:rPr>
        <w:t>2）</w:t>
      </w:r>
      <w:r>
        <w:rPr>
          <w:rFonts w:hint="eastAsia" w:ascii="仿宋" w:hAnsi="仿宋" w:eastAsia="仿宋" w:cs="仿宋"/>
          <w:color w:val="auto"/>
          <w:sz w:val="24"/>
          <w:szCs w:val="24"/>
          <w:highlight w:val="none"/>
          <w:u w:val="none"/>
          <w:lang w:eastAsia="zh-CN"/>
        </w:rPr>
        <w:t>中标通知书；（</w:t>
      </w:r>
      <w:r>
        <w:rPr>
          <w:rFonts w:hint="eastAsia" w:ascii="仿宋" w:hAnsi="仿宋" w:eastAsia="仿宋" w:cs="仿宋"/>
          <w:color w:val="auto"/>
          <w:sz w:val="24"/>
          <w:szCs w:val="24"/>
          <w:highlight w:val="none"/>
          <w:u w:val="none"/>
          <w:lang w:val="en-US" w:eastAsia="zh-CN"/>
        </w:rPr>
        <w:t>3）</w:t>
      </w:r>
      <w:r>
        <w:rPr>
          <w:rFonts w:hint="eastAsia" w:ascii="仿宋" w:hAnsi="仿宋" w:eastAsia="仿宋" w:cs="仿宋"/>
          <w:color w:val="auto"/>
          <w:sz w:val="24"/>
          <w:szCs w:val="24"/>
          <w:highlight w:val="none"/>
          <w:u w:val="none"/>
          <w:lang w:eastAsia="zh-CN"/>
        </w:rPr>
        <w:t>投标函（含投标供应商在评标期间递交的澄清文件和补充资料）；（</w:t>
      </w:r>
      <w:r>
        <w:rPr>
          <w:rFonts w:hint="eastAsia" w:ascii="仿宋" w:hAnsi="仿宋" w:eastAsia="仿宋" w:cs="仿宋"/>
          <w:color w:val="auto"/>
          <w:sz w:val="24"/>
          <w:szCs w:val="24"/>
          <w:highlight w:val="none"/>
          <w:u w:val="none"/>
          <w:lang w:val="en-US" w:eastAsia="zh-CN"/>
        </w:rPr>
        <w:t>4）</w:t>
      </w:r>
      <w:r>
        <w:rPr>
          <w:rFonts w:hint="eastAsia" w:ascii="仿宋" w:hAnsi="仿宋" w:eastAsia="仿宋" w:cs="仿宋"/>
          <w:color w:val="auto"/>
          <w:sz w:val="24"/>
          <w:szCs w:val="24"/>
          <w:highlight w:val="none"/>
          <w:u w:val="none"/>
          <w:lang w:eastAsia="zh-CN"/>
        </w:rPr>
        <w:t>招标文件；（</w:t>
      </w:r>
      <w:r>
        <w:rPr>
          <w:rFonts w:hint="eastAsia" w:ascii="仿宋" w:hAnsi="仿宋" w:eastAsia="仿宋" w:cs="仿宋"/>
          <w:color w:val="auto"/>
          <w:sz w:val="24"/>
          <w:szCs w:val="24"/>
          <w:highlight w:val="none"/>
          <w:u w:val="none"/>
          <w:lang w:val="en-US" w:eastAsia="zh-CN"/>
        </w:rPr>
        <w:t>5）城中</w:t>
      </w:r>
      <w:r>
        <w:rPr>
          <w:rFonts w:hint="eastAsia" w:ascii="仿宋" w:hAnsi="仿宋" w:eastAsia="仿宋" w:cs="仿宋"/>
          <w:color w:val="auto"/>
          <w:sz w:val="24"/>
          <w:szCs w:val="24"/>
          <w:highlight w:val="none"/>
          <w:u w:val="none"/>
          <w:lang w:eastAsia="zh-CN"/>
        </w:rPr>
        <w:t>街道农村环境卫生长效管护考核办法。以上文件将互相补充，若有不明确或不一致之处，以上顺序同时为本合同的解释顺序。</w:t>
      </w:r>
    </w:p>
    <w:p w14:paraId="45AA230C">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（五）本协议一式</w:t>
      </w:r>
      <w:r>
        <w:rPr>
          <w:rFonts w:hint="eastAsia" w:ascii="仿宋" w:hAnsi="仿宋" w:eastAsia="仿宋" w:cs="仿宋"/>
          <w:color w:val="auto"/>
          <w:sz w:val="24"/>
          <w:szCs w:val="24"/>
          <w:highlight w:val="none"/>
          <w:lang w:val="en-US" w:eastAsia="zh-CN"/>
        </w:rPr>
        <w:t>捌</w:t>
      </w:r>
      <w:r>
        <w:rPr>
          <w:rFonts w:hint="eastAsia" w:ascii="仿宋" w:hAnsi="仿宋" w:eastAsia="仿宋" w:cs="仿宋"/>
          <w:color w:val="auto"/>
          <w:sz w:val="24"/>
          <w:szCs w:val="24"/>
          <w:highlight w:val="none"/>
          <w:lang w:eastAsia="zh-CN"/>
        </w:rPr>
        <w:t>份，均具有同等法律效力，甲方</w:t>
      </w:r>
      <w:r>
        <w:rPr>
          <w:rFonts w:hint="eastAsia" w:ascii="仿宋" w:hAnsi="仿宋" w:eastAsia="仿宋" w:cs="仿宋"/>
          <w:color w:val="auto"/>
          <w:sz w:val="24"/>
          <w:szCs w:val="24"/>
          <w:highlight w:val="none"/>
          <w:lang w:val="en-US" w:eastAsia="zh-CN"/>
        </w:rPr>
        <w:t>叁</w:t>
      </w:r>
      <w:r>
        <w:rPr>
          <w:rFonts w:hint="eastAsia" w:ascii="仿宋" w:hAnsi="仿宋" w:eastAsia="仿宋" w:cs="仿宋"/>
          <w:color w:val="auto"/>
          <w:sz w:val="24"/>
          <w:szCs w:val="24"/>
          <w:highlight w:val="none"/>
          <w:lang w:eastAsia="zh-CN"/>
        </w:rPr>
        <w:t>份、乙方</w:t>
      </w:r>
      <w:r>
        <w:rPr>
          <w:rFonts w:hint="eastAsia" w:ascii="仿宋" w:hAnsi="仿宋" w:eastAsia="仿宋" w:cs="仿宋"/>
          <w:color w:val="auto"/>
          <w:sz w:val="24"/>
          <w:szCs w:val="24"/>
          <w:highlight w:val="none"/>
          <w:lang w:val="en-US" w:eastAsia="zh-CN"/>
        </w:rPr>
        <w:t>伍</w:t>
      </w:r>
      <w:r>
        <w:rPr>
          <w:rFonts w:hint="eastAsia" w:ascii="仿宋" w:hAnsi="仿宋" w:eastAsia="仿宋" w:cs="仿宋"/>
          <w:color w:val="auto"/>
          <w:sz w:val="24"/>
          <w:szCs w:val="24"/>
          <w:highlight w:val="none"/>
          <w:lang w:eastAsia="zh-CN"/>
        </w:rPr>
        <w:t>份，双方签字盖章后生效。</w:t>
      </w:r>
    </w:p>
    <w:p w14:paraId="3E43DD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p>
    <w:p w14:paraId="1360F4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发包人： (公章)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承包人：(公章)</w:t>
      </w:r>
    </w:p>
    <w:p w14:paraId="26E143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p>
    <w:p w14:paraId="1A7C74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法定（</w:t>
      </w:r>
      <w:r>
        <w:rPr>
          <w:rFonts w:hint="eastAsia" w:ascii="仿宋" w:hAnsi="仿宋" w:eastAsia="仿宋" w:cs="仿宋"/>
          <w:color w:val="auto"/>
          <w:sz w:val="24"/>
          <w:szCs w:val="24"/>
          <w:highlight w:val="none"/>
          <w:lang w:val="en-US" w:eastAsia="zh-CN"/>
        </w:rPr>
        <w:t>授权</w:t>
      </w:r>
      <w:r>
        <w:rPr>
          <w:rFonts w:hint="eastAsia" w:ascii="仿宋" w:hAnsi="仿宋" w:eastAsia="仿宋" w:cs="仿宋"/>
          <w:color w:val="auto"/>
          <w:sz w:val="24"/>
          <w:szCs w:val="24"/>
          <w:highlight w:val="none"/>
          <w:lang w:eastAsia="zh-CN"/>
        </w:rPr>
        <w:t>）代表人：（签字）         法定（</w:t>
      </w:r>
      <w:r>
        <w:rPr>
          <w:rFonts w:hint="eastAsia" w:ascii="仿宋" w:hAnsi="仿宋" w:eastAsia="仿宋" w:cs="仿宋"/>
          <w:color w:val="auto"/>
          <w:sz w:val="24"/>
          <w:szCs w:val="24"/>
          <w:highlight w:val="none"/>
          <w:lang w:val="en-US" w:eastAsia="zh-CN"/>
        </w:rPr>
        <w:t>授权</w:t>
      </w:r>
      <w:r>
        <w:rPr>
          <w:rFonts w:hint="eastAsia" w:ascii="仿宋" w:hAnsi="仿宋" w:eastAsia="仿宋" w:cs="仿宋"/>
          <w:color w:val="auto"/>
          <w:sz w:val="24"/>
          <w:szCs w:val="24"/>
          <w:highlight w:val="none"/>
          <w:lang w:eastAsia="zh-CN"/>
        </w:rPr>
        <w:t>）代表人：（签字）</w:t>
      </w:r>
    </w:p>
    <w:p w14:paraId="795A88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p>
    <w:p w14:paraId="15BBCC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委托代表人：                         委托代表人： </w:t>
      </w:r>
    </w:p>
    <w:p w14:paraId="6EDFC5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p>
    <w:p w14:paraId="25AB25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  话：                             电  话：</w:t>
      </w:r>
    </w:p>
    <w:p w14:paraId="3E5CCA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传  真：                             传  真：</w:t>
      </w:r>
    </w:p>
    <w:p w14:paraId="2EDD0E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开户银行：                           开户银行：</w:t>
      </w:r>
    </w:p>
    <w:p w14:paraId="2EE77B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账  号：                             账  号</w:t>
      </w:r>
    </w:p>
    <w:p w14:paraId="24B25D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邮政编码：                           邮政编码：</w:t>
      </w:r>
    </w:p>
    <w:p w14:paraId="23279096">
      <w:pPr>
        <w:pStyle w:val="22"/>
        <w:keepNext w:val="0"/>
        <w:keepLines w:val="0"/>
        <w:pageBreakBefore w:val="0"/>
        <w:widowControl w:val="0"/>
        <w:kinsoku/>
        <w:wordWrap/>
        <w:overflowPunct/>
        <w:topLinePunct w:val="0"/>
        <w:autoSpaceDE/>
        <w:autoSpaceDN/>
        <w:bidi w:val="0"/>
        <w:snapToGrid/>
        <w:spacing w:line="360" w:lineRule="auto"/>
        <w:textAlignment w:val="auto"/>
        <w:rPr>
          <w:rFonts w:hint="eastAsia" w:ascii="仿宋" w:hAnsi="仿宋" w:eastAsia="仿宋" w:cs="仿宋"/>
          <w:color w:val="auto"/>
          <w:sz w:val="24"/>
          <w:szCs w:val="24"/>
          <w:highlight w:val="none"/>
          <w:lang w:eastAsia="zh-CN"/>
        </w:rPr>
      </w:pPr>
    </w:p>
    <w:p w14:paraId="2FC84A62">
      <w:pPr>
        <w:keepNext w:val="0"/>
        <w:keepLines w:val="0"/>
        <w:pageBreakBefore w:val="0"/>
        <w:widowControl w:val="0"/>
        <w:kinsoku/>
        <w:wordWrap/>
        <w:overflowPunct/>
        <w:topLinePunct w:val="0"/>
        <w:autoSpaceDE/>
        <w:autoSpaceDN/>
        <w:bidi w:val="0"/>
        <w:snapToGrid/>
        <w:spacing w:line="360" w:lineRule="auto"/>
        <w:ind w:firstLine="480" w:firstLineChars="200"/>
        <w:jc w:val="center"/>
        <w:textAlignment w:val="auto"/>
        <w:rPr>
          <w:rFonts w:hint="eastAsia" w:ascii="仿宋" w:hAnsi="仿宋" w:eastAsia="仿宋" w:cs="仿宋"/>
          <w:color w:val="auto"/>
          <w:sz w:val="44"/>
          <w:szCs w:val="44"/>
          <w:highlight w:val="none"/>
          <w:lang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年    月    日</w:t>
      </w:r>
    </w:p>
    <w:p w14:paraId="302B5C3C">
      <w:pPr>
        <w:rPr>
          <w:color w:val="auto"/>
          <w:highlight w:val="none"/>
        </w:rPr>
      </w:pPr>
    </w:p>
    <w:p w14:paraId="67CDCCF3">
      <w:pPr>
        <w:rPr>
          <w:rFonts w:hint="eastAsia" w:ascii="仿宋" w:hAnsi="仿宋" w:eastAsia="仿宋" w:cs="仿宋"/>
          <w:color w:val="auto"/>
          <w:sz w:val="44"/>
          <w:szCs w:val="44"/>
          <w:highlight w:val="none"/>
          <w:lang w:eastAsia="zh-CN"/>
        </w:rPr>
      </w:pPr>
    </w:p>
    <w:p w14:paraId="3F981EDE">
      <w:pPr>
        <w:jc w:val="center"/>
        <w:rPr>
          <w:rFonts w:hint="eastAsia" w:ascii="宋体" w:hAnsi="宋体" w:eastAsia="宋体" w:cs="宋体"/>
          <w:b/>
          <w:bCs/>
          <w:color w:val="auto"/>
          <w:sz w:val="32"/>
          <w:szCs w:val="32"/>
          <w:highlight w:val="none"/>
          <w:lang w:val="en-US" w:eastAsia="zh-CN"/>
        </w:rPr>
      </w:pPr>
    </w:p>
    <w:p w14:paraId="2D5E88EB">
      <w:pPr>
        <w:jc w:val="center"/>
        <w:rPr>
          <w:rFonts w:hint="eastAsia" w:ascii="宋体" w:hAnsi="宋体" w:eastAsia="宋体" w:cs="宋体"/>
          <w:b/>
          <w:bCs/>
          <w:color w:val="auto"/>
          <w:sz w:val="32"/>
          <w:szCs w:val="32"/>
          <w:highlight w:val="none"/>
          <w:lang w:val="en-US" w:eastAsia="zh-CN"/>
        </w:rPr>
      </w:pPr>
    </w:p>
    <w:p w14:paraId="31A48A6E">
      <w:pPr>
        <w:jc w:val="center"/>
        <w:rPr>
          <w:rFonts w:hint="eastAsia" w:ascii="宋体" w:hAnsi="宋体" w:eastAsia="宋体" w:cs="宋体"/>
          <w:b/>
          <w:bCs/>
          <w:color w:val="auto"/>
          <w:sz w:val="32"/>
          <w:szCs w:val="32"/>
          <w:highlight w:val="none"/>
          <w:lang w:val="en-US" w:eastAsia="zh-CN"/>
        </w:rPr>
      </w:pPr>
    </w:p>
    <w:p w14:paraId="048E368E">
      <w:pPr>
        <w:jc w:val="center"/>
        <w:rPr>
          <w:rFonts w:hint="eastAsia" w:ascii="宋体" w:hAnsi="宋体" w:eastAsia="宋体" w:cs="宋体"/>
          <w:b/>
          <w:bCs/>
          <w:color w:val="auto"/>
          <w:sz w:val="32"/>
          <w:szCs w:val="32"/>
          <w:highlight w:val="none"/>
          <w:lang w:val="en-US" w:eastAsia="zh-CN"/>
        </w:rPr>
      </w:pPr>
    </w:p>
    <w:p w14:paraId="72C70140">
      <w:pPr>
        <w:jc w:val="center"/>
        <w:rPr>
          <w:rFonts w:hint="eastAsia" w:ascii="宋体" w:hAnsi="宋体" w:eastAsia="宋体" w:cs="宋体"/>
          <w:b/>
          <w:bCs/>
          <w:color w:val="auto"/>
          <w:sz w:val="32"/>
          <w:szCs w:val="32"/>
          <w:highlight w:val="none"/>
          <w:lang w:val="en-US" w:eastAsia="zh-CN"/>
        </w:rPr>
      </w:pPr>
    </w:p>
    <w:p w14:paraId="65B699F4">
      <w:pPr>
        <w:jc w:val="center"/>
        <w:rPr>
          <w:rFonts w:hint="eastAsia" w:ascii="宋体" w:hAnsi="宋体" w:eastAsia="宋体" w:cs="宋体"/>
          <w:b/>
          <w:bCs/>
          <w:color w:val="auto"/>
          <w:sz w:val="32"/>
          <w:szCs w:val="32"/>
          <w:highlight w:val="none"/>
          <w:lang w:val="en-US" w:eastAsia="zh-CN"/>
        </w:rPr>
      </w:pPr>
    </w:p>
    <w:p w14:paraId="3F94F23D">
      <w:pPr>
        <w:jc w:val="center"/>
        <w:rPr>
          <w:rFonts w:hint="eastAsia" w:ascii="宋体" w:hAnsi="宋体" w:eastAsia="宋体" w:cs="宋体"/>
          <w:b/>
          <w:bCs/>
          <w:color w:val="auto"/>
          <w:sz w:val="32"/>
          <w:szCs w:val="32"/>
          <w:highlight w:val="none"/>
          <w:lang w:val="en-US" w:eastAsia="zh-CN"/>
        </w:rPr>
      </w:pPr>
    </w:p>
    <w:p w14:paraId="3A08B9F6">
      <w:pPr>
        <w:jc w:val="center"/>
        <w:rPr>
          <w:rFonts w:hint="eastAsia" w:ascii="宋体" w:hAnsi="宋体" w:eastAsia="宋体" w:cs="宋体"/>
          <w:b/>
          <w:bCs/>
          <w:color w:val="auto"/>
          <w:sz w:val="32"/>
          <w:szCs w:val="32"/>
          <w:highlight w:val="none"/>
          <w:lang w:val="en-US" w:eastAsia="zh-CN"/>
        </w:rPr>
      </w:pPr>
    </w:p>
    <w:p w14:paraId="18CC4646">
      <w:pPr>
        <w:ind w:firstLine="964" w:firstLineChars="400"/>
        <w:jc w:val="both"/>
        <w:rPr>
          <w:rFonts w:hint="eastAsia" w:ascii="宋体" w:hAnsi="宋体" w:eastAsia="宋体" w:cs="宋体"/>
          <w:b/>
          <w:bCs/>
          <w:color w:val="auto"/>
          <w:sz w:val="24"/>
          <w:szCs w:val="24"/>
          <w:highlight w:val="none"/>
          <w:lang w:val="en-US" w:eastAsia="zh-CN"/>
        </w:rPr>
      </w:pPr>
    </w:p>
    <w:p w14:paraId="3CA1DE24">
      <w:pPr>
        <w:ind w:firstLine="1928" w:firstLineChars="800"/>
        <w:jc w:val="both"/>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城中街道农村环境卫生长效管护考核方案</w:t>
      </w:r>
    </w:p>
    <w:p w14:paraId="543D650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为推动农村人居环境治理常态化、制度化、规范化，巩固整治成果，提升村容村貌，改善农民生活品质，明确人居环境长效管护工作职责，强化日常管理，确保农村人居环境长效管护机制有效运行，特制定如下考核方案：</w:t>
      </w:r>
    </w:p>
    <w:p w14:paraId="2595650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一、考核对象</w:t>
      </w:r>
    </w:p>
    <w:p w14:paraId="66424AF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城中街道农村环境卫生长效管护服务单位</w:t>
      </w:r>
      <w:r>
        <w:rPr>
          <w:rFonts w:hint="eastAsia" w:ascii="仿宋" w:hAnsi="仿宋" w:eastAsia="仿宋" w:cs="仿宋"/>
          <w:b w:val="0"/>
          <w:bCs w:val="0"/>
          <w:color w:val="auto"/>
          <w:sz w:val="21"/>
          <w:szCs w:val="21"/>
          <w:highlight w:val="none"/>
          <w:lang w:eastAsia="zh-CN"/>
        </w:rPr>
        <w:t>。</w:t>
      </w:r>
    </w:p>
    <w:p w14:paraId="15CF3D7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二、考核内容及分值</w:t>
      </w:r>
    </w:p>
    <w:p w14:paraId="42611B8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1、农路、桥梁管护保洁（35分）；2、生活垃圾收运处置（20分）；3、河道、绿化管护保洁（25分）；4、农作物秸秆、建筑垃圾清理（10分）；5、其他事件保障（10分）。</w:t>
      </w:r>
    </w:p>
    <w:p w14:paraId="1214733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三、考核方式</w:t>
      </w:r>
    </w:p>
    <w:p w14:paraId="54AD872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街道职能部门、村依据《如东县城中街道农村环境卫生长效管护月度百分制考核细则》分别对服务单位的管护工作开展考核打分，</w:t>
      </w:r>
      <w:r>
        <w:rPr>
          <w:rFonts w:hint="eastAsia" w:ascii="仿宋" w:hAnsi="仿宋" w:eastAsia="仿宋" w:cs="仿宋"/>
          <w:b w:val="0"/>
          <w:bCs w:val="0"/>
          <w:color w:val="auto"/>
          <w:sz w:val="24"/>
          <w:szCs w:val="24"/>
          <w:highlight w:val="none"/>
        </w:rPr>
        <w:t>采取</w:t>
      </w:r>
      <w:r>
        <w:rPr>
          <w:rFonts w:hint="eastAsia" w:ascii="仿宋" w:hAnsi="仿宋" w:eastAsia="仿宋" w:cs="仿宋"/>
          <w:b w:val="0"/>
          <w:bCs w:val="0"/>
          <w:color w:val="auto"/>
          <w:sz w:val="24"/>
          <w:szCs w:val="24"/>
          <w:highlight w:val="none"/>
          <w:lang w:eastAsia="zh-CN"/>
        </w:rPr>
        <w:t>不定期的</w:t>
      </w:r>
      <w:r>
        <w:rPr>
          <w:rFonts w:hint="eastAsia" w:ascii="仿宋" w:hAnsi="仿宋" w:eastAsia="仿宋" w:cs="仿宋"/>
          <w:b w:val="0"/>
          <w:bCs w:val="0"/>
          <w:color w:val="auto"/>
          <w:sz w:val="24"/>
          <w:szCs w:val="24"/>
          <w:highlight w:val="none"/>
        </w:rPr>
        <w:t>全面检查</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随机抽查</w:t>
      </w:r>
      <w:r>
        <w:rPr>
          <w:rFonts w:hint="eastAsia" w:ascii="仿宋" w:hAnsi="仿宋" w:eastAsia="仿宋" w:cs="仿宋"/>
          <w:b w:val="0"/>
          <w:bCs w:val="0"/>
          <w:color w:val="auto"/>
          <w:sz w:val="24"/>
          <w:szCs w:val="24"/>
          <w:highlight w:val="none"/>
          <w:lang w:eastAsia="zh-CN"/>
        </w:rPr>
        <w:t>及日常巡查</w:t>
      </w:r>
      <w:r>
        <w:rPr>
          <w:rFonts w:hint="eastAsia" w:ascii="仿宋" w:hAnsi="仿宋" w:eastAsia="仿宋" w:cs="仿宋"/>
          <w:b w:val="0"/>
          <w:bCs w:val="0"/>
          <w:color w:val="auto"/>
          <w:sz w:val="24"/>
          <w:szCs w:val="24"/>
          <w:highlight w:val="none"/>
        </w:rPr>
        <w:t>相结合的方式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街道职能部门考核分</w:t>
      </w:r>
      <w:r>
        <w:rPr>
          <w:rFonts w:hint="eastAsia" w:ascii="仿宋" w:hAnsi="仿宋" w:eastAsia="仿宋" w:cs="仿宋"/>
          <w:color w:val="auto"/>
          <w:sz w:val="24"/>
          <w:szCs w:val="24"/>
          <w:highlight w:val="none"/>
          <w:lang w:val="en-US" w:eastAsia="zh-CN"/>
        </w:rPr>
        <w:t>占比60%，村考核分占比40%，每月考核打分，每季度汇总。每处扣分点须附水印照片，考核得分与服务费挂钩。</w:t>
      </w:r>
    </w:p>
    <w:p w14:paraId="6197D52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1、街道职能部门（人居办、河长办、路长办、水利站）联合对服务单位进行</w:t>
      </w:r>
      <w:r>
        <w:rPr>
          <w:rFonts w:hint="eastAsia" w:ascii="仿宋" w:hAnsi="仿宋" w:eastAsia="仿宋" w:cs="仿宋"/>
          <w:b w:val="0"/>
          <w:bCs w:val="0"/>
          <w:color w:val="auto"/>
          <w:sz w:val="24"/>
          <w:szCs w:val="24"/>
          <w:highlight w:val="none"/>
          <w:lang w:eastAsia="zh-CN"/>
        </w:rPr>
        <w:t>不定期的</w:t>
      </w:r>
      <w:r>
        <w:rPr>
          <w:rFonts w:hint="eastAsia" w:ascii="仿宋" w:hAnsi="仿宋" w:eastAsia="仿宋" w:cs="仿宋"/>
          <w:b w:val="0"/>
          <w:bCs w:val="0"/>
          <w:color w:val="auto"/>
          <w:sz w:val="24"/>
          <w:szCs w:val="24"/>
          <w:highlight w:val="none"/>
        </w:rPr>
        <w:t>全面检查</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随机抽查</w:t>
      </w:r>
      <w:r>
        <w:rPr>
          <w:rFonts w:hint="eastAsia" w:ascii="仿宋" w:hAnsi="仿宋" w:eastAsia="仿宋" w:cs="仿宋"/>
          <w:b w:val="0"/>
          <w:bCs w:val="0"/>
          <w:color w:val="auto"/>
          <w:sz w:val="24"/>
          <w:szCs w:val="24"/>
          <w:highlight w:val="none"/>
          <w:lang w:eastAsia="zh-CN"/>
        </w:rPr>
        <w:t>及日常巡查</w:t>
      </w:r>
      <w:r>
        <w:rPr>
          <w:rFonts w:hint="eastAsia" w:ascii="仿宋" w:hAnsi="仿宋" w:eastAsia="仿宋" w:cs="仿宋"/>
          <w:b w:val="0"/>
          <w:bCs w:val="0"/>
          <w:color w:val="auto"/>
          <w:sz w:val="24"/>
          <w:szCs w:val="24"/>
          <w:highlight w:val="none"/>
        </w:rPr>
        <w:t>相结合的</w:t>
      </w:r>
      <w:r>
        <w:rPr>
          <w:rFonts w:hint="eastAsia" w:ascii="仿宋" w:hAnsi="仿宋" w:eastAsia="仿宋" w:cs="仿宋"/>
          <w:color w:val="auto"/>
          <w:sz w:val="24"/>
          <w:szCs w:val="24"/>
          <w:highlight w:val="none"/>
          <w:lang w:val="en-US" w:eastAsia="zh-CN"/>
        </w:rPr>
        <w:t>考核，</w:t>
      </w:r>
      <w:r>
        <w:rPr>
          <w:rFonts w:hint="eastAsia" w:ascii="仿宋" w:hAnsi="仿宋" w:eastAsia="仿宋" w:cs="仿宋"/>
          <w:sz w:val="24"/>
          <w:szCs w:val="24"/>
          <w:lang w:val="en-US" w:eastAsia="zh-CN"/>
        </w:rPr>
        <w:t>每旬不少于1次，并</w:t>
      </w:r>
      <w:r>
        <w:rPr>
          <w:rFonts w:hint="eastAsia" w:ascii="仿宋" w:hAnsi="仿宋" w:eastAsia="仿宋" w:cs="仿宋"/>
          <w:color w:val="auto"/>
          <w:sz w:val="24"/>
          <w:szCs w:val="24"/>
          <w:highlight w:val="none"/>
          <w:lang w:val="en-US" w:eastAsia="zh-CN"/>
        </w:rPr>
        <w:t>对管护情况进行考核打分，每季度汇总。</w:t>
      </w:r>
    </w:p>
    <w:p w14:paraId="0C5F1AD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各村对村域范围内服务单位日常工作进行管理协调、考核，每月对管护情况进行考核打分，与每月底前完成各包组干部分工范围内的考核打分汇总并上报街道人居办。村对服务单位的管理成效与街道对村人居环境管理得分挂钩。</w:t>
      </w:r>
    </w:p>
    <w:p w14:paraId="222AFFF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3、对省、市、县检查或各类信访投诉中反馈的环境卫生问题，根据《如东县城中街道农村环境卫生长效管护月度百分制考核细则》</w:t>
      </w:r>
      <w:r>
        <w:rPr>
          <w:rFonts w:hint="eastAsia" w:ascii="仿宋" w:hAnsi="仿宋" w:eastAsia="仿宋" w:cs="仿宋"/>
          <w:b/>
          <w:bCs/>
          <w:color w:val="auto"/>
          <w:sz w:val="24"/>
          <w:szCs w:val="24"/>
          <w:highlight w:val="none"/>
          <w:lang w:val="en-US" w:eastAsia="zh-CN"/>
        </w:rPr>
        <w:t>分别</w:t>
      </w:r>
      <w:r>
        <w:rPr>
          <w:rFonts w:hint="eastAsia" w:ascii="仿宋" w:hAnsi="仿宋" w:eastAsia="仿宋" w:cs="仿宋"/>
          <w:b/>
          <w:bCs/>
          <w:sz w:val="24"/>
          <w:szCs w:val="24"/>
          <w:lang w:val="en-US" w:eastAsia="zh-CN"/>
        </w:rPr>
        <w:t>扣5分、3分、2分</w:t>
      </w:r>
      <w:r>
        <w:rPr>
          <w:rFonts w:hint="eastAsia" w:ascii="仿宋" w:hAnsi="仿宋" w:eastAsia="仿宋" w:cs="仿宋"/>
          <w:color w:val="auto"/>
          <w:sz w:val="24"/>
          <w:szCs w:val="24"/>
          <w:highlight w:val="none"/>
          <w:lang w:val="en-US" w:eastAsia="zh-CN"/>
        </w:rPr>
        <w:t>。</w:t>
      </w:r>
    </w:p>
    <w:p w14:paraId="4FDDABC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240" w:firstLineChars="1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四、结果运用</w:t>
      </w:r>
    </w:p>
    <w:p w14:paraId="1392FF9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每月的考核得分与服务经费挂钩，1、得分90分及以上的为优秀，按100%结算，其中得分95分及以上的另奖励10000元；2、得分85分至90分（不含90分）的为良好，按98%结算；3、得分80分至85分（不含85分）的为一般，按95%结算；4、得分80分以下的（不含80分），按实际得分占比结算。</w:t>
      </w:r>
    </w:p>
    <w:p w14:paraId="3D9DAE70">
      <w:pPr>
        <w:bidi w:val="0"/>
        <w:rPr>
          <w:rFonts w:hint="eastAsia" w:ascii="仿宋" w:hAnsi="仿宋" w:eastAsia="仿宋" w:cs="仿宋"/>
          <w:color w:val="auto"/>
          <w:kern w:val="2"/>
          <w:sz w:val="24"/>
          <w:szCs w:val="24"/>
          <w:highlight w:val="none"/>
          <w:lang w:val="en-US" w:eastAsia="zh-CN" w:bidi="ar-SA"/>
        </w:rPr>
      </w:pPr>
    </w:p>
    <w:p w14:paraId="3C5EC34F">
      <w:pPr>
        <w:bidi w:val="0"/>
        <w:ind w:left="418" w:leftChars="199" w:right="-229" w:rightChars="-109"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附:  《如东县城中街道农村环境卫生长效管护月度百分制考核细则 》</w:t>
      </w:r>
    </w:p>
    <w:p w14:paraId="6830064B">
      <w:pPr>
        <w:pStyle w:val="35"/>
        <w:ind w:firstLine="761" w:firstLineChars="0"/>
        <w:rPr>
          <w:rFonts w:hint="eastAsia" w:ascii="仿宋" w:hAnsi="仿宋" w:eastAsia="仿宋" w:cs="仿宋"/>
          <w:color w:val="auto"/>
          <w:sz w:val="24"/>
          <w:szCs w:val="24"/>
          <w:highlight w:val="none"/>
          <w:lang w:eastAsia="zh-CN"/>
        </w:rPr>
      </w:pPr>
    </w:p>
    <w:p w14:paraId="3A19D6E6">
      <w:pPr>
        <w:pStyle w:val="35"/>
        <w:rPr>
          <w:rFonts w:hint="eastAsia" w:ascii="仿宋" w:hAnsi="仿宋" w:eastAsia="仿宋" w:cs="仿宋"/>
          <w:color w:val="auto"/>
          <w:highlight w:val="none"/>
          <w:lang w:eastAsia="zh-CN"/>
        </w:rPr>
      </w:pPr>
    </w:p>
    <w:p w14:paraId="1A77C5B6">
      <w:pPr>
        <w:rPr>
          <w:rFonts w:hint="eastAsia" w:ascii="仿宋" w:hAnsi="仿宋" w:eastAsia="仿宋" w:cs="仿宋"/>
          <w:color w:val="auto"/>
          <w:highlight w:val="none"/>
          <w:lang w:eastAsia="zh-CN"/>
        </w:rPr>
      </w:pPr>
    </w:p>
    <w:p w14:paraId="6C637ABF">
      <w:pPr>
        <w:rPr>
          <w:rFonts w:hint="eastAsia" w:ascii="仿宋" w:hAnsi="仿宋" w:eastAsia="仿宋" w:cs="仿宋"/>
          <w:color w:val="auto"/>
          <w:highlight w:val="none"/>
          <w:lang w:eastAsia="zh-CN"/>
        </w:rPr>
      </w:pPr>
    </w:p>
    <w:tbl>
      <w:tblPr>
        <w:tblStyle w:val="36"/>
        <w:tblW w:w="100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8"/>
        <w:gridCol w:w="1179"/>
        <w:gridCol w:w="576"/>
        <w:gridCol w:w="2320"/>
        <w:gridCol w:w="4070"/>
        <w:gridCol w:w="735"/>
        <w:gridCol w:w="684"/>
        <w:gridCol w:w="47"/>
      </w:tblGrid>
      <w:tr w14:paraId="1038C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7" w:type="dxa"/>
          <w:trHeight w:val="460" w:hRule="atLeast"/>
          <w:jc w:val="center"/>
        </w:trPr>
        <w:tc>
          <w:tcPr>
            <w:tcW w:w="10002" w:type="dxa"/>
            <w:gridSpan w:val="7"/>
            <w:tcBorders>
              <w:top w:val="nil"/>
              <w:left w:val="nil"/>
              <w:bottom w:val="nil"/>
              <w:right w:val="nil"/>
            </w:tcBorders>
            <w:shd w:val="clear" w:color="auto" w:fill="auto"/>
            <w:noWrap/>
            <w:vAlign w:val="center"/>
          </w:tcPr>
          <w:p w14:paraId="1F227F00">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如东县城中街道农村环境卫生长效管护月度百分制考核细则</w:t>
            </w:r>
          </w:p>
        </w:tc>
      </w:tr>
      <w:tr w14:paraId="387A2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3D8D9">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考核对象</w:t>
            </w: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0F522">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考核项目</w:t>
            </w: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4EDC6">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分值</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772CF">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考   核   内   容</w:t>
            </w:r>
          </w:p>
        </w:tc>
        <w:tc>
          <w:tcPr>
            <w:tcW w:w="4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CB76F">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计   分   办   法</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ACC78">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计分项</w:t>
            </w:r>
            <w:r>
              <w:rPr>
                <w:rFonts w:hint="eastAsia" w:ascii="仿宋" w:hAnsi="仿宋" w:eastAsia="仿宋" w:cs="仿宋"/>
                <w:b/>
                <w:bCs/>
                <w:i w:val="0"/>
                <w:iCs w:val="0"/>
                <w:color w:val="auto"/>
                <w:kern w:val="0"/>
                <w:sz w:val="20"/>
                <w:szCs w:val="20"/>
                <w:highlight w:val="none"/>
                <w:u w:val="none"/>
                <w:lang w:val="en-US" w:eastAsia="zh-CN" w:bidi="ar"/>
              </w:rPr>
              <w:t>(n)</w:t>
            </w:r>
          </w:p>
        </w:tc>
        <w:tc>
          <w:tcPr>
            <w:tcW w:w="7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99693F">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考核扣分</w:t>
            </w:r>
          </w:p>
        </w:tc>
      </w:tr>
      <w:tr w14:paraId="2FA54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058D131">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承包管护单位</w:t>
            </w:r>
          </w:p>
        </w:tc>
        <w:tc>
          <w:tcPr>
            <w:tcW w:w="1179" w:type="dxa"/>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082D444">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      农路、桥梁、绿化管护保洁</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1DC57">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10</w:t>
            </w:r>
          </w:p>
        </w:tc>
        <w:tc>
          <w:tcPr>
            <w:tcW w:w="2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D79DB3">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农村道路保持清洁，农路两侧视野范围内无散失生活垃圾；清理处置路边堆积的零星杂物等；主干道路边线清晰，无泥沙占路覆盖；雨后路面积水的及时排放；路肩雨淋漕沟的及时培土修复（1㎡内）。</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2774A">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1、视野内散失垃圾、路边零星杂物堆积(1㎡以上)未及时清理的有一处扣 0.2分。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6D0C3">
            <w:pPr>
              <w:jc w:val="left"/>
              <w:rPr>
                <w:rFonts w:hint="eastAsia" w:ascii="仿宋" w:hAnsi="仿宋" w:eastAsia="仿宋" w:cs="仿宋"/>
                <w:i w:val="0"/>
                <w:iCs w:val="0"/>
                <w:color w:val="auto"/>
                <w:sz w:val="18"/>
                <w:szCs w:val="18"/>
                <w:highlight w:val="none"/>
                <w:u w:val="none"/>
              </w:rPr>
            </w:pPr>
          </w:p>
        </w:tc>
        <w:tc>
          <w:tcPr>
            <w:tcW w:w="73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219CD">
            <w:pPr>
              <w:jc w:val="center"/>
              <w:rPr>
                <w:rFonts w:hint="eastAsia" w:ascii="仿宋" w:hAnsi="仿宋" w:eastAsia="仿宋" w:cs="仿宋"/>
                <w:i w:val="0"/>
                <w:iCs w:val="0"/>
                <w:color w:val="auto"/>
                <w:sz w:val="18"/>
                <w:szCs w:val="18"/>
                <w:highlight w:val="none"/>
                <w:u w:val="none"/>
              </w:rPr>
            </w:pPr>
          </w:p>
        </w:tc>
      </w:tr>
      <w:tr w14:paraId="473E6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6168721">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3AFEB4C">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BABF2">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3CF67">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4F5A2">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r>
              <w:rPr>
                <w:rStyle w:val="252"/>
                <w:rFonts w:hint="eastAsia" w:ascii="仿宋" w:hAnsi="仿宋" w:eastAsia="仿宋" w:cs="仿宋"/>
                <w:color w:val="auto"/>
                <w:highlight w:val="none"/>
                <w:lang w:val="en-US" w:eastAsia="zh-CN" w:bidi="ar"/>
              </w:rPr>
              <w:t>路面不洁、路边线不清晰的每500米扣</w:t>
            </w:r>
            <w:r>
              <w:rPr>
                <w:rFonts w:hint="eastAsia" w:ascii="仿宋" w:hAnsi="仿宋" w:eastAsia="仿宋" w:cs="仿宋"/>
                <w:i w:val="0"/>
                <w:iCs w:val="0"/>
                <w:color w:val="auto"/>
                <w:kern w:val="0"/>
                <w:sz w:val="18"/>
                <w:szCs w:val="18"/>
                <w:highlight w:val="none"/>
                <w:u w:val="none"/>
                <w:lang w:val="en-US" w:eastAsia="zh-CN" w:bidi="ar"/>
              </w:rPr>
              <w:t xml:space="preserve"> 0.5</w:t>
            </w:r>
            <w:r>
              <w:rPr>
                <w:rStyle w:val="252"/>
                <w:rFonts w:hint="eastAsia" w:ascii="仿宋" w:hAnsi="仿宋" w:eastAsia="仿宋" w:cs="仿宋"/>
                <w:color w:val="auto"/>
                <w:highlight w:val="none"/>
                <w:lang w:val="en-US" w:eastAsia="zh-CN" w:bidi="ar"/>
              </w:rPr>
              <w:t>分。</w:t>
            </w:r>
            <w:r>
              <w:rPr>
                <w:rFonts w:hint="eastAsia" w:ascii="仿宋" w:hAnsi="仿宋" w:eastAsia="仿宋" w:cs="仿宋"/>
                <w:i w:val="0"/>
                <w:iCs w:val="0"/>
                <w:color w:val="auto"/>
                <w:kern w:val="0"/>
                <w:sz w:val="18"/>
                <w:szCs w:val="18"/>
                <w:highlight w:val="none"/>
                <w:u w:val="none"/>
                <w:lang w:val="en-US" w:eastAsia="zh-CN" w:bidi="ar"/>
              </w:rPr>
              <w:t xml:space="preserve">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A05E4">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BEB40">
            <w:pPr>
              <w:jc w:val="center"/>
              <w:rPr>
                <w:rFonts w:hint="eastAsia" w:ascii="仿宋" w:hAnsi="仿宋" w:eastAsia="仿宋" w:cs="仿宋"/>
                <w:i w:val="0"/>
                <w:iCs w:val="0"/>
                <w:color w:val="auto"/>
                <w:sz w:val="18"/>
                <w:szCs w:val="18"/>
                <w:highlight w:val="none"/>
                <w:u w:val="none"/>
              </w:rPr>
            </w:pPr>
          </w:p>
        </w:tc>
      </w:tr>
      <w:tr w14:paraId="18DC6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DC43F7C">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C21C3DB">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96C51">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2F365">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95ED7">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3、雨后路面积水未及时排放的有一处扣  0. 2分。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3624">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910C4">
            <w:pPr>
              <w:jc w:val="center"/>
              <w:rPr>
                <w:rFonts w:hint="eastAsia" w:ascii="仿宋" w:hAnsi="仿宋" w:eastAsia="仿宋" w:cs="仿宋"/>
                <w:i w:val="0"/>
                <w:iCs w:val="0"/>
                <w:color w:val="auto"/>
                <w:sz w:val="18"/>
                <w:szCs w:val="18"/>
                <w:highlight w:val="none"/>
                <w:u w:val="none"/>
              </w:rPr>
            </w:pPr>
          </w:p>
        </w:tc>
      </w:tr>
      <w:tr w14:paraId="590A6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3"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C31C1B">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376B289">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AFE8A">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5F910">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F74C0">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4、农路路肩雨淋漕沟未及时培土修复的有一处扣  0.2 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1DFE0">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9676E">
            <w:pPr>
              <w:jc w:val="center"/>
              <w:rPr>
                <w:rFonts w:hint="eastAsia" w:ascii="仿宋" w:hAnsi="仿宋" w:eastAsia="仿宋" w:cs="仿宋"/>
                <w:i w:val="0"/>
                <w:iCs w:val="0"/>
                <w:color w:val="auto"/>
                <w:sz w:val="18"/>
                <w:szCs w:val="18"/>
                <w:highlight w:val="none"/>
                <w:u w:val="none"/>
              </w:rPr>
            </w:pPr>
          </w:p>
        </w:tc>
      </w:tr>
      <w:tr w14:paraId="55DB5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6B0E71">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06ADBE9">
            <w:pPr>
              <w:jc w:val="center"/>
              <w:rPr>
                <w:rFonts w:hint="eastAsia" w:ascii="仿宋" w:hAnsi="仿宋" w:eastAsia="仿宋" w:cs="仿宋"/>
                <w:i w:val="0"/>
                <w:iCs w:val="0"/>
                <w:color w:val="auto"/>
                <w:sz w:val="18"/>
                <w:szCs w:val="18"/>
                <w:highlight w:val="none"/>
                <w:u w:val="none"/>
              </w:rPr>
            </w:pPr>
          </w:p>
        </w:tc>
        <w:tc>
          <w:tcPr>
            <w:tcW w:w="576" w:type="dxa"/>
            <w:vMerge w:val="restart"/>
            <w:tcBorders>
              <w:top w:val="nil"/>
              <w:left w:val="single" w:color="000000" w:sz="4" w:space="0"/>
              <w:bottom w:val="single" w:color="000000" w:sz="4" w:space="0"/>
              <w:right w:val="single" w:color="000000" w:sz="4" w:space="0"/>
            </w:tcBorders>
            <w:shd w:val="clear" w:color="auto" w:fill="auto"/>
            <w:noWrap/>
            <w:vAlign w:val="center"/>
          </w:tcPr>
          <w:p w14:paraId="6226C5DB">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5</w:t>
            </w:r>
          </w:p>
        </w:tc>
        <w:tc>
          <w:tcPr>
            <w:tcW w:w="2320" w:type="dxa"/>
            <w:vMerge w:val="restart"/>
            <w:tcBorders>
              <w:top w:val="nil"/>
              <w:left w:val="single" w:color="000000" w:sz="4" w:space="0"/>
              <w:bottom w:val="single" w:color="000000" w:sz="4" w:space="0"/>
              <w:right w:val="single" w:color="000000" w:sz="4" w:space="0"/>
            </w:tcBorders>
            <w:shd w:val="clear" w:color="auto" w:fill="auto"/>
            <w:vAlign w:val="center"/>
          </w:tcPr>
          <w:p w14:paraId="0D220915">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道路和桥梁的示警标志、标识等倒伏、倾斜及时扶正；路边两侧电线杆、路(桥)护拦、车口房、公示牌等悬挂、张贴的小广告及蔓藤攀爬及时清除。</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37F98">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1、示警标志倒伏、倾斜未扶正及有蔓藤攀爬的有一处扣 0.2分。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FE22B">
            <w:pPr>
              <w:jc w:val="left"/>
              <w:rPr>
                <w:rFonts w:hint="eastAsia" w:ascii="仿宋" w:hAnsi="仿宋" w:eastAsia="仿宋" w:cs="仿宋"/>
                <w:i w:val="0"/>
                <w:iCs w:val="0"/>
                <w:color w:val="auto"/>
                <w:sz w:val="18"/>
                <w:szCs w:val="18"/>
                <w:highlight w:val="none"/>
                <w:u w:val="none"/>
              </w:rPr>
            </w:pPr>
          </w:p>
        </w:tc>
        <w:tc>
          <w:tcPr>
            <w:tcW w:w="731" w:type="dxa"/>
            <w:gridSpan w:val="2"/>
            <w:vMerge w:val="restart"/>
            <w:tcBorders>
              <w:top w:val="nil"/>
              <w:left w:val="single" w:color="000000" w:sz="4" w:space="0"/>
              <w:bottom w:val="single" w:color="000000" w:sz="4" w:space="0"/>
              <w:right w:val="single" w:color="000000" w:sz="4" w:space="0"/>
            </w:tcBorders>
            <w:shd w:val="clear" w:color="auto" w:fill="auto"/>
            <w:noWrap/>
            <w:vAlign w:val="center"/>
          </w:tcPr>
          <w:p w14:paraId="7A24346F">
            <w:pPr>
              <w:jc w:val="center"/>
              <w:rPr>
                <w:rFonts w:hint="eastAsia" w:ascii="仿宋" w:hAnsi="仿宋" w:eastAsia="仿宋" w:cs="仿宋"/>
                <w:i w:val="0"/>
                <w:iCs w:val="0"/>
                <w:color w:val="auto"/>
                <w:sz w:val="18"/>
                <w:szCs w:val="18"/>
                <w:highlight w:val="none"/>
                <w:u w:val="none"/>
              </w:rPr>
            </w:pPr>
          </w:p>
        </w:tc>
      </w:tr>
      <w:tr w14:paraId="2815C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602606">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00F8C4A">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38DE9E2F">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nil"/>
              <w:left w:val="single" w:color="000000" w:sz="4" w:space="0"/>
              <w:bottom w:val="single" w:color="000000" w:sz="4" w:space="0"/>
              <w:right w:val="single" w:color="000000" w:sz="4" w:space="0"/>
            </w:tcBorders>
            <w:shd w:val="clear" w:color="auto" w:fill="auto"/>
            <w:vAlign w:val="center"/>
          </w:tcPr>
          <w:p w14:paraId="6FC57484">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3F80">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2、路边两侧电线杆、路(桥)护拦、车口房、公示牌等悬挂、张贴的小广告及蔓藤攀  爬未及时清除的有一处扣 0.1分。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3926B">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nil"/>
              <w:left w:val="single" w:color="000000" w:sz="4" w:space="0"/>
              <w:bottom w:val="single" w:color="000000" w:sz="4" w:space="0"/>
              <w:right w:val="single" w:color="000000" w:sz="4" w:space="0"/>
            </w:tcBorders>
            <w:shd w:val="clear" w:color="auto" w:fill="auto"/>
            <w:noWrap/>
            <w:vAlign w:val="center"/>
          </w:tcPr>
          <w:p w14:paraId="372F1F89">
            <w:pPr>
              <w:jc w:val="center"/>
              <w:rPr>
                <w:rFonts w:hint="eastAsia" w:ascii="仿宋" w:hAnsi="仿宋" w:eastAsia="仿宋" w:cs="仿宋"/>
                <w:i w:val="0"/>
                <w:iCs w:val="0"/>
                <w:color w:val="auto"/>
                <w:sz w:val="18"/>
                <w:szCs w:val="18"/>
                <w:highlight w:val="none"/>
                <w:u w:val="none"/>
              </w:rPr>
            </w:pPr>
          </w:p>
        </w:tc>
      </w:tr>
      <w:tr w14:paraId="1836E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69B832">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E11A7E6">
            <w:pPr>
              <w:jc w:val="center"/>
              <w:rPr>
                <w:rFonts w:hint="eastAsia" w:ascii="仿宋" w:hAnsi="仿宋" w:eastAsia="仿宋" w:cs="仿宋"/>
                <w:i w:val="0"/>
                <w:iCs w:val="0"/>
                <w:color w:val="auto"/>
                <w:sz w:val="18"/>
                <w:szCs w:val="18"/>
                <w:highlight w:val="none"/>
                <w:u w:val="none"/>
              </w:rPr>
            </w:pPr>
          </w:p>
        </w:tc>
        <w:tc>
          <w:tcPr>
            <w:tcW w:w="576" w:type="dxa"/>
            <w:vMerge w:val="restart"/>
            <w:tcBorders>
              <w:top w:val="nil"/>
              <w:left w:val="single" w:color="000000" w:sz="4" w:space="0"/>
              <w:bottom w:val="single" w:color="000000" w:sz="4" w:space="0"/>
              <w:right w:val="single" w:color="000000" w:sz="4" w:space="0"/>
            </w:tcBorders>
            <w:shd w:val="clear" w:color="auto" w:fill="auto"/>
            <w:noWrap/>
            <w:vAlign w:val="center"/>
          </w:tcPr>
          <w:p w14:paraId="6D0DFFCB">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10</w:t>
            </w:r>
          </w:p>
        </w:tc>
        <w:tc>
          <w:tcPr>
            <w:tcW w:w="2320" w:type="dxa"/>
            <w:vMerge w:val="restart"/>
            <w:tcBorders>
              <w:top w:val="nil"/>
              <w:left w:val="single" w:color="000000" w:sz="4" w:space="0"/>
              <w:bottom w:val="single" w:color="000000" w:sz="4" w:space="0"/>
              <w:right w:val="single" w:color="000000" w:sz="4" w:space="0"/>
            </w:tcBorders>
            <w:shd w:val="clear" w:color="auto" w:fill="auto"/>
            <w:vAlign w:val="center"/>
          </w:tcPr>
          <w:p w14:paraId="1D1E6DFC">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农路路肩(坡)及时安排割草，合理安排割草频率，乡村公路每年不少于10次，村组道路每年不少于7次，保证路肩(坡)无15cm以上高草现象，路坡割至路田分界沟或路田分界处，及时清理割草后的路面碎草；及时清除道路两侧的加拿大一枝黄花；道路路肩、边坡农作物种植的配合处置。</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F399">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1、路肩(坡)有15cm以上高草、路肩割草宽度未达标准的每500米扣 0.5分。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C68BC">
            <w:pPr>
              <w:jc w:val="left"/>
              <w:rPr>
                <w:rFonts w:hint="eastAsia" w:ascii="仿宋" w:hAnsi="仿宋" w:eastAsia="仿宋" w:cs="仿宋"/>
                <w:i w:val="0"/>
                <w:iCs w:val="0"/>
                <w:color w:val="auto"/>
                <w:sz w:val="18"/>
                <w:szCs w:val="18"/>
                <w:highlight w:val="none"/>
                <w:u w:val="none"/>
              </w:rPr>
            </w:pPr>
          </w:p>
        </w:tc>
        <w:tc>
          <w:tcPr>
            <w:tcW w:w="73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63227">
            <w:pPr>
              <w:jc w:val="center"/>
              <w:rPr>
                <w:rFonts w:hint="eastAsia" w:ascii="仿宋" w:hAnsi="仿宋" w:eastAsia="仿宋" w:cs="仿宋"/>
                <w:i w:val="0"/>
                <w:iCs w:val="0"/>
                <w:color w:val="auto"/>
                <w:sz w:val="18"/>
                <w:szCs w:val="18"/>
                <w:highlight w:val="none"/>
                <w:u w:val="none"/>
              </w:rPr>
            </w:pPr>
          </w:p>
        </w:tc>
      </w:tr>
      <w:tr w14:paraId="073F2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4266A0">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B8FAFA8">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01C1CA4F">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nil"/>
              <w:left w:val="single" w:color="000000" w:sz="4" w:space="0"/>
              <w:bottom w:val="single" w:color="000000" w:sz="4" w:space="0"/>
              <w:right w:val="single" w:color="000000" w:sz="4" w:space="0"/>
            </w:tcBorders>
            <w:shd w:val="clear" w:color="auto" w:fill="auto"/>
            <w:vAlign w:val="center"/>
          </w:tcPr>
          <w:p w14:paraId="6D1B6AA9">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DFE99">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2、割草后的路面碎草未及时清理的</w:t>
            </w:r>
            <w:r>
              <w:rPr>
                <w:rStyle w:val="252"/>
                <w:rFonts w:hint="eastAsia" w:ascii="仿宋" w:hAnsi="仿宋" w:eastAsia="仿宋" w:cs="仿宋"/>
                <w:color w:val="auto"/>
                <w:highlight w:val="none"/>
                <w:lang w:val="en-US" w:eastAsia="zh-CN" w:bidi="ar"/>
              </w:rPr>
              <w:t>每500米扣 0.5 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F3EE0">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0FD1F">
            <w:pPr>
              <w:jc w:val="center"/>
              <w:rPr>
                <w:rFonts w:hint="eastAsia" w:ascii="仿宋" w:hAnsi="仿宋" w:eastAsia="仿宋" w:cs="仿宋"/>
                <w:i w:val="0"/>
                <w:iCs w:val="0"/>
                <w:color w:val="auto"/>
                <w:sz w:val="18"/>
                <w:szCs w:val="18"/>
                <w:highlight w:val="none"/>
                <w:u w:val="none"/>
              </w:rPr>
            </w:pPr>
          </w:p>
        </w:tc>
      </w:tr>
      <w:tr w14:paraId="7AD9E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DE73DEF">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9F571E0">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4FF53833">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nil"/>
              <w:left w:val="single" w:color="000000" w:sz="4" w:space="0"/>
              <w:bottom w:val="single" w:color="000000" w:sz="4" w:space="0"/>
              <w:right w:val="single" w:color="000000" w:sz="4" w:space="0"/>
            </w:tcBorders>
            <w:shd w:val="clear" w:color="auto" w:fill="auto"/>
            <w:vAlign w:val="center"/>
          </w:tcPr>
          <w:p w14:paraId="6C5C12A5">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2840">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3、道路两侧的加拿大一枝黄花未清除的每100米扣 0.5分。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C5CB1">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9B190">
            <w:pPr>
              <w:jc w:val="center"/>
              <w:rPr>
                <w:rFonts w:hint="eastAsia" w:ascii="仿宋" w:hAnsi="仿宋" w:eastAsia="仿宋" w:cs="仿宋"/>
                <w:i w:val="0"/>
                <w:iCs w:val="0"/>
                <w:color w:val="auto"/>
                <w:sz w:val="18"/>
                <w:szCs w:val="18"/>
                <w:highlight w:val="none"/>
                <w:u w:val="none"/>
              </w:rPr>
            </w:pPr>
          </w:p>
        </w:tc>
      </w:tr>
      <w:tr w14:paraId="7C8D3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6987F2">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E2EE3CB">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51C46B41">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nil"/>
              <w:left w:val="single" w:color="000000" w:sz="4" w:space="0"/>
              <w:bottom w:val="single" w:color="000000" w:sz="4" w:space="0"/>
              <w:right w:val="single" w:color="000000" w:sz="4" w:space="0"/>
            </w:tcBorders>
            <w:shd w:val="clear" w:color="auto" w:fill="auto"/>
            <w:vAlign w:val="center"/>
          </w:tcPr>
          <w:p w14:paraId="3F279B37">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5DE9">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4、未配合村对道路路肩、边坡农作物种植处置的一次扣 0.5分。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6CBAF">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800F4">
            <w:pPr>
              <w:jc w:val="center"/>
              <w:rPr>
                <w:rFonts w:hint="eastAsia" w:ascii="仿宋" w:hAnsi="仿宋" w:eastAsia="仿宋" w:cs="仿宋"/>
                <w:i w:val="0"/>
                <w:iCs w:val="0"/>
                <w:color w:val="auto"/>
                <w:sz w:val="18"/>
                <w:szCs w:val="18"/>
                <w:highlight w:val="none"/>
                <w:u w:val="none"/>
              </w:rPr>
            </w:pPr>
          </w:p>
        </w:tc>
      </w:tr>
      <w:tr w14:paraId="4F4D2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8940EE4">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60CBDE6">
            <w:pPr>
              <w:jc w:val="center"/>
              <w:rPr>
                <w:rFonts w:hint="eastAsia" w:ascii="仿宋" w:hAnsi="仿宋" w:eastAsia="仿宋" w:cs="仿宋"/>
                <w:i w:val="0"/>
                <w:iCs w:val="0"/>
                <w:color w:val="auto"/>
                <w:sz w:val="18"/>
                <w:szCs w:val="18"/>
                <w:highlight w:val="none"/>
                <w:u w:val="none"/>
              </w:rPr>
            </w:pPr>
          </w:p>
        </w:tc>
        <w:tc>
          <w:tcPr>
            <w:tcW w:w="576" w:type="dxa"/>
            <w:vMerge w:val="restart"/>
            <w:tcBorders>
              <w:top w:val="nil"/>
              <w:left w:val="single" w:color="000000" w:sz="4" w:space="0"/>
              <w:bottom w:val="single" w:color="000000" w:sz="4" w:space="0"/>
              <w:right w:val="single" w:color="000000" w:sz="4" w:space="0"/>
            </w:tcBorders>
            <w:shd w:val="clear" w:color="auto" w:fill="auto"/>
            <w:noWrap/>
            <w:vAlign w:val="center"/>
          </w:tcPr>
          <w:p w14:paraId="6BAB4B8A">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5</w:t>
            </w:r>
          </w:p>
        </w:tc>
        <w:tc>
          <w:tcPr>
            <w:tcW w:w="2320" w:type="dxa"/>
            <w:vMerge w:val="restart"/>
            <w:tcBorders>
              <w:top w:val="nil"/>
              <w:left w:val="single" w:color="000000" w:sz="4" w:space="0"/>
              <w:bottom w:val="single" w:color="000000" w:sz="4" w:space="0"/>
              <w:right w:val="single" w:color="000000" w:sz="4" w:space="0"/>
            </w:tcBorders>
            <w:shd w:val="clear" w:color="auto" w:fill="auto"/>
            <w:vAlign w:val="center"/>
          </w:tcPr>
          <w:p w14:paraId="70CB816B">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道路两侧绿化树木不定期进行修剪，树木倒伏及时扶正，树上蔓藤攀爬、杂树、枯死树木及时清除；对影响视线和遮挡示警标志的树木要随时修剪,乡村等级路树木一年一次病虫害（刷白）防治。</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29D74">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1、农路绿化树木未及时修剪的每500米扣 1分。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076C3">
            <w:pPr>
              <w:jc w:val="left"/>
              <w:rPr>
                <w:rFonts w:hint="eastAsia" w:ascii="仿宋" w:hAnsi="仿宋" w:eastAsia="仿宋" w:cs="仿宋"/>
                <w:i w:val="0"/>
                <w:iCs w:val="0"/>
                <w:color w:val="auto"/>
                <w:sz w:val="18"/>
                <w:szCs w:val="18"/>
                <w:highlight w:val="none"/>
                <w:u w:val="none"/>
              </w:rPr>
            </w:pPr>
          </w:p>
        </w:tc>
        <w:tc>
          <w:tcPr>
            <w:tcW w:w="73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38E93">
            <w:pPr>
              <w:jc w:val="center"/>
              <w:rPr>
                <w:rFonts w:hint="eastAsia" w:ascii="仿宋" w:hAnsi="仿宋" w:eastAsia="仿宋" w:cs="仿宋"/>
                <w:i w:val="0"/>
                <w:iCs w:val="0"/>
                <w:color w:val="auto"/>
                <w:sz w:val="18"/>
                <w:szCs w:val="18"/>
                <w:highlight w:val="none"/>
                <w:u w:val="none"/>
              </w:rPr>
            </w:pPr>
          </w:p>
        </w:tc>
      </w:tr>
      <w:tr w14:paraId="709CC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45DA221">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DCD3B96">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32F3498B">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nil"/>
              <w:left w:val="single" w:color="000000" w:sz="4" w:space="0"/>
              <w:bottom w:val="single" w:color="000000" w:sz="4" w:space="0"/>
              <w:right w:val="single" w:color="000000" w:sz="4" w:space="0"/>
            </w:tcBorders>
            <w:shd w:val="clear" w:color="auto" w:fill="auto"/>
            <w:vAlign w:val="center"/>
          </w:tcPr>
          <w:p w14:paraId="00B43D40">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4FD8">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2、绿化倒伏及树上蔓藤攀爬未处理的有一处扣 0.2分。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57F68">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05EB2">
            <w:pPr>
              <w:jc w:val="center"/>
              <w:rPr>
                <w:rFonts w:hint="eastAsia" w:ascii="仿宋" w:hAnsi="仿宋" w:eastAsia="仿宋" w:cs="仿宋"/>
                <w:i w:val="0"/>
                <w:iCs w:val="0"/>
                <w:color w:val="auto"/>
                <w:sz w:val="18"/>
                <w:szCs w:val="18"/>
                <w:highlight w:val="none"/>
                <w:u w:val="none"/>
              </w:rPr>
            </w:pPr>
          </w:p>
        </w:tc>
      </w:tr>
      <w:tr w14:paraId="767FA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B56E2A">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B3B78DB">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5AAC6D6B">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nil"/>
              <w:left w:val="single" w:color="000000" w:sz="4" w:space="0"/>
              <w:bottom w:val="single" w:color="000000" w:sz="4" w:space="0"/>
              <w:right w:val="single" w:color="000000" w:sz="4" w:space="0"/>
            </w:tcBorders>
            <w:shd w:val="clear" w:color="auto" w:fill="auto"/>
            <w:vAlign w:val="center"/>
          </w:tcPr>
          <w:p w14:paraId="0D319D10">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491C5">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3、乡村等级路树木未完成一年一次病虫害防治的每500米扣 1 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9DC09">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21E2F">
            <w:pPr>
              <w:jc w:val="center"/>
              <w:rPr>
                <w:rFonts w:hint="eastAsia" w:ascii="仿宋" w:hAnsi="仿宋" w:eastAsia="仿宋" w:cs="仿宋"/>
                <w:i w:val="0"/>
                <w:iCs w:val="0"/>
                <w:color w:val="auto"/>
                <w:sz w:val="18"/>
                <w:szCs w:val="18"/>
                <w:highlight w:val="none"/>
                <w:u w:val="none"/>
              </w:rPr>
            </w:pPr>
          </w:p>
        </w:tc>
      </w:tr>
      <w:tr w14:paraId="35DFA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2C91AD1">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32685B5">
            <w:pPr>
              <w:jc w:val="center"/>
              <w:rPr>
                <w:rFonts w:hint="eastAsia" w:ascii="仿宋" w:hAnsi="仿宋" w:eastAsia="仿宋" w:cs="仿宋"/>
                <w:i w:val="0"/>
                <w:iCs w:val="0"/>
                <w:color w:val="auto"/>
                <w:sz w:val="18"/>
                <w:szCs w:val="18"/>
                <w:highlight w:val="none"/>
                <w:u w:val="none"/>
              </w:rPr>
            </w:pP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7272E">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5</w:t>
            </w:r>
          </w:p>
        </w:tc>
        <w:tc>
          <w:tcPr>
            <w:tcW w:w="2320" w:type="dxa"/>
            <w:vMerge w:val="restart"/>
            <w:tcBorders>
              <w:top w:val="nil"/>
              <w:left w:val="single" w:color="000000" w:sz="4" w:space="0"/>
              <w:bottom w:val="nil"/>
              <w:right w:val="single" w:color="000000" w:sz="4" w:space="0"/>
            </w:tcBorders>
            <w:shd w:val="clear" w:color="auto" w:fill="auto"/>
            <w:vAlign w:val="center"/>
          </w:tcPr>
          <w:p w14:paraId="6F123B6E">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桥梁保持清洁，无散失垃圾、泥沙等；桥面泄水孔保持畅通，伸缩缝无堵塞物；</w:t>
            </w:r>
            <w:r>
              <w:rPr>
                <w:rStyle w:val="252"/>
                <w:rFonts w:hint="eastAsia" w:ascii="仿宋" w:hAnsi="仿宋" w:eastAsia="仿宋" w:cs="仿宋"/>
                <w:color w:val="auto"/>
                <w:highlight w:val="none"/>
                <w:lang w:val="en-US" w:eastAsia="zh-CN" w:bidi="ar"/>
              </w:rPr>
              <w:t>桥下零星杂物清理</w:t>
            </w:r>
            <w:r>
              <w:rPr>
                <w:rFonts w:hint="eastAsia" w:ascii="仿宋" w:hAnsi="仿宋" w:eastAsia="仿宋" w:cs="仿宋"/>
                <w:i w:val="0"/>
                <w:iCs w:val="0"/>
                <w:color w:val="auto"/>
                <w:kern w:val="0"/>
                <w:sz w:val="18"/>
                <w:szCs w:val="18"/>
                <w:highlight w:val="none"/>
                <w:u w:val="none"/>
                <w:lang w:val="en-US" w:eastAsia="zh-CN" w:bidi="ar"/>
              </w:rPr>
              <w:t>。</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299D4">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1、桥面、桥下不洁的一座桥扣 0.2分。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0B33D">
            <w:pPr>
              <w:jc w:val="left"/>
              <w:rPr>
                <w:rFonts w:hint="eastAsia" w:ascii="仿宋" w:hAnsi="仿宋" w:eastAsia="仿宋" w:cs="仿宋"/>
                <w:i w:val="0"/>
                <w:iCs w:val="0"/>
                <w:color w:val="auto"/>
                <w:sz w:val="18"/>
                <w:szCs w:val="18"/>
                <w:highlight w:val="none"/>
                <w:u w:val="none"/>
              </w:rPr>
            </w:pPr>
          </w:p>
        </w:tc>
        <w:tc>
          <w:tcPr>
            <w:tcW w:w="731" w:type="dxa"/>
            <w:gridSpan w:val="2"/>
            <w:vMerge w:val="restart"/>
            <w:tcBorders>
              <w:top w:val="single" w:color="000000" w:sz="4" w:space="0"/>
              <w:left w:val="single" w:color="000000" w:sz="4" w:space="0"/>
              <w:bottom w:val="nil"/>
              <w:right w:val="single" w:color="000000" w:sz="4" w:space="0"/>
            </w:tcBorders>
            <w:shd w:val="clear" w:color="auto" w:fill="auto"/>
            <w:noWrap/>
            <w:vAlign w:val="center"/>
          </w:tcPr>
          <w:p w14:paraId="0CB210DD">
            <w:pPr>
              <w:jc w:val="center"/>
              <w:rPr>
                <w:rFonts w:hint="eastAsia" w:ascii="仿宋" w:hAnsi="仿宋" w:eastAsia="仿宋" w:cs="仿宋"/>
                <w:i w:val="0"/>
                <w:iCs w:val="0"/>
                <w:color w:val="auto"/>
                <w:sz w:val="18"/>
                <w:szCs w:val="18"/>
                <w:highlight w:val="none"/>
                <w:u w:val="none"/>
              </w:rPr>
            </w:pPr>
          </w:p>
        </w:tc>
      </w:tr>
      <w:tr w14:paraId="18AF9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8B722D7">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2F02B9F">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83474">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nil"/>
              <w:left w:val="single" w:color="000000" w:sz="4" w:space="0"/>
              <w:bottom w:val="nil"/>
              <w:right w:val="single" w:color="000000" w:sz="4" w:space="0"/>
            </w:tcBorders>
            <w:shd w:val="clear" w:color="auto" w:fill="auto"/>
            <w:vAlign w:val="center"/>
          </w:tcPr>
          <w:p w14:paraId="4D544817">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F5C52">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2、桥面排水口、伸缩缝有堵塞物的每座桥扣 0.2 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E440D">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nil"/>
              <w:right w:val="single" w:color="000000" w:sz="4" w:space="0"/>
            </w:tcBorders>
            <w:shd w:val="clear" w:color="auto" w:fill="auto"/>
            <w:noWrap/>
            <w:vAlign w:val="center"/>
          </w:tcPr>
          <w:p w14:paraId="39313A03">
            <w:pPr>
              <w:jc w:val="center"/>
              <w:rPr>
                <w:rFonts w:hint="eastAsia" w:ascii="仿宋" w:hAnsi="仿宋" w:eastAsia="仿宋" w:cs="仿宋"/>
                <w:i w:val="0"/>
                <w:iCs w:val="0"/>
                <w:color w:val="auto"/>
                <w:sz w:val="18"/>
                <w:szCs w:val="18"/>
                <w:highlight w:val="none"/>
                <w:u w:val="none"/>
              </w:rPr>
            </w:pPr>
          </w:p>
        </w:tc>
      </w:tr>
      <w:tr w14:paraId="6DBCE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664452">
            <w:pPr>
              <w:jc w:val="center"/>
              <w:rPr>
                <w:rFonts w:hint="eastAsia" w:ascii="仿宋" w:hAnsi="仿宋" w:eastAsia="仿宋" w:cs="仿宋"/>
                <w:i w:val="0"/>
                <w:iCs w:val="0"/>
                <w:color w:val="auto"/>
                <w:sz w:val="18"/>
                <w:szCs w:val="18"/>
                <w:highlight w:val="none"/>
                <w:u w:val="none"/>
              </w:rPr>
            </w:pPr>
          </w:p>
        </w:tc>
        <w:tc>
          <w:tcPr>
            <w:tcW w:w="1179" w:type="dxa"/>
            <w:vMerge w:val="restart"/>
            <w:tcBorders>
              <w:top w:val="nil"/>
              <w:left w:val="single" w:color="000000" w:sz="4" w:space="0"/>
              <w:bottom w:val="single" w:color="000000" w:sz="4" w:space="0"/>
              <w:right w:val="single" w:color="000000" w:sz="4" w:space="0"/>
            </w:tcBorders>
            <w:shd w:val="clear" w:color="auto" w:fill="auto"/>
            <w:noWrap/>
            <w:textDirection w:val="tbRlV"/>
            <w:vAlign w:val="center"/>
          </w:tcPr>
          <w:p w14:paraId="22EB22E8">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生活垃圾收运处置</w:t>
            </w:r>
          </w:p>
        </w:tc>
        <w:tc>
          <w:tcPr>
            <w:tcW w:w="576" w:type="dxa"/>
            <w:vMerge w:val="restart"/>
            <w:tcBorders>
              <w:top w:val="nil"/>
              <w:left w:val="single" w:color="000000" w:sz="4" w:space="0"/>
              <w:bottom w:val="single" w:color="000000" w:sz="4" w:space="0"/>
              <w:right w:val="single" w:color="000000" w:sz="4" w:space="0"/>
            </w:tcBorders>
            <w:shd w:val="clear" w:color="auto" w:fill="auto"/>
            <w:noWrap/>
            <w:vAlign w:val="center"/>
          </w:tcPr>
          <w:p w14:paraId="009B5397">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10</w:t>
            </w:r>
          </w:p>
        </w:tc>
        <w:tc>
          <w:tcPr>
            <w:tcW w:w="2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FBB64">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及时入户分类收运生活垃圾清运至各村垃圾中转房，做到日产日清无积存；做好农户周边垃圾捡拾及抛弃的沙发、家具等杂物收运处置。</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F34C">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1、收运中未按要求进行垃圾分类收运的发现一次扣 1 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17C86">
            <w:pPr>
              <w:jc w:val="left"/>
              <w:rPr>
                <w:rFonts w:hint="eastAsia" w:ascii="仿宋" w:hAnsi="仿宋" w:eastAsia="仿宋" w:cs="仿宋"/>
                <w:i w:val="0"/>
                <w:iCs w:val="0"/>
                <w:color w:val="auto"/>
                <w:sz w:val="18"/>
                <w:szCs w:val="18"/>
                <w:highlight w:val="none"/>
                <w:u w:val="none"/>
              </w:rPr>
            </w:pPr>
          </w:p>
        </w:tc>
        <w:tc>
          <w:tcPr>
            <w:tcW w:w="731" w:type="dxa"/>
            <w:gridSpan w:val="2"/>
            <w:tcBorders>
              <w:top w:val="nil"/>
              <w:left w:val="single" w:color="000000" w:sz="4" w:space="0"/>
              <w:bottom w:val="nil"/>
              <w:right w:val="single" w:color="000000" w:sz="4" w:space="0"/>
            </w:tcBorders>
            <w:shd w:val="clear" w:color="auto" w:fill="auto"/>
            <w:noWrap/>
            <w:vAlign w:val="center"/>
          </w:tcPr>
          <w:p w14:paraId="5B1C681B">
            <w:pPr>
              <w:jc w:val="center"/>
              <w:rPr>
                <w:rFonts w:hint="eastAsia" w:ascii="仿宋" w:hAnsi="仿宋" w:eastAsia="仿宋" w:cs="仿宋"/>
                <w:i w:val="0"/>
                <w:iCs w:val="0"/>
                <w:color w:val="auto"/>
                <w:sz w:val="18"/>
                <w:szCs w:val="18"/>
                <w:highlight w:val="none"/>
                <w:u w:val="none"/>
              </w:rPr>
            </w:pPr>
          </w:p>
        </w:tc>
      </w:tr>
      <w:tr w14:paraId="62266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6C4DF4">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1A03D6D8">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38932B1C">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68EC5">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8C933">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2、农户当日垃圾有积存未收运的按每户扣 0.1 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065AD">
            <w:pPr>
              <w:jc w:val="left"/>
              <w:rPr>
                <w:rFonts w:hint="eastAsia" w:ascii="仿宋" w:hAnsi="仿宋" w:eastAsia="仿宋" w:cs="仿宋"/>
                <w:i w:val="0"/>
                <w:iCs w:val="0"/>
                <w:color w:val="auto"/>
                <w:sz w:val="18"/>
                <w:szCs w:val="18"/>
                <w:highlight w:val="none"/>
                <w:u w:val="none"/>
              </w:rPr>
            </w:pPr>
          </w:p>
        </w:tc>
        <w:tc>
          <w:tcPr>
            <w:tcW w:w="731" w:type="dxa"/>
            <w:gridSpan w:val="2"/>
            <w:vMerge w:val="restart"/>
            <w:tcBorders>
              <w:top w:val="nil"/>
              <w:left w:val="single" w:color="000000" w:sz="4" w:space="0"/>
              <w:bottom w:val="single" w:color="000000" w:sz="4" w:space="0"/>
              <w:right w:val="single" w:color="000000" w:sz="4" w:space="0"/>
            </w:tcBorders>
            <w:shd w:val="clear" w:color="auto" w:fill="auto"/>
            <w:noWrap/>
            <w:vAlign w:val="center"/>
          </w:tcPr>
          <w:p w14:paraId="24317BFD">
            <w:pPr>
              <w:jc w:val="center"/>
              <w:rPr>
                <w:rFonts w:hint="eastAsia" w:ascii="仿宋" w:hAnsi="仿宋" w:eastAsia="仿宋" w:cs="仿宋"/>
                <w:i w:val="0"/>
                <w:iCs w:val="0"/>
                <w:color w:val="auto"/>
                <w:sz w:val="18"/>
                <w:szCs w:val="18"/>
                <w:highlight w:val="none"/>
                <w:u w:val="none"/>
              </w:rPr>
            </w:pPr>
          </w:p>
        </w:tc>
      </w:tr>
      <w:tr w14:paraId="68D92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EBB41C">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1E93BD41">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6AB4B875">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24043">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A7DF">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3、农户周边散失垃圾及抛弃的沙发、家具等杂物未清理的有一处扣 0.5分。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F6967">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nil"/>
              <w:left w:val="single" w:color="000000" w:sz="4" w:space="0"/>
              <w:bottom w:val="single" w:color="000000" w:sz="4" w:space="0"/>
              <w:right w:val="single" w:color="000000" w:sz="4" w:space="0"/>
            </w:tcBorders>
            <w:shd w:val="clear" w:color="auto" w:fill="auto"/>
            <w:noWrap/>
            <w:vAlign w:val="center"/>
          </w:tcPr>
          <w:p w14:paraId="1096FEFB">
            <w:pPr>
              <w:jc w:val="center"/>
              <w:rPr>
                <w:rFonts w:hint="eastAsia" w:ascii="仿宋" w:hAnsi="仿宋" w:eastAsia="仿宋" w:cs="仿宋"/>
                <w:i w:val="0"/>
                <w:iCs w:val="0"/>
                <w:color w:val="auto"/>
                <w:sz w:val="18"/>
                <w:szCs w:val="18"/>
                <w:highlight w:val="none"/>
                <w:u w:val="none"/>
              </w:rPr>
            </w:pPr>
          </w:p>
        </w:tc>
      </w:tr>
      <w:tr w14:paraId="0DD0F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38A524">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7D2F2B67">
            <w:pPr>
              <w:jc w:val="center"/>
              <w:rPr>
                <w:rFonts w:hint="eastAsia" w:ascii="仿宋" w:hAnsi="仿宋" w:eastAsia="仿宋" w:cs="仿宋"/>
                <w:i w:val="0"/>
                <w:iCs w:val="0"/>
                <w:color w:val="auto"/>
                <w:sz w:val="18"/>
                <w:szCs w:val="18"/>
                <w:highlight w:val="none"/>
                <w:u w:val="none"/>
              </w:rPr>
            </w:pPr>
          </w:p>
        </w:tc>
        <w:tc>
          <w:tcPr>
            <w:tcW w:w="576" w:type="dxa"/>
            <w:vMerge w:val="restart"/>
            <w:tcBorders>
              <w:top w:val="nil"/>
              <w:left w:val="single" w:color="000000" w:sz="4" w:space="0"/>
              <w:bottom w:val="single" w:color="000000" w:sz="4" w:space="0"/>
              <w:right w:val="single" w:color="000000" w:sz="4" w:space="0"/>
            </w:tcBorders>
            <w:shd w:val="clear" w:color="auto" w:fill="auto"/>
            <w:noWrap/>
            <w:vAlign w:val="center"/>
          </w:tcPr>
          <w:p w14:paraId="5329F110">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5</w:t>
            </w:r>
          </w:p>
        </w:tc>
        <w:tc>
          <w:tcPr>
            <w:tcW w:w="2320" w:type="dxa"/>
            <w:vMerge w:val="restart"/>
            <w:tcBorders>
              <w:top w:val="nil"/>
              <w:left w:val="single" w:color="000000" w:sz="4" w:space="0"/>
              <w:bottom w:val="single" w:color="000000" w:sz="4" w:space="0"/>
              <w:right w:val="single" w:color="000000" w:sz="4" w:space="0"/>
            </w:tcBorders>
            <w:shd w:val="clear" w:color="auto" w:fill="auto"/>
            <w:vAlign w:val="center"/>
          </w:tcPr>
          <w:p w14:paraId="11E02C05">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清运垃圾过程中，确保无飘洒散落垃圾及污水外流；无人为焚烧垃圾行为。</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5161F">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1、垃圾清运途中有飘洒、散落垃圾及污水外流的发现一次扣 1分。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6350">
            <w:pPr>
              <w:jc w:val="left"/>
              <w:rPr>
                <w:rFonts w:hint="eastAsia" w:ascii="仿宋" w:hAnsi="仿宋" w:eastAsia="仿宋" w:cs="仿宋"/>
                <w:i w:val="0"/>
                <w:iCs w:val="0"/>
                <w:color w:val="auto"/>
                <w:sz w:val="18"/>
                <w:szCs w:val="18"/>
                <w:highlight w:val="none"/>
                <w:u w:val="none"/>
              </w:rPr>
            </w:pPr>
          </w:p>
        </w:tc>
        <w:tc>
          <w:tcPr>
            <w:tcW w:w="731" w:type="dxa"/>
            <w:gridSpan w:val="2"/>
            <w:vMerge w:val="restart"/>
            <w:tcBorders>
              <w:top w:val="nil"/>
              <w:left w:val="single" w:color="000000" w:sz="4" w:space="0"/>
              <w:bottom w:val="single" w:color="000000" w:sz="4" w:space="0"/>
              <w:right w:val="single" w:color="000000" w:sz="4" w:space="0"/>
            </w:tcBorders>
            <w:shd w:val="clear" w:color="auto" w:fill="auto"/>
            <w:noWrap/>
            <w:vAlign w:val="center"/>
          </w:tcPr>
          <w:p w14:paraId="50AC92EF">
            <w:pPr>
              <w:jc w:val="center"/>
              <w:rPr>
                <w:rFonts w:hint="eastAsia" w:ascii="仿宋" w:hAnsi="仿宋" w:eastAsia="仿宋" w:cs="仿宋"/>
                <w:i w:val="0"/>
                <w:iCs w:val="0"/>
                <w:color w:val="auto"/>
                <w:sz w:val="18"/>
                <w:szCs w:val="18"/>
                <w:highlight w:val="none"/>
                <w:u w:val="none"/>
              </w:rPr>
            </w:pPr>
          </w:p>
        </w:tc>
      </w:tr>
      <w:tr w14:paraId="34901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FE9778">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3CF1584D">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0FBCAEFB">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nil"/>
              <w:left w:val="single" w:color="000000" w:sz="4" w:space="0"/>
              <w:bottom w:val="single" w:color="000000" w:sz="4" w:space="0"/>
              <w:right w:val="single" w:color="000000" w:sz="4" w:space="0"/>
            </w:tcBorders>
            <w:shd w:val="clear" w:color="auto" w:fill="auto"/>
            <w:vAlign w:val="center"/>
          </w:tcPr>
          <w:p w14:paraId="2F8B02DB">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3653">
            <w:pPr>
              <w:keepNext w:val="0"/>
              <w:keepLines w:val="0"/>
              <w:widowControl/>
              <w:suppressLineNumbers w:val="0"/>
              <w:jc w:val="both"/>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2、管护人员焚烧垃圾行为的有一次扣 3 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9588">
            <w:pPr>
              <w:jc w:val="both"/>
              <w:rPr>
                <w:rFonts w:hint="eastAsia" w:ascii="仿宋" w:hAnsi="仿宋" w:eastAsia="仿宋" w:cs="仿宋"/>
                <w:i w:val="0"/>
                <w:iCs w:val="0"/>
                <w:color w:val="auto"/>
                <w:sz w:val="18"/>
                <w:szCs w:val="18"/>
                <w:highlight w:val="none"/>
                <w:u w:val="none"/>
              </w:rPr>
            </w:pPr>
          </w:p>
        </w:tc>
        <w:tc>
          <w:tcPr>
            <w:tcW w:w="731" w:type="dxa"/>
            <w:gridSpan w:val="2"/>
            <w:vMerge w:val="continue"/>
            <w:tcBorders>
              <w:top w:val="nil"/>
              <w:left w:val="single" w:color="000000" w:sz="4" w:space="0"/>
              <w:bottom w:val="single" w:color="000000" w:sz="4" w:space="0"/>
              <w:right w:val="single" w:color="000000" w:sz="4" w:space="0"/>
            </w:tcBorders>
            <w:shd w:val="clear" w:color="auto" w:fill="auto"/>
            <w:noWrap/>
            <w:vAlign w:val="center"/>
          </w:tcPr>
          <w:p w14:paraId="51A2F3CF">
            <w:pPr>
              <w:jc w:val="center"/>
              <w:rPr>
                <w:rFonts w:hint="eastAsia" w:ascii="仿宋" w:hAnsi="仿宋" w:eastAsia="仿宋" w:cs="仿宋"/>
                <w:i w:val="0"/>
                <w:iCs w:val="0"/>
                <w:color w:val="auto"/>
                <w:sz w:val="18"/>
                <w:szCs w:val="18"/>
                <w:highlight w:val="none"/>
                <w:u w:val="none"/>
              </w:rPr>
            </w:pPr>
          </w:p>
        </w:tc>
      </w:tr>
      <w:tr w14:paraId="3EF2D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2498F8">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0E2AF044">
            <w:pPr>
              <w:jc w:val="center"/>
              <w:rPr>
                <w:rFonts w:hint="eastAsia" w:ascii="仿宋" w:hAnsi="仿宋" w:eastAsia="仿宋" w:cs="仿宋"/>
                <w:i w:val="0"/>
                <w:iCs w:val="0"/>
                <w:color w:val="auto"/>
                <w:sz w:val="18"/>
                <w:szCs w:val="18"/>
                <w:highlight w:val="none"/>
                <w:u w:val="none"/>
              </w:rPr>
            </w:pPr>
          </w:p>
        </w:tc>
        <w:tc>
          <w:tcPr>
            <w:tcW w:w="576" w:type="dxa"/>
            <w:vMerge w:val="restart"/>
            <w:tcBorders>
              <w:top w:val="nil"/>
              <w:left w:val="single" w:color="000000" w:sz="4" w:space="0"/>
              <w:bottom w:val="single" w:color="000000" w:sz="4" w:space="0"/>
              <w:right w:val="single" w:color="000000" w:sz="4" w:space="0"/>
            </w:tcBorders>
            <w:shd w:val="clear" w:color="auto" w:fill="auto"/>
            <w:noWrap/>
            <w:vAlign w:val="center"/>
          </w:tcPr>
          <w:p w14:paraId="269D466E">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5</w:t>
            </w:r>
          </w:p>
        </w:tc>
        <w:tc>
          <w:tcPr>
            <w:tcW w:w="2320" w:type="dxa"/>
            <w:vMerge w:val="restart"/>
            <w:tcBorders>
              <w:top w:val="nil"/>
              <w:left w:val="single" w:color="000000" w:sz="4" w:space="0"/>
              <w:bottom w:val="single" w:color="000000" w:sz="4" w:space="0"/>
              <w:right w:val="single" w:color="000000" w:sz="4" w:space="0"/>
            </w:tcBorders>
            <w:shd w:val="clear" w:color="auto" w:fill="auto"/>
            <w:vAlign w:val="center"/>
          </w:tcPr>
          <w:p w14:paraId="3A2A66C3">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及时分类转运中转房垃圾进行无害化处置，做到日产日清无积存(有害垃圾和可回收物统一归集)，保持中转房垃圾设施完好、环境整洁；清理垃圾清运后中转房内及周边环境的卫生保洁和中转房定期(5、15、25号)卫生消杀、污水的及时处置并做好记载；做好街道易腐垃圾处置中心的正常运行和卫生消杀、污水处置等。</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4535F">
            <w:pPr>
              <w:keepNext w:val="0"/>
              <w:keepLines w:val="0"/>
              <w:widowControl/>
              <w:suppressLineNumbers w:val="0"/>
              <w:jc w:val="both"/>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1、中转房垃圾转运未日产日清的（3桶以上）有一次扣 0.5分。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5EBA5">
            <w:pPr>
              <w:jc w:val="both"/>
              <w:rPr>
                <w:rFonts w:hint="eastAsia" w:ascii="仿宋" w:hAnsi="仿宋" w:eastAsia="仿宋" w:cs="仿宋"/>
                <w:i w:val="0"/>
                <w:iCs w:val="0"/>
                <w:color w:val="auto"/>
                <w:sz w:val="18"/>
                <w:szCs w:val="18"/>
                <w:highlight w:val="none"/>
                <w:u w:val="none"/>
              </w:rPr>
            </w:pPr>
          </w:p>
        </w:tc>
        <w:tc>
          <w:tcPr>
            <w:tcW w:w="731" w:type="dxa"/>
            <w:gridSpan w:val="2"/>
            <w:vMerge w:val="restart"/>
            <w:tcBorders>
              <w:top w:val="nil"/>
              <w:left w:val="single" w:color="000000" w:sz="4" w:space="0"/>
              <w:bottom w:val="single" w:color="000000" w:sz="4" w:space="0"/>
              <w:right w:val="single" w:color="000000" w:sz="4" w:space="0"/>
            </w:tcBorders>
            <w:shd w:val="clear" w:color="auto" w:fill="auto"/>
            <w:noWrap/>
            <w:vAlign w:val="center"/>
          </w:tcPr>
          <w:p w14:paraId="0B913F7E">
            <w:pPr>
              <w:jc w:val="center"/>
              <w:rPr>
                <w:rFonts w:hint="eastAsia" w:ascii="仿宋" w:hAnsi="仿宋" w:eastAsia="仿宋" w:cs="仿宋"/>
                <w:i w:val="0"/>
                <w:iCs w:val="0"/>
                <w:color w:val="auto"/>
                <w:sz w:val="18"/>
                <w:szCs w:val="18"/>
                <w:highlight w:val="none"/>
                <w:u w:val="none"/>
              </w:rPr>
            </w:pPr>
          </w:p>
        </w:tc>
      </w:tr>
      <w:tr w14:paraId="4C86C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39A941">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2B3D7553">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435BF303">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nil"/>
              <w:left w:val="single" w:color="000000" w:sz="4" w:space="0"/>
              <w:bottom w:val="single" w:color="000000" w:sz="4" w:space="0"/>
              <w:right w:val="single" w:color="000000" w:sz="4" w:space="0"/>
            </w:tcBorders>
            <w:shd w:val="clear" w:color="auto" w:fill="auto"/>
            <w:vAlign w:val="center"/>
          </w:tcPr>
          <w:p w14:paraId="02363206">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6FC08">
            <w:pPr>
              <w:keepNext w:val="0"/>
              <w:keepLines w:val="0"/>
              <w:widowControl/>
              <w:suppressLineNumbers w:val="0"/>
              <w:jc w:val="both"/>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2、中转房内桶外垃圾及中转房周边散失垃圾未清理的有一次扣 0.2分。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94176">
            <w:pPr>
              <w:jc w:val="both"/>
              <w:rPr>
                <w:rFonts w:hint="eastAsia" w:ascii="仿宋" w:hAnsi="仿宋" w:eastAsia="仿宋" w:cs="仿宋"/>
                <w:i w:val="0"/>
                <w:iCs w:val="0"/>
                <w:color w:val="auto"/>
                <w:sz w:val="18"/>
                <w:szCs w:val="18"/>
                <w:highlight w:val="none"/>
                <w:u w:val="none"/>
              </w:rPr>
            </w:pPr>
          </w:p>
        </w:tc>
        <w:tc>
          <w:tcPr>
            <w:tcW w:w="731" w:type="dxa"/>
            <w:gridSpan w:val="2"/>
            <w:vMerge w:val="continue"/>
            <w:tcBorders>
              <w:top w:val="nil"/>
              <w:left w:val="single" w:color="000000" w:sz="4" w:space="0"/>
              <w:bottom w:val="single" w:color="000000" w:sz="4" w:space="0"/>
              <w:right w:val="single" w:color="000000" w:sz="4" w:space="0"/>
            </w:tcBorders>
            <w:shd w:val="clear" w:color="auto" w:fill="auto"/>
            <w:noWrap/>
            <w:vAlign w:val="center"/>
          </w:tcPr>
          <w:p w14:paraId="05D9A34B">
            <w:pPr>
              <w:jc w:val="center"/>
              <w:rPr>
                <w:rFonts w:hint="eastAsia" w:ascii="仿宋" w:hAnsi="仿宋" w:eastAsia="仿宋" w:cs="仿宋"/>
                <w:i w:val="0"/>
                <w:iCs w:val="0"/>
                <w:color w:val="auto"/>
                <w:sz w:val="18"/>
                <w:szCs w:val="18"/>
                <w:highlight w:val="none"/>
                <w:u w:val="none"/>
              </w:rPr>
            </w:pPr>
          </w:p>
        </w:tc>
      </w:tr>
      <w:tr w14:paraId="55C3D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4C789A">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0B969C0E">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6DB40520">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nil"/>
              <w:left w:val="single" w:color="000000" w:sz="4" w:space="0"/>
              <w:bottom w:val="single" w:color="000000" w:sz="4" w:space="0"/>
              <w:right w:val="single" w:color="000000" w:sz="4" w:space="0"/>
            </w:tcBorders>
            <w:shd w:val="clear" w:color="auto" w:fill="auto"/>
            <w:vAlign w:val="center"/>
          </w:tcPr>
          <w:p w14:paraId="54C8E72E">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69CD0">
            <w:pPr>
              <w:keepNext w:val="0"/>
              <w:keepLines w:val="0"/>
              <w:widowControl/>
              <w:suppressLineNumbers w:val="0"/>
              <w:jc w:val="both"/>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3、中转房、易腐垃圾处置中心及时卫生消杀和污水处置，并做好记载，少一次扣 0.5分。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74297">
            <w:pPr>
              <w:jc w:val="both"/>
              <w:rPr>
                <w:rFonts w:hint="eastAsia" w:ascii="仿宋" w:hAnsi="仿宋" w:eastAsia="仿宋" w:cs="仿宋"/>
                <w:i w:val="0"/>
                <w:iCs w:val="0"/>
                <w:color w:val="auto"/>
                <w:sz w:val="18"/>
                <w:szCs w:val="18"/>
                <w:highlight w:val="none"/>
                <w:u w:val="none"/>
              </w:rPr>
            </w:pPr>
          </w:p>
        </w:tc>
        <w:tc>
          <w:tcPr>
            <w:tcW w:w="731" w:type="dxa"/>
            <w:gridSpan w:val="2"/>
            <w:vMerge w:val="continue"/>
            <w:tcBorders>
              <w:top w:val="nil"/>
              <w:left w:val="single" w:color="000000" w:sz="4" w:space="0"/>
              <w:bottom w:val="single" w:color="000000" w:sz="4" w:space="0"/>
              <w:right w:val="single" w:color="000000" w:sz="4" w:space="0"/>
            </w:tcBorders>
            <w:shd w:val="clear" w:color="auto" w:fill="auto"/>
            <w:noWrap/>
            <w:vAlign w:val="center"/>
          </w:tcPr>
          <w:p w14:paraId="3F082365">
            <w:pPr>
              <w:jc w:val="center"/>
              <w:rPr>
                <w:rFonts w:hint="eastAsia" w:ascii="仿宋" w:hAnsi="仿宋" w:eastAsia="仿宋" w:cs="仿宋"/>
                <w:i w:val="0"/>
                <w:iCs w:val="0"/>
                <w:color w:val="auto"/>
                <w:sz w:val="18"/>
                <w:szCs w:val="18"/>
                <w:highlight w:val="none"/>
                <w:u w:val="none"/>
              </w:rPr>
            </w:pPr>
          </w:p>
        </w:tc>
      </w:tr>
      <w:tr w14:paraId="04E6A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883474F">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394DA21E">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5A48E6F7">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nil"/>
              <w:left w:val="single" w:color="000000" w:sz="4" w:space="0"/>
              <w:bottom w:val="single" w:color="000000" w:sz="4" w:space="0"/>
              <w:right w:val="single" w:color="000000" w:sz="4" w:space="0"/>
            </w:tcBorders>
            <w:shd w:val="clear" w:color="auto" w:fill="auto"/>
            <w:vAlign w:val="center"/>
          </w:tcPr>
          <w:p w14:paraId="0F2E2087">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994FF">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4、易腐垃圾处置中心无故不运行的有一次扣 3分（特殊原因提供书面说明）</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83CC">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nil"/>
              <w:left w:val="single" w:color="000000" w:sz="4" w:space="0"/>
              <w:bottom w:val="single" w:color="000000" w:sz="4" w:space="0"/>
              <w:right w:val="single" w:color="000000" w:sz="4" w:space="0"/>
            </w:tcBorders>
            <w:shd w:val="clear" w:color="auto" w:fill="auto"/>
            <w:noWrap/>
            <w:vAlign w:val="center"/>
          </w:tcPr>
          <w:p w14:paraId="01C4AA0A">
            <w:pPr>
              <w:jc w:val="center"/>
              <w:rPr>
                <w:rFonts w:hint="eastAsia" w:ascii="仿宋" w:hAnsi="仿宋" w:eastAsia="仿宋" w:cs="仿宋"/>
                <w:i w:val="0"/>
                <w:iCs w:val="0"/>
                <w:color w:val="auto"/>
                <w:sz w:val="18"/>
                <w:szCs w:val="18"/>
                <w:highlight w:val="none"/>
                <w:u w:val="none"/>
              </w:rPr>
            </w:pPr>
          </w:p>
        </w:tc>
      </w:tr>
      <w:tr w14:paraId="0CE82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43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53E653F">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3F0F9B6E">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nil"/>
              <w:left w:val="single" w:color="000000" w:sz="4" w:space="0"/>
              <w:bottom w:val="single" w:color="000000" w:sz="4" w:space="0"/>
              <w:right w:val="single" w:color="000000" w:sz="4" w:space="0"/>
            </w:tcBorders>
            <w:shd w:val="clear" w:color="auto" w:fill="auto"/>
            <w:noWrap/>
            <w:vAlign w:val="center"/>
          </w:tcPr>
          <w:p w14:paraId="14006D03">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nil"/>
              <w:left w:val="single" w:color="000000" w:sz="4" w:space="0"/>
              <w:bottom w:val="single" w:color="000000" w:sz="4" w:space="0"/>
              <w:right w:val="single" w:color="000000" w:sz="4" w:space="0"/>
            </w:tcBorders>
            <w:shd w:val="clear" w:color="auto" w:fill="auto"/>
            <w:vAlign w:val="center"/>
          </w:tcPr>
          <w:p w14:paraId="1821AEFD">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44AD">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5、无易腐垃圾处置量数据的发现一次扣0.2分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3C38">
            <w:pPr>
              <w:jc w:val="left"/>
              <w:rPr>
                <w:rFonts w:hint="eastAsia" w:ascii="仿宋" w:hAnsi="仿宋" w:eastAsia="仿宋" w:cs="仿宋"/>
                <w:i w:val="0"/>
                <w:iCs w:val="0"/>
                <w:color w:val="auto"/>
                <w:sz w:val="18"/>
                <w:szCs w:val="18"/>
                <w:highlight w:val="none"/>
                <w:u w:val="none"/>
              </w:rPr>
            </w:pPr>
          </w:p>
        </w:tc>
        <w:tc>
          <w:tcPr>
            <w:tcW w:w="731" w:type="dxa"/>
            <w:gridSpan w:val="2"/>
            <w:tcBorders>
              <w:top w:val="nil"/>
              <w:left w:val="single" w:color="000000" w:sz="4" w:space="0"/>
              <w:bottom w:val="single" w:color="000000" w:sz="4" w:space="0"/>
              <w:right w:val="single" w:color="000000" w:sz="4" w:space="0"/>
            </w:tcBorders>
            <w:shd w:val="clear" w:color="auto" w:fill="auto"/>
            <w:noWrap/>
            <w:vAlign w:val="center"/>
          </w:tcPr>
          <w:p w14:paraId="2F39F4DA">
            <w:pPr>
              <w:jc w:val="center"/>
              <w:rPr>
                <w:rFonts w:hint="eastAsia" w:ascii="仿宋" w:hAnsi="仿宋" w:eastAsia="仿宋" w:cs="仿宋"/>
                <w:i w:val="0"/>
                <w:iCs w:val="0"/>
                <w:color w:val="auto"/>
                <w:sz w:val="18"/>
                <w:szCs w:val="18"/>
                <w:highlight w:val="none"/>
                <w:u w:val="none"/>
              </w:rPr>
            </w:pPr>
          </w:p>
        </w:tc>
      </w:tr>
      <w:tr w14:paraId="52AC1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restart"/>
            <w:tcBorders>
              <w:top w:val="nil"/>
              <w:left w:val="single" w:color="000000" w:sz="4" w:space="0"/>
              <w:bottom w:val="single" w:color="000000" w:sz="4" w:space="0"/>
              <w:right w:val="single" w:color="000000" w:sz="4" w:space="0"/>
            </w:tcBorders>
            <w:shd w:val="clear" w:color="auto" w:fill="auto"/>
            <w:textDirection w:val="tbRlV"/>
            <w:vAlign w:val="center"/>
          </w:tcPr>
          <w:p w14:paraId="3DB7E415">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承包管护单位</w:t>
            </w:r>
          </w:p>
        </w:tc>
        <w:tc>
          <w:tcPr>
            <w:tcW w:w="1179" w:type="dxa"/>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2E0FC7C">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     河道、绿化管护保洁</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A91B2">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15</w:t>
            </w:r>
          </w:p>
        </w:tc>
        <w:tc>
          <w:tcPr>
            <w:tcW w:w="2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C887C1">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 3-4级河道水面清洁，做到无漂浮垃圾，无水花生/水浮萍/游丝草/水葫芦/大面积青苔等不良水生植物。（1-2级河水面县管）。</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6B493">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1、水面漂浮垃圾、水花生、游丝草、水葫芦（2㎡）及大面积青苔未处置的有一处扣 0.2 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31E8F">
            <w:pPr>
              <w:jc w:val="left"/>
              <w:rPr>
                <w:rFonts w:hint="eastAsia" w:ascii="仿宋" w:hAnsi="仿宋" w:eastAsia="仿宋" w:cs="仿宋"/>
                <w:i w:val="0"/>
                <w:iCs w:val="0"/>
                <w:color w:val="auto"/>
                <w:sz w:val="18"/>
                <w:szCs w:val="18"/>
                <w:highlight w:val="none"/>
                <w:u w:val="none"/>
              </w:rPr>
            </w:pPr>
          </w:p>
        </w:tc>
        <w:tc>
          <w:tcPr>
            <w:tcW w:w="73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C75E2">
            <w:pPr>
              <w:jc w:val="center"/>
              <w:rPr>
                <w:rFonts w:hint="eastAsia" w:ascii="仿宋" w:hAnsi="仿宋" w:eastAsia="仿宋" w:cs="仿宋"/>
                <w:i w:val="0"/>
                <w:iCs w:val="0"/>
                <w:color w:val="auto"/>
                <w:sz w:val="18"/>
                <w:szCs w:val="18"/>
                <w:highlight w:val="none"/>
                <w:u w:val="none"/>
              </w:rPr>
            </w:pPr>
          </w:p>
        </w:tc>
      </w:tr>
      <w:tr w14:paraId="5062F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5A454A80">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CAA34EE">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4BB1D">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A0098">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6F178">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2、</w:t>
            </w:r>
            <w:r>
              <w:rPr>
                <w:rStyle w:val="252"/>
                <w:rFonts w:hint="eastAsia" w:ascii="仿宋" w:hAnsi="仿宋" w:eastAsia="仿宋" w:cs="仿宋"/>
                <w:color w:val="auto"/>
                <w:highlight w:val="none"/>
                <w:lang w:val="en-US" w:eastAsia="zh-CN" w:bidi="ar"/>
              </w:rPr>
              <w:t>水面水浮萍100米以下封河的扣 0.2分；100-200米封河的扣1分；超过50%水面以上封河的扣 5 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417D">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CD508">
            <w:pPr>
              <w:jc w:val="center"/>
              <w:rPr>
                <w:rFonts w:hint="eastAsia" w:ascii="仿宋" w:hAnsi="仿宋" w:eastAsia="仿宋" w:cs="仿宋"/>
                <w:i w:val="0"/>
                <w:iCs w:val="0"/>
                <w:color w:val="auto"/>
                <w:sz w:val="18"/>
                <w:szCs w:val="18"/>
                <w:highlight w:val="none"/>
                <w:u w:val="none"/>
              </w:rPr>
            </w:pPr>
          </w:p>
        </w:tc>
      </w:tr>
      <w:tr w14:paraId="1F961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7D03427F">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7D8B038">
            <w:pPr>
              <w:jc w:val="center"/>
              <w:rPr>
                <w:rFonts w:hint="eastAsia" w:ascii="仿宋" w:hAnsi="仿宋" w:eastAsia="仿宋" w:cs="仿宋"/>
                <w:i w:val="0"/>
                <w:iCs w:val="0"/>
                <w:color w:val="auto"/>
                <w:sz w:val="18"/>
                <w:szCs w:val="18"/>
                <w:highlight w:val="none"/>
                <w:u w:val="none"/>
              </w:rPr>
            </w:pP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57BBC">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7</w:t>
            </w:r>
          </w:p>
        </w:tc>
        <w:tc>
          <w:tcPr>
            <w:tcW w:w="2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06765A">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河道绿化的日常管护；河坡垃圾、堆积零星杂物清理；每年四季度对3-4级河道的枯萎芦苇、茭白、芦竹、杂树木、加拿大一枝黄花等高杆植物清除清运并处置；拔除河坡种植的草坪内杂草，保持草坪不高于15厘米（严禁喷洒除草剂），杂草不得留置河道、道路、桥梁、水下范围；河坡农作物种植的配合处置。</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C268E">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1、河道绿化未修剪、倒伏、树上蔓藤攀爬未处理的有一处扣 0.2 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098B8">
            <w:pPr>
              <w:jc w:val="left"/>
              <w:rPr>
                <w:rFonts w:hint="eastAsia" w:ascii="仿宋" w:hAnsi="仿宋" w:eastAsia="仿宋" w:cs="仿宋"/>
                <w:i w:val="0"/>
                <w:iCs w:val="0"/>
                <w:color w:val="auto"/>
                <w:sz w:val="18"/>
                <w:szCs w:val="18"/>
                <w:highlight w:val="none"/>
                <w:u w:val="none"/>
              </w:rPr>
            </w:pPr>
          </w:p>
        </w:tc>
        <w:tc>
          <w:tcPr>
            <w:tcW w:w="731" w:type="dxa"/>
            <w:gridSpan w:val="2"/>
            <w:vMerge w:val="restart"/>
            <w:tcBorders>
              <w:top w:val="nil"/>
              <w:left w:val="single" w:color="000000" w:sz="4" w:space="0"/>
              <w:bottom w:val="nil"/>
              <w:right w:val="single" w:color="000000" w:sz="4" w:space="0"/>
            </w:tcBorders>
            <w:shd w:val="clear" w:color="auto" w:fill="auto"/>
            <w:noWrap/>
            <w:vAlign w:val="center"/>
          </w:tcPr>
          <w:p w14:paraId="7657CCBE">
            <w:pPr>
              <w:jc w:val="center"/>
              <w:rPr>
                <w:rFonts w:hint="eastAsia" w:ascii="仿宋" w:hAnsi="仿宋" w:eastAsia="仿宋" w:cs="仿宋"/>
                <w:i w:val="0"/>
                <w:iCs w:val="0"/>
                <w:color w:val="auto"/>
                <w:sz w:val="18"/>
                <w:szCs w:val="18"/>
                <w:highlight w:val="none"/>
                <w:u w:val="none"/>
              </w:rPr>
            </w:pPr>
          </w:p>
        </w:tc>
      </w:tr>
      <w:tr w14:paraId="4A991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44B31570">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A9994C3">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6848B">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01B1C">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14454">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2、河坡散失垃圾、零星杂物堆积(1㎡以上)未清理的有一处扣 0.2分。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E5E06">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nil"/>
              <w:left w:val="single" w:color="000000" w:sz="4" w:space="0"/>
              <w:bottom w:val="nil"/>
              <w:right w:val="single" w:color="000000" w:sz="4" w:space="0"/>
            </w:tcBorders>
            <w:shd w:val="clear" w:color="auto" w:fill="auto"/>
            <w:noWrap/>
            <w:vAlign w:val="center"/>
          </w:tcPr>
          <w:p w14:paraId="5D0B58FE">
            <w:pPr>
              <w:jc w:val="center"/>
              <w:rPr>
                <w:rFonts w:hint="eastAsia" w:ascii="仿宋" w:hAnsi="仿宋" w:eastAsia="仿宋" w:cs="仿宋"/>
                <w:i w:val="0"/>
                <w:iCs w:val="0"/>
                <w:color w:val="auto"/>
                <w:sz w:val="18"/>
                <w:szCs w:val="18"/>
                <w:highlight w:val="none"/>
                <w:u w:val="none"/>
              </w:rPr>
            </w:pPr>
          </w:p>
        </w:tc>
      </w:tr>
      <w:tr w14:paraId="30AF7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14EB35B8">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AA89616">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5BDEF">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30381">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B11F">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lang w:val="en-US" w:eastAsia="zh-CN" w:bidi="ar-SA"/>
              </w:rPr>
            </w:pPr>
            <w:r>
              <w:rPr>
                <w:rFonts w:hint="eastAsia" w:ascii="仿宋" w:hAnsi="仿宋" w:eastAsia="仿宋" w:cs="仿宋"/>
                <w:i w:val="0"/>
                <w:iCs w:val="0"/>
                <w:color w:val="auto"/>
                <w:kern w:val="0"/>
                <w:sz w:val="18"/>
                <w:szCs w:val="18"/>
                <w:highlight w:val="none"/>
                <w:u w:val="none"/>
                <w:lang w:val="en-US" w:eastAsia="zh-CN" w:bidi="ar"/>
              </w:rPr>
              <w:t>3、四季度未对河道枯萎芦苇、茭白、芦竹、加拿大一枝黄花、枯死树木等高杆植物清除的有一条河扣 1 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2318D">
            <w:pPr>
              <w:rPr>
                <w:rFonts w:hint="eastAsia" w:ascii="仿宋" w:hAnsi="仿宋" w:eastAsia="仿宋" w:cs="仿宋"/>
                <w:i w:val="0"/>
                <w:iCs w:val="0"/>
                <w:color w:val="auto"/>
                <w:sz w:val="18"/>
                <w:szCs w:val="18"/>
                <w:highlight w:val="none"/>
                <w:u w:val="none"/>
              </w:rPr>
            </w:pPr>
          </w:p>
        </w:tc>
        <w:tc>
          <w:tcPr>
            <w:tcW w:w="731" w:type="dxa"/>
            <w:gridSpan w:val="2"/>
            <w:vMerge w:val="continue"/>
            <w:tcBorders>
              <w:top w:val="nil"/>
              <w:left w:val="single" w:color="000000" w:sz="4" w:space="0"/>
              <w:bottom w:val="nil"/>
              <w:right w:val="single" w:color="000000" w:sz="4" w:space="0"/>
            </w:tcBorders>
            <w:shd w:val="clear" w:color="auto" w:fill="auto"/>
            <w:noWrap/>
            <w:vAlign w:val="center"/>
          </w:tcPr>
          <w:p w14:paraId="03891B27">
            <w:pPr>
              <w:jc w:val="center"/>
              <w:rPr>
                <w:rFonts w:hint="eastAsia" w:ascii="仿宋" w:hAnsi="仿宋" w:eastAsia="仿宋" w:cs="仿宋"/>
                <w:i w:val="0"/>
                <w:iCs w:val="0"/>
                <w:color w:val="auto"/>
                <w:sz w:val="18"/>
                <w:szCs w:val="18"/>
                <w:highlight w:val="none"/>
                <w:u w:val="none"/>
              </w:rPr>
            </w:pPr>
          </w:p>
        </w:tc>
      </w:tr>
      <w:tr w14:paraId="74C1B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6230301E">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D517577">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84EE6">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0CD9A">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8CA9A">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4、河坡种植草坪内杂草未拔除、草坪高于15厘米的每50米扣 0.5分。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16F6B">
            <w:pPr>
              <w:rPr>
                <w:rFonts w:hint="eastAsia" w:ascii="仿宋" w:hAnsi="仿宋" w:eastAsia="仿宋" w:cs="仿宋"/>
                <w:i w:val="0"/>
                <w:iCs w:val="0"/>
                <w:color w:val="auto"/>
                <w:sz w:val="18"/>
                <w:szCs w:val="18"/>
                <w:highlight w:val="none"/>
                <w:u w:val="none"/>
              </w:rPr>
            </w:pPr>
          </w:p>
        </w:tc>
        <w:tc>
          <w:tcPr>
            <w:tcW w:w="731" w:type="dxa"/>
            <w:gridSpan w:val="2"/>
            <w:vMerge w:val="continue"/>
            <w:tcBorders>
              <w:top w:val="nil"/>
              <w:left w:val="single" w:color="000000" w:sz="4" w:space="0"/>
              <w:bottom w:val="nil"/>
              <w:right w:val="single" w:color="000000" w:sz="4" w:space="0"/>
            </w:tcBorders>
            <w:shd w:val="clear" w:color="auto" w:fill="auto"/>
            <w:noWrap/>
            <w:vAlign w:val="center"/>
          </w:tcPr>
          <w:p w14:paraId="0C7B3808">
            <w:pPr>
              <w:jc w:val="center"/>
              <w:rPr>
                <w:rFonts w:hint="eastAsia" w:ascii="仿宋" w:hAnsi="仿宋" w:eastAsia="仿宋" w:cs="仿宋"/>
                <w:i w:val="0"/>
                <w:iCs w:val="0"/>
                <w:color w:val="auto"/>
                <w:sz w:val="18"/>
                <w:szCs w:val="18"/>
                <w:highlight w:val="none"/>
                <w:u w:val="none"/>
              </w:rPr>
            </w:pPr>
          </w:p>
        </w:tc>
      </w:tr>
      <w:tr w14:paraId="2C69C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1A304396">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D8A657F">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31A23">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51074">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C6013">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5、清除的高杆植物未清运处置的有一条河扣 1分。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63AE7">
            <w:pPr>
              <w:rPr>
                <w:rFonts w:hint="eastAsia" w:ascii="仿宋" w:hAnsi="仿宋" w:eastAsia="仿宋" w:cs="仿宋"/>
                <w:i w:val="0"/>
                <w:iCs w:val="0"/>
                <w:color w:val="auto"/>
                <w:sz w:val="18"/>
                <w:szCs w:val="18"/>
                <w:highlight w:val="none"/>
                <w:u w:val="none"/>
              </w:rPr>
            </w:pPr>
          </w:p>
        </w:tc>
        <w:tc>
          <w:tcPr>
            <w:tcW w:w="731" w:type="dxa"/>
            <w:gridSpan w:val="2"/>
            <w:vMerge w:val="continue"/>
            <w:tcBorders>
              <w:top w:val="nil"/>
              <w:left w:val="single" w:color="000000" w:sz="4" w:space="0"/>
              <w:bottom w:val="nil"/>
              <w:right w:val="single" w:color="000000" w:sz="4" w:space="0"/>
            </w:tcBorders>
            <w:shd w:val="clear" w:color="auto" w:fill="auto"/>
            <w:noWrap/>
            <w:vAlign w:val="center"/>
          </w:tcPr>
          <w:p w14:paraId="6DAF80F5">
            <w:pPr>
              <w:jc w:val="center"/>
              <w:rPr>
                <w:rFonts w:hint="eastAsia" w:ascii="仿宋" w:hAnsi="仿宋" w:eastAsia="仿宋" w:cs="仿宋"/>
                <w:i w:val="0"/>
                <w:iCs w:val="0"/>
                <w:color w:val="auto"/>
                <w:sz w:val="18"/>
                <w:szCs w:val="18"/>
                <w:highlight w:val="none"/>
                <w:u w:val="none"/>
              </w:rPr>
            </w:pPr>
          </w:p>
        </w:tc>
      </w:tr>
      <w:tr w14:paraId="64B51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2EC165C7">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3EE7113">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98BA9">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FBA5E">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F705A">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6、未配合村对河坡农作物种植处置的一次扣 0.5分。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00CEA">
            <w:pPr>
              <w:rPr>
                <w:rFonts w:hint="eastAsia" w:ascii="仿宋" w:hAnsi="仿宋" w:eastAsia="仿宋" w:cs="仿宋"/>
                <w:i w:val="0"/>
                <w:iCs w:val="0"/>
                <w:color w:val="auto"/>
                <w:sz w:val="18"/>
                <w:szCs w:val="18"/>
                <w:highlight w:val="none"/>
                <w:u w:val="none"/>
              </w:rPr>
            </w:pPr>
          </w:p>
        </w:tc>
        <w:tc>
          <w:tcPr>
            <w:tcW w:w="731" w:type="dxa"/>
            <w:gridSpan w:val="2"/>
            <w:vMerge w:val="continue"/>
            <w:tcBorders>
              <w:top w:val="nil"/>
              <w:left w:val="single" w:color="000000" w:sz="4" w:space="0"/>
              <w:bottom w:val="nil"/>
              <w:right w:val="single" w:color="000000" w:sz="4" w:space="0"/>
            </w:tcBorders>
            <w:shd w:val="clear" w:color="auto" w:fill="auto"/>
            <w:noWrap/>
            <w:vAlign w:val="center"/>
          </w:tcPr>
          <w:p w14:paraId="5F648EEA">
            <w:pPr>
              <w:jc w:val="center"/>
              <w:rPr>
                <w:rFonts w:hint="eastAsia" w:ascii="仿宋" w:hAnsi="仿宋" w:eastAsia="仿宋" w:cs="仿宋"/>
                <w:i w:val="0"/>
                <w:iCs w:val="0"/>
                <w:color w:val="auto"/>
                <w:sz w:val="18"/>
                <w:szCs w:val="18"/>
                <w:highlight w:val="none"/>
                <w:u w:val="none"/>
              </w:rPr>
            </w:pPr>
          </w:p>
        </w:tc>
      </w:tr>
      <w:tr w14:paraId="03866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25BE4A47">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3F9DD2F">
            <w:pPr>
              <w:jc w:val="center"/>
              <w:rPr>
                <w:rFonts w:hint="eastAsia" w:ascii="仿宋" w:hAnsi="仿宋" w:eastAsia="仿宋" w:cs="仿宋"/>
                <w:i w:val="0"/>
                <w:iCs w:val="0"/>
                <w:color w:val="auto"/>
                <w:sz w:val="18"/>
                <w:szCs w:val="18"/>
                <w:highlight w:val="none"/>
                <w:u w:val="none"/>
              </w:rPr>
            </w:pP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21A2">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3</w:t>
            </w:r>
          </w:p>
        </w:tc>
        <w:tc>
          <w:tcPr>
            <w:tcW w:w="2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43A55D">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乡村公路两侧顺路沟塘按三、四级河道日常保洁要求进行长效管护，其它沿路沟塘做到视野范围内散失生活垃圾及时捡拾。</w:t>
            </w: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3E71D">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1、路边沟塘漂浮垃圾、河坡堆积零星杂物未清理的有一处扣 0.2分。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ABF9D">
            <w:pPr>
              <w:rPr>
                <w:rFonts w:hint="eastAsia" w:ascii="仿宋" w:hAnsi="仿宋" w:eastAsia="仿宋" w:cs="仿宋"/>
                <w:i w:val="0"/>
                <w:iCs w:val="0"/>
                <w:color w:val="auto"/>
                <w:sz w:val="18"/>
                <w:szCs w:val="18"/>
                <w:highlight w:val="none"/>
                <w:u w:val="none"/>
              </w:rPr>
            </w:pPr>
          </w:p>
        </w:tc>
        <w:tc>
          <w:tcPr>
            <w:tcW w:w="731" w:type="dxa"/>
            <w:gridSpan w:val="2"/>
            <w:vMerge w:val="restart"/>
            <w:tcBorders>
              <w:top w:val="single" w:color="000000" w:sz="4" w:space="0"/>
              <w:left w:val="single" w:color="000000" w:sz="4" w:space="0"/>
              <w:bottom w:val="nil"/>
              <w:right w:val="single" w:color="000000" w:sz="4" w:space="0"/>
            </w:tcBorders>
            <w:shd w:val="clear" w:color="auto" w:fill="auto"/>
            <w:noWrap/>
            <w:vAlign w:val="center"/>
          </w:tcPr>
          <w:p w14:paraId="7BA46392">
            <w:pPr>
              <w:jc w:val="center"/>
              <w:rPr>
                <w:rFonts w:hint="eastAsia" w:ascii="仿宋" w:hAnsi="仿宋" w:eastAsia="仿宋" w:cs="仿宋"/>
                <w:i w:val="0"/>
                <w:iCs w:val="0"/>
                <w:color w:val="auto"/>
                <w:sz w:val="18"/>
                <w:szCs w:val="18"/>
                <w:highlight w:val="none"/>
                <w:u w:val="none"/>
              </w:rPr>
            </w:pPr>
          </w:p>
        </w:tc>
      </w:tr>
      <w:tr w14:paraId="151FA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7BD43CD3">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35002B6">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3AD4F">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952C4">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F44F9">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lang w:val="en-US" w:eastAsia="zh-CN" w:bidi="ar-SA"/>
              </w:rPr>
            </w:pPr>
            <w:r>
              <w:rPr>
                <w:rFonts w:hint="eastAsia" w:ascii="仿宋" w:hAnsi="仿宋" w:eastAsia="仿宋" w:cs="仿宋"/>
                <w:i w:val="0"/>
                <w:iCs w:val="0"/>
                <w:color w:val="auto"/>
                <w:kern w:val="0"/>
                <w:sz w:val="18"/>
                <w:szCs w:val="18"/>
                <w:highlight w:val="none"/>
                <w:u w:val="none"/>
                <w:lang w:val="en-US" w:eastAsia="zh-CN" w:bidi="ar"/>
              </w:rPr>
              <w:t>2、整治沟塘栽种的绿化未修剪、倒伏、树上蔓藤攀爬未处理的每50米扣 0.2 分。</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87EF0">
            <w:pPr>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nil"/>
              <w:right w:val="single" w:color="000000" w:sz="4" w:space="0"/>
            </w:tcBorders>
            <w:shd w:val="clear" w:color="auto" w:fill="auto"/>
            <w:noWrap/>
            <w:vAlign w:val="center"/>
          </w:tcPr>
          <w:p w14:paraId="1A03C779">
            <w:pPr>
              <w:jc w:val="center"/>
              <w:rPr>
                <w:rFonts w:hint="eastAsia" w:ascii="仿宋" w:hAnsi="仿宋" w:eastAsia="仿宋" w:cs="仿宋"/>
                <w:i w:val="0"/>
                <w:iCs w:val="0"/>
                <w:color w:val="auto"/>
                <w:sz w:val="18"/>
                <w:szCs w:val="18"/>
                <w:highlight w:val="none"/>
                <w:u w:val="none"/>
              </w:rPr>
            </w:pPr>
          </w:p>
        </w:tc>
      </w:tr>
      <w:tr w14:paraId="0C605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36BE4341">
            <w:pPr>
              <w:jc w:val="center"/>
              <w:rPr>
                <w:rFonts w:hint="eastAsia" w:ascii="仿宋" w:hAnsi="仿宋" w:eastAsia="仿宋" w:cs="仿宋"/>
                <w:i w:val="0"/>
                <w:iCs w:val="0"/>
                <w:color w:val="auto"/>
                <w:sz w:val="18"/>
                <w:szCs w:val="18"/>
                <w:highlight w:val="none"/>
                <w:u w:val="none"/>
              </w:rPr>
            </w:pPr>
          </w:p>
        </w:tc>
        <w:tc>
          <w:tcPr>
            <w:tcW w:w="117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C3A963">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农作物秸杆、建筑垃圾清理</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B336D">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10</w:t>
            </w:r>
          </w:p>
        </w:tc>
        <w:tc>
          <w:tcPr>
            <w:tcW w:w="2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7E3E77">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城中街道七个行政村区域内，夏秋两季各村所有定点位置的农作物秸杆及一年四季瓜、豆类蔓藤和建筑垃圾等及时清理，由乙方进行无害化处置。</w:t>
            </w:r>
          </w:p>
        </w:tc>
        <w:tc>
          <w:tcPr>
            <w:tcW w:w="4070" w:type="dxa"/>
            <w:tcBorders>
              <w:top w:val="single" w:color="000000" w:sz="4" w:space="0"/>
              <w:left w:val="nil"/>
              <w:bottom w:val="single" w:color="000000" w:sz="4" w:space="0"/>
              <w:right w:val="single" w:color="000000" w:sz="4" w:space="0"/>
            </w:tcBorders>
            <w:shd w:val="clear" w:color="auto" w:fill="auto"/>
            <w:vAlign w:val="center"/>
          </w:tcPr>
          <w:p w14:paraId="44452708">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1、各村定点位置的堆积农作物秸杆未及时清理的有一处扣 0.2 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3A1C6">
            <w:pPr>
              <w:rPr>
                <w:rFonts w:hint="eastAsia" w:ascii="仿宋" w:hAnsi="仿宋" w:eastAsia="仿宋" w:cs="仿宋"/>
                <w:i w:val="0"/>
                <w:iCs w:val="0"/>
                <w:color w:val="auto"/>
                <w:sz w:val="18"/>
                <w:szCs w:val="18"/>
                <w:highlight w:val="none"/>
                <w:u w:val="none"/>
              </w:rPr>
            </w:pPr>
          </w:p>
        </w:tc>
        <w:tc>
          <w:tcPr>
            <w:tcW w:w="731" w:type="dxa"/>
            <w:gridSpan w:val="2"/>
            <w:vMerge w:val="restart"/>
            <w:tcBorders>
              <w:top w:val="single" w:color="000000" w:sz="4" w:space="0"/>
              <w:left w:val="single" w:color="000000" w:sz="4" w:space="0"/>
              <w:bottom w:val="nil"/>
              <w:right w:val="single" w:color="000000" w:sz="4" w:space="0"/>
            </w:tcBorders>
            <w:shd w:val="clear" w:color="auto" w:fill="auto"/>
            <w:noWrap/>
            <w:vAlign w:val="center"/>
          </w:tcPr>
          <w:p w14:paraId="03FFC300">
            <w:pPr>
              <w:jc w:val="center"/>
              <w:rPr>
                <w:rFonts w:hint="eastAsia" w:ascii="仿宋" w:hAnsi="仿宋" w:eastAsia="仿宋" w:cs="仿宋"/>
                <w:i w:val="0"/>
                <w:iCs w:val="0"/>
                <w:color w:val="auto"/>
                <w:sz w:val="18"/>
                <w:szCs w:val="18"/>
                <w:highlight w:val="none"/>
                <w:u w:val="none"/>
              </w:rPr>
            </w:pPr>
          </w:p>
        </w:tc>
      </w:tr>
      <w:tr w14:paraId="68B93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6"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6DD9E28C">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3CD927">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5EE27">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DA1F9">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nil"/>
              <w:bottom w:val="single" w:color="000000" w:sz="4" w:space="0"/>
              <w:right w:val="single" w:color="000000" w:sz="4" w:space="0"/>
            </w:tcBorders>
            <w:shd w:val="clear" w:color="auto" w:fill="auto"/>
            <w:vAlign w:val="center"/>
          </w:tcPr>
          <w:p w14:paraId="5F524569">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2、各村定点位置的建筑垃圾堆积未及时清理的有一处扣 0.2分。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F2BF9">
            <w:pPr>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nil"/>
              <w:right w:val="single" w:color="000000" w:sz="4" w:space="0"/>
            </w:tcBorders>
            <w:shd w:val="clear" w:color="auto" w:fill="auto"/>
            <w:noWrap/>
            <w:vAlign w:val="center"/>
          </w:tcPr>
          <w:p w14:paraId="7B870F38">
            <w:pPr>
              <w:jc w:val="center"/>
              <w:rPr>
                <w:rFonts w:hint="eastAsia" w:ascii="仿宋" w:hAnsi="仿宋" w:eastAsia="仿宋" w:cs="仿宋"/>
                <w:i w:val="0"/>
                <w:iCs w:val="0"/>
                <w:color w:val="auto"/>
                <w:sz w:val="18"/>
                <w:szCs w:val="18"/>
                <w:highlight w:val="none"/>
                <w:u w:val="none"/>
              </w:rPr>
            </w:pPr>
          </w:p>
        </w:tc>
      </w:tr>
      <w:tr w14:paraId="38646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406AF362">
            <w:pPr>
              <w:jc w:val="center"/>
              <w:rPr>
                <w:rFonts w:hint="eastAsia" w:ascii="仿宋" w:hAnsi="仿宋" w:eastAsia="仿宋" w:cs="仿宋"/>
                <w:i w:val="0"/>
                <w:iCs w:val="0"/>
                <w:color w:val="auto"/>
                <w:sz w:val="18"/>
                <w:szCs w:val="18"/>
                <w:highlight w:val="none"/>
                <w:u w:val="none"/>
              </w:rPr>
            </w:pPr>
          </w:p>
        </w:tc>
        <w:tc>
          <w:tcPr>
            <w:tcW w:w="1179" w:type="dxa"/>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1B051DC">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其它事件保障</w:t>
            </w: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8EBEA">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10</w:t>
            </w:r>
          </w:p>
        </w:tc>
        <w:tc>
          <w:tcPr>
            <w:tcW w:w="23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6561F1">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lang w:val="en-US"/>
              </w:rPr>
            </w:pPr>
            <w:r>
              <w:rPr>
                <w:rFonts w:hint="eastAsia" w:ascii="仿宋" w:hAnsi="仿宋" w:eastAsia="仿宋" w:cs="仿宋"/>
                <w:i w:val="0"/>
                <w:iCs w:val="0"/>
                <w:color w:val="auto"/>
                <w:kern w:val="0"/>
                <w:sz w:val="18"/>
                <w:szCs w:val="18"/>
                <w:highlight w:val="none"/>
                <w:u w:val="none"/>
                <w:lang w:val="en-US" w:eastAsia="zh-CN" w:bidi="ar"/>
              </w:rPr>
              <w:t>积分制平台的正常运行；突发公共事件、灾害性天气等情形的应急处置；环卫信访件处置；重大活动环境卫生保障；村部周边、公厕、园林景观、泵站及渠道等公共区域的卫生保洁、绿化管护；管理人员工作日保证在岗在位，保持电话畅通。</w:t>
            </w:r>
          </w:p>
        </w:tc>
        <w:tc>
          <w:tcPr>
            <w:tcW w:w="4070" w:type="dxa"/>
            <w:tcBorders>
              <w:top w:val="single" w:color="000000" w:sz="4" w:space="0"/>
              <w:left w:val="nil"/>
              <w:bottom w:val="single" w:color="000000" w:sz="4" w:space="0"/>
              <w:right w:val="single" w:color="000000" w:sz="4" w:space="0"/>
            </w:tcBorders>
            <w:shd w:val="clear" w:color="auto" w:fill="auto"/>
            <w:vAlign w:val="center"/>
          </w:tcPr>
          <w:p w14:paraId="584E782F">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1、积分制平台的未按要求正常运行的扣 5 分。（特殊原因提供书面说明）</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9415">
            <w:pPr>
              <w:rPr>
                <w:rFonts w:hint="eastAsia" w:ascii="仿宋" w:hAnsi="仿宋" w:eastAsia="仿宋" w:cs="仿宋"/>
                <w:i w:val="0"/>
                <w:iCs w:val="0"/>
                <w:color w:val="auto"/>
                <w:sz w:val="18"/>
                <w:szCs w:val="18"/>
                <w:highlight w:val="none"/>
                <w:u w:val="none"/>
              </w:rPr>
            </w:pPr>
          </w:p>
        </w:tc>
        <w:tc>
          <w:tcPr>
            <w:tcW w:w="731" w:type="dxa"/>
            <w:gridSpan w:val="2"/>
            <w:tcBorders>
              <w:top w:val="nil"/>
              <w:left w:val="single" w:color="000000" w:sz="4" w:space="0"/>
              <w:bottom w:val="nil"/>
              <w:right w:val="single" w:color="000000" w:sz="4" w:space="0"/>
            </w:tcBorders>
            <w:shd w:val="clear" w:color="auto" w:fill="auto"/>
            <w:noWrap/>
            <w:vAlign w:val="center"/>
          </w:tcPr>
          <w:p w14:paraId="648E10C1">
            <w:pPr>
              <w:jc w:val="center"/>
              <w:rPr>
                <w:rFonts w:hint="eastAsia" w:ascii="仿宋" w:hAnsi="仿宋" w:eastAsia="仿宋" w:cs="仿宋"/>
                <w:i w:val="0"/>
                <w:iCs w:val="0"/>
                <w:color w:val="auto"/>
                <w:sz w:val="18"/>
                <w:szCs w:val="18"/>
                <w:highlight w:val="none"/>
                <w:u w:val="none"/>
              </w:rPr>
            </w:pPr>
          </w:p>
        </w:tc>
      </w:tr>
      <w:tr w14:paraId="0107A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204BC40C">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3571BB3">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72189">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00ABF">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nil"/>
              <w:bottom w:val="single" w:color="000000" w:sz="4" w:space="0"/>
              <w:right w:val="single" w:color="000000" w:sz="4" w:space="0"/>
            </w:tcBorders>
            <w:shd w:val="clear" w:color="auto" w:fill="auto"/>
            <w:vAlign w:val="center"/>
          </w:tcPr>
          <w:p w14:paraId="32724568">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2、未按时对突发公共事件、环卫信访件处置的有一次扣 1分（造成不良后果的承担相应责任）。</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C99BD">
            <w:pPr>
              <w:rPr>
                <w:rFonts w:hint="eastAsia" w:ascii="仿宋" w:hAnsi="仿宋" w:eastAsia="仿宋" w:cs="仿宋"/>
                <w:i w:val="0"/>
                <w:iCs w:val="0"/>
                <w:color w:val="auto"/>
                <w:sz w:val="18"/>
                <w:szCs w:val="18"/>
                <w:highlight w:val="none"/>
                <w:u w:val="none"/>
              </w:rPr>
            </w:pPr>
          </w:p>
        </w:tc>
        <w:tc>
          <w:tcPr>
            <w:tcW w:w="73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E3EE0">
            <w:pPr>
              <w:jc w:val="center"/>
              <w:rPr>
                <w:rFonts w:hint="eastAsia" w:ascii="仿宋" w:hAnsi="仿宋" w:eastAsia="仿宋" w:cs="仿宋"/>
                <w:i w:val="0"/>
                <w:iCs w:val="0"/>
                <w:color w:val="auto"/>
                <w:sz w:val="18"/>
                <w:szCs w:val="18"/>
                <w:highlight w:val="none"/>
                <w:u w:val="none"/>
              </w:rPr>
            </w:pPr>
          </w:p>
        </w:tc>
      </w:tr>
      <w:tr w14:paraId="2F714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7EE4F8A7">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14E0E3B">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BC324">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53392">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nil"/>
              <w:bottom w:val="single" w:color="000000" w:sz="4" w:space="0"/>
              <w:right w:val="single" w:color="000000" w:sz="4" w:space="0"/>
            </w:tcBorders>
            <w:shd w:val="clear" w:color="auto" w:fill="auto"/>
            <w:vAlign w:val="center"/>
          </w:tcPr>
          <w:p w14:paraId="425BE92B">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3、重大活动保洁任务未及时完成的有一次扣 2分。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BDD1E">
            <w:pPr>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77A55">
            <w:pPr>
              <w:jc w:val="center"/>
              <w:rPr>
                <w:rFonts w:hint="eastAsia" w:ascii="仿宋" w:hAnsi="仿宋" w:eastAsia="仿宋" w:cs="仿宋"/>
                <w:i w:val="0"/>
                <w:iCs w:val="0"/>
                <w:color w:val="auto"/>
                <w:sz w:val="18"/>
                <w:szCs w:val="18"/>
                <w:highlight w:val="none"/>
                <w:u w:val="none"/>
              </w:rPr>
            </w:pPr>
          </w:p>
        </w:tc>
      </w:tr>
      <w:tr w14:paraId="5BCBD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580D953F">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DC6A4D2">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5D297">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3804E">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nil"/>
              <w:bottom w:val="single" w:color="000000" w:sz="4" w:space="0"/>
              <w:right w:val="single" w:color="000000" w:sz="4" w:space="0"/>
            </w:tcBorders>
            <w:shd w:val="clear" w:color="auto" w:fill="auto"/>
            <w:vAlign w:val="center"/>
          </w:tcPr>
          <w:p w14:paraId="1ED8BC10">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4、公共区域的管护、保洁未及时完成，有一次扣 0.5分。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33DFE">
            <w:pPr>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BD07B">
            <w:pPr>
              <w:jc w:val="center"/>
              <w:rPr>
                <w:rFonts w:hint="eastAsia" w:ascii="仿宋" w:hAnsi="仿宋" w:eastAsia="仿宋" w:cs="仿宋"/>
                <w:i w:val="0"/>
                <w:iCs w:val="0"/>
                <w:color w:val="auto"/>
                <w:sz w:val="18"/>
                <w:szCs w:val="18"/>
                <w:highlight w:val="none"/>
                <w:u w:val="none"/>
              </w:rPr>
            </w:pPr>
          </w:p>
        </w:tc>
      </w:tr>
      <w:tr w14:paraId="3D08C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66000E62">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B9D77BA">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63B13">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077D5">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nil"/>
              <w:bottom w:val="single" w:color="000000" w:sz="4" w:space="0"/>
              <w:right w:val="single" w:color="000000" w:sz="4" w:space="0"/>
            </w:tcBorders>
            <w:shd w:val="clear" w:color="auto" w:fill="auto"/>
            <w:vAlign w:val="center"/>
          </w:tcPr>
          <w:p w14:paraId="67B5ED65">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5、灾害性天气等情形的应急处置未到位的有一次扣 2分。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60B49">
            <w:pPr>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454F0">
            <w:pPr>
              <w:jc w:val="center"/>
              <w:rPr>
                <w:rFonts w:hint="eastAsia" w:ascii="仿宋" w:hAnsi="仿宋" w:eastAsia="仿宋" w:cs="仿宋"/>
                <w:i w:val="0"/>
                <w:iCs w:val="0"/>
                <w:color w:val="auto"/>
                <w:sz w:val="18"/>
                <w:szCs w:val="18"/>
                <w:highlight w:val="none"/>
                <w:u w:val="none"/>
              </w:rPr>
            </w:pPr>
          </w:p>
        </w:tc>
      </w:tr>
      <w:tr w14:paraId="41406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438" w:type="dxa"/>
            <w:vMerge w:val="continue"/>
            <w:tcBorders>
              <w:top w:val="nil"/>
              <w:left w:val="single" w:color="000000" w:sz="4" w:space="0"/>
              <w:bottom w:val="single" w:color="000000" w:sz="4" w:space="0"/>
              <w:right w:val="single" w:color="000000" w:sz="4" w:space="0"/>
            </w:tcBorders>
            <w:shd w:val="clear" w:color="auto" w:fill="auto"/>
            <w:textDirection w:val="tbRlV"/>
            <w:vAlign w:val="center"/>
          </w:tcPr>
          <w:p w14:paraId="7A02A622">
            <w:pPr>
              <w:jc w:val="center"/>
              <w:rPr>
                <w:rFonts w:hint="eastAsia" w:ascii="仿宋" w:hAnsi="仿宋" w:eastAsia="仿宋" w:cs="仿宋"/>
                <w:i w:val="0"/>
                <w:iCs w:val="0"/>
                <w:color w:val="auto"/>
                <w:sz w:val="18"/>
                <w:szCs w:val="18"/>
                <w:highlight w:val="none"/>
                <w:u w:val="none"/>
              </w:rPr>
            </w:pPr>
          </w:p>
        </w:tc>
        <w:tc>
          <w:tcPr>
            <w:tcW w:w="1179"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0F22354">
            <w:pPr>
              <w:jc w:val="center"/>
              <w:rPr>
                <w:rFonts w:hint="eastAsia" w:ascii="仿宋" w:hAnsi="仿宋" w:eastAsia="仿宋" w:cs="仿宋"/>
                <w:i w:val="0"/>
                <w:iCs w:val="0"/>
                <w:color w:val="auto"/>
                <w:sz w:val="18"/>
                <w:szCs w:val="18"/>
                <w:highlight w:val="none"/>
                <w:u w:val="none"/>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143D1">
            <w:pPr>
              <w:jc w:val="center"/>
              <w:rPr>
                <w:rFonts w:hint="eastAsia" w:ascii="仿宋" w:hAnsi="仿宋" w:eastAsia="仿宋" w:cs="仿宋"/>
                <w:i w:val="0"/>
                <w:iCs w:val="0"/>
                <w:color w:val="auto"/>
                <w:sz w:val="18"/>
                <w:szCs w:val="18"/>
                <w:highlight w:val="none"/>
                <w:u w:val="none"/>
              </w:rPr>
            </w:pPr>
          </w:p>
        </w:tc>
        <w:tc>
          <w:tcPr>
            <w:tcW w:w="23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8F67B">
            <w:pPr>
              <w:jc w:val="left"/>
              <w:rPr>
                <w:rFonts w:hint="eastAsia" w:ascii="仿宋" w:hAnsi="仿宋" w:eastAsia="仿宋" w:cs="仿宋"/>
                <w:i w:val="0"/>
                <w:iCs w:val="0"/>
                <w:color w:val="auto"/>
                <w:sz w:val="18"/>
                <w:szCs w:val="18"/>
                <w:highlight w:val="none"/>
                <w:u w:val="none"/>
              </w:rPr>
            </w:pPr>
          </w:p>
        </w:tc>
        <w:tc>
          <w:tcPr>
            <w:tcW w:w="4070" w:type="dxa"/>
            <w:tcBorders>
              <w:top w:val="single" w:color="000000" w:sz="4" w:space="0"/>
              <w:left w:val="nil"/>
              <w:bottom w:val="single" w:color="000000" w:sz="4" w:space="0"/>
              <w:right w:val="single" w:color="000000" w:sz="4" w:space="0"/>
            </w:tcBorders>
            <w:shd w:val="clear" w:color="auto" w:fill="auto"/>
            <w:vAlign w:val="center"/>
          </w:tcPr>
          <w:p w14:paraId="397F7CF2">
            <w:pPr>
              <w:keepNext w:val="0"/>
              <w:keepLines w:val="0"/>
              <w:widowControl/>
              <w:suppressLineNumbers w:val="0"/>
              <w:jc w:val="left"/>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 xml:space="preserve">6、管理人员工作日不在岗在位及电话不通的有一次扣 0.5 分。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15472">
            <w:pPr>
              <w:jc w:val="left"/>
              <w:rPr>
                <w:rFonts w:hint="eastAsia" w:ascii="仿宋" w:hAnsi="仿宋" w:eastAsia="仿宋" w:cs="仿宋"/>
                <w:i w:val="0"/>
                <w:iCs w:val="0"/>
                <w:color w:val="auto"/>
                <w:sz w:val="18"/>
                <w:szCs w:val="18"/>
                <w:highlight w:val="none"/>
                <w:u w:val="none"/>
              </w:rPr>
            </w:pPr>
          </w:p>
        </w:tc>
        <w:tc>
          <w:tcPr>
            <w:tcW w:w="7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05595">
            <w:pPr>
              <w:jc w:val="center"/>
              <w:rPr>
                <w:rFonts w:hint="eastAsia" w:ascii="仿宋" w:hAnsi="仿宋" w:eastAsia="仿宋" w:cs="仿宋"/>
                <w:i w:val="0"/>
                <w:iCs w:val="0"/>
                <w:color w:val="auto"/>
                <w:sz w:val="18"/>
                <w:szCs w:val="18"/>
                <w:highlight w:val="none"/>
                <w:u w:val="none"/>
              </w:rPr>
            </w:pPr>
          </w:p>
        </w:tc>
      </w:tr>
      <w:tr w14:paraId="5725E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5DDC5">
            <w:pPr>
              <w:rPr>
                <w:rFonts w:hint="eastAsia" w:ascii="仿宋" w:hAnsi="仿宋" w:eastAsia="仿宋" w:cs="仿宋"/>
                <w:i w:val="0"/>
                <w:iCs w:val="0"/>
                <w:color w:val="auto"/>
                <w:sz w:val="18"/>
                <w:szCs w:val="18"/>
                <w:highlight w:val="none"/>
                <w:u w:val="none"/>
              </w:rPr>
            </w:pPr>
          </w:p>
        </w:tc>
        <w:tc>
          <w:tcPr>
            <w:tcW w:w="1179" w:type="dxa"/>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9474104">
            <w:pPr>
              <w:rPr>
                <w:rFonts w:hint="eastAsia" w:ascii="仿宋" w:hAnsi="仿宋" w:eastAsia="仿宋" w:cs="仿宋"/>
                <w:i w:val="0"/>
                <w:iCs w:val="0"/>
                <w:color w:val="auto"/>
                <w:sz w:val="18"/>
                <w:szCs w:val="18"/>
                <w:highlight w:val="none"/>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DF3DA">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100</w:t>
            </w:r>
          </w:p>
        </w:tc>
        <w:tc>
          <w:tcPr>
            <w:tcW w:w="2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04D00">
            <w:pPr>
              <w:keepNext w:val="0"/>
              <w:keepLines w:val="0"/>
              <w:widowControl/>
              <w:suppressLineNumbers w:val="0"/>
              <w:jc w:val="center"/>
              <w:textAlignment w:val="center"/>
              <w:rPr>
                <w:rFonts w:hint="eastAsia" w:ascii="仿宋" w:hAnsi="仿宋" w:eastAsia="仿宋" w:cs="仿宋"/>
                <w:i w:val="0"/>
                <w:iCs w:val="0"/>
                <w:color w:val="auto"/>
                <w:sz w:val="18"/>
                <w:szCs w:val="18"/>
                <w:highlight w:val="none"/>
                <w:u w:val="none"/>
              </w:rPr>
            </w:pPr>
            <w:r>
              <w:rPr>
                <w:rFonts w:hint="eastAsia" w:ascii="仿宋" w:hAnsi="仿宋" w:eastAsia="仿宋" w:cs="仿宋"/>
                <w:i w:val="0"/>
                <w:iCs w:val="0"/>
                <w:color w:val="auto"/>
                <w:kern w:val="0"/>
                <w:sz w:val="18"/>
                <w:szCs w:val="18"/>
                <w:highlight w:val="none"/>
                <w:u w:val="none"/>
                <w:lang w:val="en-US" w:eastAsia="zh-CN" w:bidi="ar"/>
              </w:rPr>
              <w:t>合                计</w:t>
            </w:r>
          </w:p>
        </w:tc>
        <w:tc>
          <w:tcPr>
            <w:tcW w:w="4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24A5D">
            <w:pPr>
              <w:rPr>
                <w:rFonts w:hint="eastAsia" w:ascii="仿宋" w:hAnsi="仿宋" w:eastAsia="仿宋" w:cs="仿宋"/>
                <w:i w:val="0"/>
                <w:iCs w:val="0"/>
                <w:color w:val="auto"/>
                <w:sz w:val="18"/>
                <w:szCs w:val="18"/>
                <w:highlight w:val="none"/>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13B78">
            <w:pPr>
              <w:rPr>
                <w:rFonts w:hint="eastAsia" w:ascii="仿宋" w:hAnsi="仿宋" w:eastAsia="仿宋" w:cs="仿宋"/>
                <w:i w:val="0"/>
                <w:iCs w:val="0"/>
                <w:color w:val="auto"/>
                <w:sz w:val="18"/>
                <w:szCs w:val="18"/>
                <w:highlight w:val="none"/>
                <w:u w:val="none"/>
              </w:rPr>
            </w:pPr>
          </w:p>
        </w:tc>
        <w:tc>
          <w:tcPr>
            <w:tcW w:w="73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7D216">
            <w:pPr>
              <w:rPr>
                <w:rFonts w:hint="eastAsia" w:ascii="仿宋" w:hAnsi="仿宋" w:eastAsia="仿宋" w:cs="仿宋"/>
                <w:i w:val="0"/>
                <w:iCs w:val="0"/>
                <w:color w:val="auto"/>
                <w:sz w:val="18"/>
                <w:szCs w:val="18"/>
                <w:highlight w:val="none"/>
                <w:u w:val="none"/>
              </w:rPr>
            </w:pPr>
          </w:p>
        </w:tc>
      </w:tr>
    </w:tbl>
    <w:p w14:paraId="0AA073F5">
      <w:pPr>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br w:type="page"/>
      </w:r>
    </w:p>
    <w:p w14:paraId="663BDAA5">
      <w:pPr>
        <w:pStyle w:val="2"/>
        <w:ind w:firstLine="2209"/>
        <w:jc w:val="left"/>
        <w:rPr>
          <w:rFonts w:ascii="仿宋" w:hAnsi="仿宋" w:eastAsia="仿宋" w:cs="仿宋"/>
          <w:b/>
          <w:color w:val="auto"/>
          <w:sz w:val="44"/>
          <w:highlight w:val="none"/>
        </w:rPr>
      </w:pPr>
      <w:bookmarkStart w:id="192" w:name="_Toc186493271"/>
      <w:r>
        <w:rPr>
          <w:rFonts w:hint="eastAsia" w:ascii="仿宋" w:hAnsi="仿宋" w:eastAsia="仿宋" w:cs="仿宋"/>
          <w:b/>
          <w:color w:val="auto"/>
          <w:sz w:val="44"/>
          <w:highlight w:val="none"/>
        </w:rPr>
        <w:t>第六章  投标</w:t>
      </w:r>
      <w:bookmarkEnd w:id="187"/>
      <w:bookmarkEnd w:id="188"/>
      <w:bookmarkEnd w:id="189"/>
      <w:r>
        <w:rPr>
          <w:rFonts w:hint="eastAsia" w:ascii="仿宋" w:hAnsi="仿宋" w:eastAsia="仿宋" w:cs="仿宋"/>
          <w:b/>
          <w:color w:val="auto"/>
          <w:sz w:val="44"/>
          <w:highlight w:val="none"/>
        </w:rPr>
        <w:t>文件格式</w:t>
      </w:r>
      <w:bookmarkEnd w:id="192"/>
    </w:p>
    <w:p w14:paraId="5D6D0091">
      <w:pPr>
        <w:jc w:val="center"/>
        <w:rPr>
          <w:rFonts w:ascii="仿宋" w:hAnsi="仿宋" w:eastAsia="仿宋" w:cs="仿宋"/>
          <w:b/>
          <w:color w:val="auto"/>
          <w:sz w:val="72"/>
          <w:highlight w:val="none"/>
        </w:rPr>
      </w:pPr>
      <w:bookmarkStart w:id="193" w:name="_Hlt26671244"/>
      <w:bookmarkEnd w:id="193"/>
      <w:bookmarkStart w:id="194" w:name="_Hlt26955039"/>
      <w:bookmarkEnd w:id="194"/>
      <w:bookmarkStart w:id="195" w:name="_Toc26554094"/>
      <w:bookmarkStart w:id="196" w:name="_Toc120614282"/>
      <w:bookmarkStart w:id="197" w:name="_Toc49090576"/>
    </w:p>
    <w:p w14:paraId="788B3374">
      <w:pPr>
        <w:jc w:val="center"/>
        <w:outlineLvl w:val="0"/>
        <w:rPr>
          <w:rFonts w:ascii="仿宋" w:hAnsi="仿宋" w:eastAsia="仿宋" w:cs="仿宋"/>
          <w:b/>
          <w:color w:val="auto"/>
          <w:sz w:val="72"/>
          <w:highlight w:val="none"/>
        </w:rPr>
      </w:pPr>
      <w:bookmarkStart w:id="198" w:name="_Toc186493272"/>
      <w:r>
        <w:rPr>
          <w:rFonts w:hint="eastAsia" w:ascii="仿宋" w:hAnsi="仿宋" w:eastAsia="仿宋" w:cs="仿宋"/>
          <w:b/>
          <w:color w:val="auto"/>
          <w:sz w:val="72"/>
          <w:highlight w:val="none"/>
        </w:rPr>
        <w:t>投  标  文  件</w:t>
      </w:r>
      <w:bookmarkEnd w:id="198"/>
    </w:p>
    <w:p w14:paraId="18BEEFF9">
      <w:pPr>
        <w:jc w:val="center"/>
        <w:rPr>
          <w:rFonts w:ascii="仿宋" w:hAnsi="仿宋" w:eastAsia="仿宋" w:cs="仿宋"/>
          <w:b/>
          <w:color w:val="auto"/>
          <w:sz w:val="72"/>
          <w:highlight w:val="none"/>
        </w:rPr>
      </w:pPr>
    </w:p>
    <w:p w14:paraId="2E1D2EB9">
      <w:pPr>
        <w:jc w:val="center"/>
        <w:rPr>
          <w:rFonts w:ascii="仿宋" w:hAnsi="仿宋" w:eastAsia="仿宋" w:cs="仿宋"/>
          <w:b/>
          <w:color w:val="auto"/>
          <w:sz w:val="72"/>
          <w:highlight w:val="none"/>
        </w:rPr>
      </w:pPr>
    </w:p>
    <w:p w14:paraId="2245FB99">
      <w:pPr>
        <w:jc w:val="center"/>
        <w:rPr>
          <w:rFonts w:ascii="仿宋" w:hAnsi="仿宋" w:eastAsia="仿宋" w:cs="仿宋"/>
          <w:b/>
          <w:color w:val="auto"/>
          <w:sz w:val="36"/>
          <w:highlight w:val="none"/>
        </w:rPr>
      </w:pPr>
    </w:p>
    <w:p w14:paraId="54763E1B">
      <w:pPr>
        <w:pStyle w:val="14"/>
        <w:rPr>
          <w:color w:val="auto"/>
          <w:highlight w:val="none"/>
        </w:rPr>
      </w:pPr>
    </w:p>
    <w:p w14:paraId="09F2D459">
      <w:pPr>
        <w:jc w:val="center"/>
        <w:rPr>
          <w:rFonts w:ascii="仿宋" w:hAnsi="仿宋" w:eastAsia="仿宋" w:cs="仿宋"/>
          <w:b/>
          <w:color w:val="auto"/>
          <w:sz w:val="36"/>
          <w:highlight w:val="none"/>
        </w:rPr>
      </w:pPr>
    </w:p>
    <w:p w14:paraId="74BCCB9C">
      <w:pPr>
        <w:jc w:val="center"/>
        <w:rPr>
          <w:rFonts w:ascii="仿宋" w:hAnsi="仿宋" w:eastAsia="仿宋" w:cs="仿宋"/>
          <w:b/>
          <w:color w:val="auto"/>
          <w:sz w:val="36"/>
          <w:highlight w:val="none"/>
        </w:rPr>
      </w:pPr>
    </w:p>
    <w:p w14:paraId="154DA7AB">
      <w:pPr>
        <w:ind w:firstLine="1084"/>
        <w:outlineLvl w:val="0"/>
        <w:rPr>
          <w:rFonts w:ascii="仿宋" w:hAnsi="仿宋" w:eastAsia="仿宋" w:cs="仿宋"/>
          <w:b/>
          <w:color w:val="auto"/>
          <w:sz w:val="36"/>
          <w:highlight w:val="none"/>
        </w:rPr>
      </w:pPr>
      <w:bookmarkStart w:id="199" w:name="_Toc186493273"/>
      <w:r>
        <w:rPr>
          <w:rFonts w:hint="eastAsia" w:ascii="仿宋" w:hAnsi="仿宋" w:eastAsia="仿宋" w:cs="仿宋"/>
          <w:b/>
          <w:color w:val="auto"/>
          <w:sz w:val="36"/>
          <w:highlight w:val="none"/>
        </w:rPr>
        <w:t>项 目 名 称：</w:t>
      </w:r>
      <w:bookmarkEnd w:id="199"/>
    </w:p>
    <w:p w14:paraId="08576D97">
      <w:pPr>
        <w:ind w:firstLine="1084"/>
        <w:outlineLvl w:val="0"/>
        <w:rPr>
          <w:rFonts w:ascii="仿宋" w:hAnsi="仿宋" w:eastAsia="仿宋" w:cs="仿宋"/>
          <w:b/>
          <w:color w:val="auto"/>
          <w:sz w:val="36"/>
          <w:highlight w:val="none"/>
          <w:u w:val="single"/>
        </w:rPr>
      </w:pPr>
      <w:bookmarkStart w:id="200" w:name="_Toc186493274"/>
      <w:r>
        <w:rPr>
          <w:rFonts w:hint="eastAsia" w:ascii="仿宋" w:hAnsi="仿宋" w:eastAsia="仿宋" w:cs="仿宋"/>
          <w:b/>
          <w:color w:val="auto"/>
          <w:sz w:val="36"/>
          <w:highlight w:val="none"/>
        </w:rPr>
        <w:t>项 目 编 号：</w:t>
      </w:r>
      <w:bookmarkEnd w:id="200"/>
    </w:p>
    <w:p w14:paraId="03C12324">
      <w:pPr>
        <w:outlineLvl w:val="0"/>
        <w:rPr>
          <w:rFonts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w:t>
      </w:r>
      <w:bookmarkStart w:id="201" w:name="_Toc186493275"/>
      <w:r>
        <w:rPr>
          <w:rFonts w:hint="eastAsia" w:ascii="仿宋" w:hAnsi="仿宋" w:eastAsia="仿宋" w:cs="仿宋"/>
          <w:b/>
          <w:color w:val="auto"/>
          <w:sz w:val="36"/>
          <w:highlight w:val="none"/>
        </w:rPr>
        <w:t>投标人名称 ：</w:t>
      </w:r>
      <w:r>
        <w:rPr>
          <w:rFonts w:hint="eastAsia" w:ascii="仿宋" w:hAnsi="仿宋" w:eastAsia="仿宋" w:cs="仿宋"/>
          <w:b/>
          <w:color w:val="auto"/>
          <w:sz w:val="36"/>
          <w:highlight w:val="none"/>
          <w:u w:val="single"/>
        </w:rPr>
        <w:t>（加盖CA电子公章）</w:t>
      </w:r>
      <w:bookmarkEnd w:id="201"/>
    </w:p>
    <w:p w14:paraId="3C088A72">
      <w:pPr>
        <w:outlineLvl w:val="0"/>
        <w:rPr>
          <w:rFonts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w:t>
      </w:r>
      <w:bookmarkStart w:id="202" w:name="_Toc186493276"/>
      <w:r>
        <w:rPr>
          <w:rFonts w:hint="eastAsia" w:ascii="仿宋" w:hAnsi="仿宋" w:eastAsia="仿宋" w:cs="仿宋"/>
          <w:b/>
          <w:color w:val="auto"/>
          <w:sz w:val="36"/>
          <w:highlight w:val="none"/>
        </w:rPr>
        <w:t>日      期 ：</w:t>
      </w:r>
      <w:bookmarkEnd w:id="202"/>
    </w:p>
    <w:p w14:paraId="11F9D085">
      <w:pPr>
        <w:spacing w:line="440" w:lineRule="exact"/>
        <w:jc w:val="center"/>
        <w:rPr>
          <w:rFonts w:ascii="仿宋" w:hAnsi="仿宋" w:eastAsia="仿宋" w:cs="仿宋"/>
          <w:b/>
          <w:bCs/>
          <w:color w:val="auto"/>
          <w:sz w:val="32"/>
          <w:szCs w:val="32"/>
          <w:highlight w:val="none"/>
        </w:rPr>
      </w:pPr>
    </w:p>
    <w:p w14:paraId="1BA7B1F9">
      <w:pPr>
        <w:spacing w:line="440" w:lineRule="exact"/>
        <w:rPr>
          <w:rFonts w:ascii="仿宋" w:hAnsi="仿宋" w:eastAsia="仿宋" w:cs="仿宋"/>
          <w:color w:val="auto"/>
          <w:highlight w:val="none"/>
        </w:rPr>
      </w:pPr>
    </w:p>
    <w:p w14:paraId="11C18452">
      <w:pPr>
        <w:rPr>
          <w:rFonts w:ascii="仿宋" w:hAnsi="仿宋" w:eastAsia="仿宋" w:cs="仿宋"/>
          <w:b/>
          <w:bCs/>
          <w:color w:val="auto"/>
          <w:sz w:val="32"/>
          <w:szCs w:val="32"/>
          <w:highlight w:val="none"/>
        </w:rPr>
      </w:pPr>
    </w:p>
    <w:p w14:paraId="78532628">
      <w:pPr>
        <w:spacing w:line="440" w:lineRule="exact"/>
        <w:outlineLvl w:val="0"/>
        <w:rPr>
          <w:rFonts w:ascii="仿宋" w:hAnsi="仿宋" w:eastAsia="仿宋" w:cs="仿宋"/>
          <w:b/>
          <w:bCs/>
          <w:color w:val="auto"/>
          <w:sz w:val="32"/>
          <w:szCs w:val="32"/>
          <w:highlight w:val="none"/>
        </w:rPr>
      </w:pPr>
    </w:p>
    <w:p w14:paraId="27A4CBAF">
      <w:pPr>
        <w:spacing w:line="440" w:lineRule="exact"/>
        <w:jc w:val="center"/>
        <w:outlineLvl w:val="0"/>
        <w:rPr>
          <w:rFonts w:ascii="仿宋" w:hAnsi="仿宋" w:eastAsia="仿宋" w:cs="仿宋"/>
          <w:b/>
          <w:bCs/>
          <w:color w:val="auto"/>
          <w:sz w:val="32"/>
          <w:szCs w:val="32"/>
          <w:highlight w:val="none"/>
        </w:rPr>
      </w:pPr>
    </w:p>
    <w:p w14:paraId="150249CE">
      <w:pPr>
        <w:pStyle w:val="78"/>
        <w:ind w:firstLine="643"/>
        <w:rPr>
          <w:rFonts w:ascii="仿宋" w:hAnsi="仿宋" w:eastAsia="仿宋" w:cs="仿宋"/>
          <w:b/>
          <w:bCs/>
          <w:color w:val="auto"/>
          <w:sz w:val="32"/>
          <w:szCs w:val="32"/>
          <w:highlight w:val="none"/>
        </w:rPr>
      </w:pPr>
    </w:p>
    <w:p w14:paraId="56D84F2B">
      <w:pPr>
        <w:pStyle w:val="78"/>
        <w:ind w:firstLine="643"/>
        <w:rPr>
          <w:rFonts w:ascii="仿宋" w:hAnsi="仿宋" w:eastAsia="仿宋" w:cs="仿宋"/>
          <w:b/>
          <w:bCs/>
          <w:color w:val="auto"/>
          <w:sz w:val="32"/>
          <w:szCs w:val="32"/>
          <w:highlight w:val="none"/>
        </w:rPr>
      </w:pPr>
    </w:p>
    <w:p w14:paraId="5C3CDA0B">
      <w:pPr>
        <w:pStyle w:val="78"/>
        <w:ind w:firstLine="643"/>
        <w:rPr>
          <w:rFonts w:ascii="仿宋" w:hAnsi="仿宋" w:eastAsia="仿宋" w:cs="仿宋"/>
          <w:b/>
          <w:bCs/>
          <w:color w:val="auto"/>
          <w:sz w:val="32"/>
          <w:szCs w:val="32"/>
          <w:highlight w:val="none"/>
        </w:rPr>
      </w:pPr>
    </w:p>
    <w:p w14:paraId="6038523F">
      <w:pPr>
        <w:spacing w:line="440" w:lineRule="exact"/>
        <w:jc w:val="center"/>
        <w:outlineLvl w:val="0"/>
        <w:rPr>
          <w:rFonts w:ascii="仿宋" w:hAnsi="仿宋" w:eastAsia="仿宋" w:cs="仿宋"/>
          <w:b/>
          <w:bCs/>
          <w:color w:val="auto"/>
          <w:sz w:val="32"/>
          <w:szCs w:val="32"/>
          <w:highlight w:val="none"/>
        </w:rPr>
      </w:pPr>
    </w:p>
    <w:p w14:paraId="03029BC1">
      <w:pPr>
        <w:spacing w:line="440" w:lineRule="exact"/>
        <w:jc w:val="center"/>
        <w:outlineLvl w:val="0"/>
        <w:rPr>
          <w:rFonts w:ascii="仿宋" w:hAnsi="仿宋" w:eastAsia="仿宋" w:cs="仿宋"/>
          <w:b/>
          <w:bCs/>
          <w:color w:val="auto"/>
          <w:sz w:val="32"/>
          <w:szCs w:val="32"/>
          <w:highlight w:val="none"/>
        </w:rPr>
      </w:pPr>
    </w:p>
    <w:p w14:paraId="6BE0F994">
      <w:pPr>
        <w:spacing w:line="440" w:lineRule="exact"/>
        <w:jc w:val="center"/>
        <w:outlineLvl w:val="0"/>
        <w:rPr>
          <w:rFonts w:ascii="仿宋" w:hAnsi="仿宋" w:eastAsia="仿宋" w:cs="仿宋"/>
          <w:b/>
          <w:bCs/>
          <w:color w:val="auto"/>
          <w:sz w:val="32"/>
          <w:szCs w:val="32"/>
          <w:highlight w:val="none"/>
        </w:rPr>
      </w:pPr>
    </w:p>
    <w:p w14:paraId="236535B9">
      <w:pPr>
        <w:spacing w:line="440" w:lineRule="exact"/>
        <w:jc w:val="center"/>
        <w:outlineLvl w:val="0"/>
        <w:rPr>
          <w:rFonts w:ascii="仿宋" w:hAnsi="仿宋" w:eastAsia="仿宋" w:cs="仿宋"/>
          <w:b/>
          <w:bCs/>
          <w:color w:val="auto"/>
          <w:sz w:val="32"/>
          <w:szCs w:val="32"/>
          <w:highlight w:val="none"/>
        </w:rPr>
      </w:pPr>
    </w:p>
    <w:p w14:paraId="115C8255">
      <w:pPr>
        <w:spacing w:line="440" w:lineRule="exact"/>
        <w:jc w:val="center"/>
        <w:outlineLvl w:val="0"/>
        <w:rPr>
          <w:rFonts w:hint="eastAsia" w:ascii="仿宋" w:hAnsi="仿宋" w:eastAsia="仿宋" w:cs="仿宋"/>
          <w:b/>
          <w:bCs/>
          <w:color w:val="auto"/>
          <w:sz w:val="32"/>
          <w:szCs w:val="32"/>
          <w:highlight w:val="none"/>
        </w:rPr>
      </w:pPr>
    </w:p>
    <w:p w14:paraId="0162FD45">
      <w:pPr>
        <w:spacing w:line="440" w:lineRule="exact"/>
        <w:jc w:val="center"/>
        <w:outlineLvl w:val="0"/>
        <w:rPr>
          <w:rFonts w:hint="eastAsia" w:ascii="仿宋" w:hAnsi="仿宋" w:eastAsia="仿宋" w:cs="仿宋"/>
          <w:b/>
          <w:bCs/>
          <w:color w:val="auto"/>
          <w:sz w:val="32"/>
          <w:szCs w:val="32"/>
          <w:highlight w:val="none"/>
        </w:rPr>
      </w:pPr>
    </w:p>
    <w:p w14:paraId="715D06E8">
      <w:pPr>
        <w:spacing w:line="440" w:lineRule="exact"/>
        <w:jc w:val="center"/>
        <w:outlineLvl w:val="0"/>
        <w:rPr>
          <w:rFonts w:ascii="仿宋" w:hAnsi="仿宋" w:eastAsia="仿宋" w:cs="仿宋"/>
          <w:b/>
          <w:bCs/>
          <w:color w:val="auto"/>
          <w:sz w:val="32"/>
          <w:szCs w:val="32"/>
          <w:highlight w:val="none"/>
        </w:rPr>
      </w:pPr>
      <w:bookmarkStart w:id="203" w:name="_Toc186493277"/>
      <w:r>
        <w:rPr>
          <w:rFonts w:hint="eastAsia" w:ascii="仿宋" w:hAnsi="仿宋" w:eastAsia="仿宋" w:cs="仿宋"/>
          <w:b/>
          <w:bCs/>
          <w:color w:val="auto"/>
          <w:sz w:val="32"/>
          <w:szCs w:val="32"/>
          <w:highlight w:val="none"/>
        </w:rPr>
        <w:t>投标文件的组成</w:t>
      </w:r>
      <w:bookmarkEnd w:id="203"/>
    </w:p>
    <w:p w14:paraId="0882DC0B">
      <w:pPr>
        <w:spacing w:line="440" w:lineRule="exact"/>
        <w:jc w:val="center"/>
        <w:rPr>
          <w:rFonts w:ascii="仿宋" w:hAnsi="仿宋" w:eastAsia="仿宋" w:cs="仿宋"/>
          <w:b/>
          <w:bCs/>
          <w:color w:val="auto"/>
          <w:sz w:val="32"/>
          <w:szCs w:val="32"/>
          <w:highlight w:val="none"/>
        </w:rPr>
      </w:pPr>
    </w:p>
    <w:p w14:paraId="14BDD493">
      <w:pPr>
        <w:keepNext w:val="0"/>
        <w:keepLines w:val="0"/>
        <w:pageBreakBefore w:val="0"/>
        <w:widowControl w:val="0"/>
        <w:kinsoku/>
        <w:wordWrap/>
        <w:overflowPunct/>
        <w:topLinePunct w:val="0"/>
        <w:autoSpaceDE/>
        <w:autoSpaceDN/>
        <w:bidi w:val="0"/>
        <w:adjustRightInd/>
        <w:snapToGrid/>
        <w:spacing w:line="360" w:lineRule="auto"/>
        <w:ind w:left="480"/>
        <w:textAlignment w:val="auto"/>
        <w:outlineLvl w:val="0"/>
        <w:rPr>
          <w:rFonts w:ascii="仿宋" w:hAnsi="仿宋" w:eastAsia="仿宋" w:cs="仿宋"/>
          <w:b/>
          <w:color w:val="auto"/>
          <w:sz w:val="24"/>
          <w:highlight w:val="none"/>
        </w:rPr>
      </w:pPr>
      <w:bookmarkStart w:id="204" w:name="_Toc186493278"/>
      <w:r>
        <w:rPr>
          <w:rFonts w:hint="eastAsia" w:ascii="仿宋" w:hAnsi="仿宋" w:eastAsia="仿宋" w:cs="仿宋"/>
          <w:b/>
          <w:color w:val="auto"/>
          <w:sz w:val="24"/>
          <w:highlight w:val="none"/>
        </w:rPr>
        <w:t>一、基本目录</w:t>
      </w:r>
      <w:bookmarkEnd w:id="204"/>
    </w:p>
    <w:p w14:paraId="320B75BB">
      <w:pPr>
        <w:keepNext w:val="0"/>
        <w:keepLines w:val="0"/>
        <w:pageBreakBefore w:val="0"/>
        <w:widowControl w:val="0"/>
        <w:kinsoku/>
        <w:wordWrap/>
        <w:overflowPunct/>
        <w:topLinePunct w:val="0"/>
        <w:autoSpaceDE/>
        <w:autoSpaceDN/>
        <w:bidi w:val="0"/>
        <w:adjustRightInd/>
        <w:snapToGrid/>
        <w:spacing w:line="360" w:lineRule="auto"/>
        <w:ind w:left="48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1.开标一览表（格式见附件1）</w:t>
      </w:r>
    </w:p>
    <w:p w14:paraId="43E1E623">
      <w:pPr>
        <w:keepNext w:val="0"/>
        <w:keepLines w:val="0"/>
        <w:pageBreakBefore w:val="0"/>
        <w:widowControl w:val="0"/>
        <w:kinsoku/>
        <w:wordWrap/>
        <w:overflowPunct/>
        <w:topLinePunct w:val="0"/>
        <w:autoSpaceDE/>
        <w:autoSpaceDN/>
        <w:bidi w:val="0"/>
        <w:adjustRightInd/>
        <w:snapToGrid/>
        <w:spacing w:line="360" w:lineRule="auto"/>
        <w:ind w:left="48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2.投标分项报价表（格式见附件2）</w:t>
      </w:r>
    </w:p>
    <w:p w14:paraId="3CF49E01">
      <w:pPr>
        <w:keepNext w:val="0"/>
        <w:keepLines w:val="0"/>
        <w:pageBreakBefore w:val="0"/>
        <w:widowControl w:val="0"/>
        <w:kinsoku/>
        <w:wordWrap/>
        <w:overflowPunct/>
        <w:topLinePunct w:val="0"/>
        <w:autoSpaceDE/>
        <w:autoSpaceDN/>
        <w:bidi w:val="0"/>
        <w:adjustRightInd/>
        <w:snapToGrid/>
        <w:spacing w:line="360" w:lineRule="auto"/>
        <w:ind w:left="480"/>
        <w:textAlignment w:val="auto"/>
        <w:outlineLvl w:val="0"/>
        <w:rPr>
          <w:rFonts w:ascii="仿宋" w:hAnsi="仿宋" w:eastAsia="仿宋" w:cs="仿宋"/>
          <w:b/>
          <w:color w:val="auto"/>
          <w:sz w:val="24"/>
          <w:highlight w:val="none"/>
        </w:rPr>
      </w:pPr>
      <w:bookmarkStart w:id="205" w:name="_Toc186493279"/>
      <w:r>
        <w:rPr>
          <w:rFonts w:hint="eastAsia" w:ascii="仿宋" w:hAnsi="仿宋" w:eastAsia="仿宋" w:cs="仿宋"/>
          <w:b/>
          <w:color w:val="auto"/>
          <w:sz w:val="24"/>
          <w:highlight w:val="none"/>
        </w:rPr>
        <w:t>二、资格审查内容</w:t>
      </w:r>
      <w:bookmarkEnd w:id="205"/>
    </w:p>
    <w:p w14:paraId="5E1FA34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1.投标人符合《政府采购法》第二十二条规定条件的声明函（</w:t>
      </w:r>
      <w:r>
        <w:rPr>
          <w:rFonts w:hint="eastAsia" w:ascii="仿宋" w:hAnsi="仿宋" w:eastAsia="仿宋" w:cs="仿宋"/>
          <w:color w:val="auto"/>
          <w:sz w:val="24"/>
          <w:highlight w:val="none"/>
          <w:lang w:val="zh-CN"/>
        </w:rPr>
        <w:t>格式见附件</w:t>
      </w:r>
      <w:r>
        <w:rPr>
          <w:rFonts w:hint="eastAsia" w:ascii="仿宋" w:hAnsi="仿宋" w:eastAsia="仿宋" w:cs="仿宋"/>
          <w:color w:val="auto"/>
          <w:sz w:val="24"/>
          <w:highlight w:val="none"/>
        </w:rPr>
        <w:t>3）</w:t>
      </w:r>
    </w:p>
    <w:p w14:paraId="5F632D9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.法定代表人身份证明、</w:t>
      </w:r>
      <w:r>
        <w:rPr>
          <w:rFonts w:hint="eastAsia" w:ascii="仿宋" w:hAnsi="仿宋" w:eastAsia="仿宋" w:cs="仿宋"/>
          <w:color w:val="auto"/>
          <w:sz w:val="24"/>
          <w:highlight w:val="none"/>
          <w:lang w:val="zh-CN"/>
        </w:rPr>
        <w:t>法定代表人的身份证</w:t>
      </w:r>
      <w:r>
        <w:rPr>
          <w:rFonts w:hint="eastAsia" w:ascii="仿宋" w:hAnsi="仿宋" w:eastAsia="仿宋" w:cs="仿宋"/>
          <w:color w:val="auto"/>
          <w:sz w:val="24"/>
          <w:highlight w:val="none"/>
        </w:rPr>
        <w:t>扫描件</w:t>
      </w:r>
    </w:p>
    <w:p w14:paraId="1352C5D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.法人授权书、被授权</w:t>
      </w:r>
      <w:r>
        <w:rPr>
          <w:rFonts w:hint="eastAsia" w:ascii="仿宋" w:hAnsi="仿宋" w:eastAsia="仿宋" w:cs="仿宋"/>
          <w:color w:val="auto"/>
          <w:sz w:val="24"/>
          <w:highlight w:val="none"/>
          <w:lang w:val="zh-CN"/>
        </w:rPr>
        <w:t>人身份证</w:t>
      </w:r>
      <w:r>
        <w:rPr>
          <w:rFonts w:hint="eastAsia" w:ascii="仿宋" w:hAnsi="仿宋" w:eastAsia="仿宋" w:cs="仿宋"/>
          <w:color w:val="auto"/>
          <w:sz w:val="24"/>
          <w:highlight w:val="none"/>
        </w:rPr>
        <w:t>扫描件（如有授权）</w:t>
      </w:r>
    </w:p>
    <w:p w14:paraId="2A1E3A2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.投标函（</w:t>
      </w:r>
      <w:r>
        <w:rPr>
          <w:rFonts w:hint="eastAsia" w:ascii="仿宋" w:hAnsi="仿宋" w:eastAsia="仿宋" w:cs="仿宋"/>
          <w:color w:val="auto"/>
          <w:sz w:val="24"/>
          <w:highlight w:val="none"/>
          <w:lang w:val="zh-CN"/>
        </w:rPr>
        <w:t>格式见附件</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w:t>
      </w:r>
    </w:p>
    <w:p w14:paraId="5658332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color w:val="auto"/>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val="zh-CN"/>
        </w:rPr>
        <w:t>.其它需要提交的资格审查证明材料。</w:t>
      </w:r>
    </w:p>
    <w:p w14:paraId="1D250367">
      <w:pPr>
        <w:keepNext w:val="0"/>
        <w:keepLines w:val="0"/>
        <w:pageBreakBefore w:val="0"/>
        <w:widowControl w:val="0"/>
        <w:kinsoku/>
        <w:wordWrap/>
        <w:overflowPunct/>
        <w:topLinePunct w:val="0"/>
        <w:autoSpaceDE/>
        <w:autoSpaceDN/>
        <w:bidi w:val="0"/>
        <w:adjustRightInd/>
        <w:snapToGrid/>
        <w:spacing w:line="360" w:lineRule="auto"/>
        <w:ind w:left="480"/>
        <w:textAlignment w:val="auto"/>
        <w:outlineLvl w:val="0"/>
        <w:rPr>
          <w:rFonts w:ascii="仿宋" w:hAnsi="仿宋" w:eastAsia="仿宋" w:cs="仿宋"/>
          <w:b/>
          <w:color w:val="auto"/>
          <w:sz w:val="24"/>
          <w:highlight w:val="none"/>
        </w:rPr>
      </w:pPr>
      <w:bookmarkStart w:id="206" w:name="_Toc186493280"/>
      <w:r>
        <w:rPr>
          <w:rFonts w:hint="eastAsia" w:ascii="仿宋" w:hAnsi="仿宋" w:eastAsia="仿宋" w:cs="仿宋"/>
          <w:b/>
          <w:color w:val="auto"/>
          <w:sz w:val="24"/>
          <w:highlight w:val="none"/>
        </w:rPr>
        <w:t>三、符合性审查内容</w:t>
      </w:r>
      <w:bookmarkEnd w:id="206"/>
    </w:p>
    <w:p w14:paraId="53B542EC">
      <w:pPr>
        <w:keepNext w:val="0"/>
        <w:keepLines w:val="0"/>
        <w:pageBreakBefore w:val="0"/>
        <w:widowControl w:val="0"/>
        <w:kinsoku/>
        <w:wordWrap/>
        <w:overflowPunct/>
        <w:topLinePunct w:val="0"/>
        <w:autoSpaceDE/>
        <w:autoSpaceDN/>
        <w:bidi w:val="0"/>
        <w:adjustRightInd/>
        <w:snapToGrid/>
        <w:spacing w:line="360" w:lineRule="auto"/>
        <w:ind w:left="48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1.技术要求响应及偏离表（</w:t>
      </w:r>
      <w:r>
        <w:rPr>
          <w:rFonts w:hint="eastAsia" w:ascii="仿宋" w:hAnsi="仿宋" w:eastAsia="仿宋" w:cs="仿宋"/>
          <w:color w:val="auto"/>
          <w:sz w:val="24"/>
          <w:highlight w:val="none"/>
          <w:lang w:val="zh-CN"/>
        </w:rPr>
        <w:t>格式见附件</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w:t>
      </w:r>
    </w:p>
    <w:p w14:paraId="0C6D1B1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2.商务要求响应及偏离表（</w:t>
      </w:r>
      <w:r>
        <w:rPr>
          <w:rFonts w:hint="eastAsia" w:ascii="仿宋" w:hAnsi="仿宋" w:eastAsia="仿宋" w:cs="仿宋"/>
          <w:color w:val="auto"/>
          <w:sz w:val="24"/>
          <w:highlight w:val="none"/>
          <w:lang w:val="zh-CN"/>
        </w:rPr>
        <w:t>格式见附件</w:t>
      </w:r>
      <w:r>
        <w:rPr>
          <w:rFonts w:hint="eastAsia" w:ascii="仿宋" w:hAnsi="仿宋" w:eastAsia="仿宋" w:cs="仿宋"/>
          <w:color w:val="auto"/>
          <w:sz w:val="24"/>
          <w:highlight w:val="none"/>
          <w:lang w:val="en-US" w:eastAsia="zh-CN"/>
        </w:rPr>
        <w:t>11</w:t>
      </w:r>
      <w:r>
        <w:rPr>
          <w:rFonts w:hint="eastAsia" w:ascii="仿宋" w:hAnsi="仿宋" w:eastAsia="仿宋" w:cs="仿宋"/>
          <w:color w:val="auto"/>
          <w:sz w:val="24"/>
          <w:highlight w:val="none"/>
        </w:rPr>
        <w:t>）</w:t>
      </w:r>
    </w:p>
    <w:p w14:paraId="3574ECF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eastAsia="仿宋"/>
          <w:color w:val="auto"/>
          <w:highlight w:val="none"/>
          <w:lang w:eastAsia="zh-CN"/>
        </w:rPr>
      </w:pPr>
      <w:r>
        <w:rPr>
          <w:rFonts w:hint="eastAsia" w:ascii="仿宋" w:hAnsi="仿宋" w:eastAsia="仿宋" w:cs="仿宋"/>
          <w:color w:val="auto"/>
          <w:sz w:val="24"/>
          <w:highlight w:val="none"/>
        </w:rPr>
        <w:t>3.实质性要求响应及偏离表，投标人必须对技术要求和商务要求中</w:t>
      </w:r>
      <w:r>
        <w:rPr>
          <w:rFonts w:hint="eastAsia" w:ascii="仿宋" w:hAnsi="仿宋" w:eastAsia="仿宋" w:cs="仿宋"/>
          <w:b/>
          <w:bCs/>
          <w:color w:val="auto"/>
          <w:sz w:val="24"/>
          <w:highlight w:val="none"/>
        </w:rPr>
        <w:t>加斜体下划线的实质性要求做出响应，并按照招标文件要求提供证明材料</w:t>
      </w:r>
      <w:r>
        <w:rPr>
          <w:rFonts w:hint="eastAsia" w:ascii="仿宋" w:hAnsi="仿宋" w:eastAsia="仿宋" w:cs="仿宋"/>
          <w:color w:val="auto"/>
          <w:sz w:val="24"/>
          <w:highlight w:val="none"/>
        </w:rPr>
        <w:t>，否则做无效响应处理</w:t>
      </w:r>
      <w:r>
        <w:rPr>
          <w:rFonts w:hint="eastAsia" w:ascii="仿宋" w:hAnsi="仿宋" w:eastAsia="仿宋" w:cs="仿宋"/>
          <w:color w:val="auto"/>
          <w:sz w:val="24"/>
          <w:highlight w:val="none"/>
          <w:lang w:eastAsia="zh-CN"/>
        </w:rPr>
        <w:t>。</w:t>
      </w:r>
    </w:p>
    <w:p w14:paraId="4A3DC8AF">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0"/>
        <w:rPr>
          <w:rFonts w:ascii="仿宋" w:hAnsi="仿宋" w:eastAsia="仿宋" w:cs="仿宋"/>
          <w:b/>
          <w:color w:val="auto"/>
          <w:sz w:val="24"/>
          <w:szCs w:val="24"/>
          <w:highlight w:val="none"/>
        </w:rPr>
      </w:pPr>
      <w:bookmarkStart w:id="207" w:name="_Toc186493281"/>
      <w:r>
        <w:rPr>
          <w:rFonts w:hint="eastAsia" w:ascii="仿宋" w:hAnsi="仿宋" w:eastAsia="仿宋" w:cs="仿宋"/>
          <w:b/>
          <w:color w:val="auto"/>
          <w:sz w:val="24"/>
          <w:szCs w:val="24"/>
          <w:highlight w:val="none"/>
        </w:rPr>
        <w:t>四、</w:t>
      </w:r>
      <w:r>
        <w:rPr>
          <w:rFonts w:hint="eastAsia" w:ascii="仿宋" w:hAnsi="仿宋" w:eastAsia="仿宋" w:cs="仿宋"/>
          <w:b/>
          <w:color w:val="auto"/>
          <w:sz w:val="24"/>
          <w:szCs w:val="24"/>
          <w:highlight w:val="none"/>
          <w:lang w:val="zh-CN"/>
        </w:rPr>
        <w:t>商务技术</w:t>
      </w:r>
      <w:r>
        <w:rPr>
          <w:rFonts w:hint="eastAsia" w:ascii="仿宋" w:hAnsi="仿宋" w:eastAsia="仿宋" w:cs="仿宋"/>
          <w:b/>
          <w:color w:val="auto"/>
          <w:sz w:val="24"/>
          <w:szCs w:val="24"/>
          <w:highlight w:val="none"/>
        </w:rPr>
        <w:t>内容</w:t>
      </w:r>
      <w:bookmarkEnd w:id="207"/>
    </w:p>
    <w:p w14:paraId="678BA7A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商务技术评分标准中须提供的相关得分佐证材料</w:t>
      </w:r>
    </w:p>
    <w:p w14:paraId="5C339B9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投标人认为需要提交的其他材料。</w:t>
      </w:r>
    </w:p>
    <w:p w14:paraId="1E2ED350">
      <w:pPr>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0"/>
        <w:rPr>
          <w:rFonts w:ascii="仿宋" w:hAnsi="仿宋" w:eastAsia="仿宋" w:cs="仿宋"/>
          <w:b/>
          <w:color w:val="auto"/>
          <w:sz w:val="24"/>
          <w:szCs w:val="24"/>
          <w:highlight w:val="none"/>
        </w:rPr>
      </w:pPr>
      <w:bookmarkStart w:id="208" w:name="_Toc186493282"/>
      <w:r>
        <w:rPr>
          <w:rFonts w:hint="eastAsia" w:ascii="仿宋" w:hAnsi="仿宋" w:eastAsia="仿宋" w:cs="仿宋"/>
          <w:b/>
          <w:color w:val="auto"/>
          <w:sz w:val="24"/>
          <w:szCs w:val="24"/>
          <w:highlight w:val="none"/>
        </w:rPr>
        <w:t>五、价格扣除证明文件</w:t>
      </w:r>
      <w:bookmarkEnd w:id="208"/>
    </w:p>
    <w:p w14:paraId="4413925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1.中小企业声明函</w:t>
      </w:r>
    </w:p>
    <w:p w14:paraId="5D9257C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2.残疾人福利性单位声明函</w:t>
      </w:r>
    </w:p>
    <w:p w14:paraId="66EC73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3.监狱和戒毒企业证明材料</w:t>
      </w:r>
    </w:p>
    <w:p w14:paraId="0D539E97">
      <w:pPr>
        <w:outlineLvl w:val="0"/>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lang w:val="zh-CN"/>
        </w:rPr>
        <w:br w:type="page" w:clear="all"/>
      </w:r>
      <w:bookmarkStart w:id="209" w:name="_Toc186493283"/>
      <w:r>
        <w:rPr>
          <w:rFonts w:hint="eastAsia" w:ascii="仿宋" w:hAnsi="仿宋" w:eastAsia="仿宋" w:cs="仿宋"/>
          <w:b/>
          <w:color w:val="auto"/>
          <w:sz w:val="24"/>
          <w:szCs w:val="24"/>
          <w:highlight w:val="none"/>
        </w:rPr>
        <w:t>附件1</w:t>
      </w:r>
      <w:bookmarkEnd w:id="209"/>
      <w:r>
        <w:rPr>
          <w:rFonts w:hint="eastAsia" w:ascii="仿宋" w:hAnsi="仿宋" w:eastAsia="仿宋" w:cs="仿宋"/>
          <w:b/>
          <w:color w:val="auto"/>
          <w:sz w:val="24"/>
          <w:szCs w:val="24"/>
          <w:highlight w:val="none"/>
        </w:rPr>
        <w:t xml:space="preserve"> </w:t>
      </w:r>
    </w:p>
    <w:p w14:paraId="0366ABDF">
      <w:pPr>
        <w:jc w:val="center"/>
        <w:rPr>
          <w:rFonts w:ascii="宋体" w:hAnsi="宋体"/>
          <w:b/>
          <w:color w:val="auto"/>
          <w:sz w:val="30"/>
          <w:szCs w:val="30"/>
          <w:highlight w:val="none"/>
        </w:rPr>
      </w:pPr>
      <w:r>
        <w:rPr>
          <w:rFonts w:hint="eastAsia" w:ascii="仿宋" w:hAnsi="仿宋" w:eastAsia="仿宋" w:cs="仿宋"/>
          <w:b/>
          <w:color w:val="auto"/>
          <w:sz w:val="30"/>
          <w:szCs w:val="30"/>
          <w:highlight w:val="none"/>
        </w:rPr>
        <w:t>开标一览表</w:t>
      </w:r>
    </w:p>
    <w:p w14:paraId="097A350D">
      <w:pPr>
        <w:pStyle w:val="14"/>
        <w:rPr>
          <w:color w:val="auto"/>
          <w:highlight w:val="none"/>
        </w:rPr>
      </w:pPr>
    </w:p>
    <w:p w14:paraId="4C3DFF49">
      <w:pPr>
        <w:spacing w:line="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w:t>
      </w:r>
    </w:p>
    <w:p w14:paraId="11816CB6">
      <w:pPr>
        <w:spacing w:line="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23451FF1">
      <w:pPr>
        <w:spacing w:line="0" w:lineRule="atLeas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                                   </w:t>
      </w:r>
    </w:p>
    <w:tbl>
      <w:tblPr>
        <w:tblStyle w:val="36"/>
        <w:tblW w:w="0" w:type="auto"/>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4"/>
      </w:tblGrid>
      <w:tr w14:paraId="5ADEB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064" w:type="dxa"/>
            <w:noWrap w:val="0"/>
            <w:vAlign w:val="center"/>
          </w:tcPr>
          <w:p w14:paraId="4538E6D5">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r>
      <w:tr w14:paraId="0138C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9064" w:type="dxa"/>
            <w:noWrap w:val="0"/>
            <w:vAlign w:val="center"/>
          </w:tcPr>
          <w:p w14:paraId="7DD37D09">
            <w:pPr>
              <w:pStyle w:val="226"/>
              <w:spacing w:before="0" w:after="0" w:line="500" w:lineRule="exact"/>
              <w:ind w:left="0" w:leftChars="0" w:firstLine="0" w:firstLineChars="0"/>
              <w:rPr>
                <w:rFonts w:ascii="仿宋" w:hAnsi="仿宋" w:eastAsia="仿宋" w:cs="仿宋"/>
                <w:color w:val="auto"/>
                <w:szCs w:val="21"/>
                <w:highlight w:val="none"/>
              </w:rPr>
            </w:pPr>
            <w:r>
              <w:rPr>
                <w:rFonts w:hint="eastAsia" w:ascii="仿宋" w:hAnsi="仿宋" w:eastAsia="仿宋" w:cs="仿宋"/>
                <w:color w:val="auto"/>
                <w:highlight w:val="none"/>
              </w:rPr>
              <w:t>小写： 元</w:t>
            </w:r>
          </w:p>
        </w:tc>
      </w:tr>
    </w:tbl>
    <w:p w14:paraId="4B860B8E">
      <w:pPr>
        <w:spacing w:line="400" w:lineRule="exact"/>
        <w:rPr>
          <w:rFonts w:ascii="仿宋" w:hAnsi="仿宋" w:eastAsia="仿宋" w:cs="仿宋"/>
          <w:b/>
          <w:bCs/>
          <w:color w:val="auto"/>
          <w:sz w:val="24"/>
          <w:highlight w:val="none"/>
        </w:rPr>
      </w:pPr>
    </w:p>
    <w:p w14:paraId="04888224">
      <w:pPr>
        <w:spacing w:line="4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注：1、本附件格式仅作参考，投标人以苏采云平台实际情况进行填报。</w:t>
      </w:r>
    </w:p>
    <w:p w14:paraId="3D2CB5FD">
      <w:pPr>
        <w:rPr>
          <w:rFonts w:ascii="仿宋" w:hAnsi="仿宋" w:eastAsia="仿宋" w:cs="仿宋"/>
          <w:b/>
          <w:color w:val="auto"/>
          <w:sz w:val="24"/>
          <w:szCs w:val="24"/>
          <w:highlight w:val="none"/>
        </w:rPr>
      </w:pPr>
    </w:p>
    <w:p w14:paraId="7274DC40">
      <w:pPr>
        <w:spacing w:line="400" w:lineRule="exact"/>
        <w:ind w:firstLine="2400"/>
        <w:rPr>
          <w:rFonts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szCs w:val="24"/>
          <w:highlight w:val="none"/>
        </w:rPr>
        <w:t>加盖CA电子签章</w:t>
      </w:r>
      <w:r>
        <w:rPr>
          <w:rFonts w:hint="eastAsia" w:ascii="仿宋" w:hAnsi="仿宋" w:eastAsia="仿宋" w:cs="仿宋"/>
          <w:color w:val="auto"/>
          <w:sz w:val="24"/>
          <w:highlight w:val="none"/>
        </w:rPr>
        <w:t>）：</w:t>
      </w:r>
    </w:p>
    <w:p w14:paraId="1F588F00">
      <w:pPr>
        <w:pStyle w:val="14"/>
        <w:rPr>
          <w:color w:val="auto"/>
          <w:highlight w:val="none"/>
        </w:rPr>
      </w:pPr>
    </w:p>
    <w:p w14:paraId="090FB325">
      <w:pPr>
        <w:spacing w:line="400" w:lineRule="exact"/>
        <w:ind w:firstLine="1920"/>
        <w:rPr>
          <w:rFonts w:ascii="仿宋" w:hAnsi="仿宋" w:eastAsia="仿宋" w:cs="仿宋"/>
          <w:color w:val="auto"/>
          <w:sz w:val="24"/>
          <w:highlight w:val="none"/>
        </w:rPr>
      </w:pPr>
      <w:r>
        <w:rPr>
          <w:rFonts w:hint="eastAsia" w:ascii="仿宋" w:hAnsi="仿宋" w:eastAsia="仿宋" w:cs="仿宋"/>
          <w:color w:val="auto"/>
          <w:sz w:val="24"/>
          <w:highlight w:val="none"/>
        </w:rPr>
        <w:t>法定代表人或委托代理人（签章）：</w:t>
      </w:r>
    </w:p>
    <w:p w14:paraId="4EE64A12">
      <w:pPr>
        <w:spacing w:line="400" w:lineRule="exact"/>
        <w:ind w:firstLine="480"/>
        <w:rPr>
          <w:rFonts w:ascii="仿宋" w:hAnsi="仿宋" w:eastAsia="仿宋" w:cs="仿宋"/>
          <w:color w:val="auto"/>
          <w:sz w:val="24"/>
          <w:highlight w:val="none"/>
        </w:rPr>
      </w:pPr>
    </w:p>
    <w:p w14:paraId="54E40DAE">
      <w:pPr>
        <w:ind w:firstLine="4320"/>
        <w:rPr>
          <w:rFonts w:hint="eastAsia"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06EA25A4">
      <w:pPr>
        <w:bidi w:val="0"/>
        <w:rPr>
          <w:rFonts w:hint="eastAsia" w:ascii="Times New Roman" w:hAnsi="Times New Roman" w:eastAsia="宋体" w:cs="Times New Roman"/>
          <w:sz w:val="21"/>
          <w:szCs w:val="21"/>
          <w:lang w:val="en-US" w:eastAsia="zh-CN" w:bidi="ar-SA"/>
        </w:rPr>
      </w:pPr>
    </w:p>
    <w:p w14:paraId="36434A35">
      <w:pPr>
        <w:bidi w:val="0"/>
        <w:rPr>
          <w:rFonts w:hint="eastAsia"/>
          <w:lang w:val="en-US" w:eastAsia="zh-CN"/>
        </w:rPr>
      </w:pPr>
    </w:p>
    <w:p w14:paraId="7E745600">
      <w:pPr>
        <w:bidi w:val="0"/>
        <w:rPr>
          <w:rFonts w:hint="eastAsia"/>
          <w:lang w:val="en-US" w:eastAsia="zh-CN"/>
        </w:rPr>
      </w:pPr>
    </w:p>
    <w:p w14:paraId="0C4ED3C2">
      <w:pPr>
        <w:bidi w:val="0"/>
        <w:rPr>
          <w:rFonts w:hint="eastAsia"/>
          <w:lang w:val="en-US" w:eastAsia="zh-CN"/>
        </w:rPr>
      </w:pPr>
    </w:p>
    <w:p w14:paraId="3D839C58">
      <w:pPr>
        <w:bidi w:val="0"/>
        <w:rPr>
          <w:rFonts w:hint="eastAsia"/>
          <w:lang w:val="en-US" w:eastAsia="zh-CN"/>
        </w:rPr>
      </w:pPr>
    </w:p>
    <w:p w14:paraId="346F5110">
      <w:pPr>
        <w:bidi w:val="0"/>
        <w:rPr>
          <w:rFonts w:hint="eastAsia"/>
          <w:lang w:val="en-US" w:eastAsia="zh-CN"/>
        </w:rPr>
      </w:pPr>
    </w:p>
    <w:p w14:paraId="046FA81D">
      <w:pPr>
        <w:bidi w:val="0"/>
        <w:rPr>
          <w:rFonts w:hint="eastAsia"/>
          <w:lang w:val="en-US" w:eastAsia="zh-CN"/>
        </w:rPr>
      </w:pPr>
    </w:p>
    <w:p w14:paraId="677DA250">
      <w:pPr>
        <w:bidi w:val="0"/>
        <w:rPr>
          <w:rFonts w:hint="eastAsia"/>
          <w:lang w:val="en-US" w:eastAsia="zh-CN"/>
        </w:rPr>
      </w:pPr>
    </w:p>
    <w:p w14:paraId="45DA4B8C">
      <w:pPr>
        <w:bidi w:val="0"/>
        <w:rPr>
          <w:rFonts w:hint="eastAsia"/>
          <w:lang w:val="en-US" w:eastAsia="zh-CN"/>
        </w:rPr>
      </w:pPr>
    </w:p>
    <w:p w14:paraId="7C3614F2">
      <w:pPr>
        <w:bidi w:val="0"/>
        <w:rPr>
          <w:rFonts w:hint="eastAsia"/>
          <w:lang w:val="en-US" w:eastAsia="zh-CN"/>
        </w:rPr>
      </w:pPr>
    </w:p>
    <w:p w14:paraId="5546D09A">
      <w:pPr>
        <w:bidi w:val="0"/>
        <w:rPr>
          <w:rFonts w:hint="eastAsia"/>
          <w:lang w:val="en-US" w:eastAsia="zh-CN"/>
        </w:rPr>
      </w:pPr>
    </w:p>
    <w:p w14:paraId="1AB1D38E">
      <w:pPr>
        <w:bidi w:val="0"/>
        <w:rPr>
          <w:rFonts w:hint="eastAsia"/>
          <w:lang w:val="en-US" w:eastAsia="zh-CN"/>
        </w:rPr>
      </w:pPr>
    </w:p>
    <w:p w14:paraId="5FF887DC">
      <w:pPr>
        <w:bidi w:val="0"/>
        <w:rPr>
          <w:rFonts w:hint="eastAsia"/>
          <w:lang w:val="en-US" w:eastAsia="zh-CN"/>
        </w:rPr>
      </w:pPr>
    </w:p>
    <w:p w14:paraId="479AFE86">
      <w:pPr>
        <w:bidi w:val="0"/>
        <w:rPr>
          <w:rFonts w:hint="eastAsia"/>
          <w:lang w:val="en-US" w:eastAsia="zh-CN"/>
        </w:rPr>
      </w:pPr>
    </w:p>
    <w:p w14:paraId="755E8C11">
      <w:pPr>
        <w:bidi w:val="0"/>
        <w:rPr>
          <w:rFonts w:hint="eastAsia"/>
          <w:lang w:val="en-US" w:eastAsia="zh-CN"/>
        </w:rPr>
      </w:pPr>
    </w:p>
    <w:p w14:paraId="0E5C9C8F">
      <w:pPr>
        <w:bidi w:val="0"/>
        <w:rPr>
          <w:rFonts w:hint="eastAsia"/>
          <w:lang w:val="en-US" w:eastAsia="zh-CN"/>
        </w:rPr>
      </w:pPr>
    </w:p>
    <w:p w14:paraId="1F13A0F3">
      <w:pPr>
        <w:bidi w:val="0"/>
        <w:rPr>
          <w:rFonts w:hint="eastAsia"/>
          <w:lang w:val="en-US" w:eastAsia="zh-CN"/>
        </w:rPr>
      </w:pPr>
    </w:p>
    <w:p w14:paraId="08E63C51">
      <w:pPr>
        <w:bidi w:val="0"/>
        <w:rPr>
          <w:rFonts w:hint="eastAsia"/>
          <w:lang w:val="en-US" w:eastAsia="zh-CN"/>
        </w:rPr>
      </w:pPr>
    </w:p>
    <w:p w14:paraId="4E6071CB">
      <w:pPr>
        <w:bidi w:val="0"/>
        <w:rPr>
          <w:rFonts w:hint="eastAsia"/>
          <w:lang w:val="en-US" w:eastAsia="zh-CN"/>
        </w:rPr>
      </w:pPr>
    </w:p>
    <w:p w14:paraId="3609B89B">
      <w:pPr>
        <w:bidi w:val="0"/>
        <w:rPr>
          <w:rFonts w:hint="eastAsia"/>
          <w:lang w:val="en-US" w:eastAsia="zh-CN"/>
        </w:rPr>
      </w:pPr>
    </w:p>
    <w:p w14:paraId="59F25FCD">
      <w:pPr>
        <w:bidi w:val="0"/>
        <w:rPr>
          <w:rFonts w:hint="eastAsia"/>
          <w:lang w:val="en-US" w:eastAsia="zh-CN"/>
        </w:rPr>
      </w:pPr>
    </w:p>
    <w:p w14:paraId="79448B92">
      <w:pPr>
        <w:tabs>
          <w:tab w:val="left" w:pos="606"/>
        </w:tabs>
        <w:bidi w:val="0"/>
        <w:jc w:val="left"/>
        <w:rPr>
          <w:rFonts w:hint="eastAsia"/>
          <w:lang w:val="en-US" w:eastAsia="zh-CN"/>
        </w:rPr>
        <w:sectPr>
          <w:footerReference r:id="rId6" w:type="default"/>
          <w:pgSz w:w="11906" w:h="16838"/>
          <w:pgMar w:top="1191" w:right="1588" w:bottom="39" w:left="1365" w:header="851" w:footer="907" w:gutter="0"/>
          <w:pgBorders>
            <w:top w:val="none" w:sz="0" w:space="0"/>
            <w:left w:val="none" w:sz="0" w:space="0"/>
            <w:bottom w:val="none" w:sz="0" w:space="0"/>
            <w:right w:val="none" w:sz="0" w:space="0"/>
          </w:pgBorders>
          <w:cols w:space="0" w:num="1"/>
          <w:rtlGutter w:val="0"/>
          <w:docGrid w:linePitch="360" w:charSpace="0"/>
        </w:sectPr>
      </w:pPr>
      <w:r>
        <w:rPr>
          <w:rFonts w:hint="eastAsia"/>
          <w:lang w:val="en-US" w:eastAsia="zh-CN"/>
        </w:rPr>
        <w:tab/>
      </w:r>
    </w:p>
    <w:p w14:paraId="2AEA6ADE">
      <w:pPr>
        <w:rPr>
          <w:rFonts w:hint="eastAsia" w:ascii="仿宋" w:hAnsi="仿宋" w:eastAsia="仿宋" w:cs="仿宋"/>
          <w:b/>
          <w:bCs/>
          <w:color w:val="auto"/>
          <w:sz w:val="30"/>
          <w:szCs w:val="30"/>
          <w:highlight w:val="none"/>
          <w:lang w:val="en-US" w:eastAsia="zh-CN"/>
        </w:rPr>
      </w:pPr>
      <w:bookmarkStart w:id="210" w:name="_Toc186493284"/>
      <w:r>
        <w:rPr>
          <w:rFonts w:hint="eastAsia" w:ascii="仿宋" w:hAnsi="仿宋" w:eastAsia="仿宋" w:cs="仿宋"/>
          <w:b/>
          <w:color w:val="auto"/>
          <w:sz w:val="24"/>
          <w:szCs w:val="24"/>
          <w:highlight w:val="none"/>
        </w:rPr>
        <w:t>附件2</w:t>
      </w:r>
      <w:bookmarkEnd w:id="210"/>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bCs/>
          <w:color w:val="auto"/>
          <w:sz w:val="30"/>
          <w:szCs w:val="30"/>
          <w:highlight w:val="none"/>
          <w:lang w:val="en-US" w:eastAsia="zh-CN"/>
        </w:rPr>
        <w:t>投标分项报价表</w:t>
      </w:r>
    </w:p>
    <w:p w14:paraId="5453FD2D">
      <w:pPr>
        <w:pStyle w:val="248"/>
        <w:spacing w:line="360" w:lineRule="auto"/>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项目名称：</w:t>
      </w:r>
      <w:r>
        <w:rPr>
          <w:rFonts w:hint="eastAsia" w:ascii="仿宋" w:hAnsi="仿宋" w:eastAsia="仿宋" w:cs="仿宋"/>
          <w:b/>
          <w:bCs/>
          <w:color w:val="auto"/>
          <w:sz w:val="24"/>
          <w:szCs w:val="24"/>
          <w:highlight w:val="none"/>
          <w:u w:val="single"/>
          <w:lang w:eastAsia="zh-CN"/>
        </w:rPr>
        <w:t>如东县城中街道农村环境卫生长效管护服务项目</w:t>
      </w:r>
    </w:p>
    <w:tbl>
      <w:tblPr>
        <w:tblStyle w:val="36"/>
        <w:tblW w:w="13739" w:type="dxa"/>
        <w:tblInd w:w="9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top w:w="0" w:type="dxa"/>
          <w:left w:w="108" w:type="dxa"/>
          <w:bottom w:w="0" w:type="dxa"/>
          <w:right w:w="108" w:type="dxa"/>
        </w:tblCellMar>
      </w:tblPr>
      <w:tblGrid>
        <w:gridCol w:w="525"/>
        <w:gridCol w:w="1050"/>
        <w:gridCol w:w="1080"/>
        <w:gridCol w:w="1080"/>
        <w:gridCol w:w="7156"/>
        <w:gridCol w:w="1116"/>
        <w:gridCol w:w="816"/>
        <w:gridCol w:w="916"/>
      </w:tblGrid>
      <w:tr w14:paraId="6D4005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760" w:hRule="atLeast"/>
        </w:trPr>
        <w:tc>
          <w:tcPr>
            <w:tcW w:w="525" w:type="dxa"/>
            <w:tcBorders>
              <w:tl2br w:val="nil"/>
              <w:tr2bl w:val="nil"/>
            </w:tcBorders>
            <w:shd w:val="clear" w:color="auto" w:fill="auto"/>
            <w:noWrap/>
            <w:vAlign w:val="center"/>
          </w:tcPr>
          <w:p w14:paraId="705D318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序号</w:t>
            </w:r>
          </w:p>
        </w:tc>
        <w:tc>
          <w:tcPr>
            <w:tcW w:w="2130" w:type="dxa"/>
            <w:gridSpan w:val="2"/>
            <w:tcBorders>
              <w:tl2br w:val="nil"/>
              <w:tr2bl w:val="nil"/>
            </w:tcBorders>
            <w:shd w:val="clear" w:color="auto" w:fill="auto"/>
            <w:noWrap/>
            <w:vAlign w:val="center"/>
          </w:tcPr>
          <w:p w14:paraId="35C356B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项目名称</w:t>
            </w:r>
          </w:p>
        </w:tc>
        <w:tc>
          <w:tcPr>
            <w:tcW w:w="1080" w:type="dxa"/>
            <w:tcBorders>
              <w:tl2br w:val="nil"/>
              <w:tr2bl w:val="nil"/>
            </w:tcBorders>
            <w:shd w:val="clear" w:color="auto" w:fill="auto"/>
            <w:noWrap/>
            <w:vAlign w:val="center"/>
          </w:tcPr>
          <w:p w14:paraId="6C0C8EB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数量</w:t>
            </w:r>
          </w:p>
        </w:tc>
        <w:tc>
          <w:tcPr>
            <w:tcW w:w="7156" w:type="dxa"/>
            <w:tcBorders>
              <w:tl2br w:val="nil"/>
              <w:tr2bl w:val="nil"/>
            </w:tcBorders>
            <w:shd w:val="clear" w:color="auto" w:fill="auto"/>
            <w:noWrap/>
            <w:vAlign w:val="center"/>
          </w:tcPr>
          <w:p w14:paraId="40C7A6A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服 务 内 容 概 述</w:t>
            </w:r>
          </w:p>
        </w:tc>
        <w:tc>
          <w:tcPr>
            <w:tcW w:w="1116" w:type="dxa"/>
            <w:tcBorders>
              <w:tl2br w:val="nil"/>
              <w:tr2bl w:val="nil"/>
            </w:tcBorders>
            <w:shd w:val="clear" w:color="auto" w:fill="auto"/>
            <w:vAlign w:val="center"/>
          </w:tcPr>
          <w:p w14:paraId="7CE2C95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一年全费用单价最高限价（元）</w:t>
            </w:r>
          </w:p>
        </w:tc>
        <w:tc>
          <w:tcPr>
            <w:tcW w:w="816" w:type="dxa"/>
            <w:tcBorders>
              <w:tl2br w:val="nil"/>
              <w:tr2bl w:val="nil"/>
            </w:tcBorders>
            <w:shd w:val="clear" w:color="auto" w:fill="auto"/>
            <w:vAlign w:val="center"/>
          </w:tcPr>
          <w:p w14:paraId="13815F9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一年全费用单价报价（元）</w:t>
            </w:r>
          </w:p>
        </w:tc>
        <w:tc>
          <w:tcPr>
            <w:tcW w:w="916" w:type="dxa"/>
            <w:tcBorders>
              <w:tl2br w:val="nil"/>
              <w:tr2bl w:val="nil"/>
            </w:tcBorders>
            <w:shd w:val="clear" w:color="auto" w:fill="auto"/>
            <w:vAlign w:val="center"/>
          </w:tcPr>
          <w:p w14:paraId="2649BF8C">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三年全费用合价（元）</w:t>
            </w:r>
          </w:p>
        </w:tc>
      </w:tr>
      <w:tr w14:paraId="44BA2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640" w:hRule="atLeast"/>
        </w:trPr>
        <w:tc>
          <w:tcPr>
            <w:tcW w:w="525" w:type="dxa"/>
            <w:vMerge w:val="restart"/>
            <w:tcBorders>
              <w:tl2br w:val="nil"/>
              <w:tr2bl w:val="nil"/>
            </w:tcBorders>
            <w:shd w:val="clear" w:color="auto" w:fill="auto"/>
            <w:vAlign w:val="center"/>
          </w:tcPr>
          <w:p w14:paraId="79011B0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050" w:type="dxa"/>
            <w:vMerge w:val="restart"/>
            <w:tcBorders>
              <w:tl2br w:val="nil"/>
              <w:tr2bl w:val="nil"/>
            </w:tcBorders>
            <w:shd w:val="clear" w:color="auto" w:fill="auto"/>
            <w:vAlign w:val="center"/>
          </w:tcPr>
          <w:p w14:paraId="5B1F661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农路   （桥梁） 管护     保洁</w:t>
            </w:r>
          </w:p>
        </w:tc>
        <w:tc>
          <w:tcPr>
            <w:tcW w:w="1080" w:type="dxa"/>
            <w:tcBorders>
              <w:tl2br w:val="nil"/>
              <w:tr2bl w:val="nil"/>
            </w:tcBorders>
            <w:shd w:val="clear" w:color="auto" w:fill="auto"/>
            <w:vAlign w:val="center"/>
          </w:tcPr>
          <w:p w14:paraId="74D21BA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县级路</w:t>
            </w:r>
          </w:p>
        </w:tc>
        <w:tc>
          <w:tcPr>
            <w:tcW w:w="1080" w:type="dxa"/>
            <w:tcBorders>
              <w:tl2br w:val="nil"/>
              <w:tr2bl w:val="nil"/>
            </w:tcBorders>
            <w:shd w:val="clear" w:color="auto" w:fill="auto"/>
            <w:vAlign w:val="center"/>
          </w:tcPr>
          <w:p w14:paraId="0D3C2E2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27.71公里</w:t>
            </w:r>
          </w:p>
        </w:tc>
        <w:tc>
          <w:tcPr>
            <w:tcW w:w="7156" w:type="dxa"/>
            <w:tcBorders>
              <w:tl2br w:val="nil"/>
              <w:tr2bl w:val="nil"/>
            </w:tcBorders>
            <w:shd w:val="clear" w:color="auto" w:fill="auto"/>
            <w:vAlign w:val="center"/>
          </w:tcPr>
          <w:p w14:paraId="4ADF39B2">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 xml:space="preserve"> 县道路边及路边沟塘垃圾捡拾、农作物秸杆等堆积杂物清理、路两侧加拿大一枝黄花清除（包含掘坎路两侧行道树管护）。</w:t>
            </w:r>
          </w:p>
        </w:tc>
        <w:tc>
          <w:tcPr>
            <w:tcW w:w="1116" w:type="dxa"/>
            <w:tcBorders>
              <w:tl2br w:val="nil"/>
              <w:tr2bl w:val="nil"/>
            </w:tcBorders>
            <w:shd w:val="clear" w:color="auto" w:fill="auto"/>
            <w:vAlign w:val="center"/>
          </w:tcPr>
          <w:p w14:paraId="2697AE2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51309</w:t>
            </w:r>
          </w:p>
        </w:tc>
        <w:tc>
          <w:tcPr>
            <w:tcW w:w="816" w:type="dxa"/>
            <w:tcBorders>
              <w:tl2br w:val="nil"/>
              <w:tr2bl w:val="nil"/>
            </w:tcBorders>
            <w:shd w:val="clear" w:color="auto" w:fill="auto"/>
            <w:noWrap/>
            <w:vAlign w:val="center"/>
          </w:tcPr>
          <w:p w14:paraId="4C51226E">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vAlign w:val="center"/>
          </w:tcPr>
          <w:p w14:paraId="609CFFF2">
            <w:pPr>
              <w:jc w:val="center"/>
              <w:rPr>
                <w:rFonts w:hint="eastAsia" w:ascii="仿宋" w:hAnsi="仿宋" w:eastAsia="仿宋" w:cs="仿宋"/>
                <w:i w:val="0"/>
                <w:iCs w:val="0"/>
                <w:color w:val="000000"/>
                <w:sz w:val="20"/>
                <w:szCs w:val="20"/>
                <w:u w:val="none"/>
              </w:rPr>
            </w:pPr>
          </w:p>
        </w:tc>
      </w:tr>
      <w:tr w14:paraId="1378D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2100" w:hRule="atLeast"/>
        </w:trPr>
        <w:tc>
          <w:tcPr>
            <w:tcW w:w="525" w:type="dxa"/>
            <w:vMerge w:val="continue"/>
            <w:tcBorders>
              <w:tl2br w:val="nil"/>
              <w:tr2bl w:val="nil"/>
            </w:tcBorders>
            <w:shd w:val="clear" w:color="auto" w:fill="auto"/>
            <w:vAlign w:val="center"/>
          </w:tcPr>
          <w:p w14:paraId="3BE1C02D">
            <w:pPr>
              <w:jc w:val="center"/>
              <w:rPr>
                <w:rFonts w:hint="eastAsia" w:ascii="仿宋" w:hAnsi="仿宋" w:eastAsia="仿宋" w:cs="仿宋"/>
                <w:i w:val="0"/>
                <w:iCs w:val="0"/>
                <w:color w:val="000000"/>
                <w:sz w:val="20"/>
                <w:szCs w:val="20"/>
                <w:u w:val="none"/>
              </w:rPr>
            </w:pPr>
          </w:p>
        </w:tc>
        <w:tc>
          <w:tcPr>
            <w:tcW w:w="1050" w:type="dxa"/>
            <w:vMerge w:val="continue"/>
            <w:tcBorders>
              <w:tl2br w:val="nil"/>
              <w:tr2bl w:val="nil"/>
            </w:tcBorders>
            <w:shd w:val="clear" w:color="auto" w:fill="auto"/>
            <w:vAlign w:val="center"/>
          </w:tcPr>
          <w:p w14:paraId="144F40BB">
            <w:pPr>
              <w:jc w:val="center"/>
              <w:rPr>
                <w:rFonts w:hint="eastAsia" w:ascii="仿宋" w:hAnsi="仿宋" w:eastAsia="仿宋" w:cs="仿宋"/>
                <w:i w:val="0"/>
                <w:iCs w:val="0"/>
                <w:color w:val="000000"/>
                <w:sz w:val="20"/>
                <w:szCs w:val="20"/>
                <w:u w:val="none"/>
              </w:rPr>
            </w:pPr>
          </w:p>
        </w:tc>
        <w:tc>
          <w:tcPr>
            <w:tcW w:w="1080" w:type="dxa"/>
            <w:tcBorders>
              <w:tl2br w:val="nil"/>
              <w:tr2bl w:val="nil"/>
            </w:tcBorders>
            <w:shd w:val="clear" w:color="auto" w:fill="auto"/>
            <w:vAlign w:val="center"/>
          </w:tcPr>
          <w:p w14:paraId="465A135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乡村公路</w:t>
            </w:r>
          </w:p>
        </w:tc>
        <w:tc>
          <w:tcPr>
            <w:tcW w:w="1080" w:type="dxa"/>
            <w:tcBorders>
              <w:tl2br w:val="nil"/>
              <w:tr2bl w:val="nil"/>
            </w:tcBorders>
            <w:shd w:val="clear" w:color="auto" w:fill="auto"/>
            <w:vAlign w:val="center"/>
          </w:tcPr>
          <w:p w14:paraId="6D02E5B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99.528  公里</w:t>
            </w:r>
          </w:p>
        </w:tc>
        <w:tc>
          <w:tcPr>
            <w:tcW w:w="7156" w:type="dxa"/>
            <w:vMerge w:val="restart"/>
            <w:tcBorders>
              <w:tl2br w:val="nil"/>
              <w:tr2bl w:val="nil"/>
            </w:tcBorders>
            <w:shd w:val="clear" w:color="auto" w:fill="auto"/>
            <w:vAlign w:val="center"/>
          </w:tcPr>
          <w:p w14:paraId="00E2433A">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农村道路保持清洁，农路两侧视野范围内无散失生活垃圾,清理处置路边、路边沟塘堆积的零星杂物、农作物秸杆、瓜豆类蔓藤等；道路边线清晰，无泥土、杂物等占路覆盖。（2）雨后路面积水及时排放，路肩雨淋漕沟及时培土修复（1㎡内）。（3）合理安排农村道路路肩(坡)割草频率，乡村公路每年不少于10次，村组道路每年不少于7次，保证路肩(坡)无15cm以上高草现象，路坡割至路田分界沟或路田分界处，割草后的路面及时保洁；及时清除道路两侧的加拿大一枝黄花；配合村对道路路肩、边坡种植的农作物进行处置；道路两侧绿化树木不定期进行修剪，及时扶正倒伏、倾斜树木，及时清除树上攀爬蔓藤、杂树、枯死树木，对影响视线和遮挡示警标志的树木要随时修剪,乡村公路树木一年一次病虫害（刷白）防治。                                                           （4）及时扶正倒伏、倾斜的示警标志、标识等；及时清除路边两侧电线杆、路(桥)护拦、车口房、公示牌等可视范围内悬挂、张贴的小广告及攀爬蔓藤。如发现示警设施缺少或损坏及时向甲方报告。                                                               （5）桥梁保持清洁，无散失垃圾、泥沙等，及时清除桥头两侧影响视线的高杆植物，桥面泄水孔保持畅通，伸缩缝无堵塞物；桥下零星杂物及时清理。不着                           （6）乡村公路两侧顺路沟塘按三、四级河道日常保洁要求进行长效管护，其它沿路沟塘做到视野范围内散失生活垃圾及时捡拾。                                              （注;先进行全域预算，按年度对道路整治工程质保期内的工程量进行服务费核减）。</w:t>
            </w:r>
          </w:p>
        </w:tc>
        <w:tc>
          <w:tcPr>
            <w:tcW w:w="1116" w:type="dxa"/>
            <w:tcBorders>
              <w:tl2br w:val="nil"/>
              <w:tr2bl w:val="nil"/>
            </w:tcBorders>
            <w:shd w:val="clear" w:color="auto" w:fill="auto"/>
            <w:vAlign w:val="center"/>
          </w:tcPr>
          <w:p w14:paraId="4BA3CD1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583907</w:t>
            </w:r>
          </w:p>
        </w:tc>
        <w:tc>
          <w:tcPr>
            <w:tcW w:w="816" w:type="dxa"/>
            <w:tcBorders>
              <w:tl2br w:val="nil"/>
              <w:tr2bl w:val="nil"/>
            </w:tcBorders>
            <w:shd w:val="clear" w:color="auto" w:fill="auto"/>
            <w:noWrap/>
            <w:vAlign w:val="center"/>
          </w:tcPr>
          <w:p w14:paraId="4ADB2138">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vAlign w:val="center"/>
          </w:tcPr>
          <w:p w14:paraId="50502DAE">
            <w:pPr>
              <w:jc w:val="center"/>
              <w:rPr>
                <w:rFonts w:hint="eastAsia" w:ascii="仿宋" w:hAnsi="仿宋" w:eastAsia="仿宋" w:cs="仿宋"/>
                <w:i w:val="0"/>
                <w:iCs w:val="0"/>
                <w:color w:val="000000"/>
                <w:sz w:val="20"/>
                <w:szCs w:val="20"/>
                <w:u w:val="none"/>
              </w:rPr>
            </w:pPr>
          </w:p>
        </w:tc>
      </w:tr>
      <w:tr w14:paraId="4F1CEB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2000" w:hRule="atLeast"/>
        </w:trPr>
        <w:tc>
          <w:tcPr>
            <w:tcW w:w="525" w:type="dxa"/>
            <w:vMerge w:val="continue"/>
            <w:tcBorders>
              <w:tl2br w:val="nil"/>
              <w:tr2bl w:val="nil"/>
            </w:tcBorders>
            <w:shd w:val="clear" w:color="auto" w:fill="auto"/>
            <w:vAlign w:val="center"/>
          </w:tcPr>
          <w:p w14:paraId="35E0553C">
            <w:pPr>
              <w:jc w:val="center"/>
              <w:rPr>
                <w:rFonts w:hint="eastAsia" w:ascii="仿宋" w:hAnsi="仿宋" w:eastAsia="仿宋" w:cs="仿宋"/>
                <w:i w:val="0"/>
                <w:iCs w:val="0"/>
                <w:color w:val="000000"/>
                <w:sz w:val="20"/>
                <w:szCs w:val="20"/>
                <w:u w:val="none"/>
              </w:rPr>
            </w:pPr>
          </w:p>
        </w:tc>
        <w:tc>
          <w:tcPr>
            <w:tcW w:w="1050" w:type="dxa"/>
            <w:vMerge w:val="continue"/>
            <w:tcBorders>
              <w:tl2br w:val="nil"/>
              <w:tr2bl w:val="nil"/>
            </w:tcBorders>
            <w:shd w:val="clear" w:color="auto" w:fill="auto"/>
            <w:vAlign w:val="center"/>
          </w:tcPr>
          <w:p w14:paraId="6D3D8334">
            <w:pPr>
              <w:jc w:val="center"/>
              <w:rPr>
                <w:rFonts w:hint="eastAsia" w:ascii="仿宋" w:hAnsi="仿宋" w:eastAsia="仿宋" w:cs="仿宋"/>
                <w:i w:val="0"/>
                <w:iCs w:val="0"/>
                <w:color w:val="000000"/>
                <w:sz w:val="20"/>
                <w:szCs w:val="20"/>
                <w:u w:val="none"/>
              </w:rPr>
            </w:pPr>
          </w:p>
        </w:tc>
        <w:tc>
          <w:tcPr>
            <w:tcW w:w="1080" w:type="dxa"/>
            <w:tcBorders>
              <w:tl2br w:val="nil"/>
              <w:tr2bl w:val="nil"/>
            </w:tcBorders>
            <w:shd w:val="clear" w:color="auto" w:fill="auto"/>
            <w:vAlign w:val="center"/>
          </w:tcPr>
          <w:p w14:paraId="6358E71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村组道路</w:t>
            </w:r>
          </w:p>
        </w:tc>
        <w:tc>
          <w:tcPr>
            <w:tcW w:w="1080" w:type="dxa"/>
            <w:tcBorders>
              <w:tl2br w:val="nil"/>
              <w:tr2bl w:val="nil"/>
            </w:tcBorders>
            <w:shd w:val="clear" w:color="auto" w:fill="auto"/>
            <w:vAlign w:val="center"/>
          </w:tcPr>
          <w:p w14:paraId="6D2C85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269.68  公里</w:t>
            </w:r>
          </w:p>
        </w:tc>
        <w:tc>
          <w:tcPr>
            <w:tcW w:w="7156" w:type="dxa"/>
            <w:vMerge w:val="continue"/>
            <w:tcBorders>
              <w:tl2br w:val="nil"/>
              <w:tr2bl w:val="nil"/>
            </w:tcBorders>
            <w:shd w:val="clear" w:color="auto" w:fill="auto"/>
            <w:vAlign w:val="center"/>
          </w:tcPr>
          <w:p w14:paraId="4B12E73D">
            <w:pPr>
              <w:jc w:val="left"/>
              <w:rPr>
                <w:rFonts w:hint="eastAsia" w:ascii="仿宋" w:hAnsi="仿宋" w:eastAsia="仿宋" w:cs="仿宋"/>
                <w:i w:val="0"/>
                <w:iCs w:val="0"/>
                <w:color w:val="000000"/>
                <w:sz w:val="20"/>
                <w:szCs w:val="20"/>
                <w:u w:val="none"/>
              </w:rPr>
            </w:pPr>
          </w:p>
        </w:tc>
        <w:tc>
          <w:tcPr>
            <w:tcW w:w="1116" w:type="dxa"/>
            <w:tcBorders>
              <w:tl2br w:val="nil"/>
              <w:tr2bl w:val="nil"/>
            </w:tcBorders>
            <w:shd w:val="clear" w:color="auto" w:fill="auto"/>
            <w:vAlign w:val="center"/>
          </w:tcPr>
          <w:p w14:paraId="4CC486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658712</w:t>
            </w:r>
          </w:p>
        </w:tc>
        <w:tc>
          <w:tcPr>
            <w:tcW w:w="816" w:type="dxa"/>
            <w:tcBorders>
              <w:tl2br w:val="nil"/>
              <w:tr2bl w:val="nil"/>
            </w:tcBorders>
            <w:shd w:val="clear" w:color="auto" w:fill="auto"/>
            <w:noWrap/>
            <w:vAlign w:val="center"/>
          </w:tcPr>
          <w:p w14:paraId="29EB2D89">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vAlign w:val="center"/>
          </w:tcPr>
          <w:p w14:paraId="0B296D94">
            <w:pPr>
              <w:jc w:val="center"/>
              <w:rPr>
                <w:rFonts w:hint="eastAsia" w:ascii="仿宋" w:hAnsi="仿宋" w:eastAsia="仿宋" w:cs="仿宋"/>
                <w:i w:val="0"/>
                <w:iCs w:val="0"/>
                <w:color w:val="000000"/>
                <w:sz w:val="20"/>
                <w:szCs w:val="20"/>
                <w:u w:val="none"/>
              </w:rPr>
            </w:pPr>
          </w:p>
        </w:tc>
      </w:tr>
      <w:tr w14:paraId="44C55C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0" w:hRule="atLeast"/>
        </w:trPr>
        <w:tc>
          <w:tcPr>
            <w:tcW w:w="525" w:type="dxa"/>
            <w:vMerge w:val="restart"/>
            <w:tcBorders>
              <w:tl2br w:val="nil"/>
              <w:tr2bl w:val="nil"/>
            </w:tcBorders>
            <w:shd w:val="clear" w:color="auto" w:fill="auto"/>
            <w:vAlign w:val="center"/>
          </w:tcPr>
          <w:p w14:paraId="011A6F7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1050" w:type="dxa"/>
            <w:vMerge w:val="restart"/>
            <w:tcBorders>
              <w:tl2br w:val="nil"/>
              <w:tr2bl w:val="nil"/>
            </w:tcBorders>
            <w:shd w:val="clear" w:color="auto" w:fill="auto"/>
            <w:vAlign w:val="center"/>
          </w:tcPr>
          <w:p w14:paraId="47866B1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河道（含河道绿化）     管护     保洁</w:t>
            </w:r>
          </w:p>
        </w:tc>
        <w:tc>
          <w:tcPr>
            <w:tcW w:w="1080" w:type="dxa"/>
            <w:tcBorders>
              <w:tl2br w:val="nil"/>
              <w:tr2bl w:val="nil"/>
            </w:tcBorders>
            <w:shd w:val="clear" w:color="auto" w:fill="auto"/>
            <w:vAlign w:val="center"/>
          </w:tcPr>
          <w:p w14:paraId="3D8CE4E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一、二级河</w:t>
            </w:r>
          </w:p>
        </w:tc>
        <w:tc>
          <w:tcPr>
            <w:tcW w:w="1080" w:type="dxa"/>
            <w:tcBorders>
              <w:tl2br w:val="nil"/>
              <w:tr2bl w:val="nil"/>
            </w:tcBorders>
            <w:shd w:val="clear" w:color="auto" w:fill="auto"/>
            <w:vAlign w:val="center"/>
          </w:tcPr>
          <w:p w14:paraId="692D2A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16.65公里</w:t>
            </w:r>
          </w:p>
        </w:tc>
        <w:tc>
          <w:tcPr>
            <w:tcW w:w="7156" w:type="dxa"/>
            <w:tcBorders>
              <w:tl2br w:val="nil"/>
              <w:tr2bl w:val="nil"/>
            </w:tcBorders>
            <w:shd w:val="clear" w:color="auto" w:fill="auto"/>
            <w:vAlign w:val="center"/>
          </w:tcPr>
          <w:p w14:paraId="185221BC">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河坡农作物秸杆等堆积物清理；河坡高草、加拿大一枝黄花清除；配合村对河坡种植的农作物进行处置。</w:t>
            </w:r>
          </w:p>
        </w:tc>
        <w:tc>
          <w:tcPr>
            <w:tcW w:w="1116" w:type="dxa"/>
            <w:tcBorders>
              <w:tl2br w:val="nil"/>
              <w:tr2bl w:val="nil"/>
            </w:tcBorders>
            <w:shd w:val="clear" w:color="auto" w:fill="auto"/>
            <w:vAlign w:val="center"/>
          </w:tcPr>
          <w:p w14:paraId="576EF5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54990</w:t>
            </w:r>
          </w:p>
        </w:tc>
        <w:tc>
          <w:tcPr>
            <w:tcW w:w="816" w:type="dxa"/>
            <w:tcBorders>
              <w:tl2br w:val="nil"/>
              <w:tr2bl w:val="nil"/>
            </w:tcBorders>
            <w:shd w:val="clear" w:color="auto" w:fill="auto"/>
            <w:noWrap/>
            <w:vAlign w:val="center"/>
          </w:tcPr>
          <w:p w14:paraId="2BCED986">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noWrap/>
            <w:vAlign w:val="center"/>
          </w:tcPr>
          <w:p w14:paraId="7E654F1A">
            <w:pPr>
              <w:jc w:val="center"/>
              <w:rPr>
                <w:rFonts w:hint="eastAsia" w:ascii="仿宋" w:hAnsi="仿宋" w:eastAsia="仿宋" w:cs="仿宋"/>
                <w:i w:val="0"/>
                <w:iCs w:val="0"/>
                <w:color w:val="000000"/>
                <w:sz w:val="20"/>
                <w:szCs w:val="20"/>
                <w:u w:val="none"/>
              </w:rPr>
            </w:pPr>
          </w:p>
        </w:tc>
      </w:tr>
      <w:tr w14:paraId="315CC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80" w:hRule="atLeast"/>
        </w:trPr>
        <w:tc>
          <w:tcPr>
            <w:tcW w:w="525" w:type="dxa"/>
            <w:vMerge w:val="continue"/>
            <w:tcBorders>
              <w:tl2br w:val="nil"/>
              <w:tr2bl w:val="nil"/>
            </w:tcBorders>
            <w:shd w:val="clear" w:color="auto" w:fill="auto"/>
            <w:vAlign w:val="center"/>
          </w:tcPr>
          <w:p w14:paraId="3919EAFD">
            <w:pPr>
              <w:jc w:val="center"/>
              <w:rPr>
                <w:rFonts w:hint="eastAsia" w:ascii="仿宋" w:hAnsi="仿宋" w:eastAsia="仿宋" w:cs="仿宋"/>
                <w:i w:val="0"/>
                <w:iCs w:val="0"/>
                <w:color w:val="000000"/>
                <w:sz w:val="20"/>
                <w:szCs w:val="20"/>
                <w:u w:val="none"/>
              </w:rPr>
            </w:pPr>
          </w:p>
        </w:tc>
        <w:tc>
          <w:tcPr>
            <w:tcW w:w="1050" w:type="dxa"/>
            <w:vMerge w:val="continue"/>
            <w:tcBorders>
              <w:tl2br w:val="nil"/>
              <w:tr2bl w:val="nil"/>
            </w:tcBorders>
            <w:shd w:val="clear" w:color="auto" w:fill="auto"/>
            <w:vAlign w:val="center"/>
          </w:tcPr>
          <w:p w14:paraId="07C46ABF">
            <w:pPr>
              <w:jc w:val="center"/>
              <w:rPr>
                <w:rFonts w:hint="eastAsia" w:ascii="仿宋" w:hAnsi="仿宋" w:eastAsia="仿宋" w:cs="仿宋"/>
                <w:i w:val="0"/>
                <w:iCs w:val="0"/>
                <w:color w:val="000000"/>
                <w:sz w:val="20"/>
                <w:szCs w:val="20"/>
                <w:u w:val="none"/>
              </w:rPr>
            </w:pPr>
          </w:p>
        </w:tc>
        <w:tc>
          <w:tcPr>
            <w:tcW w:w="1080" w:type="dxa"/>
            <w:tcBorders>
              <w:tl2br w:val="nil"/>
              <w:tr2bl w:val="nil"/>
            </w:tcBorders>
            <w:shd w:val="clear" w:color="auto" w:fill="auto"/>
            <w:vAlign w:val="center"/>
          </w:tcPr>
          <w:p w14:paraId="437F746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三级河</w:t>
            </w:r>
          </w:p>
        </w:tc>
        <w:tc>
          <w:tcPr>
            <w:tcW w:w="1080" w:type="dxa"/>
            <w:tcBorders>
              <w:tl2br w:val="nil"/>
              <w:tr2bl w:val="nil"/>
            </w:tcBorders>
            <w:shd w:val="clear" w:color="auto" w:fill="auto"/>
            <w:vAlign w:val="center"/>
          </w:tcPr>
          <w:p w14:paraId="1417F3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56.53   公里</w:t>
            </w:r>
          </w:p>
        </w:tc>
        <w:tc>
          <w:tcPr>
            <w:tcW w:w="7156" w:type="dxa"/>
            <w:vMerge w:val="restart"/>
            <w:tcBorders>
              <w:tl2br w:val="nil"/>
              <w:tr2bl w:val="nil"/>
            </w:tcBorders>
            <w:shd w:val="clear" w:color="auto" w:fill="auto"/>
            <w:vAlign w:val="center"/>
          </w:tcPr>
          <w:p w14:paraId="69FFE383">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 xml:space="preserve"> （1）三、四级河道按要求长效保洁，做到水面无漂浮垃圾，无水花生/水浮萍/游丝草/水葫芦/大面积青苔等不良水生植物，无农作物秸杆飘浮；及时清理处置河坡堆积的零星杂物、建筑装潢垃圾、农作物秸杆、瓜豆类蔓藤、散失垃圾及加拿大一枝黄花等；配合村对河坡种植的农作物进行处置。                                                          （2）清除清运河道枯萎芦苇、芦竹、茭白、杂树等高草，并自行处置到位。            （3）河道两侧绿化树木不定期进行修剪，及时扶正倒伏、倾斜的树木；及时清除树上攀爬蔓藤、杂树、枯死树木，不得留置河道、道路、桥梁及水下范围。                      （4）及时向村、街道反馈畜禽粪污、工业污水直排及黑臭水体信息。                          （注:先进行全域预算，按年度对河道、沟塘整治工程质保期内的工程量进行服务费核减）。</w:t>
            </w:r>
          </w:p>
        </w:tc>
        <w:tc>
          <w:tcPr>
            <w:tcW w:w="1116" w:type="dxa"/>
            <w:tcBorders>
              <w:tl2br w:val="nil"/>
              <w:tr2bl w:val="nil"/>
            </w:tcBorders>
            <w:shd w:val="clear" w:color="auto" w:fill="auto"/>
            <w:vAlign w:val="center"/>
          </w:tcPr>
          <w:p w14:paraId="03A320E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271890</w:t>
            </w:r>
          </w:p>
        </w:tc>
        <w:tc>
          <w:tcPr>
            <w:tcW w:w="816" w:type="dxa"/>
            <w:tcBorders>
              <w:tl2br w:val="nil"/>
              <w:tr2bl w:val="nil"/>
            </w:tcBorders>
            <w:shd w:val="clear" w:color="auto" w:fill="auto"/>
            <w:noWrap/>
            <w:vAlign w:val="center"/>
          </w:tcPr>
          <w:p w14:paraId="2E4AF045">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noWrap/>
            <w:vAlign w:val="center"/>
          </w:tcPr>
          <w:p w14:paraId="7880ABC0">
            <w:pPr>
              <w:jc w:val="center"/>
              <w:rPr>
                <w:rFonts w:hint="eastAsia" w:ascii="仿宋" w:hAnsi="仿宋" w:eastAsia="仿宋" w:cs="仿宋"/>
                <w:i w:val="0"/>
                <w:iCs w:val="0"/>
                <w:color w:val="000000"/>
                <w:sz w:val="20"/>
                <w:szCs w:val="20"/>
                <w:u w:val="none"/>
              </w:rPr>
            </w:pPr>
          </w:p>
        </w:tc>
      </w:tr>
      <w:tr w14:paraId="195EA0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80" w:hRule="atLeast"/>
        </w:trPr>
        <w:tc>
          <w:tcPr>
            <w:tcW w:w="525" w:type="dxa"/>
            <w:vMerge w:val="continue"/>
            <w:tcBorders>
              <w:tl2br w:val="nil"/>
              <w:tr2bl w:val="nil"/>
            </w:tcBorders>
            <w:shd w:val="clear" w:color="auto" w:fill="auto"/>
            <w:vAlign w:val="center"/>
          </w:tcPr>
          <w:p w14:paraId="7228AF59">
            <w:pPr>
              <w:jc w:val="center"/>
              <w:rPr>
                <w:rFonts w:hint="eastAsia" w:ascii="仿宋" w:hAnsi="仿宋" w:eastAsia="仿宋" w:cs="仿宋"/>
                <w:i w:val="0"/>
                <w:iCs w:val="0"/>
                <w:color w:val="000000"/>
                <w:sz w:val="20"/>
                <w:szCs w:val="20"/>
                <w:u w:val="none"/>
              </w:rPr>
            </w:pPr>
          </w:p>
        </w:tc>
        <w:tc>
          <w:tcPr>
            <w:tcW w:w="1050" w:type="dxa"/>
            <w:vMerge w:val="continue"/>
            <w:tcBorders>
              <w:tl2br w:val="nil"/>
              <w:tr2bl w:val="nil"/>
            </w:tcBorders>
            <w:shd w:val="clear" w:color="auto" w:fill="auto"/>
            <w:vAlign w:val="center"/>
          </w:tcPr>
          <w:p w14:paraId="5D48193A">
            <w:pPr>
              <w:jc w:val="center"/>
              <w:rPr>
                <w:rFonts w:hint="eastAsia" w:ascii="仿宋" w:hAnsi="仿宋" w:eastAsia="仿宋" w:cs="仿宋"/>
                <w:i w:val="0"/>
                <w:iCs w:val="0"/>
                <w:color w:val="000000"/>
                <w:sz w:val="20"/>
                <w:szCs w:val="20"/>
                <w:u w:val="none"/>
              </w:rPr>
            </w:pPr>
          </w:p>
        </w:tc>
        <w:tc>
          <w:tcPr>
            <w:tcW w:w="1080" w:type="dxa"/>
            <w:tcBorders>
              <w:tl2br w:val="nil"/>
              <w:tr2bl w:val="nil"/>
            </w:tcBorders>
            <w:shd w:val="clear" w:color="auto" w:fill="auto"/>
            <w:vAlign w:val="center"/>
          </w:tcPr>
          <w:p w14:paraId="3206B76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四级河</w:t>
            </w:r>
          </w:p>
        </w:tc>
        <w:tc>
          <w:tcPr>
            <w:tcW w:w="1080" w:type="dxa"/>
            <w:tcBorders>
              <w:tl2br w:val="nil"/>
              <w:tr2bl w:val="nil"/>
            </w:tcBorders>
            <w:shd w:val="clear" w:color="auto" w:fill="auto"/>
            <w:vAlign w:val="center"/>
          </w:tcPr>
          <w:p w14:paraId="670C69E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70.7     公里</w:t>
            </w:r>
          </w:p>
        </w:tc>
        <w:tc>
          <w:tcPr>
            <w:tcW w:w="7156" w:type="dxa"/>
            <w:vMerge w:val="continue"/>
            <w:tcBorders>
              <w:tl2br w:val="nil"/>
              <w:tr2bl w:val="nil"/>
            </w:tcBorders>
            <w:shd w:val="clear" w:color="auto" w:fill="auto"/>
            <w:vAlign w:val="center"/>
          </w:tcPr>
          <w:p w14:paraId="6DE1705C">
            <w:pPr>
              <w:jc w:val="left"/>
              <w:rPr>
                <w:rFonts w:hint="eastAsia" w:ascii="仿宋" w:hAnsi="仿宋" w:eastAsia="仿宋" w:cs="仿宋"/>
                <w:i w:val="0"/>
                <w:iCs w:val="0"/>
                <w:color w:val="000000"/>
                <w:sz w:val="20"/>
                <w:szCs w:val="20"/>
                <w:u w:val="none"/>
              </w:rPr>
            </w:pPr>
          </w:p>
        </w:tc>
        <w:tc>
          <w:tcPr>
            <w:tcW w:w="1116" w:type="dxa"/>
            <w:tcBorders>
              <w:tl2br w:val="nil"/>
              <w:tr2bl w:val="nil"/>
            </w:tcBorders>
            <w:shd w:val="clear" w:color="auto" w:fill="auto"/>
            <w:vAlign w:val="center"/>
          </w:tcPr>
          <w:p w14:paraId="561C17D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306157</w:t>
            </w:r>
          </w:p>
        </w:tc>
        <w:tc>
          <w:tcPr>
            <w:tcW w:w="816" w:type="dxa"/>
            <w:tcBorders>
              <w:tl2br w:val="nil"/>
              <w:tr2bl w:val="nil"/>
            </w:tcBorders>
            <w:shd w:val="clear" w:color="auto" w:fill="auto"/>
            <w:noWrap/>
            <w:vAlign w:val="center"/>
          </w:tcPr>
          <w:p w14:paraId="66994AC6">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noWrap/>
            <w:vAlign w:val="center"/>
          </w:tcPr>
          <w:p w14:paraId="54491F3A">
            <w:pPr>
              <w:jc w:val="center"/>
              <w:rPr>
                <w:rFonts w:hint="eastAsia" w:ascii="仿宋" w:hAnsi="仿宋" w:eastAsia="仿宋" w:cs="仿宋"/>
                <w:i w:val="0"/>
                <w:iCs w:val="0"/>
                <w:color w:val="000000"/>
                <w:sz w:val="20"/>
                <w:szCs w:val="20"/>
                <w:u w:val="none"/>
              </w:rPr>
            </w:pPr>
          </w:p>
        </w:tc>
      </w:tr>
      <w:tr w14:paraId="40560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20" w:hRule="atLeast"/>
        </w:trPr>
        <w:tc>
          <w:tcPr>
            <w:tcW w:w="525" w:type="dxa"/>
            <w:vMerge w:val="continue"/>
            <w:tcBorders>
              <w:tl2br w:val="nil"/>
              <w:tr2bl w:val="nil"/>
            </w:tcBorders>
            <w:shd w:val="clear" w:color="auto" w:fill="auto"/>
            <w:vAlign w:val="center"/>
          </w:tcPr>
          <w:p w14:paraId="632031A0">
            <w:pPr>
              <w:jc w:val="center"/>
              <w:rPr>
                <w:rFonts w:hint="eastAsia" w:ascii="仿宋" w:hAnsi="仿宋" w:eastAsia="仿宋" w:cs="仿宋"/>
                <w:i w:val="0"/>
                <w:iCs w:val="0"/>
                <w:color w:val="000000"/>
                <w:sz w:val="20"/>
                <w:szCs w:val="20"/>
                <w:u w:val="none"/>
              </w:rPr>
            </w:pPr>
          </w:p>
        </w:tc>
        <w:tc>
          <w:tcPr>
            <w:tcW w:w="1050" w:type="dxa"/>
            <w:vMerge w:val="continue"/>
            <w:tcBorders>
              <w:tl2br w:val="nil"/>
              <w:tr2bl w:val="nil"/>
            </w:tcBorders>
            <w:shd w:val="clear" w:color="auto" w:fill="auto"/>
            <w:vAlign w:val="center"/>
          </w:tcPr>
          <w:p w14:paraId="23D3FE89">
            <w:pPr>
              <w:jc w:val="center"/>
              <w:rPr>
                <w:rFonts w:hint="eastAsia" w:ascii="仿宋" w:hAnsi="仿宋" w:eastAsia="仿宋" w:cs="仿宋"/>
                <w:i w:val="0"/>
                <w:iCs w:val="0"/>
                <w:color w:val="000000"/>
                <w:sz w:val="20"/>
                <w:szCs w:val="20"/>
                <w:u w:val="none"/>
              </w:rPr>
            </w:pPr>
          </w:p>
        </w:tc>
        <w:tc>
          <w:tcPr>
            <w:tcW w:w="1080" w:type="dxa"/>
            <w:tcBorders>
              <w:tl2br w:val="nil"/>
              <w:tr2bl w:val="nil"/>
            </w:tcBorders>
            <w:shd w:val="clear" w:color="auto" w:fill="auto"/>
            <w:vAlign w:val="center"/>
          </w:tcPr>
          <w:p w14:paraId="576429F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河道（河坡）两侧草皮、绿化养护</w:t>
            </w:r>
          </w:p>
        </w:tc>
        <w:tc>
          <w:tcPr>
            <w:tcW w:w="1080" w:type="dxa"/>
            <w:tcBorders>
              <w:tl2br w:val="nil"/>
              <w:tr2bl w:val="nil"/>
            </w:tcBorders>
            <w:shd w:val="clear" w:color="auto" w:fill="auto"/>
            <w:vAlign w:val="center"/>
          </w:tcPr>
          <w:p w14:paraId="0DEB39F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20.21公里</w:t>
            </w:r>
          </w:p>
        </w:tc>
        <w:tc>
          <w:tcPr>
            <w:tcW w:w="7156" w:type="dxa"/>
            <w:tcBorders>
              <w:tl2br w:val="nil"/>
              <w:tr2bl w:val="nil"/>
            </w:tcBorders>
            <w:shd w:val="clear" w:color="auto" w:fill="auto"/>
            <w:vAlign w:val="center"/>
          </w:tcPr>
          <w:p w14:paraId="4084467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及时拔除密栽色带苗木及草坪内杂草、芦竹、芦苇等；定期对草坪割草（保持不高于15厘米，严禁喷洒除草剂），杂草不得留置河道、道路、桥梁及水下范围。                    （注;先进行全域预算，按年度对河道（河坡）绿化、草皮养护期的工程量进行服务费核减）</w:t>
            </w:r>
          </w:p>
        </w:tc>
        <w:tc>
          <w:tcPr>
            <w:tcW w:w="1116" w:type="dxa"/>
            <w:tcBorders>
              <w:tl2br w:val="nil"/>
              <w:tr2bl w:val="nil"/>
            </w:tcBorders>
            <w:shd w:val="clear" w:color="auto" w:fill="auto"/>
            <w:vAlign w:val="center"/>
          </w:tcPr>
          <w:p w14:paraId="129C12D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88689</w:t>
            </w:r>
          </w:p>
        </w:tc>
        <w:tc>
          <w:tcPr>
            <w:tcW w:w="816" w:type="dxa"/>
            <w:tcBorders>
              <w:tl2br w:val="nil"/>
              <w:tr2bl w:val="nil"/>
            </w:tcBorders>
            <w:shd w:val="clear" w:color="auto" w:fill="auto"/>
            <w:noWrap/>
            <w:vAlign w:val="center"/>
          </w:tcPr>
          <w:p w14:paraId="214C96E5">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noWrap/>
            <w:vAlign w:val="center"/>
          </w:tcPr>
          <w:p w14:paraId="4AC78C32">
            <w:pPr>
              <w:jc w:val="center"/>
              <w:rPr>
                <w:rFonts w:hint="eastAsia" w:ascii="仿宋" w:hAnsi="仿宋" w:eastAsia="仿宋" w:cs="仿宋"/>
                <w:i w:val="0"/>
                <w:iCs w:val="0"/>
                <w:color w:val="000000"/>
                <w:sz w:val="20"/>
                <w:szCs w:val="20"/>
                <w:u w:val="none"/>
              </w:rPr>
            </w:pPr>
          </w:p>
        </w:tc>
      </w:tr>
      <w:tr w14:paraId="776EB9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00" w:hRule="atLeast"/>
        </w:trPr>
        <w:tc>
          <w:tcPr>
            <w:tcW w:w="525" w:type="dxa"/>
            <w:vMerge w:val="restart"/>
            <w:tcBorders>
              <w:tl2br w:val="nil"/>
              <w:tr2bl w:val="nil"/>
            </w:tcBorders>
            <w:shd w:val="clear" w:color="auto" w:fill="auto"/>
            <w:vAlign w:val="center"/>
          </w:tcPr>
          <w:p w14:paraId="66E0C8F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050" w:type="dxa"/>
            <w:vMerge w:val="restart"/>
            <w:tcBorders>
              <w:tl2br w:val="nil"/>
              <w:tr2bl w:val="nil"/>
            </w:tcBorders>
            <w:shd w:val="clear" w:color="auto" w:fill="auto"/>
            <w:vAlign w:val="center"/>
          </w:tcPr>
          <w:p w14:paraId="03CB056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生活垃圾收运处置</w:t>
            </w:r>
          </w:p>
        </w:tc>
        <w:tc>
          <w:tcPr>
            <w:tcW w:w="1080" w:type="dxa"/>
            <w:tcBorders>
              <w:tl2br w:val="nil"/>
              <w:tr2bl w:val="nil"/>
            </w:tcBorders>
            <w:shd w:val="clear" w:color="auto" w:fill="auto"/>
            <w:vAlign w:val="center"/>
          </w:tcPr>
          <w:p w14:paraId="52274D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入户收运 垃圾</w:t>
            </w:r>
          </w:p>
        </w:tc>
        <w:tc>
          <w:tcPr>
            <w:tcW w:w="1080" w:type="dxa"/>
            <w:tcBorders>
              <w:tl2br w:val="nil"/>
              <w:tr2bl w:val="nil"/>
            </w:tcBorders>
            <w:shd w:val="clear" w:color="auto" w:fill="auto"/>
            <w:vAlign w:val="center"/>
          </w:tcPr>
          <w:p w14:paraId="5DC1F29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9891户</w:t>
            </w:r>
          </w:p>
        </w:tc>
        <w:tc>
          <w:tcPr>
            <w:tcW w:w="7156" w:type="dxa"/>
            <w:vMerge w:val="restart"/>
            <w:tcBorders>
              <w:tl2br w:val="nil"/>
              <w:tr2bl w:val="nil"/>
            </w:tcBorders>
            <w:shd w:val="clear" w:color="auto" w:fill="auto"/>
            <w:vAlign w:val="center"/>
          </w:tcPr>
          <w:p w14:paraId="59AC8C3D">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积极做好生活垃圾分类工作，按垃圾分类要求分别收运处置。及时入户分类收运生活垃圾清运至各村垃圾中转房，做到日产日清无积存，同时做好农户周边垃圾捡拾及抛弃的沙发、家具等杂物的收运处置工作。                                                 （2）及时分类转运中转房垃圾进行无害化处置（其他垃圾送电厂或以其它方式进行处置，易腐垃圾送街道湿垃圾处置中心处置，有害垃圾和可回收物统一归集），做到日产日清无积存；做好中转房内及周边环境的卫生保洁，中转房每月定期（5、15、25号）进行卫生消杀，及时处置污水，保持中转房垃圾设施完好、环境整洁；做好街道易腐垃圾处置中心的正常运行和卫生消杀及污水处置；无人为焚烧垃圾行为。                                         （3）垃圾收运过程中，确保无飘洒散落垃圾及污水外流。                          （4）可回收物、有害垃圾收运至中转房统一处置。                                （5）工业垃圾由乙方根据相关收费标准与企业自行协商进行收集，街道与所在村予以配合。（注:其他垃圾、可回收物、有害垃圾转运处置总量约9000吨/年，易腐垃圾处置总量约720吨/年，总量包干，费用不予调整。）</w:t>
            </w:r>
          </w:p>
        </w:tc>
        <w:tc>
          <w:tcPr>
            <w:tcW w:w="1116" w:type="dxa"/>
            <w:tcBorders>
              <w:tl2br w:val="nil"/>
              <w:tr2bl w:val="nil"/>
            </w:tcBorders>
            <w:shd w:val="clear" w:color="auto" w:fill="auto"/>
            <w:vAlign w:val="center"/>
          </w:tcPr>
          <w:p w14:paraId="21D326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1737675</w:t>
            </w:r>
          </w:p>
        </w:tc>
        <w:tc>
          <w:tcPr>
            <w:tcW w:w="816" w:type="dxa"/>
            <w:tcBorders>
              <w:tl2br w:val="nil"/>
              <w:tr2bl w:val="nil"/>
            </w:tcBorders>
            <w:shd w:val="clear" w:color="auto" w:fill="auto"/>
            <w:noWrap/>
            <w:vAlign w:val="center"/>
          </w:tcPr>
          <w:p w14:paraId="3ABA6799">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noWrap/>
            <w:vAlign w:val="center"/>
          </w:tcPr>
          <w:p w14:paraId="15E1A137">
            <w:pPr>
              <w:jc w:val="center"/>
              <w:rPr>
                <w:rFonts w:hint="eastAsia" w:ascii="仿宋" w:hAnsi="仿宋" w:eastAsia="仿宋" w:cs="仿宋"/>
                <w:i w:val="0"/>
                <w:iCs w:val="0"/>
                <w:color w:val="000000"/>
                <w:sz w:val="20"/>
                <w:szCs w:val="20"/>
                <w:u w:val="none"/>
              </w:rPr>
            </w:pPr>
          </w:p>
        </w:tc>
      </w:tr>
      <w:tr w14:paraId="15D50A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1100" w:hRule="atLeast"/>
        </w:trPr>
        <w:tc>
          <w:tcPr>
            <w:tcW w:w="525" w:type="dxa"/>
            <w:vMerge w:val="continue"/>
            <w:tcBorders>
              <w:tl2br w:val="nil"/>
              <w:tr2bl w:val="nil"/>
            </w:tcBorders>
            <w:shd w:val="clear" w:color="auto" w:fill="auto"/>
            <w:vAlign w:val="center"/>
          </w:tcPr>
          <w:p w14:paraId="0FBF54D3">
            <w:pPr>
              <w:jc w:val="center"/>
              <w:rPr>
                <w:rFonts w:hint="eastAsia" w:ascii="仿宋" w:hAnsi="仿宋" w:eastAsia="仿宋" w:cs="仿宋"/>
                <w:i w:val="0"/>
                <w:iCs w:val="0"/>
                <w:color w:val="000000"/>
                <w:sz w:val="20"/>
                <w:szCs w:val="20"/>
                <w:u w:val="none"/>
              </w:rPr>
            </w:pPr>
          </w:p>
        </w:tc>
        <w:tc>
          <w:tcPr>
            <w:tcW w:w="1050" w:type="dxa"/>
            <w:vMerge w:val="continue"/>
            <w:tcBorders>
              <w:tl2br w:val="nil"/>
              <w:tr2bl w:val="nil"/>
            </w:tcBorders>
            <w:shd w:val="clear" w:color="auto" w:fill="auto"/>
            <w:vAlign w:val="center"/>
          </w:tcPr>
          <w:p w14:paraId="63252E8A">
            <w:pPr>
              <w:jc w:val="center"/>
              <w:rPr>
                <w:rFonts w:hint="eastAsia" w:ascii="仿宋" w:hAnsi="仿宋" w:eastAsia="仿宋" w:cs="仿宋"/>
                <w:i w:val="0"/>
                <w:iCs w:val="0"/>
                <w:color w:val="000000"/>
                <w:sz w:val="20"/>
                <w:szCs w:val="20"/>
                <w:u w:val="none"/>
              </w:rPr>
            </w:pPr>
          </w:p>
        </w:tc>
        <w:tc>
          <w:tcPr>
            <w:tcW w:w="1080" w:type="dxa"/>
            <w:tcBorders>
              <w:tl2br w:val="nil"/>
              <w:tr2bl w:val="nil"/>
            </w:tcBorders>
            <w:shd w:val="clear" w:color="auto" w:fill="auto"/>
            <w:vAlign w:val="center"/>
          </w:tcPr>
          <w:p w14:paraId="5CD4521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其他垃圾 有害垃圾 可回收物     转运处置</w:t>
            </w:r>
          </w:p>
        </w:tc>
        <w:tc>
          <w:tcPr>
            <w:tcW w:w="1080" w:type="dxa"/>
            <w:tcBorders>
              <w:tl2br w:val="nil"/>
              <w:tr2bl w:val="nil"/>
            </w:tcBorders>
            <w:shd w:val="clear" w:color="auto" w:fill="auto"/>
            <w:vAlign w:val="center"/>
          </w:tcPr>
          <w:p w14:paraId="5B4702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9000吨</w:t>
            </w:r>
          </w:p>
        </w:tc>
        <w:tc>
          <w:tcPr>
            <w:tcW w:w="7156" w:type="dxa"/>
            <w:vMerge w:val="continue"/>
            <w:tcBorders>
              <w:tl2br w:val="nil"/>
              <w:tr2bl w:val="nil"/>
            </w:tcBorders>
            <w:shd w:val="clear" w:color="auto" w:fill="auto"/>
            <w:vAlign w:val="center"/>
          </w:tcPr>
          <w:p w14:paraId="0206896A">
            <w:pPr>
              <w:jc w:val="left"/>
              <w:rPr>
                <w:rFonts w:hint="eastAsia" w:ascii="仿宋" w:hAnsi="仿宋" w:eastAsia="仿宋" w:cs="仿宋"/>
                <w:i w:val="0"/>
                <w:iCs w:val="0"/>
                <w:color w:val="000000"/>
                <w:sz w:val="20"/>
                <w:szCs w:val="20"/>
                <w:u w:val="none"/>
              </w:rPr>
            </w:pPr>
          </w:p>
        </w:tc>
        <w:tc>
          <w:tcPr>
            <w:tcW w:w="1116" w:type="dxa"/>
            <w:tcBorders>
              <w:tl2br w:val="nil"/>
              <w:tr2bl w:val="nil"/>
            </w:tcBorders>
            <w:shd w:val="clear" w:color="auto" w:fill="auto"/>
            <w:vAlign w:val="center"/>
          </w:tcPr>
          <w:p w14:paraId="27ECCCE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1028507</w:t>
            </w:r>
          </w:p>
        </w:tc>
        <w:tc>
          <w:tcPr>
            <w:tcW w:w="816" w:type="dxa"/>
            <w:tcBorders>
              <w:tl2br w:val="nil"/>
              <w:tr2bl w:val="nil"/>
            </w:tcBorders>
            <w:shd w:val="clear" w:color="auto" w:fill="auto"/>
            <w:noWrap/>
            <w:vAlign w:val="center"/>
          </w:tcPr>
          <w:p w14:paraId="10B39FB9">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vAlign w:val="center"/>
          </w:tcPr>
          <w:p w14:paraId="0F7C327C">
            <w:pPr>
              <w:jc w:val="center"/>
              <w:rPr>
                <w:rFonts w:hint="eastAsia" w:ascii="仿宋" w:hAnsi="仿宋" w:eastAsia="仿宋" w:cs="仿宋"/>
                <w:i w:val="0"/>
                <w:iCs w:val="0"/>
                <w:color w:val="000000"/>
                <w:sz w:val="20"/>
                <w:szCs w:val="20"/>
                <w:u w:val="none"/>
              </w:rPr>
            </w:pPr>
          </w:p>
        </w:tc>
      </w:tr>
      <w:tr w14:paraId="215809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20" w:hRule="atLeast"/>
        </w:trPr>
        <w:tc>
          <w:tcPr>
            <w:tcW w:w="525" w:type="dxa"/>
            <w:vMerge w:val="continue"/>
            <w:tcBorders>
              <w:tl2br w:val="nil"/>
              <w:tr2bl w:val="nil"/>
            </w:tcBorders>
            <w:shd w:val="clear" w:color="auto" w:fill="auto"/>
            <w:vAlign w:val="center"/>
          </w:tcPr>
          <w:p w14:paraId="7F1FCB99">
            <w:pPr>
              <w:jc w:val="center"/>
              <w:rPr>
                <w:rFonts w:hint="eastAsia" w:ascii="仿宋" w:hAnsi="仿宋" w:eastAsia="仿宋" w:cs="仿宋"/>
                <w:i w:val="0"/>
                <w:iCs w:val="0"/>
                <w:color w:val="000000"/>
                <w:sz w:val="20"/>
                <w:szCs w:val="20"/>
                <w:u w:val="none"/>
              </w:rPr>
            </w:pPr>
          </w:p>
        </w:tc>
        <w:tc>
          <w:tcPr>
            <w:tcW w:w="1050" w:type="dxa"/>
            <w:vMerge w:val="continue"/>
            <w:tcBorders>
              <w:tl2br w:val="nil"/>
              <w:tr2bl w:val="nil"/>
            </w:tcBorders>
            <w:shd w:val="clear" w:color="auto" w:fill="auto"/>
            <w:vAlign w:val="center"/>
          </w:tcPr>
          <w:p w14:paraId="5A21DA56">
            <w:pPr>
              <w:jc w:val="center"/>
              <w:rPr>
                <w:rFonts w:hint="eastAsia" w:ascii="仿宋" w:hAnsi="仿宋" w:eastAsia="仿宋" w:cs="仿宋"/>
                <w:i w:val="0"/>
                <w:iCs w:val="0"/>
                <w:color w:val="000000"/>
                <w:sz w:val="20"/>
                <w:szCs w:val="20"/>
                <w:u w:val="none"/>
              </w:rPr>
            </w:pPr>
          </w:p>
        </w:tc>
        <w:tc>
          <w:tcPr>
            <w:tcW w:w="1080" w:type="dxa"/>
            <w:tcBorders>
              <w:tl2br w:val="nil"/>
              <w:tr2bl w:val="nil"/>
            </w:tcBorders>
            <w:shd w:val="clear" w:color="auto" w:fill="auto"/>
            <w:vAlign w:val="center"/>
          </w:tcPr>
          <w:p w14:paraId="62C2EDC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易腐垃圾   处置</w:t>
            </w:r>
          </w:p>
        </w:tc>
        <w:tc>
          <w:tcPr>
            <w:tcW w:w="1080" w:type="dxa"/>
            <w:tcBorders>
              <w:tl2br w:val="nil"/>
              <w:tr2bl w:val="nil"/>
            </w:tcBorders>
            <w:shd w:val="clear" w:color="auto" w:fill="auto"/>
            <w:vAlign w:val="center"/>
          </w:tcPr>
          <w:p w14:paraId="0DD17A5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720吨</w:t>
            </w:r>
          </w:p>
        </w:tc>
        <w:tc>
          <w:tcPr>
            <w:tcW w:w="7156" w:type="dxa"/>
            <w:vMerge w:val="continue"/>
            <w:tcBorders>
              <w:tl2br w:val="nil"/>
              <w:tr2bl w:val="nil"/>
            </w:tcBorders>
            <w:shd w:val="clear" w:color="auto" w:fill="auto"/>
            <w:vAlign w:val="center"/>
          </w:tcPr>
          <w:p w14:paraId="3AEB931C">
            <w:pPr>
              <w:jc w:val="left"/>
              <w:rPr>
                <w:rFonts w:hint="eastAsia" w:ascii="仿宋" w:hAnsi="仿宋" w:eastAsia="仿宋" w:cs="仿宋"/>
                <w:i w:val="0"/>
                <w:iCs w:val="0"/>
                <w:color w:val="000000"/>
                <w:sz w:val="20"/>
                <w:szCs w:val="20"/>
                <w:u w:val="none"/>
              </w:rPr>
            </w:pPr>
          </w:p>
        </w:tc>
        <w:tc>
          <w:tcPr>
            <w:tcW w:w="1116" w:type="dxa"/>
            <w:tcBorders>
              <w:tl2br w:val="nil"/>
              <w:tr2bl w:val="nil"/>
            </w:tcBorders>
            <w:shd w:val="clear" w:color="auto" w:fill="auto"/>
            <w:vAlign w:val="center"/>
          </w:tcPr>
          <w:p w14:paraId="2FADD80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338273</w:t>
            </w:r>
          </w:p>
        </w:tc>
        <w:tc>
          <w:tcPr>
            <w:tcW w:w="816" w:type="dxa"/>
            <w:tcBorders>
              <w:tl2br w:val="nil"/>
              <w:tr2bl w:val="nil"/>
            </w:tcBorders>
            <w:shd w:val="clear" w:color="auto" w:fill="auto"/>
            <w:noWrap/>
            <w:vAlign w:val="center"/>
          </w:tcPr>
          <w:p w14:paraId="2F9E22D5">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vAlign w:val="center"/>
          </w:tcPr>
          <w:p w14:paraId="6CA86CE7">
            <w:pPr>
              <w:jc w:val="center"/>
              <w:rPr>
                <w:rFonts w:hint="eastAsia" w:ascii="仿宋" w:hAnsi="仿宋" w:eastAsia="仿宋" w:cs="仿宋"/>
                <w:i w:val="0"/>
                <w:iCs w:val="0"/>
                <w:color w:val="000000"/>
                <w:sz w:val="20"/>
                <w:szCs w:val="20"/>
                <w:u w:val="none"/>
              </w:rPr>
            </w:pPr>
          </w:p>
        </w:tc>
      </w:tr>
      <w:tr w14:paraId="4B4C3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0" w:hRule="atLeast"/>
        </w:trPr>
        <w:tc>
          <w:tcPr>
            <w:tcW w:w="525" w:type="dxa"/>
            <w:vMerge w:val="continue"/>
            <w:tcBorders>
              <w:tl2br w:val="nil"/>
              <w:tr2bl w:val="nil"/>
            </w:tcBorders>
            <w:shd w:val="clear" w:color="auto" w:fill="auto"/>
            <w:vAlign w:val="center"/>
          </w:tcPr>
          <w:p w14:paraId="1787E653">
            <w:pPr>
              <w:jc w:val="center"/>
              <w:rPr>
                <w:rFonts w:hint="eastAsia" w:ascii="仿宋" w:hAnsi="仿宋" w:eastAsia="仿宋" w:cs="仿宋"/>
                <w:i w:val="0"/>
                <w:iCs w:val="0"/>
                <w:color w:val="000000"/>
                <w:sz w:val="20"/>
                <w:szCs w:val="20"/>
                <w:u w:val="none"/>
              </w:rPr>
            </w:pPr>
          </w:p>
        </w:tc>
        <w:tc>
          <w:tcPr>
            <w:tcW w:w="1050" w:type="dxa"/>
            <w:vMerge w:val="continue"/>
            <w:tcBorders>
              <w:tl2br w:val="nil"/>
              <w:tr2bl w:val="nil"/>
            </w:tcBorders>
            <w:shd w:val="clear" w:color="auto" w:fill="auto"/>
            <w:vAlign w:val="center"/>
          </w:tcPr>
          <w:p w14:paraId="58B8BF21">
            <w:pPr>
              <w:jc w:val="center"/>
              <w:rPr>
                <w:rFonts w:hint="eastAsia" w:ascii="仿宋" w:hAnsi="仿宋" w:eastAsia="仿宋" w:cs="仿宋"/>
                <w:i w:val="0"/>
                <w:iCs w:val="0"/>
                <w:color w:val="000000"/>
                <w:sz w:val="20"/>
                <w:szCs w:val="20"/>
                <w:u w:val="none"/>
              </w:rPr>
            </w:pPr>
          </w:p>
        </w:tc>
        <w:tc>
          <w:tcPr>
            <w:tcW w:w="1080" w:type="dxa"/>
            <w:tcBorders>
              <w:tl2br w:val="nil"/>
              <w:tr2bl w:val="nil"/>
            </w:tcBorders>
            <w:shd w:val="clear" w:color="auto" w:fill="auto"/>
            <w:vAlign w:val="center"/>
          </w:tcPr>
          <w:p w14:paraId="2F379A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垃圾中转房管理</w:t>
            </w:r>
          </w:p>
        </w:tc>
        <w:tc>
          <w:tcPr>
            <w:tcW w:w="1080" w:type="dxa"/>
            <w:tcBorders>
              <w:tl2br w:val="nil"/>
              <w:tr2bl w:val="nil"/>
            </w:tcBorders>
            <w:shd w:val="clear" w:color="auto" w:fill="auto"/>
            <w:vAlign w:val="center"/>
          </w:tcPr>
          <w:p w14:paraId="641F64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14座</w:t>
            </w:r>
          </w:p>
        </w:tc>
        <w:tc>
          <w:tcPr>
            <w:tcW w:w="7156" w:type="dxa"/>
            <w:vMerge w:val="continue"/>
            <w:tcBorders>
              <w:tl2br w:val="nil"/>
              <w:tr2bl w:val="nil"/>
            </w:tcBorders>
            <w:shd w:val="clear" w:color="auto" w:fill="auto"/>
            <w:vAlign w:val="center"/>
          </w:tcPr>
          <w:p w14:paraId="5F173EA5">
            <w:pPr>
              <w:jc w:val="left"/>
              <w:rPr>
                <w:rFonts w:hint="eastAsia" w:ascii="仿宋" w:hAnsi="仿宋" w:eastAsia="仿宋" w:cs="仿宋"/>
                <w:i w:val="0"/>
                <w:iCs w:val="0"/>
                <w:color w:val="000000"/>
                <w:sz w:val="20"/>
                <w:szCs w:val="20"/>
                <w:u w:val="none"/>
              </w:rPr>
            </w:pPr>
          </w:p>
        </w:tc>
        <w:tc>
          <w:tcPr>
            <w:tcW w:w="1116" w:type="dxa"/>
            <w:tcBorders>
              <w:tl2br w:val="nil"/>
              <w:tr2bl w:val="nil"/>
            </w:tcBorders>
            <w:shd w:val="clear" w:color="auto" w:fill="auto"/>
            <w:vAlign w:val="center"/>
          </w:tcPr>
          <w:p w14:paraId="3C5D0A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25711</w:t>
            </w:r>
          </w:p>
        </w:tc>
        <w:tc>
          <w:tcPr>
            <w:tcW w:w="816" w:type="dxa"/>
            <w:tcBorders>
              <w:tl2br w:val="nil"/>
              <w:tr2bl w:val="nil"/>
            </w:tcBorders>
            <w:shd w:val="clear" w:color="auto" w:fill="auto"/>
            <w:noWrap/>
            <w:vAlign w:val="center"/>
          </w:tcPr>
          <w:p w14:paraId="09FDDFC1">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noWrap/>
            <w:vAlign w:val="center"/>
          </w:tcPr>
          <w:p w14:paraId="2A754459">
            <w:pPr>
              <w:jc w:val="center"/>
              <w:rPr>
                <w:rFonts w:hint="eastAsia" w:ascii="仿宋" w:hAnsi="仿宋" w:eastAsia="仿宋" w:cs="仿宋"/>
                <w:i w:val="0"/>
                <w:iCs w:val="0"/>
                <w:color w:val="000000"/>
                <w:sz w:val="20"/>
                <w:szCs w:val="20"/>
                <w:u w:val="none"/>
              </w:rPr>
            </w:pPr>
          </w:p>
        </w:tc>
      </w:tr>
      <w:tr w14:paraId="6CBB7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60" w:hRule="atLeast"/>
        </w:trPr>
        <w:tc>
          <w:tcPr>
            <w:tcW w:w="525" w:type="dxa"/>
            <w:tcBorders>
              <w:tl2br w:val="nil"/>
              <w:tr2bl w:val="nil"/>
            </w:tcBorders>
            <w:shd w:val="clear" w:color="auto" w:fill="auto"/>
            <w:vAlign w:val="center"/>
          </w:tcPr>
          <w:p w14:paraId="7AFE2D2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1050" w:type="dxa"/>
            <w:tcBorders>
              <w:tl2br w:val="nil"/>
              <w:tr2bl w:val="nil"/>
            </w:tcBorders>
            <w:shd w:val="clear" w:color="auto" w:fill="auto"/>
            <w:vAlign w:val="center"/>
          </w:tcPr>
          <w:p w14:paraId="3A5FEE53">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农作物秸杆、建筑垃圾清运处置</w:t>
            </w:r>
          </w:p>
        </w:tc>
        <w:tc>
          <w:tcPr>
            <w:tcW w:w="1080" w:type="dxa"/>
            <w:tcBorders>
              <w:tl2br w:val="nil"/>
              <w:tr2bl w:val="nil"/>
            </w:tcBorders>
            <w:shd w:val="clear" w:color="auto" w:fill="auto"/>
            <w:vAlign w:val="center"/>
          </w:tcPr>
          <w:p w14:paraId="39E1DE5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村</w:t>
            </w:r>
          </w:p>
        </w:tc>
        <w:tc>
          <w:tcPr>
            <w:tcW w:w="1080" w:type="dxa"/>
            <w:tcBorders>
              <w:tl2br w:val="nil"/>
              <w:tr2bl w:val="nil"/>
            </w:tcBorders>
            <w:shd w:val="clear" w:color="auto" w:fill="auto"/>
            <w:vAlign w:val="center"/>
          </w:tcPr>
          <w:p w14:paraId="6E7DC4A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7个</w:t>
            </w:r>
          </w:p>
        </w:tc>
        <w:tc>
          <w:tcPr>
            <w:tcW w:w="7156" w:type="dxa"/>
            <w:tcBorders>
              <w:tl2br w:val="nil"/>
              <w:tr2bl w:val="nil"/>
            </w:tcBorders>
            <w:shd w:val="clear" w:color="auto" w:fill="auto"/>
            <w:vAlign w:val="center"/>
          </w:tcPr>
          <w:p w14:paraId="16BFDF52">
            <w:pPr>
              <w:keepNext w:val="0"/>
              <w:keepLines w:val="0"/>
              <w:widowControl/>
              <w:suppressLineNumbers w:val="0"/>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城中街道七个行政村区域内，夏秋两季各村所有定点位置的农作物秸杆及一年四季瓜、豆类蔓藤和建筑垃圾等及时清理，由乙方进行无害化处置。</w:t>
            </w:r>
          </w:p>
        </w:tc>
        <w:tc>
          <w:tcPr>
            <w:tcW w:w="1116" w:type="dxa"/>
            <w:tcBorders>
              <w:tl2br w:val="nil"/>
              <w:tr2bl w:val="nil"/>
            </w:tcBorders>
            <w:shd w:val="clear" w:color="auto" w:fill="auto"/>
            <w:vAlign w:val="center"/>
          </w:tcPr>
          <w:p w14:paraId="4B57EC5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383985</w:t>
            </w:r>
          </w:p>
        </w:tc>
        <w:tc>
          <w:tcPr>
            <w:tcW w:w="816" w:type="dxa"/>
            <w:tcBorders>
              <w:tl2br w:val="nil"/>
              <w:tr2bl w:val="nil"/>
            </w:tcBorders>
            <w:shd w:val="clear" w:color="auto" w:fill="auto"/>
            <w:noWrap/>
            <w:vAlign w:val="center"/>
          </w:tcPr>
          <w:p w14:paraId="3D57DCCF">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noWrap/>
            <w:vAlign w:val="center"/>
          </w:tcPr>
          <w:p w14:paraId="17D718D5">
            <w:pPr>
              <w:jc w:val="center"/>
              <w:rPr>
                <w:rFonts w:hint="eastAsia" w:ascii="仿宋" w:hAnsi="仿宋" w:eastAsia="仿宋" w:cs="仿宋"/>
                <w:i w:val="0"/>
                <w:iCs w:val="0"/>
                <w:color w:val="000000"/>
                <w:sz w:val="20"/>
                <w:szCs w:val="20"/>
                <w:u w:val="none"/>
              </w:rPr>
            </w:pPr>
          </w:p>
        </w:tc>
      </w:tr>
      <w:tr w14:paraId="2D61D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108" w:type="dxa"/>
            <w:bottom w:w="0" w:type="dxa"/>
            <w:right w:w="108" w:type="dxa"/>
          </w:tblCellMar>
        </w:tblPrEx>
        <w:trPr>
          <w:trHeight w:val="325" w:hRule="atLeast"/>
        </w:trPr>
        <w:tc>
          <w:tcPr>
            <w:tcW w:w="525" w:type="dxa"/>
            <w:tcBorders>
              <w:tl2br w:val="nil"/>
              <w:tr2bl w:val="nil"/>
            </w:tcBorders>
            <w:shd w:val="clear" w:color="auto" w:fill="auto"/>
            <w:vAlign w:val="center"/>
          </w:tcPr>
          <w:p w14:paraId="58777DC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1050" w:type="dxa"/>
            <w:tcBorders>
              <w:tl2br w:val="nil"/>
              <w:tr2bl w:val="nil"/>
            </w:tcBorders>
            <w:shd w:val="clear" w:color="auto" w:fill="auto"/>
            <w:vAlign w:val="center"/>
          </w:tcPr>
          <w:p w14:paraId="0207F89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其它费用</w:t>
            </w:r>
          </w:p>
        </w:tc>
        <w:tc>
          <w:tcPr>
            <w:tcW w:w="1080" w:type="dxa"/>
            <w:tcBorders>
              <w:tl2br w:val="nil"/>
              <w:tr2bl w:val="nil"/>
            </w:tcBorders>
            <w:shd w:val="clear" w:color="auto" w:fill="auto"/>
            <w:vAlign w:val="center"/>
          </w:tcPr>
          <w:p w14:paraId="411D4E5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村</w:t>
            </w:r>
          </w:p>
        </w:tc>
        <w:tc>
          <w:tcPr>
            <w:tcW w:w="1080" w:type="dxa"/>
            <w:tcBorders>
              <w:tl2br w:val="nil"/>
              <w:tr2bl w:val="nil"/>
            </w:tcBorders>
            <w:shd w:val="clear" w:color="auto" w:fill="auto"/>
            <w:vAlign w:val="center"/>
          </w:tcPr>
          <w:p w14:paraId="022489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7个</w:t>
            </w:r>
          </w:p>
        </w:tc>
        <w:tc>
          <w:tcPr>
            <w:tcW w:w="7156" w:type="dxa"/>
            <w:tcBorders>
              <w:tl2br w:val="nil"/>
              <w:tr2bl w:val="nil"/>
            </w:tcBorders>
            <w:shd w:val="clear" w:color="auto" w:fill="auto"/>
            <w:vAlign w:val="center"/>
          </w:tcPr>
          <w:p w14:paraId="2E5B6F32">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1.突发公共事件、灾害性天气等情形的应急处置、环卫信访件处置。                    2.重大活动环境卫生保障。                                                         3.村部周边、公厕、园林景观、泵站及渠道等公共区域的卫生保洁、绿化管护。</w:t>
            </w:r>
          </w:p>
        </w:tc>
        <w:tc>
          <w:tcPr>
            <w:tcW w:w="1116" w:type="dxa"/>
            <w:tcBorders>
              <w:tl2br w:val="nil"/>
              <w:tr2bl w:val="nil"/>
            </w:tcBorders>
            <w:shd w:val="clear" w:color="auto" w:fill="auto"/>
            <w:vAlign w:val="center"/>
          </w:tcPr>
          <w:p w14:paraId="3CB6463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76797</w:t>
            </w:r>
          </w:p>
        </w:tc>
        <w:tc>
          <w:tcPr>
            <w:tcW w:w="816" w:type="dxa"/>
            <w:tcBorders>
              <w:tl2br w:val="nil"/>
              <w:tr2bl w:val="nil"/>
            </w:tcBorders>
            <w:shd w:val="clear" w:color="auto" w:fill="auto"/>
            <w:noWrap/>
            <w:vAlign w:val="center"/>
          </w:tcPr>
          <w:p w14:paraId="274F5856">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noWrap/>
            <w:vAlign w:val="center"/>
          </w:tcPr>
          <w:p w14:paraId="5FF107E7">
            <w:pPr>
              <w:jc w:val="center"/>
              <w:rPr>
                <w:rFonts w:hint="eastAsia" w:ascii="仿宋" w:hAnsi="仿宋" w:eastAsia="仿宋" w:cs="仿宋"/>
                <w:i w:val="0"/>
                <w:iCs w:val="0"/>
                <w:color w:val="000000"/>
                <w:sz w:val="20"/>
                <w:szCs w:val="20"/>
                <w:u w:val="none"/>
              </w:rPr>
            </w:pPr>
          </w:p>
        </w:tc>
      </w:tr>
      <w:tr w14:paraId="000207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40" w:hRule="atLeast"/>
        </w:trPr>
        <w:tc>
          <w:tcPr>
            <w:tcW w:w="525" w:type="dxa"/>
            <w:tcBorders>
              <w:tl2br w:val="nil"/>
              <w:tr2bl w:val="nil"/>
            </w:tcBorders>
            <w:shd w:val="clear" w:color="auto" w:fill="auto"/>
            <w:vAlign w:val="center"/>
          </w:tcPr>
          <w:p w14:paraId="203B063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2130" w:type="dxa"/>
            <w:gridSpan w:val="2"/>
            <w:tcBorders>
              <w:tl2br w:val="nil"/>
              <w:tr2bl w:val="nil"/>
            </w:tcBorders>
            <w:shd w:val="clear" w:color="auto" w:fill="auto"/>
            <w:vAlign w:val="center"/>
          </w:tcPr>
          <w:p w14:paraId="46482F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积分制平台运行</w:t>
            </w:r>
          </w:p>
        </w:tc>
        <w:tc>
          <w:tcPr>
            <w:tcW w:w="1080" w:type="dxa"/>
            <w:tcBorders>
              <w:tl2br w:val="nil"/>
              <w:tr2bl w:val="nil"/>
            </w:tcBorders>
            <w:shd w:val="clear" w:color="auto" w:fill="auto"/>
            <w:vAlign w:val="center"/>
          </w:tcPr>
          <w:p w14:paraId="63E1F8C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7个村</w:t>
            </w:r>
          </w:p>
        </w:tc>
        <w:tc>
          <w:tcPr>
            <w:tcW w:w="7156" w:type="dxa"/>
            <w:tcBorders>
              <w:tl2br w:val="nil"/>
              <w:tr2bl w:val="nil"/>
            </w:tcBorders>
            <w:shd w:val="clear" w:color="auto" w:fill="auto"/>
            <w:vAlign w:val="center"/>
          </w:tcPr>
          <w:p w14:paraId="0AE2B4B0">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农村人居环境卫生、垃圾分类等各项积分统计，包含设备采购、安装、软件系统运维、人员工资等。</w:t>
            </w:r>
          </w:p>
        </w:tc>
        <w:tc>
          <w:tcPr>
            <w:tcW w:w="1116" w:type="dxa"/>
            <w:tcBorders>
              <w:tl2br w:val="nil"/>
              <w:tr2bl w:val="nil"/>
            </w:tcBorders>
            <w:shd w:val="clear" w:color="auto" w:fill="auto"/>
            <w:vAlign w:val="center"/>
          </w:tcPr>
          <w:p w14:paraId="597240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281234</w:t>
            </w:r>
          </w:p>
        </w:tc>
        <w:tc>
          <w:tcPr>
            <w:tcW w:w="816" w:type="dxa"/>
            <w:tcBorders>
              <w:tl2br w:val="nil"/>
              <w:tr2bl w:val="nil"/>
            </w:tcBorders>
            <w:shd w:val="clear" w:color="auto" w:fill="auto"/>
            <w:noWrap/>
            <w:vAlign w:val="center"/>
          </w:tcPr>
          <w:p w14:paraId="717F2DCD">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noWrap/>
            <w:vAlign w:val="center"/>
          </w:tcPr>
          <w:p w14:paraId="5463C9AC">
            <w:pPr>
              <w:jc w:val="center"/>
              <w:rPr>
                <w:rFonts w:hint="eastAsia" w:ascii="仿宋" w:hAnsi="仿宋" w:eastAsia="仿宋" w:cs="仿宋"/>
                <w:i w:val="0"/>
                <w:iCs w:val="0"/>
                <w:color w:val="000000"/>
                <w:sz w:val="20"/>
                <w:szCs w:val="20"/>
                <w:u w:val="none"/>
              </w:rPr>
            </w:pPr>
          </w:p>
        </w:tc>
      </w:tr>
      <w:tr w14:paraId="43A7B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40" w:hRule="atLeast"/>
        </w:trPr>
        <w:tc>
          <w:tcPr>
            <w:tcW w:w="525" w:type="dxa"/>
            <w:tcBorders>
              <w:tl2br w:val="nil"/>
              <w:tr2bl w:val="nil"/>
            </w:tcBorders>
            <w:shd w:val="clear" w:color="auto" w:fill="auto"/>
            <w:vAlign w:val="center"/>
          </w:tcPr>
          <w:p w14:paraId="0CDE52C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2130" w:type="dxa"/>
            <w:gridSpan w:val="2"/>
            <w:tcBorders>
              <w:tl2br w:val="nil"/>
              <w:tr2bl w:val="nil"/>
            </w:tcBorders>
            <w:shd w:val="clear" w:color="auto" w:fill="auto"/>
            <w:vAlign w:val="center"/>
          </w:tcPr>
          <w:p w14:paraId="10188BD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管理人员</w:t>
            </w:r>
          </w:p>
        </w:tc>
        <w:tc>
          <w:tcPr>
            <w:tcW w:w="1080" w:type="dxa"/>
            <w:tcBorders>
              <w:tl2br w:val="nil"/>
              <w:tr2bl w:val="nil"/>
            </w:tcBorders>
            <w:shd w:val="clear" w:color="auto" w:fill="auto"/>
            <w:vAlign w:val="center"/>
          </w:tcPr>
          <w:p w14:paraId="367FE8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4人</w:t>
            </w:r>
          </w:p>
        </w:tc>
        <w:tc>
          <w:tcPr>
            <w:tcW w:w="7156" w:type="dxa"/>
            <w:tcBorders>
              <w:tl2br w:val="nil"/>
              <w:tr2bl w:val="nil"/>
            </w:tcBorders>
            <w:shd w:val="clear" w:color="auto" w:fill="auto"/>
            <w:vAlign w:val="center"/>
          </w:tcPr>
          <w:p w14:paraId="6EB2DAD0">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管理、督查人员工资福利等。</w:t>
            </w:r>
          </w:p>
        </w:tc>
        <w:tc>
          <w:tcPr>
            <w:tcW w:w="1116" w:type="dxa"/>
            <w:tcBorders>
              <w:tl2br w:val="nil"/>
              <w:tr2bl w:val="nil"/>
            </w:tcBorders>
            <w:shd w:val="clear" w:color="auto" w:fill="auto"/>
            <w:vAlign w:val="center"/>
          </w:tcPr>
          <w:p w14:paraId="63BED1D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393201</w:t>
            </w:r>
          </w:p>
        </w:tc>
        <w:tc>
          <w:tcPr>
            <w:tcW w:w="816" w:type="dxa"/>
            <w:tcBorders>
              <w:tl2br w:val="nil"/>
              <w:tr2bl w:val="nil"/>
            </w:tcBorders>
            <w:shd w:val="clear" w:color="auto" w:fill="auto"/>
            <w:noWrap/>
            <w:vAlign w:val="center"/>
          </w:tcPr>
          <w:p w14:paraId="478BC372">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noWrap/>
            <w:vAlign w:val="center"/>
          </w:tcPr>
          <w:p w14:paraId="664B51E9">
            <w:pPr>
              <w:jc w:val="center"/>
              <w:rPr>
                <w:rFonts w:hint="eastAsia" w:ascii="仿宋" w:hAnsi="仿宋" w:eastAsia="仿宋" w:cs="仿宋"/>
                <w:i w:val="0"/>
                <w:iCs w:val="0"/>
                <w:color w:val="000000"/>
                <w:sz w:val="20"/>
                <w:szCs w:val="20"/>
                <w:u w:val="none"/>
              </w:rPr>
            </w:pPr>
          </w:p>
        </w:tc>
      </w:tr>
      <w:tr w14:paraId="7FCC1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20" w:hRule="atLeast"/>
        </w:trPr>
        <w:tc>
          <w:tcPr>
            <w:tcW w:w="525" w:type="dxa"/>
            <w:tcBorders>
              <w:tl2br w:val="nil"/>
              <w:tr2bl w:val="nil"/>
            </w:tcBorders>
            <w:shd w:val="clear" w:color="auto" w:fill="auto"/>
            <w:vAlign w:val="center"/>
          </w:tcPr>
          <w:p w14:paraId="0DBCFBA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2130" w:type="dxa"/>
            <w:gridSpan w:val="2"/>
            <w:tcBorders>
              <w:tl2br w:val="nil"/>
              <w:tr2bl w:val="nil"/>
            </w:tcBorders>
            <w:shd w:val="clear" w:color="auto" w:fill="auto"/>
            <w:vAlign w:val="center"/>
          </w:tcPr>
          <w:p w14:paraId="3863540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不可预见费用</w:t>
            </w:r>
          </w:p>
        </w:tc>
        <w:tc>
          <w:tcPr>
            <w:tcW w:w="1080" w:type="dxa"/>
            <w:tcBorders>
              <w:tl2br w:val="nil"/>
              <w:tr2bl w:val="nil"/>
            </w:tcBorders>
            <w:shd w:val="clear" w:color="auto" w:fill="auto"/>
            <w:vAlign w:val="center"/>
          </w:tcPr>
          <w:p w14:paraId="38BFF92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1项</w:t>
            </w:r>
          </w:p>
        </w:tc>
        <w:tc>
          <w:tcPr>
            <w:tcW w:w="7156" w:type="dxa"/>
            <w:tcBorders>
              <w:tl2br w:val="nil"/>
              <w:tr2bl w:val="nil"/>
            </w:tcBorders>
            <w:shd w:val="clear" w:color="auto" w:fill="auto"/>
            <w:vAlign w:val="center"/>
          </w:tcPr>
          <w:p w14:paraId="7A0DD90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固定费用，不予调整（用于不可预见的服务项目，经招标人确认后方可使用）</w:t>
            </w:r>
          </w:p>
        </w:tc>
        <w:tc>
          <w:tcPr>
            <w:tcW w:w="1116" w:type="dxa"/>
            <w:tcBorders>
              <w:tl2br w:val="nil"/>
              <w:tr2bl w:val="nil"/>
            </w:tcBorders>
            <w:shd w:val="clear" w:color="auto" w:fill="auto"/>
            <w:vAlign w:val="center"/>
          </w:tcPr>
          <w:p w14:paraId="5A80CEF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150000</w:t>
            </w:r>
          </w:p>
        </w:tc>
        <w:tc>
          <w:tcPr>
            <w:tcW w:w="816" w:type="dxa"/>
            <w:tcBorders>
              <w:tl2br w:val="nil"/>
              <w:tr2bl w:val="nil"/>
            </w:tcBorders>
            <w:shd w:val="clear" w:color="auto" w:fill="auto"/>
            <w:vAlign w:val="center"/>
          </w:tcPr>
          <w:p w14:paraId="655C8366">
            <w:pPr>
              <w:jc w:val="center"/>
              <w:rPr>
                <w:rFonts w:hint="eastAsia" w:ascii="仿宋" w:hAnsi="仿宋" w:eastAsia="仿宋" w:cs="仿宋"/>
                <w:i w:val="0"/>
                <w:iCs w:val="0"/>
                <w:color w:val="000000"/>
                <w:kern w:val="0"/>
                <w:sz w:val="20"/>
                <w:szCs w:val="20"/>
                <w:u w:val="none"/>
                <w:lang w:val="en-US" w:eastAsia="zh-CN" w:bidi="ar"/>
              </w:rPr>
            </w:pPr>
          </w:p>
        </w:tc>
        <w:tc>
          <w:tcPr>
            <w:tcW w:w="916" w:type="dxa"/>
            <w:tcBorders>
              <w:tl2br w:val="nil"/>
              <w:tr2bl w:val="nil"/>
            </w:tcBorders>
            <w:shd w:val="clear" w:color="auto" w:fill="auto"/>
            <w:vAlign w:val="center"/>
          </w:tcPr>
          <w:p w14:paraId="2E911698">
            <w:pPr>
              <w:jc w:val="center"/>
              <w:rPr>
                <w:rFonts w:hint="eastAsia" w:ascii="仿宋" w:hAnsi="仿宋" w:eastAsia="仿宋" w:cs="仿宋"/>
                <w:i w:val="0"/>
                <w:iCs w:val="0"/>
                <w:color w:val="000000"/>
                <w:kern w:val="0"/>
                <w:sz w:val="20"/>
                <w:szCs w:val="20"/>
                <w:u w:val="none"/>
                <w:lang w:val="en-US" w:eastAsia="zh-CN" w:bidi="ar"/>
              </w:rPr>
            </w:pPr>
          </w:p>
        </w:tc>
      </w:tr>
      <w:tr w14:paraId="025F6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0" w:hRule="atLeast"/>
        </w:trPr>
        <w:tc>
          <w:tcPr>
            <w:tcW w:w="525" w:type="dxa"/>
            <w:tcBorders>
              <w:tl2br w:val="nil"/>
              <w:tr2bl w:val="nil"/>
            </w:tcBorders>
            <w:shd w:val="clear" w:color="auto" w:fill="auto"/>
            <w:vAlign w:val="center"/>
          </w:tcPr>
          <w:p w14:paraId="0EF08F6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备注</w:t>
            </w:r>
          </w:p>
        </w:tc>
        <w:tc>
          <w:tcPr>
            <w:tcW w:w="2130" w:type="dxa"/>
            <w:gridSpan w:val="2"/>
            <w:tcBorders>
              <w:tl2br w:val="nil"/>
              <w:tr2bl w:val="nil"/>
            </w:tcBorders>
            <w:shd w:val="clear" w:color="auto" w:fill="auto"/>
            <w:vAlign w:val="center"/>
          </w:tcPr>
          <w:p w14:paraId="167A70E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易腐垃圾设备</w:t>
            </w:r>
          </w:p>
        </w:tc>
        <w:tc>
          <w:tcPr>
            <w:tcW w:w="1080" w:type="dxa"/>
            <w:tcBorders>
              <w:tl2br w:val="nil"/>
              <w:tr2bl w:val="nil"/>
            </w:tcBorders>
            <w:shd w:val="clear" w:color="auto" w:fill="auto"/>
            <w:vAlign w:val="center"/>
          </w:tcPr>
          <w:p w14:paraId="4EBFA7D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1套</w:t>
            </w:r>
          </w:p>
        </w:tc>
        <w:tc>
          <w:tcPr>
            <w:tcW w:w="7156" w:type="dxa"/>
            <w:tcBorders>
              <w:tl2br w:val="nil"/>
              <w:tr2bl w:val="nil"/>
            </w:tcBorders>
            <w:shd w:val="clear" w:color="auto" w:fill="auto"/>
            <w:vAlign w:val="center"/>
          </w:tcPr>
          <w:p w14:paraId="4D809D6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街道设有易腐垃圾设备，可供中标单位租赁使用，租赁费由设备所有权人收取，投标单位自行考虑。易腐垃圾设备往年租赁费用为10万元/年，三年租赁费用为30万元。若中标单位使用该设备，则根据往年租赁费支付费用，请投标人报价时综合考虑,此项不单独报价。</w:t>
            </w:r>
          </w:p>
        </w:tc>
        <w:tc>
          <w:tcPr>
            <w:tcW w:w="1116" w:type="dxa"/>
            <w:tcBorders>
              <w:tl2br w:val="nil"/>
              <w:tr2bl w:val="nil"/>
            </w:tcBorders>
            <w:shd w:val="clear" w:color="auto" w:fill="auto"/>
            <w:vAlign w:val="center"/>
          </w:tcPr>
          <w:p w14:paraId="4FB2547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w:t>
            </w:r>
          </w:p>
        </w:tc>
        <w:tc>
          <w:tcPr>
            <w:tcW w:w="816" w:type="dxa"/>
            <w:tcBorders>
              <w:tl2br w:val="nil"/>
              <w:tr2bl w:val="nil"/>
            </w:tcBorders>
            <w:shd w:val="clear" w:color="auto" w:fill="auto"/>
            <w:noWrap/>
            <w:vAlign w:val="center"/>
          </w:tcPr>
          <w:p w14:paraId="0F5AAE12">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vAlign w:val="center"/>
          </w:tcPr>
          <w:p w14:paraId="15884E1D">
            <w:pPr>
              <w:jc w:val="center"/>
              <w:rPr>
                <w:rFonts w:hint="eastAsia" w:ascii="仿宋" w:hAnsi="仿宋" w:eastAsia="仿宋" w:cs="仿宋"/>
                <w:i w:val="0"/>
                <w:iCs w:val="0"/>
                <w:color w:val="000000"/>
                <w:sz w:val="20"/>
                <w:szCs w:val="20"/>
                <w:u w:val="none"/>
              </w:rPr>
            </w:pPr>
          </w:p>
        </w:tc>
      </w:tr>
      <w:tr w14:paraId="3617F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00" w:hRule="atLeast"/>
        </w:trPr>
        <w:tc>
          <w:tcPr>
            <w:tcW w:w="10891" w:type="dxa"/>
            <w:gridSpan w:val="5"/>
            <w:tcBorders>
              <w:tl2br w:val="nil"/>
              <w:tr2bl w:val="nil"/>
            </w:tcBorders>
            <w:shd w:val="clear" w:color="auto" w:fill="auto"/>
            <w:vAlign w:val="center"/>
          </w:tcPr>
          <w:p w14:paraId="4154DC7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投标总价</w:t>
            </w:r>
          </w:p>
        </w:tc>
        <w:tc>
          <w:tcPr>
            <w:tcW w:w="1116" w:type="dxa"/>
            <w:tcBorders>
              <w:tl2br w:val="nil"/>
              <w:tr2bl w:val="nil"/>
            </w:tcBorders>
            <w:shd w:val="clear" w:color="auto" w:fill="auto"/>
            <w:noWrap/>
            <w:vAlign w:val="center"/>
          </w:tcPr>
          <w:p w14:paraId="54F27F2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0"/>
                <w:szCs w:val="20"/>
                <w:u w:val="none"/>
                <w:lang w:val="en-US" w:eastAsia="zh-CN" w:bidi="ar"/>
              </w:rPr>
              <w:t>6431037</w:t>
            </w:r>
          </w:p>
        </w:tc>
        <w:tc>
          <w:tcPr>
            <w:tcW w:w="816" w:type="dxa"/>
            <w:tcBorders>
              <w:tl2br w:val="nil"/>
              <w:tr2bl w:val="nil"/>
            </w:tcBorders>
            <w:shd w:val="clear" w:color="auto" w:fill="auto"/>
            <w:noWrap/>
            <w:vAlign w:val="center"/>
          </w:tcPr>
          <w:p w14:paraId="7DAEFABE">
            <w:pPr>
              <w:jc w:val="center"/>
              <w:rPr>
                <w:rFonts w:hint="eastAsia" w:ascii="仿宋" w:hAnsi="仿宋" w:eastAsia="仿宋" w:cs="仿宋"/>
                <w:i w:val="0"/>
                <w:iCs w:val="0"/>
                <w:color w:val="000000"/>
                <w:sz w:val="20"/>
                <w:szCs w:val="20"/>
                <w:u w:val="none"/>
              </w:rPr>
            </w:pPr>
          </w:p>
        </w:tc>
        <w:tc>
          <w:tcPr>
            <w:tcW w:w="916" w:type="dxa"/>
            <w:tcBorders>
              <w:tl2br w:val="nil"/>
              <w:tr2bl w:val="nil"/>
            </w:tcBorders>
            <w:shd w:val="clear" w:color="auto" w:fill="auto"/>
            <w:noWrap/>
            <w:vAlign w:val="center"/>
          </w:tcPr>
          <w:p w14:paraId="281327FC">
            <w:pPr>
              <w:jc w:val="center"/>
              <w:rPr>
                <w:rFonts w:hint="eastAsia" w:ascii="仿宋" w:hAnsi="仿宋" w:eastAsia="仿宋" w:cs="仿宋"/>
                <w:i w:val="0"/>
                <w:iCs w:val="0"/>
                <w:color w:val="000000"/>
                <w:sz w:val="20"/>
                <w:szCs w:val="20"/>
                <w:u w:val="none"/>
              </w:rPr>
            </w:pPr>
          </w:p>
        </w:tc>
      </w:tr>
    </w:tbl>
    <w:p w14:paraId="7DDCFB4F">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1.投标总价包含但不限于设备、车辆、船、机具、辅材、油费、保险费、保养维修费、人员工资、保险、福利、不可预见费用、管理费、利润、税等完成本项目所需的一切费用。同时，报价也应包含合同履行过程中可能发生的一切风险。</w:t>
      </w:r>
    </w:p>
    <w:p w14:paraId="06C7F5EC">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 本项目三年总额最高限价为19</w:t>
      </w:r>
      <w:r>
        <w:rPr>
          <w:rFonts w:hint="eastAsia" w:ascii="仿宋" w:hAnsi="仿宋" w:eastAsia="仿宋" w:cs="仿宋"/>
          <w:b/>
          <w:color w:val="auto"/>
          <w:sz w:val="24"/>
          <w:szCs w:val="24"/>
          <w:highlight w:val="none"/>
          <w:lang w:val="en-US" w:eastAsia="zh-CN"/>
        </w:rPr>
        <w:t>29.</w:t>
      </w:r>
      <w:r>
        <w:rPr>
          <w:rFonts w:hint="eastAsia" w:ascii="仿宋" w:hAnsi="仿宋" w:eastAsia="仿宋" w:cs="仿宋"/>
          <w:b/>
          <w:color w:val="auto"/>
          <w:sz w:val="24"/>
          <w:szCs w:val="24"/>
          <w:highlight w:val="none"/>
        </w:rPr>
        <w:t>3111万元，（其中道路两侧草皮、绿化养护3620元/公里/年；河道（河坡）两侧草皮、绿化养护4388元/公里/年；三级河道芦苇等高草清除2742元/公里/年；四级河道芦苇等高草清除2523元/公里/年</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括号内的单价不予调整</w:t>
      </w:r>
      <w:r>
        <w:rPr>
          <w:rFonts w:hint="eastAsia" w:ascii="仿宋" w:hAnsi="仿宋" w:eastAsia="仿宋" w:cs="仿宋"/>
          <w:b/>
          <w:color w:val="auto"/>
          <w:sz w:val="24"/>
          <w:szCs w:val="24"/>
          <w:highlight w:val="none"/>
        </w:rPr>
        <w:t>），投标报价不得高于</w:t>
      </w:r>
      <w:r>
        <w:rPr>
          <w:rFonts w:hint="eastAsia" w:ascii="仿宋" w:hAnsi="仿宋" w:eastAsia="仿宋" w:cs="仿宋"/>
          <w:b/>
          <w:color w:val="auto"/>
          <w:sz w:val="24"/>
          <w:szCs w:val="24"/>
          <w:highlight w:val="none"/>
          <w:lang w:val="en-US" w:eastAsia="zh-CN"/>
        </w:rPr>
        <w:t>一年</w:t>
      </w:r>
      <w:r>
        <w:rPr>
          <w:rFonts w:hint="eastAsia" w:ascii="仿宋" w:hAnsi="仿宋" w:eastAsia="仿宋" w:cs="仿宋"/>
          <w:b/>
          <w:color w:val="auto"/>
          <w:sz w:val="24"/>
          <w:szCs w:val="24"/>
          <w:highlight w:val="none"/>
        </w:rPr>
        <w:t>最高限价</w:t>
      </w:r>
      <w:r>
        <w:rPr>
          <w:rFonts w:hint="eastAsia" w:ascii="仿宋" w:hAnsi="仿宋" w:eastAsia="仿宋" w:cs="仿宋"/>
          <w:b/>
          <w:color w:val="auto"/>
          <w:sz w:val="24"/>
          <w:szCs w:val="24"/>
          <w:highlight w:val="none"/>
          <w:lang w:val="en-US" w:eastAsia="zh-CN"/>
        </w:rPr>
        <w:t>和三年最高限价</w:t>
      </w:r>
      <w:r>
        <w:rPr>
          <w:rFonts w:hint="eastAsia" w:ascii="仿宋" w:hAnsi="仿宋" w:eastAsia="仿宋" w:cs="仿宋"/>
          <w:b/>
          <w:color w:val="auto"/>
          <w:sz w:val="24"/>
          <w:szCs w:val="24"/>
          <w:highlight w:val="none"/>
        </w:rPr>
        <w:t xml:space="preserve">，否则作无效标处理。                                                                                                                                                                                                                     </w:t>
      </w: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rPr>
        <w:t>开标一览表中的投标总报价与投标分项报价表中的投标总价须一致，否则作无效标处理。</w:t>
      </w:r>
    </w:p>
    <w:p w14:paraId="43417F7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提醒：清单报价表均须加盖CA电子公章。</w:t>
      </w:r>
    </w:p>
    <w:p w14:paraId="463BC1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Cs/>
          <w:color w:val="auto"/>
          <w:sz w:val="24"/>
          <w:szCs w:val="24"/>
          <w:highlight w:val="none"/>
        </w:rPr>
        <w:t>投标人（加盖CA电子公章）：</w:t>
      </w:r>
    </w:p>
    <w:p w14:paraId="1A5C75D7">
      <w:pPr>
        <w:keepNext w:val="0"/>
        <w:keepLines w:val="0"/>
        <w:pageBreakBefore w:val="0"/>
        <w:widowControl w:val="0"/>
        <w:kinsoku/>
        <w:wordWrap/>
        <w:overflowPunct/>
        <w:topLinePunct w:val="0"/>
        <w:autoSpaceDE/>
        <w:autoSpaceDN/>
        <w:bidi w:val="0"/>
        <w:adjustRightInd/>
        <w:snapToGrid/>
        <w:spacing w:line="360" w:lineRule="exact"/>
        <w:ind w:firstLine="7680" w:firstLineChars="320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法定代表人(签章)：</w:t>
      </w:r>
      <w:r>
        <w:rPr>
          <w:rFonts w:hint="eastAsia" w:ascii="仿宋" w:hAnsi="仿宋" w:eastAsia="仿宋" w:cs="仿宋"/>
          <w:bCs/>
          <w:color w:val="auto"/>
          <w:sz w:val="24"/>
          <w:szCs w:val="24"/>
          <w:highlight w:val="none"/>
          <w:u w:val="single"/>
        </w:rPr>
        <w:t xml:space="preserve">                      </w:t>
      </w:r>
    </w:p>
    <w:p w14:paraId="730A6D54">
      <w:pPr>
        <w:spacing w:line="400" w:lineRule="exact"/>
        <w:jc w:val="right"/>
        <w:rPr>
          <w:rFonts w:hint="eastAsia" w:ascii="仿宋" w:hAnsi="仿宋" w:eastAsia="仿宋" w:cs="仿宋"/>
          <w:color w:val="auto"/>
          <w:sz w:val="24"/>
          <w:szCs w:val="24"/>
          <w:highlight w:val="none"/>
        </w:rPr>
      </w:pPr>
    </w:p>
    <w:p w14:paraId="3A915E08">
      <w:pPr>
        <w:spacing w:line="400" w:lineRule="exact"/>
        <w:jc w:val="right"/>
        <w:rPr>
          <w:rFonts w:hint="eastAsia" w:ascii="仿宋" w:hAnsi="仿宋" w:eastAsia="仿宋" w:cs="仿宋"/>
          <w:color w:val="auto"/>
          <w:sz w:val="24"/>
          <w:szCs w:val="24"/>
          <w:highlight w:val="none"/>
        </w:rPr>
        <w:sectPr>
          <w:pgSz w:w="16838" w:h="11906" w:orient="landscape"/>
          <w:pgMar w:top="1247" w:right="1106" w:bottom="999" w:left="1015" w:header="907" w:footer="907" w:gutter="0"/>
          <w:pgBorders>
            <w:top w:val="none" w:sz="0" w:space="0"/>
            <w:left w:val="none" w:sz="0" w:space="0"/>
            <w:bottom w:val="none" w:sz="0" w:space="0"/>
            <w:right w:val="none" w:sz="0" w:space="0"/>
          </w:pgBorders>
          <w:cols w:space="0" w:num="1"/>
          <w:titlePg/>
          <w:rtlGutter w:val="0"/>
          <w:docGrid w:type="linesAndChars" w:linePitch="294" w:charSpace="0"/>
        </w:sectPr>
      </w:pPr>
      <w:r>
        <w:rPr>
          <w:rFonts w:hint="eastAsia" w:ascii="仿宋" w:hAnsi="仿宋" w:eastAsia="仿宋" w:cs="仿宋"/>
          <w:color w:val="auto"/>
          <w:sz w:val="24"/>
          <w:szCs w:val="24"/>
          <w:highlight w:val="none"/>
        </w:rPr>
        <w:t>年     月     日</w:t>
      </w:r>
    </w:p>
    <w:p w14:paraId="7FC9C948">
      <w:pPr>
        <w:jc w:val="left"/>
        <w:outlineLvl w:val="0"/>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附件3</w:t>
      </w:r>
    </w:p>
    <w:p w14:paraId="61BDEA72">
      <w:pPr>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投标人符合《政府采购法》第二十二条规定条件的声明函</w:t>
      </w:r>
    </w:p>
    <w:p w14:paraId="6A968C03">
      <w:pPr>
        <w:spacing w:line="460" w:lineRule="exact"/>
        <w:rPr>
          <w:rFonts w:ascii="仿宋" w:hAnsi="仿宋" w:eastAsia="仿宋" w:cs="仿宋"/>
          <w:b/>
          <w:bCs/>
          <w:color w:val="auto"/>
          <w:sz w:val="44"/>
          <w:szCs w:val="44"/>
          <w:highlight w:val="none"/>
        </w:rPr>
      </w:pPr>
    </w:p>
    <w:p w14:paraId="205E184D">
      <w:pPr>
        <w:spacing w:line="520" w:lineRule="exact"/>
        <w:ind w:firstLine="480"/>
        <w:rPr>
          <w:rFonts w:ascii="仿宋" w:hAnsi="仿宋" w:eastAsia="仿宋" w:cs="仿宋"/>
          <w:b/>
          <w:bCs/>
          <w:color w:val="auto"/>
          <w:sz w:val="24"/>
          <w:highlight w:val="none"/>
        </w:rPr>
      </w:pPr>
      <w:r>
        <w:rPr>
          <w:rFonts w:hint="eastAsia" w:ascii="仿宋" w:hAnsi="仿宋" w:eastAsia="仿宋" w:cs="仿宋"/>
          <w:bCs/>
          <w:color w:val="auto"/>
          <w:sz w:val="24"/>
          <w:highlight w:val="none"/>
        </w:rPr>
        <w:t>我单位参加（项目名称），（项目编号）投标活动。针对《中华人民共和国政府采购法》第二十二条规定做出如下声明：</w:t>
      </w:r>
    </w:p>
    <w:p w14:paraId="2522C1CF">
      <w:pPr>
        <w:spacing w:line="520" w:lineRule="exact"/>
        <w:ind w:firstLine="482"/>
        <w:rPr>
          <w:rFonts w:ascii="仿宋" w:hAnsi="仿宋" w:eastAsia="仿宋" w:cs="仿宋"/>
          <w:color w:val="auto"/>
          <w:sz w:val="24"/>
          <w:highlight w:val="none"/>
        </w:rPr>
      </w:pPr>
      <w:r>
        <w:rPr>
          <w:rFonts w:hint="eastAsia" w:ascii="仿宋" w:hAnsi="仿宋" w:eastAsia="仿宋" w:cs="仿宋"/>
          <w:bCs/>
          <w:color w:val="auto"/>
          <w:sz w:val="24"/>
          <w:highlight w:val="none"/>
        </w:rPr>
        <w:t>1.我单位具有独立承担民事责任的能力；</w:t>
      </w:r>
    </w:p>
    <w:p w14:paraId="5CB02192">
      <w:pPr>
        <w:spacing w:line="520" w:lineRule="exact"/>
        <w:ind w:firstLine="482"/>
        <w:rPr>
          <w:rFonts w:ascii="仿宋" w:hAnsi="仿宋" w:eastAsia="仿宋" w:cs="仿宋"/>
          <w:color w:val="auto"/>
          <w:sz w:val="24"/>
          <w:highlight w:val="none"/>
        </w:rPr>
      </w:pPr>
      <w:r>
        <w:rPr>
          <w:rFonts w:hint="eastAsia" w:ascii="仿宋" w:hAnsi="仿宋" w:eastAsia="仿宋" w:cs="仿宋"/>
          <w:color w:val="auto"/>
          <w:sz w:val="24"/>
          <w:highlight w:val="none"/>
        </w:rPr>
        <w:t>2.我单位具有良好的商业信誉和健全的财务会计制度；</w:t>
      </w:r>
    </w:p>
    <w:p w14:paraId="7A52C43E">
      <w:pPr>
        <w:spacing w:line="520" w:lineRule="exact"/>
        <w:ind w:firstLine="482"/>
        <w:rPr>
          <w:rFonts w:ascii="仿宋" w:hAnsi="仿宋" w:eastAsia="仿宋" w:cs="仿宋"/>
          <w:color w:val="auto"/>
          <w:sz w:val="24"/>
          <w:highlight w:val="none"/>
        </w:rPr>
      </w:pPr>
      <w:r>
        <w:rPr>
          <w:rFonts w:hint="eastAsia" w:ascii="仿宋" w:hAnsi="仿宋" w:eastAsia="仿宋" w:cs="仿宋"/>
          <w:color w:val="auto"/>
          <w:sz w:val="24"/>
          <w:highlight w:val="none"/>
        </w:rPr>
        <w:t>3.我单位具有履行合同所必需的设备和专业技术能力；</w:t>
      </w:r>
    </w:p>
    <w:p w14:paraId="0F3E080C">
      <w:pPr>
        <w:spacing w:line="520" w:lineRule="exact"/>
        <w:ind w:firstLine="482"/>
        <w:rPr>
          <w:rFonts w:ascii="仿宋" w:hAnsi="仿宋" w:eastAsia="仿宋" w:cs="仿宋"/>
          <w:color w:val="auto"/>
          <w:sz w:val="24"/>
          <w:highlight w:val="none"/>
        </w:rPr>
      </w:pPr>
      <w:r>
        <w:rPr>
          <w:rFonts w:hint="eastAsia" w:ascii="仿宋" w:hAnsi="仿宋" w:eastAsia="仿宋" w:cs="仿宋"/>
          <w:color w:val="auto"/>
          <w:sz w:val="24"/>
          <w:highlight w:val="none"/>
        </w:rPr>
        <w:t>4.我单位有依法缴纳税收和社会保障资金的良好记录；</w:t>
      </w:r>
    </w:p>
    <w:p w14:paraId="77C4528F">
      <w:pPr>
        <w:spacing w:line="520" w:lineRule="exact"/>
        <w:ind w:firstLine="482"/>
        <w:rPr>
          <w:rFonts w:ascii="仿宋" w:hAnsi="仿宋" w:eastAsia="仿宋" w:cs="仿宋"/>
          <w:color w:val="auto"/>
          <w:sz w:val="24"/>
          <w:highlight w:val="none"/>
        </w:rPr>
      </w:pPr>
      <w:r>
        <w:rPr>
          <w:rFonts w:hint="eastAsia" w:ascii="仿宋" w:hAnsi="仿宋" w:eastAsia="仿宋" w:cs="仿宋"/>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D2B943F">
      <w:pPr>
        <w:spacing w:line="520" w:lineRule="exact"/>
        <w:ind w:firstLine="482"/>
        <w:rPr>
          <w:rFonts w:ascii="仿宋" w:hAnsi="仿宋" w:eastAsia="仿宋" w:cs="仿宋"/>
          <w:color w:val="auto"/>
          <w:sz w:val="24"/>
          <w:highlight w:val="none"/>
        </w:rPr>
      </w:pPr>
      <w:r>
        <w:rPr>
          <w:rFonts w:hint="eastAsia" w:ascii="仿宋" w:hAnsi="仿宋" w:eastAsia="仿宋" w:cs="仿宋"/>
          <w:color w:val="auto"/>
          <w:sz w:val="24"/>
          <w:highlight w:val="none"/>
        </w:rPr>
        <w:t>6.我单位满足法律、行政法规规定的其他条件。</w:t>
      </w:r>
    </w:p>
    <w:p w14:paraId="6532EC1B">
      <w:pPr>
        <w:spacing w:line="500" w:lineRule="exact"/>
        <w:ind w:firstLine="482"/>
        <w:rPr>
          <w:rFonts w:ascii="仿宋" w:hAnsi="仿宋" w:eastAsia="仿宋" w:cs="仿宋"/>
          <w:color w:val="auto"/>
          <w:sz w:val="24"/>
          <w:highlight w:val="none"/>
        </w:rPr>
      </w:pPr>
    </w:p>
    <w:p w14:paraId="6AD331C1">
      <w:pPr>
        <w:spacing w:line="500" w:lineRule="exact"/>
        <w:rPr>
          <w:rFonts w:ascii="仿宋" w:hAnsi="仿宋" w:eastAsia="仿宋" w:cs="仿宋"/>
          <w:bCs/>
          <w:color w:val="auto"/>
          <w:sz w:val="24"/>
          <w:highlight w:val="none"/>
        </w:rPr>
      </w:pPr>
    </w:p>
    <w:p w14:paraId="11B72FD9">
      <w:pPr>
        <w:spacing w:line="500" w:lineRule="exact"/>
        <w:rPr>
          <w:rFonts w:ascii="仿宋" w:hAnsi="仿宋" w:eastAsia="仿宋" w:cs="仿宋"/>
          <w:bCs/>
          <w:color w:val="auto"/>
          <w:sz w:val="24"/>
          <w:highlight w:val="none"/>
        </w:rPr>
      </w:pPr>
    </w:p>
    <w:p w14:paraId="66EF2CF5">
      <w:pPr>
        <w:spacing w:line="460" w:lineRule="exact"/>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承诺人名称（加盖CA电子公章）：</w:t>
      </w:r>
    </w:p>
    <w:p w14:paraId="4D60CC6E">
      <w:pPr>
        <w:spacing w:line="460" w:lineRule="exact"/>
        <w:jc w:val="right"/>
        <w:rPr>
          <w:rFonts w:ascii="仿宋" w:hAnsi="仿宋" w:eastAsia="仿宋" w:cs="仿宋"/>
          <w:bCs/>
          <w:color w:val="auto"/>
          <w:sz w:val="24"/>
          <w:highlight w:val="none"/>
        </w:rPr>
      </w:pPr>
    </w:p>
    <w:p w14:paraId="6AD7CE5B">
      <w:pPr>
        <w:spacing w:line="460" w:lineRule="exact"/>
        <w:jc w:val="righ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日期：年月日</w:t>
      </w:r>
    </w:p>
    <w:p w14:paraId="2AA4C072">
      <w:pPr>
        <w:spacing w:line="560" w:lineRule="exact"/>
        <w:outlineLvl w:val="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bookmarkStart w:id="211" w:name="_Toc186493285"/>
      <w:r>
        <w:rPr>
          <w:rFonts w:hint="eastAsia" w:ascii="仿宋" w:hAnsi="仿宋" w:eastAsia="仿宋" w:cs="仿宋"/>
          <w:b/>
          <w:color w:val="auto"/>
          <w:sz w:val="24"/>
          <w:szCs w:val="24"/>
          <w:highlight w:val="none"/>
        </w:rPr>
        <w:t>附件</w:t>
      </w:r>
      <w:bookmarkEnd w:id="211"/>
      <w:r>
        <w:rPr>
          <w:rFonts w:hint="eastAsia" w:ascii="仿宋" w:hAnsi="仿宋" w:eastAsia="仿宋" w:cs="仿宋"/>
          <w:b/>
          <w:color w:val="auto"/>
          <w:sz w:val="24"/>
          <w:szCs w:val="24"/>
          <w:highlight w:val="none"/>
          <w:lang w:val="en-US" w:eastAsia="zh-CN"/>
        </w:rPr>
        <w:t>4</w:t>
      </w:r>
      <w:r>
        <w:rPr>
          <w:rFonts w:hint="eastAsia" w:ascii="仿宋" w:hAnsi="仿宋" w:eastAsia="仿宋" w:cs="仿宋"/>
          <w:b/>
          <w:color w:val="auto"/>
          <w:sz w:val="24"/>
          <w:szCs w:val="24"/>
          <w:highlight w:val="none"/>
        </w:rPr>
        <w:t xml:space="preserve">     </w:t>
      </w:r>
    </w:p>
    <w:p w14:paraId="2F0FBF40">
      <w:pPr>
        <w:spacing w:line="560" w:lineRule="exact"/>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法定代表人身份证明</w:t>
      </w:r>
    </w:p>
    <w:p w14:paraId="17643F10">
      <w:pPr>
        <w:spacing w:line="480" w:lineRule="exact"/>
        <w:rPr>
          <w:rFonts w:ascii="仿宋" w:hAnsi="仿宋" w:eastAsia="仿宋" w:cs="仿宋"/>
          <w:color w:val="auto"/>
          <w:sz w:val="24"/>
          <w:szCs w:val="24"/>
          <w:highlight w:val="none"/>
        </w:rPr>
      </w:pPr>
    </w:p>
    <w:p w14:paraId="3AC20AEF">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先生/女士： 现任我单位职务，为法定代表人，特此证明。</w:t>
      </w:r>
    </w:p>
    <w:p w14:paraId="1D24AB1E">
      <w:pPr>
        <w:spacing w:line="48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身份证号码：</w:t>
      </w:r>
    </w:p>
    <w:p w14:paraId="01030609">
      <w:pPr>
        <w:spacing w:line="480" w:lineRule="exact"/>
        <w:ind w:firstLine="480"/>
        <w:rPr>
          <w:rFonts w:ascii="仿宋" w:hAnsi="仿宋" w:eastAsia="仿宋" w:cs="仿宋"/>
          <w:color w:val="auto"/>
          <w:sz w:val="24"/>
          <w:szCs w:val="24"/>
          <w:highlight w:val="none"/>
        </w:rPr>
      </w:pPr>
    </w:p>
    <w:p w14:paraId="1BB91FA7">
      <w:pPr>
        <w:spacing w:line="460" w:lineRule="exact"/>
        <w:ind w:firstLine="480"/>
        <w:rPr>
          <w:rFonts w:ascii="仿宋" w:hAnsi="仿宋" w:eastAsia="仿宋" w:cs="仿宋"/>
          <w:b/>
          <w:color w:val="auto"/>
          <w:sz w:val="24"/>
          <w:highlight w:val="none"/>
        </w:rPr>
      </w:pPr>
      <w:r>
        <w:rPr>
          <w:rFonts w:hint="eastAsia" w:ascii="仿宋" w:hAnsi="仿宋" w:eastAsia="仿宋" w:cs="仿宋"/>
          <w:b/>
          <w:color w:val="auto"/>
          <w:sz w:val="24"/>
          <w:szCs w:val="24"/>
          <w:highlight w:val="none"/>
        </w:rPr>
        <w:t>注：提供法定代表人的身份证扫描件</w:t>
      </w:r>
      <w:r>
        <w:rPr>
          <w:rFonts w:hint="eastAsia" w:ascii="仿宋" w:hAnsi="仿宋" w:eastAsia="仿宋" w:cs="仿宋"/>
          <w:bCs/>
          <w:color w:val="auto"/>
          <w:sz w:val="24"/>
          <w:highlight w:val="none"/>
        </w:rPr>
        <w:t>（加盖CA电子公章）</w:t>
      </w: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highlight w:val="none"/>
        </w:rPr>
        <w:t>附件</w:t>
      </w:r>
      <w:r>
        <w:rPr>
          <w:rFonts w:hint="eastAsia" w:ascii="仿宋" w:hAnsi="仿宋" w:eastAsia="仿宋" w:cs="仿宋"/>
          <w:b/>
          <w:color w:val="auto"/>
          <w:sz w:val="24"/>
          <w:highlight w:val="none"/>
          <w:lang w:val="en-US" w:eastAsia="zh-CN"/>
        </w:rPr>
        <w:t>5</w:t>
      </w:r>
      <w:r>
        <w:rPr>
          <w:rFonts w:hint="eastAsia" w:ascii="仿宋" w:hAnsi="仿宋" w:eastAsia="仿宋" w:cs="仿宋"/>
          <w:b/>
          <w:color w:val="auto"/>
          <w:sz w:val="24"/>
          <w:highlight w:val="none"/>
        </w:rPr>
        <w:t xml:space="preserve">            </w:t>
      </w:r>
    </w:p>
    <w:p w14:paraId="3777BA25">
      <w:pPr>
        <w:spacing w:line="460" w:lineRule="exact"/>
        <w:ind w:firstLine="480"/>
        <w:jc w:val="center"/>
        <w:rPr>
          <w:rFonts w:ascii="仿宋" w:hAnsi="仿宋" w:eastAsia="仿宋" w:cs="仿宋"/>
          <w:bCs/>
          <w:color w:val="auto"/>
          <w:sz w:val="30"/>
          <w:szCs w:val="30"/>
          <w:highlight w:val="none"/>
        </w:rPr>
      </w:pPr>
      <w:r>
        <w:rPr>
          <w:rFonts w:hint="eastAsia" w:ascii="仿宋" w:hAnsi="仿宋" w:eastAsia="仿宋" w:cs="仿宋"/>
          <w:b/>
          <w:color w:val="auto"/>
          <w:sz w:val="30"/>
          <w:szCs w:val="30"/>
          <w:highlight w:val="none"/>
        </w:rPr>
        <w:t>法人授权书</w:t>
      </w:r>
    </w:p>
    <w:p w14:paraId="3FED56E2">
      <w:pPr>
        <w:tabs>
          <w:tab w:val="left" w:pos="360"/>
        </w:tabs>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本授权书声明：（投标人名称）授权（被授权人的姓名）为我方就项目采购活动的合法代理人，以本单位名义全权处理一切与该项目采购有关的事务。</w:t>
      </w:r>
    </w:p>
    <w:p w14:paraId="16802246">
      <w:pPr>
        <w:tabs>
          <w:tab w:val="left" w:pos="360"/>
        </w:tabs>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本授权书于______年____月____日起生效，特此声明。</w:t>
      </w:r>
    </w:p>
    <w:p w14:paraId="07F7EB3F">
      <w:pPr>
        <w:tabs>
          <w:tab w:val="left" w:pos="360"/>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被授权人身份证号码：</w:t>
      </w:r>
    </w:p>
    <w:p w14:paraId="310DB739">
      <w:pPr>
        <w:tabs>
          <w:tab w:val="left" w:pos="360"/>
        </w:tabs>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被授权人联系电话（手机）：</w:t>
      </w:r>
    </w:p>
    <w:p w14:paraId="3530689C">
      <w:pPr>
        <w:tabs>
          <w:tab w:val="left" w:pos="360"/>
        </w:tabs>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授权单位名称</w:t>
      </w:r>
      <w:r>
        <w:rPr>
          <w:rFonts w:hint="eastAsia" w:ascii="仿宋" w:hAnsi="仿宋" w:eastAsia="仿宋" w:cs="仿宋"/>
          <w:color w:val="auto"/>
          <w:sz w:val="24"/>
          <w:szCs w:val="24"/>
          <w:highlight w:val="none"/>
          <w:u w:val="single"/>
        </w:rPr>
        <w:t xml:space="preserve">（加盖CA电子公章）：                   </w:t>
      </w:r>
    </w:p>
    <w:p w14:paraId="34FC1FC4">
      <w:pPr>
        <w:tabs>
          <w:tab w:val="left" w:pos="360"/>
        </w:tabs>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单位地址：</w:t>
      </w:r>
    </w:p>
    <w:p w14:paraId="4BD4158D">
      <w:pPr>
        <w:tabs>
          <w:tab w:val="left" w:pos="360"/>
        </w:tabs>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bookmarkStart w:id="212" w:name="_格式3__银行出具的资信证明"/>
      <w:bookmarkEnd w:id="212"/>
      <w:bookmarkStart w:id="213" w:name="_Hlt26955070"/>
      <w:bookmarkEnd w:id="213"/>
      <w:bookmarkStart w:id="214" w:name="_Hlt26671380"/>
      <w:bookmarkEnd w:id="214"/>
    </w:p>
    <w:p w14:paraId="699D7E08">
      <w:pPr>
        <w:keepNext/>
        <w:keepLines/>
        <w:spacing w:before="260" w:after="260" w:line="416" w:lineRule="auto"/>
        <w:rPr>
          <w:rFonts w:ascii="仿宋" w:hAnsi="仿宋" w:eastAsia="仿宋" w:cs="仿宋"/>
          <w:b/>
          <w:color w:val="auto"/>
          <w:sz w:val="24"/>
          <w:szCs w:val="44"/>
          <w:highlight w:val="none"/>
        </w:rPr>
      </w:pPr>
    </w:p>
    <w:p w14:paraId="794F1E83">
      <w:pPr>
        <w:spacing w:line="460" w:lineRule="exact"/>
        <w:ind w:firstLine="480"/>
        <w:jc w:val="left"/>
        <w:rPr>
          <w:rFonts w:ascii="仿宋" w:hAnsi="仿宋" w:eastAsia="仿宋" w:cs="仿宋"/>
          <w:b/>
          <w:color w:val="auto"/>
          <w:sz w:val="24"/>
          <w:highlight w:val="none"/>
        </w:rPr>
      </w:pPr>
      <w:r>
        <w:rPr>
          <w:rFonts w:hint="eastAsia" w:ascii="仿宋" w:hAnsi="仿宋" w:eastAsia="仿宋" w:cs="仿宋"/>
          <w:bCs/>
          <w:color w:val="auto"/>
          <w:sz w:val="24"/>
          <w:szCs w:val="44"/>
          <w:highlight w:val="none"/>
        </w:rPr>
        <w:t>注：提供被授权人身份证扫描件（加盖CA电子公章）</w:t>
      </w:r>
      <w:r>
        <w:rPr>
          <w:rFonts w:hint="eastAsia" w:ascii="仿宋" w:hAnsi="仿宋" w:eastAsia="仿宋" w:cs="仿宋"/>
          <w:bCs/>
          <w:color w:val="auto"/>
          <w:sz w:val="24"/>
          <w:szCs w:val="44"/>
          <w:highlight w:val="none"/>
        </w:rPr>
        <w:br w:type="page" w:clear="all"/>
      </w:r>
      <w:r>
        <w:rPr>
          <w:rFonts w:hint="eastAsia" w:ascii="仿宋" w:hAnsi="仿宋" w:eastAsia="仿宋" w:cs="仿宋"/>
          <w:b/>
          <w:color w:val="auto"/>
          <w:sz w:val="24"/>
          <w:highlight w:val="none"/>
        </w:rPr>
        <w:t>附件</w:t>
      </w:r>
      <w:r>
        <w:rPr>
          <w:rFonts w:hint="eastAsia" w:ascii="仿宋" w:hAnsi="仿宋" w:eastAsia="仿宋" w:cs="仿宋"/>
          <w:b/>
          <w:color w:val="auto"/>
          <w:sz w:val="24"/>
          <w:highlight w:val="none"/>
          <w:lang w:val="en-US" w:eastAsia="zh-CN"/>
        </w:rPr>
        <w:t>6</w:t>
      </w:r>
      <w:r>
        <w:rPr>
          <w:rFonts w:hint="eastAsia" w:ascii="仿宋" w:hAnsi="仿宋" w:eastAsia="仿宋" w:cs="仿宋"/>
          <w:b/>
          <w:color w:val="auto"/>
          <w:sz w:val="24"/>
          <w:highlight w:val="none"/>
        </w:rPr>
        <w:t xml:space="preserve">                            </w:t>
      </w:r>
    </w:p>
    <w:p w14:paraId="10CCA6B6">
      <w:pPr>
        <w:spacing w:line="460" w:lineRule="exact"/>
        <w:ind w:firstLine="480"/>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投标函</w:t>
      </w:r>
    </w:p>
    <w:p w14:paraId="048456E9">
      <w:pPr>
        <w:spacing w:line="420" w:lineRule="exact"/>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lang w:eastAsia="zh-CN"/>
        </w:rPr>
        <w:t>如东县人民政府城中街道办事处</w:t>
      </w:r>
    </w:p>
    <w:p w14:paraId="3152465D">
      <w:pPr>
        <w:spacing w:line="420" w:lineRule="exact"/>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根据贵方的（项目名称）的招标文件，正式授权下述被授权人_____(姓名)代表我方（投标人的名称），全权处理本次项目投标的有关事宜。</w:t>
      </w:r>
    </w:p>
    <w:p w14:paraId="26297417">
      <w:pPr>
        <w:spacing w:line="420" w:lineRule="exact"/>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据此函，被授权人_____(姓名)兹宣布同意如下：</w:t>
      </w:r>
    </w:p>
    <w:p w14:paraId="39237990">
      <w:pPr>
        <w:spacing w:line="420" w:lineRule="exact"/>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1.按招标文件规定的各项要求，向买方提供所需货物（包含与货物相关的服务）。</w:t>
      </w:r>
    </w:p>
    <w:p w14:paraId="53A82E49">
      <w:pPr>
        <w:spacing w:line="420" w:lineRule="exact"/>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2.我们完全理解贵方不一定将合同授予最低报价的投标人。</w:t>
      </w:r>
    </w:p>
    <w:p w14:paraId="14952979">
      <w:pPr>
        <w:spacing w:line="420" w:lineRule="exact"/>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3.我们已详细审核全部招标文件及其有效补充文件，我们知道必须放弃提出含糊不清或误解问题的权利。</w:t>
      </w:r>
    </w:p>
    <w:p w14:paraId="34DC9AB5">
      <w:pPr>
        <w:spacing w:line="420" w:lineRule="exact"/>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4.我们同意从规定的开标日期起遵循本投标文件，并在规定的投标有效期期满之前均具有约束力。</w:t>
      </w:r>
    </w:p>
    <w:p w14:paraId="47A0F28C">
      <w:pPr>
        <w:spacing w:line="420" w:lineRule="exact"/>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5.同意向贵方提供贵方可能另外要求的与投标有关的任何证据或资料，并保证我方已提供和将要提供的文件是真实的、准确的。</w:t>
      </w:r>
    </w:p>
    <w:p w14:paraId="38FA933A">
      <w:pPr>
        <w:spacing w:line="420" w:lineRule="exact"/>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6.一旦我方中标,我方将根据招标文件的规定，严格履行合同的责任和义务,并保证在招标文件规定的时间完成项目，交付买方验收、使用。</w:t>
      </w:r>
    </w:p>
    <w:p w14:paraId="4325C781">
      <w:pPr>
        <w:spacing w:line="420" w:lineRule="exact"/>
        <w:ind w:left="425"/>
        <w:jc w:val="left"/>
        <w:rPr>
          <w:rFonts w:ascii="仿宋" w:hAnsi="仿宋" w:eastAsia="仿宋" w:cs="仿宋"/>
          <w:color w:val="auto"/>
          <w:sz w:val="24"/>
          <w:highlight w:val="none"/>
        </w:rPr>
      </w:pPr>
      <w:r>
        <w:rPr>
          <w:rFonts w:hint="eastAsia" w:ascii="仿宋" w:hAnsi="仿宋" w:eastAsia="仿宋" w:cs="仿宋"/>
          <w:color w:val="auto"/>
          <w:sz w:val="24"/>
          <w:highlight w:val="none"/>
        </w:rPr>
        <w:t>7.与本投标有关的正式通讯地址为：</w:t>
      </w:r>
    </w:p>
    <w:p w14:paraId="3EAA9F9D">
      <w:pPr>
        <w:spacing w:line="420" w:lineRule="exact"/>
        <w:ind w:left="420" w:firstLine="48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地          址：</w:t>
      </w:r>
    </w:p>
    <w:p w14:paraId="51C0D682">
      <w:pPr>
        <w:spacing w:line="420" w:lineRule="exact"/>
        <w:ind w:left="420"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邮          编：</w:t>
      </w:r>
    </w:p>
    <w:p w14:paraId="40FBC88B">
      <w:pPr>
        <w:spacing w:line="420" w:lineRule="exact"/>
        <w:ind w:left="420"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电          话：</w:t>
      </w:r>
    </w:p>
    <w:p w14:paraId="1B59F8C1">
      <w:pPr>
        <w:spacing w:line="420" w:lineRule="exact"/>
        <w:ind w:left="420"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传          真：</w:t>
      </w:r>
    </w:p>
    <w:p w14:paraId="531E52AE">
      <w:pPr>
        <w:spacing w:line="420" w:lineRule="exact"/>
        <w:ind w:left="420"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投标人开户行：</w:t>
      </w:r>
    </w:p>
    <w:p w14:paraId="5DA44FFC">
      <w:pPr>
        <w:spacing w:line="420" w:lineRule="exact"/>
        <w:ind w:left="420"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账          号：</w:t>
      </w:r>
    </w:p>
    <w:p w14:paraId="7BE99161">
      <w:pPr>
        <w:spacing w:line="420" w:lineRule="exact"/>
        <w:ind w:left="420"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日          期：_____年____月____日</w:t>
      </w:r>
    </w:p>
    <w:p w14:paraId="7CCD627B">
      <w:pPr>
        <w:spacing w:line="560" w:lineRule="exact"/>
        <w:ind w:firstLine="240"/>
        <w:jc w:val="center"/>
        <w:rPr>
          <w:rFonts w:ascii="仿宋" w:hAnsi="仿宋" w:eastAsia="仿宋" w:cs="仿宋"/>
          <w:bCs/>
          <w:color w:val="auto"/>
          <w:sz w:val="24"/>
          <w:highlight w:val="none"/>
        </w:rPr>
      </w:pPr>
    </w:p>
    <w:p w14:paraId="24BC7F2E">
      <w:pPr>
        <w:jc w:val="left"/>
        <w:outlineLvl w:val="0"/>
        <w:rPr>
          <w:rFonts w:hint="eastAsia" w:ascii="仿宋" w:hAnsi="仿宋" w:eastAsia="仿宋" w:cs="仿宋"/>
          <w:b/>
          <w:color w:val="auto"/>
          <w:sz w:val="24"/>
          <w:highlight w:val="none"/>
          <w:lang w:eastAsia="zh-CN"/>
        </w:rPr>
      </w:pPr>
      <w:r>
        <w:rPr>
          <w:rFonts w:hint="eastAsia" w:ascii="仿宋" w:hAnsi="仿宋" w:eastAsia="仿宋" w:cs="仿宋"/>
          <w:bCs/>
          <w:color w:val="auto"/>
          <w:sz w:val="24"/>
          <w:highlight w:val="none"/>
        </w:rPr>
        <w:br w:type="page" w:clear="all"/>
      </w:r>
      <w:bookmarkStart w:id="215" w:name="_Toc186493286"/>
      <w:r>
        <w:rPr>
          <w:rFonts w:hint="eastAsia" w:ascii="仿宋" w:hAnsi="仿宋" w:eastAsia="仿宋" w:cs="仿宋"/>
          <w:b/>
          <w:color w:val="auto"/>
          <w:sz w:val="24"/>
          <w:highlight w:val="none"/>
        </w:rPr>
        <w:t>附件</w:t>
      </w:r>
      <w:bookmarkEnd w:id="215"/>
      <w:r>
        <w:rPr>
          <w:rFonts w:hint="eastAsia" w:ascii="仿宋" w:hAnsi="仿宋" w:eastAsia="仿宋" w:cs="仿宋"/>
          <w:b/>
          <w:color w:val="auto"/>
          <w:sz w:val="24"/>
          <w:highlight w:val="none"/>
          <w:lang w:val="en-US" w:eastAsia="zh-CN"/>
        </w:rPr>
        <w:t>7</w:t>
      </w:r>
    </w:p>
    <w:p w14:paraId="7E61011F">
      <w:pPr>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中小企业声明函（服务）</w:t>
      </w:r>
    </w:p>
    <w:p w14:paraId="36684C24">
      <w:pPr>
        <w:spacing w:line="40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rPr>
        <w:t>（单位名称）</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采购活动，服务全部由符合政策要求的中小企业承接。相关企业（含联合体中的中小企业、签订分包意向协议的中小企业）的具体情况如下：</w:t>
      </w:r>
    </w:p>
    <w:p w14:paraId="5554419A">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（标的名称）</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（采购文件中明确的所属行业） </w:t>
      </w:r>
      <w:r>
        <w:rPr>
          <w:rFonts w:hint="eastAsia" w:ascii="仿宋" w:hAnsi="仿宋" w:eastAsia="仿宋" w:cs="仿宋"/>
          <w:color w:val="auto"/>
          <w:sz w:val="24"/>
          <w:szCs w:val="24"/>
          <w:highlight w:val="none"/>
        </w:rPr>
        <w:t>行业；承建（承接）企业为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，从业人员人，营业收入为万元，资产总额为万元，属于</w:t>
      </w:r>
      <w:r>
        <w:rPr>
          <w:rFonts w:hint="eastAsia" w:ascii="仿宋" w:hAnsi="仿宋" w:eastAsia="仿宋" w:cs="仿宋"/>
          <w:color w:val="auto"/>
          <w:sz w:val="24"/>
          <w:szCs w:val="24"/>
          <w:highlight w:val="none"/>
          <w:u w:val="single"/>
        </w:rPr>
        <w:t>（□中型企业 □小型企业 □微型企业）；</w:t>
      </w:r>
    </w:p>
    <w:p w14:paraId="44191146">
      <w:pPr>
        <w:spacing w:line="40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（标的名称）</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（采购文件中明确的所属行业） </w:t>
      </w:r>
      <w:r>
        <w:rPr>
          <w:rFonts w:hint="eastAsia" w:ascii="仿宋" w:hAnsi="仿宋" w:eastAsia="仿宋" w:cs="仿宋"/>
          <w:color w:val="auto"/>
          <w:sz w:val="24"/>
          <w:szCs w:val="24"/>
          <w:highlight w:val="none"/>
        </w:rPr>
        <w:t>行业；承建（承接）企业为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，从业人员人，营业收入为万元，资产总额为万元，属于</w:t>
      </w:r>
      <w:r>
        <w:rPr>
          <w:rFonts w:hint="eastAsia" w:ascii="仿宋" w:hAnsi="仿宋" w:eastAsia="仿宋" w:cs="仿宋"/>
          <w:color w:val="auto"/>
          <w:sz w:val="24"/>
          <w:szCs w:val="24"/>
          <w:highlight w:val="none"/>
          <w:u w:val="single"/>
        </w:rPr>
        <w:t>（□中型企业 □小型企业 □微型企业）；</w:t>
      </w:r>
    </w:p>
    <w:p w14:paraId="3DEA8650">
      <w:pPr>
        <w:spacing w:line="40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71CD4262">
      <w:pPr>
        <w:spacing w:line="40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4D66C474">
      <w:pPr>
        <w:spacing w:line="40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73447987">
      <w:pPr>
        <w:spacing w:line="400" w:lineRule="exact"/>
        <w:ind w:right="720"/>
        <w:rPr>
          <w:rFonts w:ascii="仿宋" w:hAnsi="仿宋" w:eastAsia="仿宋" w:cs="仿宋"/>
          <w:color w:val="auto"/>
          <w:sz w:val="24"/>
          <w:szCs w:val="24"/>
          <w:highlight w:val="none"/>
        </w:rPr>
      </w:pPr>
    </w:p>
    <w:p w14:paraId="6C49863F">
      <w:pPr>
        <w:spacing w:line="400" w:lineRule="exact"/>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供应商全称（加盖CA电子公章）：</w:t>
      </w:r>
    </w:p>
    <w:p w14:paraId="7A31CCFC">
      <w:pPr>
        <w:spacing w:line="400" w:lineRule="exact"/>
        <w:ind w:right="480" w:firstLine="5520"/>
        <w:rPr>
          <w:rFonts w:ascii="仿宋" w:hAnsi="仿宋" w:eastAsia="仿宋" w:cs="仿宋"/>
          <w:color w:val="auto"/>
          <w:sz w:val="24"/>
          <w:szCs w:val="24"/>
          <w:highlight w:val="none"/>
        </w:rPr>
      </w:pPr>
    </w:p>
    <w:p w14:paraId="00F00660">
      <w:pPr>
        <w:spacing w:line="400" w:lineRule="exact"/>
        <w:ind w:right="480" w:firstLine="55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p w14:paraId="62E4A574">
      <w:pPr>
        <w:spacing w:line="400" w:lineRule="exact"/>
        <w:ind w:firstLine="240"/>
        <w:rPr>
          <w:rFonts w:ascii="仿宋" w:hAnsi="仿宋" w:eastAsia="仿宋" w:cs="仿宋"/>
          <w:color w:val="auto"/>
          <w:sz w:val="24"/>
          <w:szCs w:val="24"/>
          <w:highlight w:val="none"/>
        </w:rPr>
      </w:pPr>
    </w:p>
    <w:p w14:paraId="507F99FE">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p w14:paraId="4951AA8A">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1、如项目类型为“服务”，请按照此格式填写。</w:t>
      </w:r>
    </w:p>
    <w:p w14:paraId="5DF33D82">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2、从业人员、营业收入、资产总额填报上一年度数据，无上一年度数据的新成立企业可不填报。</w:t>
      </w:r>
    </w:p>
    <w:p w14:paraId="68E5CB35">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3、专门面向中小微型企业采购的项目，投标人如不提供此声明函，则不能通过资格审查；非专门面向中小微型企业采购的项目，投标人如不提供此声明函，价格将不做相应扣除。</w:t>
      </w:r>
    </w:p>
    <w:p w14:paraId="7112C085">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4、投标人自行勾选承接企业的企业规模类型。</w:t>
      </w:r>
    </w:p>
    <w:p w14:paraId="7EE69DBA">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5、中标人的《中小企业声明函》将随中标结果同时公告。投标人按照本办法规定提供声明函内容不实的，属于提供虚假材料谋取中标、成交，依照《中华人民共和国政府采购法》等国家有关规定追究相应责任。</w:t>
      </w:r>
    </w:p>
    <w:p w14:paraId="1B700F0D">
      <w:pPr>
        <w:spacing w:line="400" w:lineRule="exact"/>
        <w:ind w:firstLine="482"/>
        <w:rPr>
          <w:rFonts w:ascii="仿宋" w:hAnsi="仿宋" w:eastAsia="仿宋" w:cs="仿宋"/>
          <w:b/>
          <w:color w:val="auto"/>
          <w:sz w:val="24"/>
          <w:szCs w:val="24"/>
          <w:highlight w:val="none"/>
        </w:rPr>
      </w:pPr>
    </w:p>
    <w:p w14:paraId="1E91313D">
      <w:pPr>
        <w:spacing w:line="588" w:lineRule="exact"/>
        <w:jc w:val="left"/>
        <w:outlineLvl w:val="0"/>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br w:type="page" w:clear="all"/>
      </w:r>
      <w:bookmarkStart w:id="216" w:name="_Toc186493287"/>
      <w:r>
        <w:rPr>
          <w:rFonts w:hint="eastAsia" w:ascii="仿宋" w:hAnsi="仿宋" w:eastAsia="仿宋" w:cs="仿宋"/>
          <w:b/>
          <w:color w:val="auto"/>
          <w:sz w:val="24"/>
          <w:szCs w:val="24"/>
          <w:highlight w:val="none"/>
        </w:rPr>
        <w:t>附件</w:t>
      </w:r>
      <w:bookmarkEnd w:id="216"/>
      <w:r>
        <w:rPr>
          <w:rFonts w:hint="eastAsia" w:ascii="仿宋" w:hAnsi="仿宋" w:eastAsia="仿宋" w:cs="仿宋"/>
          <w:b/>
          <w:color w:val="auto"/>
          <w:sz w:val="24"/>
          <w:szCs w:val="24"/>
          <w:highlight w:val="none"/>
          <w:lang w:val="en-US" w:eastAsia="zh-CN"/>
        </w:rPr>
        <w:t>8</w:t>
      </w:r>
    </w:p>
    <w:p w14:paraId="0E282B47">
      <w:pPr>
        <w:spacing w:line="588" w:lineRule="exact"/>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残疾人福利性单位声明函（服务）</w:t>
      </w:r>
    </w:p>
    <w:p w14:paraId="36030ECE">
      <w:pPr>
        <w:spacing w:line="40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141号）的规定，本单位为符合条件的残疾人福利性单位，且本单位参加单位的采购文件项目编号为的项目采购活动由本单位提供服务。</w:t>
      </w:r>
    </w:p>
    <w:p w14:paraId="4DAD6CFF">
      <w:pPr>
        <w:spacing w:line="40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122B030B">
      <w:pPr>
        <w:spacing w:line="0" w:lineRule="atLeast"/>
        <w:ind w:firstLine="480"/>
        <w:rPr>
          <w:rFonts w:ascii="仿宋" w:hAnsi="仿宋" w:eastAsia="仿宋" w:cs="仿宋"/>
          <w:color w:val="auto"/>
          <w:sz w:val="24"/>
          <w:highlight w:val="none"/>
        </w:rPr>
      </w:pPr>
    </w:p>
    <w:p w14:paraId="74643435">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p w14:paraId="2A0FFCBB">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1、如项目类型为“服务”，请按照此格式填写。</w:t>
      </w:r>
    </w:p>
    <w:p w14:paraId="6EFA0A5D">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2、专门面向中小微型企业采购的项目，投标人为残疾人福利性单位并提供服务的必须提供此声明函，否则将不能通过资格审查。</w:t>
      </w:r>
    </w:p>
    <w:p w14:paraId="76D7F82D">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3、非专门面向中小微型企业采购的项目，投标人如不提供此声明函，价格将不做相应扣除。</w:t>
      </w:r>
    </w:p>
    <w:p w14:paraId="322D52F2">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4、中标人为残疾人福利性单位的，此声明函将随中标结果同时公告，接受社会监督。</w:t>
      </w:r>
    </w:p>
    <w:p w14:paraId="242F663D">
      <w:pPr>
        <w:spacing w:line="588" w:lineRule="exact"/>
        <w:ind w:firstLine="624"/>
        <w:rPr>
          <w:rFonts w:ascii="仿宋" w:hAnsi="仿宋" w:eastAsia="仿宋" w:cs="仿宋"/>
          <w:color w:val="auto"/>
          <w:spacing w:val="6"/>
          <w:sz w:val="30"/>
          <w:szCs w:val="30"/>
          <w:highlight w:val="none"/>
        </w:rPr>
      </w:pPr>
    </w:p>
    <w:p w14:paraId="24C15E3A">
      <w:pPr>
        <w:tabs>
          <w:tab w:val="left" w:pos="4860"/>
        </w:tabs>
        <w:spacing w:line="0" w:lineRule="atLeast"/>
        <w:ind w:right="1559" w:firstLine="624"/>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供应商全称（加盖CA电子公章）：</w:t>
      </w:r>
    </w:p>
    <w:p w14:paraId="7CE1C5A3">
      <w:pPr>
        <w:tabs>
          <w:tab w:val="left" w:pos="4860"/>
        </w:tabs>
        <w:spacing w:line="0" w:lineRule="atLeast"/>
        <w:ind w:right="1559" w:firstLine="480"/>
        <w:jc w:val="center"/>
        <w:rPr>
          <w:rFonts w:ascii="仿宋" w:hAnsi="仿宋" w:eastAsia="仿宋" w:cs="仿宋"/>
          <w:color w:val="auto"/>
          <w:sz w:val="24"/>
          <w:highlight w:val="none"/>
        </w:rPr>
      </w:pPr>
    </w:p>
    <w:p w14:paraId="5D82D9ED">
      <w:pPr>
        <w:tabs>
          <w:tab w:val="left" w:pos="4860"/>
        </w:tabs>
        <w:spacing w:line="0" w:lineRule="atLeast"/>
        <w:ind w:right="1559" w:firstLine="480"/>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  期：</w:t>
      </w:r>
    </w:p>
    <w:p w14:paraId="4952998C">
      <w:pPr>
        <w:spacing w:line="420" w:lineRule="exact"/>
        <w:jc w:val="center"/>
        <w:rPr>
          <w:rFonts w:ascii="仿宋" w:hAnsi="仿宋" w:eastAsia="仿宋" w:cs="仿宋"/>
          <w:b/>
          <w:color w:val="auto"/>
          <w:sz w:val="32"/>
          <w:szCs w:val="32"/>
          <w:highlight w:val="none"/>
        </w:rPr>
      </w:pPr>
    </w:p>
    <w:p w14:paraId="79D5316B">
      <w:pPr>
        <w:spacing w:line="420" w:lineRule="exact"/>
        <w:rPr>
          <w:rFonts w:ascii="仿宋" w:hAnsi="仿宋" w:eastAsia="仿宋" w:cs="仿宋"/>
          <w:b/>
          <w:color w:val="auto"/>
          <w:sz w:val="24"/>
          <w:szCs w:val="24"/>
          <w:highlight w:val="none"/>
        </w:rPr>
      </w:pPr>
    </w:p>
    <w:p w14:paraId="67C3FCE6">
      <w:pPr>
        <w:spacing w:line="420" w:lineRule="exact"/>
        <w:rPr>
          <w:rFonts w:ascii="仿宋" w:hAnsi="仿宋" w:eastAsia="仿宋" w:cs="仿宋"/>
          <w:b/>
          <w:color w:val="auto"/>
          <w:sz w:val="24"/>
          <w:szCs w:val="24"/>
          <w:highlight w:val="none"/>
        </w:rPr>
      </w:pPr>
    </w:p>
    <w:p w14:paraId="32D5B292">
      <w:pPr>
        <w:spacing w:line="420" w:lineRule="exact"/>
        <w:rPr>
          <w:rFonts w:ascii="仿宋" w:hAnsi="仿宋" w:eastAsia="仿宋" w:cs="仿宋"/>
          <w:b/>
          <w:color w:val="auto"/>
          <w:sz w:val="24"/>
          <w:szCs w:val="24"/>
          <w:highlight w:val="none"/>
        </w:rPr>
      </w:pPr>
    </w:p>
    <w:p w14:paraId="4645E30D">
      <w:pPr>
        <w:spacing w:line="420" w:lineRule="exact"/>
        <w:rPr>
          <w:rFonts w:ascii="仿宋" w:hAnsi="仿宋" w:eastAsia="仿宋" w:cs="仿宋"/>
          <w:b/>
          <w:color w:val="auto"/>
          <w:sz w:val="24"/>
          <w:szCs w:val="24"/>
          <w:highlight w:val="none"/>
        </w:rPr>
      </w:pPr>
    </w:p>
    <w:p w14:paraId="285C9A29">
      <w:pPr>
        <w:spacing w:line="420" w:lineRule="exact"/>
        <w:rPr>
          <w:rFonts w:ascii="仿宋" w:hAnsi="仿宋" w:eastAsia="仿宋" w:cs="仿宋"/>
          <w:b/>
          <w:color w:val="auto"/>
          <w:sz w:val="24"/>
          <w:szCs w:val="24"/>
          <w:highlight w:val="none"/>
        </w:rPr>
      </w:pPr>
    </w:p>
    <w:p w14:paraId="17AADF72">
      <w:pPr>
        <w:spacing w:line="420" w:lineRule="exact"/>
        <w:rPr>
          <w:rFonts w:ascii="仿宋" w:hAnsi="仿宋" w:eastAsia="仿宋" w:cs="仿宋"/>
          <w:b/>
          <w:color w:val="auto"/>
          <w:sz w:val="24"/>
          <w:szCs w:val="24"/>
          <w:highlight w:val="none"/>
        </w:rPr>
      </w:pPr>
    </w:p>
    <w:p w14:paraId="3BECCCF9">
      <w:pPr>
        <w:spacing w:line="420" w:lineRule="exact"/>
        <w:rPr>
          <w:rFonts w:ascii="仿宋" w:hAnsi="仿宋" w:eastAsia="仿宋" w:cs="仿宋"/>
          <w:b/>
          <w:color w:val="auto"/>
          <w:sz w:val="24"/>
          <w:szCs w:val="24"/>
          <w:highlight w:val="none"/>
        </w:rPr>
      </w:pPr>
    </w:p>
    <w:p w14:paraId="45BF7703">
      <w:pPr>
        <w:spacing w:line="420" w:lineRule="exact"/>
        <w:rPr>
          <w:rFonts w:ascii="仿宋" w:hAnsi="仿宋" w:eastAsia="仿宋" w:cs="仿宋"/>
          <w:b/>
          <w:color w:val="auto"/>
          <w:sz w:val="24"/>
          <w:szCs w:val="24"/>
          <w:highlight w:val="none"/>
        </w:rPr>
      </w:pPr>
    </w:p>
    <w:p w14:paraId="7F14CD52">
      <w:pPr>
        <w:spacing w:line="420" w:lineRule="exact"/>
        <w:rPr>
          <w:rFonts w:ascii="仿宋" w:hAnsi="仿宋" w:eastAsia="仿宋" w:cs="仿宋"/>
          <w:b/>
          <w:color w:val="auto"/>
          <w:sz w:val="24"/>
          <w:szCs w:val="24"/>
          <w:highlight w:val="none"/>
        </w:rPr>
      </w:pPr>
    </w:p>
    <w:p w14:paraId="2313ACFB">
      <w:pPr>
        <w:spacing w:line="420" w:lineRule="exact"/>
        <w:rPr>
          <w:rFonts w:ascii="仿宋" w:hAnsi="仿宋" w:eastAsia="仿宋" w:cs="仿宋"/>
          <w:b/>
          <w:color w:val="auto"/>
          <w:sz w:val="24"/>
          <w:szCs w:val="24"/>
          <w:highlight w:val="none"/>
        </w:rPr>
      </w:pPr>
    </w:p>
    <w:p w14:paraId="10ADF4FE">
      <w:pPr>
        <w:spacing w:line="420" w:lineRule="exact"/>
        <w:rPr>
          <w:rFonts w:ascii="仿宋" w:hAnsi="仿宋" w:eastAsia="仿宋" w:cs="仿宋"/>
          <w:b/>
          <w:color w:val="auto"/>
          <w:sz w:val="24"/>
          <w:szCs w:val="24"/>
          <w:highlight w:val="none"/>
        </w:rPr>
      </w:pPr>
    </w:p>
    <w:p w14:paraId="61CDFD12">
      <w:pPr>
        <w:spacing w:line="420" w:lineRule="exact"/>
        <w:rPr>
          <w:rFonts w:ascii="仿宋" w:hAnsi="仿宋" w:eastAsia="仿宋" w:cs="仿宋"/>
          <w:b/>
          <w:color w:val="auto"/>
          <w:sz w:val="24"/>
          <w:szCs w:val="24"/>
          <w:highlight w:val="none"/>
        </w:rPr>
      </w:pPr>
    </w:p>
    <w:p w14:paraId="039AF57A">
      <w:pPr>
        <w:spacing w:line="420" w:lineRule="exact"/>
        <w:outlineLvl w:val="0"/>
        <w:rPr>
          <w:rFonts w:hint="eastAsia" w:ascii="仿宋" w:hAnsi="仿宋" w:eastAsia="仿宋" w:cs="仿宋"/>
          <w:b/>
          <w:color w:val="auto"/>
          <w:sz w:val="24"/>
          <w:szCs w:val="24"/>
          <w:highlight w:val="none"/>
        </w:rPr>
      </w:pPr>
      <w:bookmarkStart w:id="217" w:name="_Toc186493288"/>
    </w:p>
    <w:p w14:paraId="558E32BC">
      <w:pPr>
        <w:spacing w:line="420" w:lineRule="exact"/>
        <w:outlineLvl w:val="0"/>
        <w:rPr>
          <w:rFonts w:hint="eastAsia" w:ascii="仿宋" w:hAnsi="仿宋" w:eastAsia="仿宋" w:cs="仿宋"/>
          <w:b/>
          <w:color w:val="auto"/>
          <w:sz w:val="24"/>
          <w:szCs w:val="24"/>
          <w:highlight w:val="none"/>
        </w:rPr>
      </w:pPr>
    </w:p>
    <w:p w14:paraId="6E93D7F3">
      <w:pPr>
        <w:spacing w:line="420" w:lineRule="exact"/>
        <w:outlineLvl w:val="0"/>
        <w:rPr>
          <w:rFonts w:hint="eastAsia" w:ascii="仿宋" w:hAnsi="仿宋" w:eastAsia="仿宋" w:cs="仿宋"/>
          <w:b/>
          <w:color w:val="auto"/>
          <w:sz w:val="24"/>
          <w:szCs w:val="24"/>
          <w:highlight w:val="none"/>
        </w:rPr>
      </w:pPr>
    </w:p>
    <w:p w14:paraId="093F8E00">
      <w:pPr>
        <w:spacing w:line="420" w:lineRule="exact"/>
        <w:outlineLvl w:val="0"/>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附件</w:t>
      </w:r>
      <w:bookmarkEnd w:id="217"/>
      <w:r>
        <w:rPr>
          <w:rFonts w:hint="eastAsia" w:ascii="仿宋" w:hAnsi="仿宋" w:eastAsia="仿宋" w:cs="仿宋"/>
          <w:b/>
          <w:color w:val="auto"/>
          <w:sz w:val="24"/>
          <w:szCs w:val="24"/>
          <w:highlight w:val="none"/>
          <w:lang w:val="en-US" w:eastAsia="zh-CN"/>
        </w:rPr>
        <w:t>9</w:t>
      </w:r>
    </w:p>
    <w:p w14:paraId="123752F9">
      <w:pPr>
        <w:spacing w:line="420" w:lineRule="exact"/>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监狱和戒毒企业证明材料</w:t>
      </w:r>
    </w:p>
    <w:p w14:paraId="4FC5AA93">
      <w:pPr>
        <w:spacing w:line="420" w:lineRule="exact"/>
        <w:ind w:firstLine="495"/>
        <w:rPr>
          <w:rFonts w:ascii="仿宋" w:hAnsi="仿宋" w:eastAsia="仿宋" w:cs="仿宋"/>
          <w:color w:val="auto"/>
          <w:sz w:val="28"/>
          <w:szCs w:val="28"/>
          <w:highlight w:val="none"/>
        </w:rPr>
      </w:pPr>
    </w:p>
    <w:p w14:paraId="389DACFA">
      <w:pPr>
        <w:spacing w:line="42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（格式自拟）</w:t>
      </w:r>
    </w:p>
    <w:p w14:paraId="1C7143C7">
      <w:pPr>
        <w:spacing w:line="420" w:lineRule="exact"/>
        <w:ind w:firstLine="495"/>
        <w:rPr>
          <w:rFonts w:ascii="仿宋" w:hAnsi="仿宋" w:eastAsia="仿宋" w:cs="仿宋"/>
          <w:color w:val="auto"/>
          <w:sz w:val="28"/>
          <w:szCs w:val="28"/>
          <w:highlight w:val="none"/>
        </w:rPr>
      </w:pPr>
    </w:p>
    <w:p w14:paraId="12B5FA87">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422CA07">
      <w:pPr>
        <w:spacing w:line="400" w:lineRule="exact"/>
        <w:ind w:firstLine="480"/>
        <w:rPr>
          <w:rFonts w:ascii="仿宋" w:hAnsi="仿宋" w:eastAsia="仿宋" w:cs="仿宋"/>
          <w:color w:val="auto"/>
          <w:sz w:val="24"/>
          <w:szCs w:val="24"/>
          <w:highlight w:val="none"/>
        </w:rPr>
      </w:pPr>
    </w:p>
    <w:p w14:paraId="01278250">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p w14:paraId="160D2F08">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1、专门面向中小微型企业采购的项目，投标人如不提供此证明材料，则不能通过资格审查；非专门面向中小微型企业采购的项目，投标人如不提供此证明材料，价格将不做相应扣除。</w:t>
      </w:r>
    </w:p>
    <w:p w14:paraId="2B618A5C">
      <w:pPr>
        <w:spacing w:line="4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中标人为监狱和戒毒企业的，此证明材料将随中标结果同时公告，接受社会监督。投标人按照本办法规定提供证明材料内容不实的，属于提供虚假材料谋取中标、成交，依照《中华人民共和国政府采购法》等国家有关规定追究相应责任。</w:t>
      </w:r>
    </w:p>
    <w:p w14:paraId="0FBF7B22">
      <w:pPr>
        <w:spacing w:line="400" w:lineRule="exact"/>
        <w:ind w:firstLine="480"/>
        <w:rPr>
          <w:rFonts w:ascii="仿宋" w:hAnsi="仿宋" w:eastAsia="仿宋" w:cs="仿宋"/>
          <w:color w:val="auto"/>
          <w:sz w:val="24"/>
          <w:szCs w:val="24"/>
          <w:highlight w:val="none"/>
        </w:rPr>
      </w:pPr>
    </w:p>
    <w:p w14:paraId="136F7F2F">
      <w:pPr>
        <w:spacing w:line="560" w:lineRule="exact"/>
        <w:jc w:val="center"/>
        <w:rPr>
          <w:rFonts w:ascii="仿宋" w:hAnsi="仿宋" w:eastAsia="仿宋" w:cs="仿宋"/>
          <w:b/>
          <w:color w:val="auto"/>
          <w:sz w:val="32"/>
          <w:szCs w:val="32"/>
          <w:highlight w:val="none"/>
        </w:rPr>
      </w:pPr>
    </w:p>
    <w:p w14:paraId="29E32E79">
      <w:pPr>
        <w:spacing w:line="588" w:lineRule="exact"/>
        <w:ind w:firstLine="624"/>
        <w:rPr>
          <w:rFonts w:ascii="仿宋" w:hAnsi="仿宋" w:eastAsia="仿宋" w:cs="仿宋"/>
          <w:color w:val="auto"/>
          <w:spacing w:val="6"/>
          <w:sz w:val="30"/>
          <w:szCs w:val="30"/>
          <w:highlight w:val="none"/>
        </w:rPr>
      </w:pPr>
    </w:p>
    <w:p w14:paraId="6619AF13">
      <w:pPr>
        <w:tabs>
          <w:tab w:val="left" w:pos="4860"/>
        </w:tabs>
        <w:spacing w:line="0" w:lineRule="atLeast"/>
        <w:ind w:right="1559" w:firstLine="624"/>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供应商全称（加盖CA电子公章）：</w:t>
      </w:r>
    </w:p>
    <w:p w14:paraId="3547FDE2">
      <w:pPr>
        <w:tabs>
          <w:tab w:val="left" w:pos="4860"/>
        </w:tabs>
        <w:spacing w:line="0" w:lineRule="atLeast"/>
        <w:ind w:right="1559" w:firstLine="480"/>
        <w:jc w:val="center"/>
        <w:rPr>
          <w:rFonts w:ascii="仿宋" w:hAnsi="仿宋" w:eastAsia="仿宋" w:cs="仿宋"/>
          <w:color w:val="auto"/>
          <w:sz w:val="24"/>
          <w:highlight w:val="none"/>
        </w:rPr>
      </w:pPr>
    </w:p>
    <w:p w14:paraId="0C1007FD">
      <w:pPr>
        <w:tabs>
          <w:tab w:val="left" w:pos="4860"/>
        </w:tabs>
        <w:spacing w:line="0" w:lineRule="atLeast"/>
        <w:ind w:right="1559" w:firstLine="480"/>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  期：</w:t>
      </w:r>
    </w:p>
    <w:p w14:paraId="6ABC4656">
      <w:pPr>
        <w:spacing w:line="560" w:lineRule="exact"/>
        <w:rPr>
          <w:rFonts w:ascii="仿宋" w:hAnsi="仿宋" w:eastAsia="仿宋" w:cs="仿宋"/>
          <w:b/>
          <w:color w:val="auto"/>
          <w:sz w:val="32"/>
          <w:szCs w:val="32"/>
          <w:highlight w:val="none"/>
        </w:rPr>
      </w:pPr>
    </w:p>
    <w:p w14:paraId="2D0A06E9">
      <w:pPr>
        <w:outlineLvl w:val="0"/>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br w:type="page" w:clear="all"/>
      </w:r>
      <w:bookmarkEnd w:id="195"/>
      <w:bookmarkEnd w:id="196"/>
      <w:bookmarkEnd w:id="197"/>
      <w:bookmarkStart w:id="218" w:name="_Toc186493289"/>
      <w:bookmarkStart w:id="219" w:name="_Toc120614284"/>
      <w:r>
        <w:rPr>
          <w:rFonts w:hint="eastAsia" w:ascii="仿宋" w:hAnsi="仿宋" w:eastAsia="仿宋" w:cs="仿宋"/>
          <w:b/>
          <w:color w:val="auto"/>
          <w:sz w:val="24"/>
          <w:szCs w:val="24"/>
          <w:highlight w:val="none"/>
        </w:rPr>
        <w:t>附件</w:t>
      </w:r>
      <w:bookmarkEnd w:id="218"/>
      <w:r>
        <w:rPr>
          <w:rFonts w:hint="eastAsia" w:ascii="仿宋" w:hAnsi="仿宋" w:eastAsia="仿宋" w:cs="仿宋"/>
          <w:b/>
          <w:color w:val="auto"/>
          <w:sz w:val="24"/>
          <w:szCs w:val="24"/>
          <w:highlight w:val="none"/>
          <w:lang w:val="en-US" w:eastAsia="zh-CN"/>
        </w:rPr>
        <w:t>10</w:t>
      </w:r>
    </w:p>
    <w:p w14:paraId="5A5D2920">
      <w:pPr>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技术要求响应及偏离表</w:t>
      </w:r>
    </w:p>
    <w:p w14:paraId="7242CFFA">
      <w:pPr>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（由投标人据实填写，表格不够自行添加）</w:t>
      </w:r>
    </w:p>
    <w:tbl>
      <w:tblPr>
        <w:tblStyle w:val="3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85"/>
        <w:gridCol w:w="2415"/>
        <w:gridCol w:w="2109"/>
        <w:gridCol w:w="2721"/>
        <w:gridCol w:w="1498"/>
      </w:tblGrid>
      <w:tr w14:paraId="1B2AF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5B9DD6FA">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3B6C04C6">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38DBDE46">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1FBF5497">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投标文件响应情况</w:t>
            </w:r>
          </w:p>
        </w:tc>
        <w:tc>
          <w:tcPr>
            <w:tcW w:w="778" w:type="pct"/>
            <w:tcBorders>
              <w:top w:val="single" w:color="auto" w:sz="12" w:space="0"/>
              <w:left w:val="single" w:color="auto" w:sz="6" w:space="0"/>
              <w:bottom w:val="single" w:color="auto" w:sz="6" w:space="0"/>
              <w:right w:val="single" w:color="auto" w:sz="12" w:space="0"/>
            </w:tcBorders>
            <w:noWrap w:val="0"/>
          </w:tcPr>
          <w:p w14:paraId="53DECF7D">
            <w:pPr>
              <w:spacing w:line="340" w:lineRule="exact"/>
              <w:jc w:val="center"/>
              <w:rPr>
                <w:rFonts w:ascii="仿宋" w:hAnsi="仿宋" w:eastAsia="仿宋" w:cs="仿宋"/>
                <w:color w:val="auto"/>
                <w:sz w:val="24"/>
                <w:szCs w:val="24"/>
                <w:highlight w:val="none"/>
              </w:rPr>
            </w:pPr>
          </w:p>
          <w:p w14:paraId="0A0C61E4">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偏离说明</w:t>
            </w:r>
          </w:p>
        </w:tc>
      </w:tr>
      <w:tr w14:paraId="2E6C19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tcPr>
          <w:p w14:paraId="4521500F">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98BC298">
            <w:pPr>
              <w:spacing w:line="340" w:lineRule="exact"/>
              <w:jc w:val="left"/>
              <w:rPr>
                <w:rFonts w:ascii="仿宋" w:hAnsi="仿宋" w:eastAsia="仿宋" w:cs="仿宋"/>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004840F">
            <w:pPr>
              <w:spacing w:line="340" w:lineRule="exact"/>
              <w:jc w:val="left"/>
              <w:rPr>
                <w:rFonts w:ascii="仿宋" w:hAnsi="仿宋" w:eastAsia="仿宋" w:cs="仿宋"/>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EB84030">
            <w:pPr>
              <w:spacing w:line="340" w:lineRule="exact"/>
              <w:jc w:val="left"/>
              <w:rPr>
                <w:rFonts w:ascii="仿宋" w:hAnsi="仿宋" w:eastAsia="仿宋" w:cs="仿宋"/>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2021AE1D">
            <w:pPr>
              <w:spacing w:line="340" w:lineRule="exact"/>
              <w:jc w:val="left"/>
              <w:rPr>
                <w:rFonts w:ascii="仿宋" w:hAnsi="仿宋" w:eastAsia="仿宋" w:cs="仿宋"/>
                <w:color w:val="auto"/>
                <w:sz w:val="24"/>
                <w:szCs w:val="24"/>
                <w:highlight w:val="none"/>
              </w:rPr>
            </w:pPr>
          </w:p>
        </w:tc>
      </w:tr>
      <w:tr w14:paraId="33DD23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tcPr>
          <w:p w14:paraId="2D2F183A">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7DEDA33">
            <w:pPr>
              <w:spacing w:line="340" w:lineRule="exact"/>
              <w:jc w:val="left"/>
              <w:rPr>
                <w:rFonts w:ascii="仿宋" w:hAnsi="仿宋" w:eastAsia="仿宋" w:cs="仿宋"/>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7B02B698">
            <w:pPr>
              <w:spacing w:line="340" w:lineRule="exact"/>
              <w:jc w:val="left"/>
              <w:rPr>
                <w:rFonts w:ascii="仿宋" w:hAnsi="仿宋" w:eastAsia="仿宋" w:cs="仿宋"/>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55B8CEF">
            <w:pPr>
              <w:spacing w:line="340" w:lineRule="exact"/>
              <w:jc w:val="left"/>
              <w:rPr>
                <w:rFonts w:ascii="仿宋" w:hAnsi="仿宋" w:eastAsia="仿宋" w:cs="仿宋"/>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2841430C">
            <w:pPr>
              <w:spacing w:line="340" w:lineRule="exact"/>
              <w:jc w:val="left"/>
              <w:rPr>
                <w:rFonts w:ascii="仿宋" w:hAnsi="仿宋" w:eastAsia="仿宋" w:cs="仿宋"/>
                <w:color w:val="auto"/>
                <w:sz w:val="24"/>
                <w:szCs w:val="24"/>
                <w:highlight w:val="none"/>
              </w:rPr>
            </w:pPr>
          </w:p>
        </w:tc>
      </w:tr>
      <w:tr w14:paraId="53E1E0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tcPr>
          <w:p w14:paraId="41930BB9">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7158935">
            <w:pPr>
              <w:spacing w:line="340" w:lineRule="exact"/>
              <w:jc w:val="left"/>
              <w:rPr>
                <w:rFonts w:ascii="仿宋" w:hAnsi="仿宋" w:eastAsia="仿宋" w:cs="仿宋"/>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4AE1ED0">
            <w:pPr>
              <w:spacing w:line="340" w:lineRule="exact"/>
              <w:jc w:val="left"/>
              <w:rPr>
                <w:rFonts w:ascii="仿宋" w:hAnsi="仿宋" w:eastAsia="仿宋" w:cs="仿宋"/>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7020DF2">
            <w:pPr>
              <w:spacing w:line="340" w:lineRule="exact"/>
              <w:jc w:val="left"/>
              <w:rPr>
                <w:rFonts w:ascii="仿宋" w:hAnsi="仿宋" w:eastAsia="仿宋" w:cs="仿宋"/>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5173D542">
            <w:pPr>
              <w:spacing w:line="340" w:lineRule="exact"/>
              <w:jc w:val="left"/>
              <w:rPr>
                <w:rFonts w:ascii="仿宋" w:hAnsi="仿宋" w:eastAsia="仿宋" w:cs="仿宋"/>
                <w:color w:val="auto"/>
                <w:sz w:val="24"/>
                <w:szCs w:val="24"/>
                <w:highlight w:val="none"/>
              </w:rPr>
            </w:pPr>
          </w:p>
        </w:tc>
      </w:tr>
      <w:tr w14:paraId="20B21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tcPr>
          <w:p w14:paraId="65BEF99E">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EA5F9D2">
            <w:pPr>
              <w:spacing w:line="340" w:lineRule="exact"/>
              <w:jc w:val="left"/>
              <w:rPr>
                <w:rFonts w:ascii="仿宋" w:hAnsi="仿宋" w:eastAsia="仿宋" w:cs="仿宋"/>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5E0DCEB9">
            <w:pPr>
              <w:spacing w:line="340" w:lineRule="exact"/>
              <w:jc w:val="left"/>
              <w:rPr>
                <w:rFonts w:ascii="仿宋" w:hAnsi="仿宋" w:eastAsia="仿宋" w:cs="仿宋"/>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311F603">
            <w:pPr>
              <w:spacing w:line="340" w:lineRule="exact"/>
              <w:jc w:val="left"/>
              <w:rPr>
                <w:rFonts w:ascii="仿宋" w:hAnsi="仿宋" w:eastAsia="仿宋" w:cs="仿宋"/>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2F8D10BB">
            <w:pPr>
              <w:spacing w:line="340" w:lineRule="exact"/>
              <w:jc w:val="left"/>
              <w:rPr>
                <w:rFonts w:ascii="仿宋" w:hAnsi="仿宋" w:eastAsia="仿宋" w:cs="仿宋"/>
                <w:color w:val="auto"/>
                <w:sz w:val="24"/>
                <w:szCs w:val="24"/>
                <w:highlight w:val="none"/>
              </w:rPr>
            </w:pPr>
          </w:p>
        </w:tc>
      </w:tr>
      <w:tr w14:paraId="34F796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noWrap w:val="0"/>
            <w:vAlign w:val="center"/>
          </w:tcPr>
          <w:p w14:paraId="10C64BA4">
            <w:pPr>
              <w:spacing w:line="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300" w:type="dxa"/>
            <w:tcBorders>
              <w:top w:val="single" w:color="auto" w:sz="6" w:space="0"/>
              <w:left w:val="single" w:color="auto" w:sz="6" w:space="0"/>
              <w:bottom w:val="single" w:color="auto" w:sz="6" w:space="0"/>
              <w:right w:val="single" w:color="auto" w:sz="6" w:space="0"/>
            </w:tcBorders>
            <w:noWrap w:val="0"/>
            <w:vAlign w:val="center"/>
          </w:tcPr>
          <w:p w14:paraId="0EB25454">
            <w:pPr>
              <w:spacing w:line="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095" w:type="pct"/>
            <w:tcBorders>
              <w:top w:val="single" w:color="auto" w:sz="6" w:space="0"/>
              <w:left w:val="single" w:color="auto" w:sz="6" w:space="0"/>
              <w:bottom w:val="single" w:color="auto" w:sz="6" w:space="0"/>
              <w:right w:val="single" w:color="auto" w:sz="6" w:space="0"/>
            </w:tcBorders>
            <w:noWrap w:val="0"/>
            <w:vAlign w:val="center"/>
          </w:tcPr>
          <w:p w14:paraId="3A0A8864">
            <w:pPr>
              <w:spacing w:line="340" w:lineRule="exact"/>
              <w:jc w:val="left"/>
              <w:rPr>
                <w:rFonts w:ascii="仿宋" w:hAnsi="仿宋" w:eastAsia="仿宋" w:cs="仿宋"/>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21C7B3FC">
            <w:pPr>
              <w:spacing w:line="340" w:lineRule="exact"/>
              <w:jc w:val="left"/>
              <w:rPr>
                <w:rFonts w:ascii="仿宋" w:hAnsi="仿宋" w:eastAsia="仿宋" w:cs="仿宋"/>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2CD7AE59">
            <w:pPr>
              <w:spacing w:line="340" w:lineRule="exact"/>
              <w:jc w:val="left"/>
              <w:rPr>
                <w:rFonts w:ascii="仿宋" w:hAnsi="仿宋" w:eastAsia="仿宋" w:cs="仿宋"/>
                <w:color w:val="auto"/>
                <w:sz w:val="24"/>
                <w:szCs w:val="24"/>
                <w:highlight w:val="none"/>
              </w:rPr>
            </w:pPr>
          </w:p>
        </w:tc>
      </w:tr>
    </w:tbl>
    <w:p w14:paraId="5E840C36">
      <w:pPr>
        <w:spacing w:line="400" w:lineRule="exact"/>
        <w:rPr>
          <w:rFonts w:ascii="仿宋" w:hAnsi="仿宋" w:eastAsia="仿宋" w:cs="仿宋"/>
          <w:color w:val="auto"/>
          <w:sz w:val="24"/>
          <w:szCs w:val="24"/>
          <w:highlight w:val="none"/>
        </w:rPr>
      </w:pPr>
    </w:p>
    <w:p w14:paraId="66158D37">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p w14:paraId="6FD10F5F">
      <w:pPr>
        <w:numPr>
          <w:ilvl w:val="0"/>
          <w:numId w:val="2"/>
        </w:numPr>
        <w:spacing w:line="300" w:lineRule="auto"/>
        <w:contextualSpacing/>
        <w:rPr>
          <w:rFonts w:ascii="仿宋" w:hAnsi="仿宋" w:eastAsia="仿宋" w:cs="仿宋"/>
          <w:b/>
          <w:bCs/>
          <w:color w:val="auto"/>
          <w:sz w:val="24"/>
          <w:highlight w:val="none"/>
        </w:rPr>
      </w:pPr>
      <w:r>
        <w:rPr>
          <w:rFonts w:hint="eastAsia" w:ascii="仿宋" w:hAnsi="仿宋" w:eastAsia="仿宋" w:cs="仿宋"/>
          <w:b/>
          <w:bCs/>
          <w:color w:val="auto"/>
          <w:sz w:val="24"/>
          <w:highlight w:val="none"/>
        </w:rPr>
        <w:t>投标人提交的投标文件中与招标文件第四章“采购需求”中的技术要求如有偏离的，应逐条填列在偏离表中。</w:t>
      </w:r>
    </w:p>
    <w:p w14:paraId="1DF74E39">
      <w:pPr>
        <w:spacing w:line="300" w:lineRule="auto"/>
        <w:contextualSpacing/>
        <w:rPr>
          <w:rFonts w:ascii="仿宋" w:hAnsi="仿宋" w:eastAsia="仿宋" w:cs="仿宋"/>
          <w:color w:val="auto"/>
          <w:sz w:val="24"/>
          <w:highlight w:val="none"/>
        </w:rPr>
      </w:pPr>
      <w:r>
        <w:rPr>
          <w:rFonts w:hint="eastAsia" w:ascii="仿宋" w:hAnsi="仿宋" w:eastAsia="仿宋" w:cs="仿宋"/>
          <w:color w:val="auto"/>
          <w:sz w:val="24"/>
          <w:highlight w:val="none"/>
        </w:rPr>
        <w:t>2.“偏离说明”一栏选择“正偏离”、“无偏离”、“负偏离”进行填写。未填写的内容视为完全响应本招标文件要求。正偏离、无偏离的确认和负偏离是否响应招标文件，由评委会认定。</w:t>
      </w:r>
    </w:p>
    <w:p w14:paraId="729DB37B">
      <w:pPr>
        <w:pStyle w:val="35"/>
        <w:rPr>
          <w:rFonts w:ascii="仿宋" w:hAnsi="仿宋" w:eastAsia="仿宋" w:cs="仿宋"/>
          <w:color w:val="auto"/>
          <w:highlight w:val="none"/>
        </w:rPr>
      </w:pPr>
    </w:p>
    <w:p w14:paraId="68963652">
      <w:pPr>
        <w:spacing w:line="588" w:lineRule="exact"/>
        <w:rPr>
          <w:rFonts w:ascii="仿宋" w:hAnsi="仿宋" w:eastAsia="仿宋" w:cs="仿宋"/>
          <w:color w:val="auto"/>
          <w:spacing w:val="6"/>
          <w:sz w:val="30"/>
          <w:szCs w:val="30"/>
          <w:highlight w:val="none"/>
        </w:rPr>
      </w:pPr>
    </w:p>
    <w:p w14:paraId="5E316A1B">
      <w:pPr>
        <w:tabs>
          <w:tab w:val="left" w:pos="4860"/>
        </w:tabs>
        <w:spacing w:line="0" w:lineRule="atLeast"/>
        <w:ind w:right="1559" w:firstLine="624"/>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供应商全称（加盖CA电子公章）：</w:t>
      </w:r>
    </w:p>
    <w:p w14:paraId="08169292">
      <w:pPr>
        <w:tabs>
          <w:tab w:val="left" w:pos="4860"/>
        </w:tabs>
        <w:spacing w:line="0" w:lineRule="atLeast"/>
        <w:ind w:right="1559" w:firstLine="480"/>
        <w:jc w:val="center"/>
        <w:rPr>
          <w:rFonts w:ascii="仿宋" w:hAnsi="仿宋" w:eastAsia="仿宋" w:cs="仿宋"/>
          <w:color w:val="auto"/>
          <w:sz w:val="24"/>
          <w:highlight w:val="none"/>
        </w:rPr>
      </w:pPr>
    </w:p>
    <w:p w14:paraId="2FBB111A">
      <w:pPr>
        <w:tabs>
          <w:tab w:val="left" w:pos="4860"/>
        </w:tabs>
        <w:spacing w:line="0" w:lineRule="atLeast"/>
        <w:ind w:right="1559" w:firstLine="480"/>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  期：</w:t>
      </w:r>
    </w:p>
    <w:p w14:paraId="788A9C8E">
      <w:pPr>
        <w:spacing w:line="400" w:lineRule="exact"/>
        <w:rPr>
          <w:rFonts w:ascii="仿宋" w:hAnsi="仿宋" w:eastAsia="仿宋" w:cs="仿宋"/>
          <w:color w:val="auto"/>
          <w:sz w:val="24"/>
          <w:szCs w:val="24"/>
          <w:highlight w:val="none"/>
        </w:rPr>
      </w:pPr>
    </w:p>
    <w:p w14:paraId="348E48BA">
      <w:pPr>
        <w:outlineLvl w:val="0"/>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br w:type="page" w:clear="all"/>
      </w:r>
      <w:bookmarkStart w:id="220" w:name="_Toc186493290"/>
      <w:r>
        <w:rPr>
          <w:rFonts w:hint="eastAsia" w:ascii="仿宋" w:hAnsi="仿宋" w:eastAsia="仿宋" w:cs="仿宋"/>
          <w:b/>
          <w:color w:val="auto"/>
          <w:sz w:val="24"/>
          <w:szCs w:val="24"/>
          <w:highlight w:val="none"/>
        </w:rPr>
        <w:t>附件1</w:t>
      </w:r>
      <w:bookmarkEnd w:id="220"/>
      <w:r>
        <w:rPr>
          <w:rFonts w:hint="eastAsia" w:ascii="仿宋" w:hAnsi="仿宋" w:eastAsia="仿宋" w:cs="仿宋"/>
          <w:b/>
          <w:color w:val="auto"/>
          <w:sz w:val="24"/>
          <w:szCs w:val="24"/>
          <w:highlight w:val="none"/>
          <w:lang w:val="en-US" w:eastAsia="zh-CN"/>
        </w:rPr>
        <w:t>1</w:t>
      </w:r>
    </w:p>
    <w:p w14:paraId="491043C4">
      <w:pPr>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商务要求响应及偏离表</w:t>
      </w:r>
    </w:p>
    <w:p w14:paraId="674A000A">
      <w:pPr>
        <w:ind w:firstLine="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（由投标人据实填写，表格不够自行添加）</w:t>
      </w:r>
    </w:p>
    <w:tbl>
      <w:tblPr>
        <w:tblStyle w:val="3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85"/>
        <w:gridCol w:w="2415"/>
        <w:gridCol w:w="2109"/>
        <w:gridCol w:w="2721"/>
        <w:gridCol w:w="1498"/>
      </w:tblGrid>
      <w:tr w14:paraId="6CB1BF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6DC77350">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1772FE0B">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19E2EF40">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400F058D">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投标文件响应情况</w:t>
            </w:r>
          </w:p>
        </w:tc>
        <w:tc>
          <w:tcPr>
            <w:tcW w:w="778" w:type="pct"/>
            <w:tcBorders>
              <w:top w:val="single" w:color="auto" w:sz="12" w:space="0"/>
              <w:left w:val="single" w:color="auto" w:sz="6" w:space="0"/>
              <w:bottom w:val="single" w:color="auto" w:sz="6" w:space="0"/>
              <w:right w:val="single" w:color="auto" w:sz="12" w:space="0"/>
            </w:tcBorders>
            <w:noWrap w:val="0"/>
          </w:tcPr>
          <w:p w14:paraId="2B3E283B">
            <w:pPr>
              <w:spacing w:line="340" w:lineRule="exact"/>
              <w:jc w:val="center"/>
              <w:rPr>
                <w:rFonts w:ascii="仿宋" w:hAnsi="仿宋" w:eastAsia="仿宋" w:cs="仿宋"/>
                <w:color w:val="auto"/>
                <w:sz w:val="24"/>
                <w:szCs w:val="24"/>
                <w:highlight w:val="none"/>
              </w:rPr>
            </w:pPr>
          </w:p>
          <w:p w14:paraId="2F1875AC">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偏离说明</w:t>
            </w:r>
          </w:p>
        </w:tc>
      </w:tr>
      <w:tr w14:paraId="4DD67D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9" w:hRule="atLeast"/>
        </w:trPr>
        <w:tc>
          <w:tcPr>
            <w:tcW w:w="460" w:type="pct"/>
            <w:tcBorders>
              <w:top w:val="single" w:color="auto" w:sz="6" w:space="0"/>
              <w:left w:val="single" w:color="auto" w:sz="12" w:space="0"/>
              <w:bottom w:val="single" w:color="auto" w:sz="6" w:space="0"/>
              <w:right w:val="single" w:color="auto" w:sz="6" w:space="0"/>
            </w:tcBorders>
            <w:noWrap w:val="0"/>
          </w:tcPr>
          <w:p w14:paraId="65A17B22">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03EAA79">
            <w:pPr>
              <w:spacing w:line="340" w:lineRule="exact"/>
              <w:jc w:val="left"/>
              <w:rPr>
                <w:rFonts w:ascii="仿宋" w:hAnsi="仿宋" w:eastAsia="仿宋" w:cs="仿宋"/>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19D5C51">
            <w:pPr>
              <w:spacing w:line="340" w:lineRule="exact"/>
              <w:jc w:val="left"/>
              <w:rPr>
                <w:rFonts w:ascii="仿宋" w:hAnsi="仿宋" w:eastAsia="仿宋" w:cs="仿宋"/>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8A3501C">
            <w:pPr>
              <w:spacing w:line="340" w:lineRule="exact"/>
              <w:jc w:val="left"/>
              <w:rPr>
                <w:rFonts w:ascii="仿宋" w:hAnsi="仿宋" w:eastAsia="仿宋" w:cs="仿宋"/>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63D2AFB9">
            <w:pPr>
              <w:spacing w:line="340" w:lineRule="exact"/>
              <w:jc w:val="left"/>
              <w:rPr>
                <w:rFonts w:ascii="仿宋" w:hAnsi="仿宋" w:eastAsia="仿宋" w:cs="仿宋"/>
                <w:color w:val="auto"/>
                <w:sz w:val="24"/>
                <w:szCs w:val="24"/>
                <w:highlight w:val="none"/>
              </w:rPr>
            </w:pPr>
          </w:p>
        </w:tc>
      </w:tr>
      <w:tr w14:paraId="4166E7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tcPr>
          <w:p w14:paraId="04C2D211">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30675C1">
            <w:pPr>
              <w:spacing w:line="340" w:lineRule="exact"/>
              <w:jc w:val="left"/>
              <w:rPr>
                <w:rFonts w:ascii="仿宋" w:hAnsi="仿宋" w:eastAsia="仿宋" w:cs="仿宋"/>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2C5707AD">
            <w:pPr>
              <w:spacing w:line="340" w:lineRule="exact"/>
              <w:jc w:val="left"/>
              <w:rPr>
                <w:rFonts w:ascii="仿宋" w:hAnsi="仿宋" w:eastAsia="仿宋" w:cs="仿宋"/>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E13A645">
            <w:pPr>
              <w:spacing w:line="340" w:lineRule="exact"/>
              <w:jc w:val="left"/>
              <w:rPr>
                <w:rFonts w:ascii="仿宋" w:hAnsi="仿宋" w:eastAsia="仿宋" w:cs="仿宋"/>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31A669F3">
            <w:pPr>
              <w:spacing w:line="340" w:lineRule="exact"/>
              <w:jc w:val="left"/>
              <w:rPr>
                <w:rFonts w:ascii="仿宋" w:hAnsi="仿宋" w:eastAsia="仿宋" w:cs="仿宋"/>
                <w:color w:val="auto"/>
                <w:sz w:val="24"/>
                <w:szCs w:val="24"/>
                <w:highlight w:val="none"/>
              </w:rPr>
            </w:pPr>
          </w:p>
        </w:tc>
      </w:tr>
      <w:tr w14:paraId="50ECDB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tcPr>
          <w:p w14:paraId="45AB7D27">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2E0E93CF">
            <w:pPr>
              <w:spacing w:line="340" w:lineRule="exact"/>
              <w:jc w:val="left"/>
              <w:rPr>
                <w:rFonts w:ascii="仿宋" w:hAnsi="仿宋" w:eastAsia="仿宋" w:cs="仿宋"/>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9727A9D">
            <w:pPr>
              <w:spacing w:line="340" w:lineRule="exact"/>
              <w:jc w:val="left"/>
              <w:rPr>
                <w:rFonts w:ascii="仿宋" w:hAnsi="仿宋" w:eastAsia="仿宋" w:cs="仿宋"/>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E3E473D">
            <w:pPr>
              <w:spacing w:line="340" w:lineRule="exact"/>
              <w:jc w:val="left"/>
              <w:rPr>
                <w:rFonts w:ascii="仿宋" w:hAnsi="仿宋" w:eastAsia="仿宋" w:cs="仿宋"/>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639643B0">
            <w:pPr>
              <w:spacing w:line="340" w:lineRule="exact"/>
              <w:jc w:val="left"/>
              <w:rPr>
                <w:rFonts w:ascii="仿宋" w:hAnsi="仿宋" w:eastAsia="仿宋" w:cs="仿宋"/>
                <w:color w:val="auto"/>
                <w:sz w:val="24"/>
                <w:szCs w:val="24"/>
                <w:highlight w:val="none"/>
              </w:rPr>
            </w:pPr>
          </w:p>
        </w:tc>
      </w:tr>
      <w:tr w14:paraId="509262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tcPr>
          <w:p w14:paraId="205B5702">
            <w:pPr>
              <w:spacing w:line="3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8240612">
            <w:pPr>
              <w:spacing w:line="340" w:lineRule="exact"/>
              <w:jc w:val="left"/>
              <w:rPr>
                <w:rFonts w:ascii="仿宋" w:hAnsi="仿宋" w:eastAsia="仿宋" w:cs="仿宋"/>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FE06C1E">
            <w:pPr>
              <w:spacing w:line="340" w:lineRule="exact"/>
              <w:jc w:val="left"/>
              <w:rPr>
                <w:rFonts w:ascii="仿宋" w:hAnsi="仿宋" w:eastAsia="仿宋" w:cs="仿宋"/>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EBBEEC3">
            <w:pPr>
              <w:spacing w:line="340" w:lineRule="exact"/>
              <w:jc w:val="left"/>
              <w:rPr>
                <w:rFonts w:ascii="仿宋" w:hAnsi="仿宋" w:eastAsia="仿宋" w:cs="仿宋"/>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1D4B65C5">
            <w:pPr>
              <w:spacing w:line="340" w:lineRule="exact"/>
              <w:jc w:val="left"/>
              <w:rPr>
                <w:rFonts w:ascii="仿宋" w:hAnsi="仿宋" w:eastAsia="仿宋" w:cs="仿宋"/>
                <w:color w:val="auto"/>
                <w:sz w:val="24"/>
                <w:szCs w:val="24"/>
                <w:highlight w:val="none"/>
              </w:rPr>
            </w:pPr>
          </w:p>
        </w:tc>
      </w:tr>
      <w:tr w14:paraId="5BDE07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noWrap w:val="0"/>
            <w:vAlign w:val="center"/>
          </w:tcPr>
          <w:p w14:paraId="0874A123">
            <w:pPr>
              <w:spacing w:line="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300" w:type="dxa"/>
            <w:tcBorders>
              <w:top w:val="single" w:color="auto" w:sz="6" w:space="0"/>
              <w:left w:val="single" w:color="auto" w:sz="6" w:space="0"/>
              <w:bottom w:val="single" w:color="auto" w:sz="6" w:space="0"/>
              <w:right w:val="single" w:color="auto" w:sz="6" w:space="0"/>
            </w:tcBorders>
            <w:noWrap w:val="0"/>
            <w:vAlign w:val="center"/>
          </w:tcPr>
          <w:p w14:paraId="1B53256D">
            <w:pPr>
              <w:spacing w:line="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095" w:type="pct"/>
            <w:tcBorders>
              <w:top w:val="single" w:color="auto" w:sz="6" w:space="0"/>
              <w:left w:val="single" w:color="auto" w:sz="6" w:space="0"/>
              <w:bottom w:val="single" w:color="auto" w:sz="6" w:space="0"/>
              <w:right w:val="single" w:color="auto" w:sz="6" w:space="0"/>
            </w:tcBorders>
            <w:noWrap w:val="0"/>
            <w:vAlign w:val="center"/>
          </w:tcPr>
          <w:p w14:paraId="3D95D888">
            <w:pPr>
              <w:spacing w:line="340" w:lineRule="exact"/>
              <w:jc w:val="left"/>
              <w:rPr>
                <w:rFonts w:ascii="仿宋" w:hAnsi="仿宋" w:eastAsia="仿宋" w:cs="仿宋"/>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71B0C74A">
            <w:pPr>
              <w:spacing w:line="340" w:lineRule="exact"/>
              <w:jc w:val="left"/>
              <w:rPr>
                <w:rFonts w:ascii="仿宋" w:hAnsi="仿宋" w:eastAsia="仿宋" w:cs="仿宋"/>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noWrap w:val="0"/>
          </w:tcPr>
          <w:p w14:paraId="0FE07A22">
            <w:pPr>
              <w:spacing w:line="340" w:lineRule="exact"/>
              <w:jc w:val="left"/>
              <w:rPr>
                <w:rFonts w:ascii="仿宋" w:hAnsi="仿宋" w:eastAsia="仿宋" w:cs="仿宋"/>
                <w:color w:val="auto"/>
                <w:sz w:val="24"/>
                <w:szCs w:val="24"/>
                <w:highlight w:val="none"/>
              </w:rPr>
            </w:pPr>
          </w:p>
        </w:tc>
      </w:tr>
    </w:tbl>
    <w:p w14:paraId="630D0A47">
      <w:pPr>
        <w:spacing w:line="400" w:lineRule="exact"/>
        <w:rPr>
          <w:rFonts w:ascii="仿宋" w:hAnsi="仿宋" w:eastAsia="仿宋" w:cs="仿宋"/>
          <w:color w:val="auto"/>
          <w:sz w:val="24"/>
          <w:szCs w:val="24"/>
          <w:highlight w:val="none"/>
        </w:rPr>
      </w:pPr>
    </w:p>
    <w:p w14:paraId="27DF06C2">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p w14:paraId="56AC9887">
      <w:pPr>
        <w:numPr>
          <w:ilvl w:val="0"/>
          <w:numId w:val="3"/>
        </w:num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投标人提交的投标文件中与招标文件第四章“采购需求”中的商务要求如有偏离的，应逐条填列在偏离表中。 </w:t>
      </w:r>
    </w:p>
    <w:p w14:paraId="6024F086">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2.“偏离说明”一栏选择“正偏离”、“无偏离”、“负偏离”进行填写。未填写的内容视为完全响应本招标文件要求。正偏离、无偏离的确认和负偏离是否响应招标文件，由评委会认定。</w:t>
      </w:r>
    </w:p>
    <w:p w14:paraId="7B8CDB58">
      <w:pPr>
        <w:spacing w:line="400" w:lineRule="exact"/>
        <w:rPr>
          <w:rFonts w:ascii="仿宋" w:hAnsi="仿宋" w:eastAsia="仿宋" w:cs="仿宋"/>
          <w:color w:val="auto"/>
          <w:sz w:val="24"/>
          <w:szCs w:val="24"/>
          <w:highlight w:val="none"/>
        </w:rPr>
      </w:pPr>
    </w:p>
    <w:p w14:paraId="640A126B">
      <w:pPr>
        <w:rPr>
          <w:rFonts w:ascii="仿宋" w:hAnsi="仿宋" w:eastAsia="仿宋" w:cs="仿宋"/>
          <w:color w:val="auto"/>
          <w:highlight w:val="none"/>
        </w:rPr>
      </w:pPr>
    </w:p>
    <w:p w14:paraId="39067398">
      <w:pPr>
        <w:spacing w:line="588" w:lineRule="exact"/>
        <w:ind w:firstLine="624"/>
        <w:rPr>
          <w:rFonts w:ascii="仿宋" w:hAnsi="仿宋" w:eastAsia="仿宋" w:cs="仿宋"/>
          <w:color w:val="auto"/>
          <w:spacing w:val="6"/>
          <w:sz w:val="30"/>
          <w:szCs w:val="30"/>
          <w:highlight w:val="none"/>
        </w:rPr>
      </w:pPr>
    </w:p>
    <w:p w14:paraId="7891AE16">
      <w:pPr>
        <w:tabs>
          <w:tab w:val="left" w:pos="4860"/>
        </w:tabs>
        <w:spacing w:line="0" w:lineRule="atLeast"/>
        <w:ind w:right="1559" w:firstLine="624"/>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供应商全称（加盖CA电子公章）：</w:t>
      </w:r>
    </w:p>
    <w:p w14:paraId="51D1C808">
      <w:pPr>
        <w:tabs>
          <w:tab w:val="left" w:pos="4860"/>
        </w:tabs>
        <w:spacing w:line="0" w:lineRule="atLeast"/>
        <w:ind w:right="1559" w:firstLine="480"/>
        <w:jc w:val="center"/>
        <w:rPr>
          <w:rFonts w:ascii="仿宋" w:hAnsi="仿宋" w:eastAsia="仿宋" w:cs="仿宋"/>
          <w:color w:val="auto"/>
          <w:sz w:val="24"/>
          <w:highlight w:val="none"/>
        </w:rPr>
      </w:pPr>
    </w:p>
    <w:p w14:paraId="5123BB03">
      <w:pPr>
        <w:tabs>
          <w:tab w:val="left" w:pos="4860"/>
        </w:tabs>
        <w:spacing w:line="0" w:lineRule="atLeast"/>
        <w:ind w:right="1559" w:firstLine="480"/>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  期：</w:t>
      </w:r>
    </w:p>
    <w:p w14:paraId="403CEF0E">
      <w:pPr>
        <w:rPr>
          <w:rFonts w:ascii="仿宋" w:hAnsi="仿宋" w:eastAsia="仿宋" w:cs="仿宋"/>
          <w:color w:val="auto"/>
          <w:highlight w:val="none"/>
        </w:rPr>
      </w:pPr>
    </w:p>
    <w:p w14:paraId="1B3F0CA3">
      <w:pPr>
        <w:rPr>
          <w:rFonts w:ascii="仿宋" w:hAnsi="仿宋" w:eastAsia="仿宋" w:cs="仿宋"/>
          <w:color w:val="auto"/>
          <w:highlight w:val="none"/>
        </w:rPr>
      </w:pPr>
    </w:p>
    <w:p w14:paraId="5085B5BE">
      <w:pPr>
        <w:jc w:val="center"/>
        <w:rPr>
          <w:rFonts w:ascii="仿宋" w:hAnsi="仿宋" w:eastAsia="仿宋" w:cs="仿宋"/>
          <w:b/>
          <w:color w:val="auto"/>
          <w:sz w:val="24"/>
          <w:szCs w:val="24"/>
          <w:highlight w:val="none"/>
        </w:rPr>
      </w:pPr>
    </w:p>
    <w:p w14:paraId="049E0595">
      <w:pPr>
        <w:jc w:val="left"/>
        <w:rPr>
          <w:rFonts w:ascii="仿宋" w:hAnsi="仿宋" w:eastAsia="仿宋" w:cs="仿宋"/>
          <w:b/>
          <w:color w:val="auto"/>
          <w:sz w:val="32"/>
          <w:szCs w:val="32"/>
          <w:highlight w:val="none"/>
        </w:rPr>
      </w:pPr>
    </w:p>
    <w:p w14:paraId="57FEE57D">
      <w:pPr>
        <w:rPr>
          <w:rFonts w:ascii="仿宋" w:hAnsi="仿宋" w:eastAsia="仿宋" w:cs="仿宋"/>
          <w:b/>
          <w:color w:val="auto"/>
          <w:sz w:val="24"/>
          <w:szCs w:val="24"/>
          <w:highlight w:val="none"/>
        </w:rPr>
      </w:pPr>
    </w:p>
    <w:p w14:paraId="266DF921">
      <w:pPr>
        <w:rPr>
          <w:rFonts w:ascii="仿宋" w:hAnsi="仿宋" w:eastAsia="仿宋" w:cs="仿宋"/>
          <w:b/>
          <w:color w:val="auto"/>
          <w:sz w:val="24"/>
          <w:szCs w:val="24"/>
          <w:highlight w:val="none"/>
        </w:rPr>
      </w:pPr>
    </w:p>
    <w:p w14:paraId="47E9BBF5">
      <w:pPr>
        <w:rPr>
          <w:rFonts w:ascii="仿宋" w:hAnsi="仿宋" w:eastAsia="仿宋" w:cs="仿宋"/>
          <w:b/>
          <w:color w:val="auto"/>
          <w:sz w:val="24"/>
          <w:szCs w:val="24"/>
          <w:highlight w:val="none"/>
        </w:rPr>
      </w:pPr>
    </w:p>
    <w:p w14:paraId="6FABDED4">
      <w:pPr>
        <w:pStyle w:val="14"/>
        <w:rPr>
          <w:rFonts w:ascii="仿宋" w:hAnsi="仿宋" w:eastAsia="仿宋" w:cs="仿宋"/>
          <w:b/>
          <w:color w:val="auto"/>
          <w:sz w:val="24"/>
          <w:szCs w:val="24"/>
          <w:highlight w:val="none"/>
        </w:rPr>
      </w:pPr>
    </w:p>
    <w:p w14:paraId="7E72F3E7">
      <w:pPr>
        <w:outlineLvl w:val="0"/>
        <w:rPr>
          <w:rFonts w:ascii="仿宋" w:hAnsi="仿宋" w:eastAsia="仿宋" w:cs="仿宋"/>
          <w:b/>
          <w:color w:val="auto"/>
          <w:sz w:val="24"/>
          <w:szCs w:val="24"/>
          <w:highlight w:val="none"/>
        </w:rPr>
      </w:pPr>
      <w:bookmarkStart w:id="221" w:name="_Toc186493291"/>
      <w:r>
        <w:rPr>
          <w:rFonts w:hint="eastAsia" w:ascii="仿宋" w:hAnsi="仿宋" w:eastAsia="仿宋" w:cs="仿宋"/>
          <w:b/>
          <w:color w:val="auto"/>
          <w:sz w:val="24"/>
          <w:szCs w:val="24"/>
          <w:highlight w:val="none"/>
        </w:rPr>
        <w:t>附件1</w:t>
      </w:r>
      <w:bookmarkEnd w:id="221"/>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rPr>
        <w:t xml:space="preserve">      </w:t>
      </w:r>
    </w:p>
    <w:p w14:paraId="7DCE327A">
      <w:pP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实质性要求响应及偏离表 </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047"/>
        <w:gridCol w:w="1796"/>
      </w:tblGrid>
      <w:tr w14:paraId="3FB0E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75D0DEAA">
            <w:pPr>
              <w:spacing w:line="4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3609" w:type="dxa"/>
            <w:noWrap w:val="0"/>
            <w:vAlign w:val="center"/>
          </w:tcPr>
          <w:p w14:paraId="517FB45B">
            <w:pPr>
              <w:spacing w:line="4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招标文件技术要求和商务要求中的实质性要求</w:t>
            </w:r>
            <w:r>
              <w:rPr>
                <w:rFonts w:hint="eastAsia" w:ascii="仿宋" w:hAnsi="仿宋" w:eastAsia="仿宋" w:cs="仿宋"/>
                <w:i/>
                <w:color w:val="auto"/>
                <w:sz w:val="24"/>
                <w:szCs w:val="24"/>
                <w:highlight w:val="none"/>
                <w:u w:val="single"/>
              </w:rPr>
              <w:t>（加斜体下划线内容）</w:t>
            </w:r>
          </w:p>
        </w:tc>
        <w:tc>
          <w:tcPr>
            <w:tcW w:w="3047" w:type="dxa"/>
            <w:noWrap w:val="0"/>
            <w:vAlign w:val="center"/>
          </w:tcPr>
          <w:p w14:paraId="23B5435D">
            <w:pPr>
              <w:spacing w:line="4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投标响应情况</w:t>
            </w:r>
          </w:p>
        </w:tc>
        <w:tc>
          <w:tcPr>
            <w:tcW w:w="1796" w:type="dxa"/>
            <w:noWrap w:val="0"/>
            <w:vAlign w:val="center"/>
          </w:tcPr>
          <w:p w14:paraId="0B28FA74">
            <w:pPr>
              <w:spacing w:line="4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正偏离、无偏离、负偏离</w:t>
            </w:r>
          </w:p>
        </w:tc>
      </w:tr>
      <w:tr w14:paraId="43E67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58D0B665">
            <w:pPr>
              <w:spacing w:line="4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609" w:type="dxa"/>
            <w:noWrap w:val="0"/>
          </w:tcPr>
          <w:p w14:paraId="172C2FD8">
            <w:pPr>
              <w:spacing w:line="400" w:lineRule="exact"/>
              <w:jc w:val="center"/>
              <w:rPr>
                <w:rFonts w:ascii="仿宋" w:hAnsi="仿宋" w:eastAsia="仿宋" w:cs="仿宋"/>
                <w:color w:val="auto"/>
                <w:sz w:val="24"/>
                <w:szCs w:val="24"/>
                <w:highlight w:val="none"/>
              </w:rPr>
            </w:pPr>
          </w:p>
        </w:tc>
        <w:tc>
          <w:tcPr>
            <w:tcW w:w="3047" w:type="dxa"/>
            <w:noWrap w:val="0"/>
          </w:tcPr>
          <w:p w14:paraId="4F1D0226">
            <w:pPr>
              <w:spacing w:line="400" w:lineRule="exact"/>
              <w:jc w:val="center"/>
              <w:rPr>
                <w:rFonts w:ascii="仿宋" w:hAnsi="仿宋" w:eastAsia="仿宋" w:cs="仿宋"/>
                <w:color w:val="auto"/>
                <w:sz w:val="24"/>
                <w:szCs w:val="24"/>
                <w:highlight w:val="none"/>
              </w:rPr>
            </w:pPr>
          </w:p>
        </w:tc>
        <w:tc>
          <w:tcPr>
            <w:tcW w:w="1796" w:type="dxa"/>
            <w:noWrap w:val="0"/>
          </w:tcPr>
          <w:p w14:paraId="5102DD21">
            <w:pPr>
              <w:spacing w:line="400" w:lineRule="exact"/>
              <w:jc w:val="center"/>
              <w:rPr>
                <w:rFonts w:ascii="仿宋" w:hAnsi="仿宋" w:eastAsia="仿宋" w:cs="仿宋"/>
                <w:color w:val="auto"/>
                <w:sz w:val="24"/>
                <w:szCs w:val="24"/>
                <w:highlight w:val="none"/>
              </w:rPr>
            </w:pPr>
          </w:p>
        </w:tc>
      </w:tr>
      <w:tr w14:paraId="0C20E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102C429C">
            <w:pPr>
              <w:spacing w:line="40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609" w:type="dxa"/>
            <w:noWrap w:val="0"/>
          </w:tcPr>
          <w:p w14:paraId="377F7290">
            <w:pPr>
              <w:spacing w:line="400" w:lineRule="exact"/>
              <w:jc w:val="center"/>
              <w:rPr>
                <w:rFonts w:ascii="仿宋" w:hAnsi="仿宋" w:eastAsia="仿宋" w:cs="仿宋"/>
                <w:color w:val="auto"/>
                <w:sz w:val="24"/>
                <w:szCs w:val="24"/>
                <w:highlight w:val="none"/>
              </w:rPr>
            </w:pPr>
          </w:p>
        </w:tc>
        <w:tc>
          <w:tcPr>
            <w:tcW w:w="3047" w:type="dxa"/>
            <w:noWrap w:val="0"/>
          </w:tcPr>
          <w:p w14:paraId="1DD5B40D">
            <w:pPr>
              <w:spacing w:line="400" w:lineRule="exact"/>
              <w:jc w:val="center"/>
              <w:rPr>
                <w:rFonts w:ascii="仿宋" w:hAnsi="仿宋" w:eastAsia="仿宋" w:cs="仿宋"/>
                <w:color w:val="auto"/>
                <w:sz w:val="24"/>
                <w:szCs w:val="24"/>
                <w:highlight w:val="none"/>
              </w:rPr>
            </w:pPr>
          </w:p>
        </w:tc>
        <w:tc>
          <w:tcPr>
            <w:tcW w:w="1796" w:type="dxa"/>
            <w:noWrap w:val="0"/>
          </w:tcPr>
          <w:p w14:paraId="5B42B6E3">
            <w:pPr>
              <w:spacing w:line="400" w:lineRule="exact"/>
              <w:jc w:val="center"/>
              <w:rPr>
                <w:rFonts w:ascii="仿宋" w:hAnsi="仿宋" w:eastAsia="仿宋" w:cs="仿宋"/>
                <w:color w:val="auto"/>
                <w:sz w:val="24"/>
                <w:szCs w:val="24"/>
                <w:highlight w:val="none"/>
              </w:rPr>
            </w:pPr>
          </w:p>
        </w:tc>
      </w:tr>
      <w:tr w14:paraId="356B9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center"/>
          </w:tcPr>
          <w:p w14:paraId="108BCAE3">
            <w:pPr>
              <w:spacing w:line="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3609" w:type="dxa"/>
            <w:noWrap w:val="0"/>
            <w:vAlign w:val="center"/>
          </w:tcPr>
          <w:p w14:paraId="772A5C96">
            <w:pPr>
              <w:spacing w:line="0" w:lineRule="atLeas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3047" w:type="dxa"/>
            <w:noWrap w:val="0"/>
          </w:tcPr>
          <w:p w14:paraId="6A60DB78">
            <w:pPr>
              <w:spacing w:line="400" w:lineRule="exact"/>
              <w:jc w:val="center"/>
              <w:rPr>
                <w:rFonts w:ascii="仿宋" w:hAnsi="仿宋" w:eastAsia="仿宋" w:cs="仿宋"/>
                <w:color w:val="auto"/>
                <w:sz w:val="24"/>
                <w:szCs w:val="24"/>
                <w:highlight w:val="none"/>
              </w:rPr>
            </w:pPr>
          </w:p>
        </w:tc>
        <w:tc>
          <w:tcPr>
            <w:tcW w:w="1796" w:type="dxa"/>
            <w:noWrap w:val="0"/>
          </w:tcPr>
          <w:p w14:paraId="7FF93EE6">
            <w:pPr>
              <w:spacing w:line="400" w:lineRule="exact"/>
              <w:jc w:val="center"/>
              <w:rPr>
                <w:rFonts w:ascii="仿宋" w:hAnsi="仿宋" w:eastAsia="仿宋" w:cs="仿宋"/>
                <w:color w:val="auto"/>
                <w:sz w:val="24"/>
                <w:szCs w:val="24"/>
                <w:highlight w:val="none"/>
              </w:rPr>
            </w:pPr>
          </w:p>
        </w:tc>
      </w:tr>
    </w:tbl>
    <w:p w14:paraId="5CBD532D">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附件12-1 证明材料1，证明材料2，……</w:t>
      </w:r>
    </w:p>
    <w:p w14:paraId="6944DB6B">
      <w:pPr>
        <w:pStyle w:val="35"/>
        <w:rPr>
          <w:color w:val="auto"/>
          <w:highlight w:val="none"/>
        </w:rPr>
      </w:pPr>
    </w:p>
    <w:p w14:paraId="2AAB4267">
      <w:pPr>
        <w:spacing w:line="400" w:lineRule="exact"/>
        <w:rPr>
          <w:rFonts w:ascii="仿宋" w:hAnsi="仿宋" w:eastAsia="仿宋" w:cs="仿宋"/>
          <w:color w:val="auto"/>
          <w:sz w:val="24"/>
          <w:szCs w:val="24"/>
          <w:highlight w:val="none"/>
        </w:rPr>
      </w:pPr>
    </w:p>
    <w:p w14:paraId="354FC0EB">
      <w:pP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p w14:paraId="33175CFA">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1.供应商必须对技术要求和商务要求中的实质性要求（加斜体下划线内容）做出明确响应，未填写的内容视为完全响应本采购文件实质性要求。</w:t>
      </w:r>
    </w:p>
    <w:p w14:paraId="46F21ED8">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2.如果采购文件要求提供证明材料，供应商必须将证明材料列于该表之下，否则作无效响应处理。</w:t>
      </w:r>
    </w:p>
    <w:p w14:paraId="6A0862BF">
      <w:pPr>
        <w:spacing w:line="400" w:lineRule="exact"/>
        <w:rPr>
          <w:rFonts w:ascii="仿宋" w:hAnsi="仿宋" w:eastAsia="仿宋" w:cs="仿宋"/>
          <w:color w:val="auto"/>
          <w:sz w:val="24"/>
          <w:szCs w:val="24"/>
          <w:highlight w:val="none"/>
        </w:rPr>
      </w:pPr>
    </w:p>
    <w:p w14:paraId="5B152D57">
      <w:pPr>
        <w:spacing w:line="588" w:lineRule="exact"/>
        <w:ind w:firstLine="624"/>
        <w:rPr>
          <w:rFonts w:ascii="仿宋" w:hAnsi="仿宋" w:eastAsia="仿宋" w:cs="仿宋"/>
          <w:color w:val="auto"/>
          <w:spacing w:val="6"/>
          <w:sz w:val="30"/>
          <w:szCs w:val="30"/>
          <w:highlight w:val="none"/>
        </w:rPr>
      </w:pPr>
    </w:p>
    <w:p w14:paraId="6F076B76">
      <w:pPr>
        <w:tabs>
          <w:tab w:val="left" w:pos="4860"/>
        </w:tabs>
        <w:spacing w:line="0" w:lineRule="atLeast"/>
        <w:ind w:right="1559" w:firstLine="624"/>
        <w:jc w:val="center"/>
        <w:rPr>
          <w:rFonts w:ascii="仿宋" w:hAnsi="仿宋" w:eastAsia="仿宋" w:cs="仿宋"/>
          <w:color w:val="auto"/>
          <w:sz w:val="24"/>
          <w:highlight w:val="none"/>
        </w:rPr>
      </w:pPr>
      <w:r>
        <w:rPr>
          <w:rFonts w:hint="eastAsia" w:ascii="仿宋" w:hAnsi="仿宋" w:eastAsia="仿宋" w:cs="仿宋"/>
          <w:color w:val="auto"/>
          <w:sz w:val="24"/>
          <w:highlight w:val="none"/>
        </w:rPr>
        <w:t>供应商全称（加盖CA电子公章）：</w:t>
      </w:r>
    </w:p>
    <w:p w14:paraId="01CB366B">
      <w:pPr>
        <w:tabs>
          <w:tab w:val="left" w:pos="4860"/>
        </w:tabs>
        <w:spacing w:line="0" w:lineRule="atLeast"/>
        <w:ind w:right="1559" w:firstLine="480"/>
        <w:jc w:val="center"/>
        <w:rPr>
          <w:rFonts w:ascii="仿宋" w:hAnsi="仿宋" w:eastAsia="仿宋" w:cs="仿宋"/>
          <w:color w:val="auto"/>
          <w:sz w:val="24"/>
          <w:highlight w:val="none"/>
        </w:rPr>
      </w:pPr>
    </w:p>
    <w:p w14:paraId="52D33742">
      <w:pPr>
        <w:tabs>
          <w:tab w:val="left" w:pos="4860"/>
        </w:tabs>
        <w:spacing w:line="0" w:lineRule="atLeast"/>
        <w:ind w:right="1559" w:firstLine="480"/>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  期：</w:t>
      </w:r>
    </w:p>
    <w:p w14:paraId="39003779">
      <w:pPr>
        <w:jc w:val="center"/>
        <w:rPr>
          <w:rFonts w:ascii="仿宋" w:hAnsi="仿宋" w:eastAsia="仿宋" w:cs="仿宋"/>
          <w:b/>
          <w:color w:val="auto"/>
          <w:sz w:val="32"/>
          <w:szCs w:val="32"/>
          <w:highlight w:val="none"/>
        </w:rPr>
      </w:pPr>
    </w:p>
    <w:p w14:paraId="7C541AD2">
      <w:pPr>
        <w:spacing w:line="560" w:lineRule="exact"/>
        <w:jc w:val="left"/>
        <w:rPr>
          <w:rFonts w:ascii="仿宋" w:hAnsi="仿宋" w:eastAsia="仿宋" w:cs="仿宋"/>
          <w:b/>
          <w:color w:val="auto"/>
          <w:sz w:val="24"/>
          <w:szCs w:val="24"/>
          <w:highlight w:val="none"/>
        </w:rPr>
      </w:pPr>
    </w:p>
    <w:p w14:paraId="6E17151E">
      <w:pPr>
        <w:pStyle w:val="35"/>
        <w:ind w:firstLine="482"/>
        <w:rPr>
          <w:rFonts w:ascii="仿宋" w:hAnsi="仿宋" w:eastAsia="仿宋" w:cs="仿宋"/>
          <w:b/>
          <w:color w:val="auto"/>
          <w:sz w:val="24"/>
          <w:szCs w:val="24"/>
          <w:highlight w:val="none"/>
        </w:rPr>
      </w:pPr>
    </w:p>
    <w:p w14:paraId="3C80A9A9">
      <w:pPr>
        <w:rPr>
          <w:rFonts w:ascii="仿宋" w:hAnsi="仿宋" w:eastAsia="仿宋" w:cs="仿宋"/>
          <w:b/>
          <w:color w:val="auto"/>
          <w:sz w:val="24"/>
          <w:szCs w:val="24"/>
          <w:highlight w:val="none"/>
        </w:rPr>
      </w:pPr>
    </w:p>
    <w:p w14:paraId="700CB7B3">
      <w:pPr>
        <w:pStyle w:val="35"/>
        <w:ind w:firstLine="482"/>
        <w:rPr>
          <w:rFonts w:ascii="仿宋" w:hAnsi="仿宋" w:eastAsia="仿宋" w:cs="仿宋"/>
          <w:b/>
          <w:color w:val="auto"/>
          <w:sz w:val="24"/>
          <w:szCs w:val="24"/>
          <w:highlight w:val="none"/>
        </w:rPr>
      </w:pPr>
    </w:p>
    <w:p w14:paraId="3C372BD1">
      <w:pPr>
        <w:rPr>
          <w:rFonts w:ascii="仿宋" w:hAnsi="仿宋" w:eastAsia="仿宋" w:cs="仿宋"/>
          <w:b/>
          <w:color w:val="auto"/>
          <w:sz w:val="24"/>
          <w:szCs w:val="24"/>
          <w:highlight w:val="none"/>
        </w:rPr>
      </w:pPr>
    </w:p>
    <w:p w14:paraId="2B7D8BB6">
      <w:pPr>
        <w:rPr>
          <w:color w:val="auto"/>
          <w:highlight w:val="none"/>
        </w:rPr>
      </w:pPr>
    </w:p>
    <w:p w14:paraId="266F9DC9">
      <w:pPr>
        <w:spacing w:line="560" w:lineRule="exact"/>
        <w:rPr>
          <w:rFonts w:ascii="仿宋" w:hAnsi="仿宋" w:eastAsia="仿宋" w:cs="仿宋"/>
          <w:b/>
          <w:color w:val="auto"/>
          <w:sz w:val="24"/>
          <w:szCs w:val="24"/>
          <w:highlight w:val="none"/>
        </w:rPr>
      </w:pPr>
    </w:p>
    <w:p w14:paraId="0FCD54AB">
      <w:pPr>
        <w:pStyle w:val="231"/>
        <w:rPr>
          <w:rFonts w:hint="eastAsia" w:eastAsia="仿宋"/>
          <w:color w:val="auto"/>
          <w:highlight w:val="none"/>
        </w:rPr>
      </w:pPr>
    </w:p>
    <w:p w14:paraId="46ED477A">
      <w:pPr>
        <w:pStyle w:val="231"/>
        <w:rPr>
          <w:rFonts w:hint="eastAsia" w:eastAsia="仿宋"/>
          <w:color w:val="auto"/>
          <w:highlight w:val="none"/>
          <w:lang w:eastAsia="zh-CN"/>
        </w:rPr>
      </w:pPr>
      <w:r>
        <w:rPr>
          <w:rFonts w:hint="eastAsia" w:eastAsia="仿宋"/>
          <w:color w:val="auto"/>
          <w:highlight w:val="none"/>
        </w:rPr>
        <w:t>附件1</w:t>
      </w:r>
      <w:bookmarkEnd w:id="184"/>
      <w:bookmarkEnd w:id="185"/>
      <w:bookmarkEnd w:id="219"/>
      <w:r>
        <w:rPr>
          <w:rFonts w:hint="eastAsia" w:eastAsia="仿宋"/>
          <w:color w:val="auto"/>
          <w:highlight w:val="none"/>
          <w:lang w:val="en-US" w:eastAsia="zh-CN"/>
        </w:rPr>
        <w:t>3</w:t>
      </w:r>
    </w:p>
    <w:p w14:paraId="41325E04">
      <w:pPr>
        <w:jc w:val="center"/>
        <w:outlineLvl w:val="0"/>
        <w:rPr>
          <w:rFonts w:ascii="仿宋" w:hAnsi="仿宋" w:eastAsia="仿宋" w:cs="仿宋"/>
          <w:b/>
          <w:bCs/>
          <w:color w:val="auto"/>
          <w:sz w:val="32"/>
          <w:szCs w:val="32"/>
          <w:highlight w:val="none"/>
        </w:rPr>
      </w:pPr>
      <w:bookmarkStart w:id="222" w:name="_Toc186493292"/>
      <w:r>
        <w:rPr>
          <w:rFonts w:hint="eastAsia" w:ascii="仿宋" w:hAnsi="仿宋" w:eastAsia="仿宋" w:cs="仿宋"/>
          <w:b/>
          <w:bCs/>
          <w:color w:val="auto"/>
          <w:sz w:val="32"/>
          <w:szCs w:val="32"/>
          <w:highlight w:val="none"/>
        </w:rPr>
        <w:t>质疑函范本</w:t>
      </w:r>
      <w:bookmarkEnd w:id="222"/>
    </w:p>
    <w:p w14:paraId="79F26ED8">
      <w:pPr>
        <w:spacing w:before="290" w:line="360" w:lineRule="auto"/>
        <w:outlineLvl w:val="0"/>
        <w:rPr>
          <w:rFonts w:ascii="仿宋" w:hAnsi="仿宋" w:eastAsia="仿宋" w:cs="仿宋"/>
          <w:bCs/>
          <w:color w:val="auto"/>
          <w:sz w:val="24"/>
          <w:szCs w:val="24"/>
          <w:highlight w:val="none"/>
        </w:rPr>
      </w:pPr>
      <w:bookmarkStart w:id="223" w:name="_Toc186493293"/>
      <w:r>
        <w:rPr>
          <w:rFonts w:hint="eastAsia" w:ascii="仿宋" w:hAnsi="仿宋" w:eastAsia="仿宋" w:cs="仿宋"/>
          <w:bCs/>
          <w:color w:val="auto"/>
          <w:sz w:val="24"/>
          <w:szCs w:val="24"/>
          <w:highlight w:val="none"/>
        </w:rPr>
        <w:t>一、质疑供应商基本信息</w:t>
      </w:r>
      <w:bookmarkEnd w:id="223"/>
    </w:p>
    <w:p w14:paraId="0D9B43A8">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质疑供应商：</w:t>
      </w:r>
    </w:p>
    <w:p w14:paraId="5659E8C5">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地址：邮编：</w:t>
      </w:r>
    </w:p>
    <w:p w14:paraId="00E30A52">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联系人：联系电话：</w:t>
      </w:r>
    </w:p>
    <w:p w14:paraId="7E738B49">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授权代表：</w:t>
      </w:r>
    </w:p>
    <w:p w14:paraId="7E2B76D9">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5B7858F7">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地址： 邮编：</w:t>
      </w:r>
    </w:p>
    <w:p w14:paraId="78A31953">
      <w:pPr>
        <w:spacing w:line="360" w:lineRule="auto"/>
        <w:outlineLvl w:val="0"/>
        <w:rPr>
          <w:rFonts w:ascii="仿宋" w:hAnsi="仿宋" w:eastAsia="仿宋" w:cs="仿宋"/>
          <w:bCs/>
          <w:color w:val="auto"/>
          <w:sz w:val="24"/>
          <w:szCs w:val="24"/>
          <w:highlight w:val="none"/>
        </w:rPr>
      </w:pPr>
      <w:bookmarkStart w:id="224" w:name="_Toc186493294"/>
      <w:r>
        <w:rPr>
          <w:rFonts w:hint="eastAsia" w:ascii="仿宋" w:hAnsi="仿宋" w:eastAsia="仿宋" w:cs="仿宋"/>
          <w:bCs/>
          <w:color w:val="auto"/>
          <w:sz w:val="24"/>
          <w:szCs w:val="24"/>
          <w:highlight w:val="none"/>
        </w:rPr>
        <w:t>二、质疑项目基本情况</w:t>
      </w:r>
      <w:bookmarkEnd w:id="224"/>
    </w:p>
    <w:p w14:paraId="5124BB6B">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质疑项目的名称：</w:t>
      </w:r>
    </w:p>
    <w:p w14:paraId="0F3ECA04">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质疑项目的编号：包号：</w:t>
      </w:r>
    </w:p>
    <w:p w14:paraId="66A23B32">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采购人名称：</w:t>
      </w:r>
    </w:p>
    <w:p w14:paraId="3900DD37">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采购文件获取日期：</w:t>
      </w:r>
    </w:p>
    <w:p w14:paraId="4F85A988">
      <w:pPr>
        <w:spacing w:line="360" w:lineRule="auto"/>
        <w:outlineLvl w:val="0"/>
        <w:rPr>
          <w:rFonts w:ascii="仿宋" w:hAnsi="仿宋" w:eastAsia="仿宋" w:cs="仿宋"/>
          <w:bCs/>
          <w:color w:val="auto"/>
          <w:sz w:val="24"/>
          <w:szCs w:val="24"/>
          <w:highlight w:val="none"/>
        </w:rPr>
      </w:pPr>
      <w:bookmarkStart w:id="225" w:name="_Toc186493295"/>
      <w:r>
        <w:rPr>
          <w:rFonts w:hint="eastAsia" w:ascii="仿宋" w:hAnsi="仿宋" w:eastAsia="仿宋" w:cs="仿宋"/>
          <w:bCs/>
          <w:color w:val="auto"/>
          <w:sz w:val="24"/>
          <w:szCs w:val="24"/>
          <w:highlight w:val="none"/>
        </w:rPr>
        <w:t>三、质疑事项具体内容</w:t>
      </w:r>
      <w:bookmarkEnd w:id="225"/>
    </w:p>
    <w:p w14:paraId="26BEAD42">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质疑事项1：</w:t>
      </w:r>
    </w:p>
    <w:p w14:paraId="407EA6D9">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事实依据：</w:t>
      </w:r>
    </w:p>
    <w:p w14:paraId="46FCF354">
      <w:pPr>
        <w:spacing w:line="360" w:lineRule="auto"/>
        <w:rPr>
          <w:rFonts w:ascii="仿宋" w:hAnsi="仿宋" w:eastAsia="仿宋" w:cs="仿宋"/>
          <w:color w:val="auto"/>
          <w:sz w:val="24"/>
          <w:szCs w:val="24"/>
          <w:highlight w:val="none"/>
        </w:rPr>
      </w:pPr>
    </w:p>
    <w:p w14:paraId="0BD8E3B6">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法律依据：</w:t>
      </w:r>
    </w:p>
    <w:p w14:paraId="140CD867">
      <w:pPr>
        <w:spacing w:line="360" w:lineRule="auto"/>
        <w:rPr>
          <w:rFonts w:ascii="仿宋" w:hAnsi="仿宋" w:eastAsia="仿宋" w:cs="仿宋"/>
          <w:color w:val="auto"/>
          <w:sz w:val="24"/>
          <w:szCs w:val="24"/>
          <w:highlight w:val="none"/>
          <w:u w:val="single"/>
        </w:rPr>
      </w:pPr>
    </w:p>
    <w:p w14:paraId="6F57C5D3">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质疑事项2</w:t>
      </w:r>
    </w:p>
    <w:p w14:paraId="5DD80AD8">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288D21CA">
      <w:pPr>
        <w:spacing w:line="360" w:lineRule="auto"/>
        <w:outlineLvl w:val="0"/>
        <w:rPr>
          <w:rFonts w:ascii="仿宋" w:hAnsi="仿宋" w:eastAsia="仿宋" w:cs="仿宋"/>
          <w:bCs/>
          <w:color w:val="auto"/>
          <w:sz w:val="24"/>
          <w:szCs w:val="24"/>
          <w:highlight w:val="none"/>
        </w:rPr>
      </w:pPr>
      <w:bookmarkStart w:id="226" w:name="_Toc186493296"/>
      <w:r>
        <w:rPr>
          <w:rFonts w:hint="eastAsia" w:ascii="仿宋" w:hAnsi="仿宋" w:eastAsia="仿宋" w:cs="仿宋"/>
          <w:bCs/>
          <w:color w:val="auto"/>
          <w:sz w:val="24"/>
          <w:szCs w:val="24"/>
          <w:highlight w:val="none"/>
        </w:rPr>
        <w:t>四、与质疑事项相关的质疑请求</w:t>
      </w:r>
      <w:bookmarkEnd w:id="226"/>
    </w:p>
    <w:p w14:paraId="77BCAEED">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请求：</w:t>
      </w:r>
    </w:p>
    <w:p w14:paraId="03CC852C">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p>
    <w:p w14:paraId="53B35FA7">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p>
    <w:p w14:paraId="35171F24">
      <w:pPr>
        <w:spacing w:line="400" w:lineRule="exact"/>
        <w:rPr>
          <w:rFonts w:ascii="仿宋" w:hAnsi="仿宋" w:eastAsia="仿宋" w:cs="仿宋"/>
          <w:b/>
          <w:color w:val="auto"/>
          <w:sz w:val="24"/>
          <w:szCs w:val="24"/>
          <w:highlight w:val="none"/>
        </w:rPr>
      </w:pPr>
    </w:p>
    <w:p w14:paraId="3DB17EB2">
      <w:pPr>
        <w:spacing w:line="400" w:lineRule="exact"/>
        <w:rPr>
          <w:rFonts w:ascii="仿宋" w:hAnsi="仿宋" w:eastAsia="仿宋" w:cs="仿宋"/>
          <w:b/>
          <w:color w:val="auto"/>
          <w:sz w:val="24"/>
          <w:szCs w:val="24"/>
          <w:highlight w:val="none"/>
        </w:rPr>
      </w:pPr>
    </w:p>
    <w:p w14:paraId="4692A080">
      <w:pPr>
        <w:spacing w:line="40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质疑函制作说明：</w:t>
      </w:r>
    </w:p>
    <w:p w14:paraId="546A42D9">
      <w:pPr>
        <w:widowControl/>
        <w:spacing w:line="4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1.供应商提出质疑时，应提交质疑函和必要的证明材料。</w:t>
      </w:r>
    </w:p>
    <w:p w14:paraId="30999775">
      <w:pPr>
        <w:widowControl/>
        <w:spacing w:line="4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DE55EBC">
      <w:pPr>
        <w:widowControl/>
        <w:spacing w:line="4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3.质疑供应商若对项目的某一分包进行质疑，质疑函中应列明具体分包号。</w:t>
      </w:r>
    </w:p>
    <w:p w14:paraId="3B8E7BAA">
      <w:pPr>
        <w:widowControl/>
        <w:spacing w:line="4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4.质疑函的质疑事项应具体、明确，并有必要的事实依据和法律依据。</w:t>
      </w:r>
    </w:p>
    <w:p w14:paraId="3EE06B31">
      <w:pPr>
        <w:widowControl/>
        <w:spacing w:line="4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5.质疑函的质疑请求应与质疑事项相关。</w:t>
      </w:r>
    </w:p>
    <w:p w14:paraId="7D240E69">
      <w:pPr>
        <w:widowControl/>
        <w:spacing w:line="4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56AD7D8D">
      <w:pPr>
        <w:pStyle w:val="12"/>
        <w:rPr>
          <w:rFonts w:ascii="仿宋" w:hAnsi="仿宋" w:eastAsia="仿宋" w:cs="仿宋"/>
          <w:color w:val="auto"/>
          <w:sz w:val="24"/>
          <w:szCs w:val="24"/>
          <w:highlight w:val="none"/>
        </w:rPr>
      </w:pPr>
    </w:p>
    <w:p w14:paraId="4F083EE0">
      <w:pPr>
        <w:pStyle w:val="12"/>
        <w:rPr>
          <w:rFonts w:ascii="仿宋" w:hAnsi="仿宋" w:eastAsia="仿宋" w:cs="仿宋"/>
          <w:color w:val="auto"/>
          <w:sz w:val="24"/>
          <w:szCs w:val="24"/>
          <w:highlight w:val="none"/>
        </w:rPr>
      </w:pPr>
    </w:p>
    <w:p w14:paraId="1FC865C3">
      <w:pPr>
        <w:widowControl/>
        <w:spacing w:line="700" w:lineRule="exact"/>
        <w:jc w:val="left"/>
        <w:rPr>
          <w:rFonts w:ascii="仿宋" w:hAnsi="仿宋" w:eastAsia="仿宋" w:cs="仿宋"/>
          <w:color w:val="auto"/>
          <w:sz w:val="24"/>
          <w:szCs w:val="24"/>
          <w:highlight w:val="none"/>
        </w:rPr>
      </w:pPr>
    </w:p>
    <w:p w14:paraId="68599B30">
      <w:pPr>
        <w:rPr>
          <w:color w:val="auto"/>
          <w:highlight w:val="none"/>
        </w:rPr>
      </w:pPr>
    </w:p>
    <w:p w14:paraId="6AF98465">
      <w:pPr>
        <w:rPr>
          <w:color w:val="auto"/>
          <w:highlight w:val="none"/>
        </w:rPr>
      </w:pPr>
    </w:p>
    <w:sectPr>
      <w:pgSz w:w="11906" w:h="16838"/>
      <w:pgMar w:top="1106" w:right="1247" w:bottom="1015" w:left="1247" w:header="907" w:footer="907" w:gutter="0"/>
      <w:pgBorders>
        <w:top w:val="none" w:sz="0" w:space="0"/>
        <w:left w:val="none" w:sz="0" w:space="0"/>
        <w:bottom w:val="none" w:sz="0" w:space="0"/>
        <w:right w:val="none" w:sz="0" w:space="0"/>
      </w:pgBorders>
      <w:cols w:space="0" w:num="1"/>
      <w:titlePg/>
      <w:rtlGutter w:val="0"/>
      <w:docGrid w:type="linesAndChars" w:linePitch="294" w:charSpace="8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6E710">
    <w:pPr>
      <w:pStyle w:val="22"/>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45418">
    <w:pPr>
      <w:pStyle w:val="22"/>
      <w:jc w:val="center"/>
      <w:rPr>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466480"/>
      <w:docPartObj>
        <w:docPartGallery w:val="autotext"/>
      </w:docPartObj>
    </w:sdtPr>
    <w:sdtContent>
      <w:p w14:paraId="7AE09295">
        <w:pPr>
          <w:pStyle w:val="22"/>
          <w:jc w:val="center"/>
        </w:pPr>
        <w:r>
          <w:fldChar w:fldCharType="begin"/>
        </w:r>
        <w:r>
          <w:instrText xml:space="preserve"> PAGE   \* MERGEFORMAT </w:instrText>
        </w:r>
        <w:r>
          <w:fldChar w:fldCharType="separate"/>
        </w:r>
        <w:r>
          <w:rPr>
            <w:lang w:val="zh-CN"/>
          </w:rPr>
          <w:t>1</w:t>
        </w:r>
        <w:r>
          <w:rPr>
            <w:lang w:val="zh-CN"/>
          </w:rPr>
          <w:fldChar w:fldCharType="end"/>
        </w:r>
      </w:p>
    </w:sdtContent>
  </w:sdt>
  <w:p w14:paraId="45B47C43">
    <w:pPr>
      <w:pStyle w:val="22"/>
      <w:jc w:val="center"/>
      <w:rPr>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3A395">
    <w:pPr>
      <w:pStyle w:val="22"/>
      <w:jc w:val="center"/>
    </w:pPr>
    <w:r>
      <w:fldChar w:fldCharType="begin"/>
    </w:r>
    <w:r>
      <w:instrText xml:space="preserve"> PAGE   \* MERGEFORMAT </w:instrText>
    </w:r>
    <w:r>
      <w:fldChar w:fldCharType="separate"/>
    </w:r>
    <w:r>
      <w:rPr>
        <w:lang w:val="zh-CN"/>
      </w:rPr>
      <w:t>19</w:t>
    </w:r>
    <w:r>
      <w:rPr>
        <w:lang w:val="zh-CN"/>
      </w:rPr>
      <w:fldChar w:fldCharType="end"/>
    </w:r>
  </w:p>
  <w:p w14:paraId="532877E4">
    <w:pPr>
      <w:pStyle w:val="22"/>
      <w:jc w:val="center"/>
      <w:rPr>
        <w:b/>
        <w:i/>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8D25BC"/>
    <w:multiLevelType w:val="multilevel"/>
    <w:tmpl w:val="A48D25BC"/>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AA21EA28"/>
    <w:multiLevelType w:val="multilevel"/>
    <w:tmpl w:val="AA21EA28"/>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upperLetter"/>
      <w:pStyle w:val="22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7"/>
  <w:drawingGridVerticalSpacing w:val="147"/>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E6413"/>
    <w:rsid w:val="002E6A1B"/>
    <w:rsid w:val="00866E24"/>
    <w:rsid w:val="008C0D4E"/>
    <w:rsid w:val="00AB25D0"/>
    <w:rsid w:val="011078C7"/>
    <w:rsid w:val="014E23E0"/>
    <w:rsid w:val="01FF0067"/>
    <w:rsid w:val="020C008E"/>
    <w:rsid w:val="03030A3E"/>
    <w:rsid w:val="03322962"/>
    <w:rsid w:val="040A684F"/>
    <w:rsid w:val="04837A47"/>
    <w:rsid w:val="04DB24E5"/>
    <w:rsid w:val="05450D48"/>
    <w:rsid w:val="05AF57AD"/>
    <w:rsid w:val="07FE349D"/>
    <w:rsid w:val="08002443"/>
    <w:rsid w:val="08C40E78"/>
    <w:rsid w:val="090C5E9C"/>
    <w:rsid w:val="09F935EE"/>
    <w:rsid w:val="0A77431C"/>
    <w:rsid w:val="0A876E4C"/>
    <w:rsid w:val="0C2F32F7"/>
    <w:rsid w:val="0C395F24"/>
    <w:rsid w:val="0C90769F"/>
    <w:rsid w:val="0DD570CD"/>
    <w:rsid w:val="0DE13138"/>
    <w:rsid w:val="0E1E1875"/>
    <w:rsid w:val="0E340610"/>
    <w:rsid w:val="0E732330"/>
    <w:rsid w:val="0F45587B"/>
    <w:rsid w:val="0F7537A4"/>
    <w:rsid w:val="0FB5271F"/>
    <w:rsid w:val="10125B88"/>
    <w:rsid w:val="10BD12C2"/>
    <w:rsid w:val="10DC4A8E"/>
    <w:rsid w:val="11A66CA4"/>
    <w:rsid w:val="11CE7C31"/>
    <w:rsid w:val="125B4CBE"/>
    <w:rsid w:val="129C6B7B"/>
    <w:rsid w:val="12DA277F"/>
    <w:rsid w:val="13F26515"/>
    <w:rsid w:val="14866A15"/>
    <w:rsid w:val="16B21029"/>
    <w:rsid w:val="17012AEA"/>
    <w:rsid w:val="171B2659"/>
    <w:rsid w:val="171E2D8F"/>
    <w:rsid w:val="174065B3"/>
    <w:rsid w:val="175005C5"/>
    <w:rsid w:val="17691658"/>
    <w:rsid w:val="19B3604F"/>
    <w:rsid w:val="19BE3676"/>
    <w:rsid w:val="1B7421A9"/>
    <w:rsid w:val="1BD75E2C"/>
    <w:rsid w:val="1C150C0C"/>
    <w:rsid w:val="1C232984"/>
    <w:rsid w:val="1C5D1849"/>
    <w:rsid w:val="1D3137F6"/>
    <w:rsid w:val="1D395729"/>
    <w:rsid w:val="1D5030CD"/>
    <w:rsid w:val="1D68045E"/>
    <w:rsid w:val="1DAF719A"/>
    <w:rsid w:val="1ED86226"/>
    <w:rsid w:val="1F356A1F"/>
    <w:rsid w:val="1F952153"/>
    <w:rsid w:val="1FB21CE5"/>
    <w:rsid w:val="218464AE"/>
    <w:rsid w:val="21A36E5D"/>
    <w:rsid w:val="21A41C3A"/>
    <w:rsid w:val="21A70001"/>
    <w:rsid w:val="21D020D9"/>
    <w:rsid w:val="22734459"/>
    <w:rsid w:val="22BF2BDC"/>
    <w:rsid w:val="23580F2E"/>
    <w:rsid w:val="25223F74"/>
    <w:rsid w:val="279261C1"/>
    <w:rsid w:val="27AE7A61"/>
    <w:rsid w:val="28011B94"/>
    <w:rsid w:val="28154809"/>
    <w:rsid w:val="28362E2B"/>
    <w:rsid w:val="28CC431B"/>
    <w:rsid w:val="299A404E"/>
    <w:rsid w:val="29BE4DE0"/>
    <w:rsid w:val="2A071F1F"/>
    <w:rsid w:val="2A075D21"/>
    <w:rsid w:val="2AAD3775"/>
    <w:rsid w:val="2BBA2193"/>
    <w:rsid w:val="2C1D328F"/>
    <w:rsid w:val="2C604D64"/>
    <w:rsid w:val="2CBE5118"/>
    <w:rsid w:val="2D1136B6"/>
    <w:rsid w:val="2D1A49BD"/>
    <w:rsid w:val="2DC572CF"/>
    <w:rsid w:val="2E1B61BA"/>
    <w:rsid w:val="2EF64565"/>
    <w:rsid w:val="2EFF622A"/>
    <w:rsid w:val="2F952E60"/>
    <w:rsid w:val="301C6D51"/>
    <w:rsid w:val="30575990"/>
    <w:rsid w:val="310C5ADB"/>
    <w:rsid w:val="3202507E"/>
    <w:rsid w:val="32233065"/>
    <w:rsid w:val="325038C0"/>
    <w:rsid w:val="33AD2BD0"/>
    <w:rsid w:val="346D3E53"/>
    <w:rsid w:val="34C86836"/>
    <w:rsid w:val="35B67D87"/>
    <w:rsid w:val="35C0308E"/>
    <w:rsid w:val="360C7D55"/>
    <w:rsid w:val="36284168"/>
    <w:rsid w:val="368925F7"/>
    <w:rsid w:val="36B17579"/>
    <w:rsid w:val="36B83D65"/>
    <w:rsid w:val="36C95C32"/>
    <w:rsid w:val="36D73248"/>
    <w:rsid w:val="370B137F"/>
    <w:rsid w:val="371D7F62"/>
    <w:rsid w:val="3779661A"/>
    <w:rsid w:val="378C567A"/>
    <w:rsid w:val="378C63B1"/>
    <w:rsid w:val="37B41122"/>
    <w:rsid w:val="38EF579E"/>
    <w:rsid w:val="39B91FEE"/>
    <w:rsid w:val="39F72DF7"/>
    <w:rsid w:val="39F96B6F"/>
    <w:rsid w:val="3A437DEA"/>
    <w:rsid w:val="3A9514DA"/>
    <w:rsid w:val="3AB042CB"/>
    <w:rsid w:val="3ACE37A5"/>
    <w:rsid w:val="3ADF1782"/>
    <w:rsid w:val="3AED7D56"/>
    <w:rsid w:val="3B5B2575"/>
    <w:rsid w:val="3BB45E27"/>
    <w:rsid w:val="3BED46A3"/>
    <w:rsid w:val="3D36579B"/>
    <w:rsid w:val="3DDC3759"/>
    <w:rsid w:val="3DE10046"/>
    <w:rsid w:val="3EB50271"/>
    <w:rsid w:val="3EB805C7"/>
    <w:rsid w:val="3FE1193D"/>
    <w:rsid w:val="405C41EF"/>
    <w:rsid w:val="407D653E"/>
    <w:rsid w:val="412F6470"/>
    <w:rsid w:val="41F50E78"/>
    <w:rsid w:val="42192F7B"/>
    <w:rsid w:val="422D771F"/>
    <w:rsid w:val="424E3E69"/>
    <w:rsid w:val="428131C9"/>
    <w:rsid w:val="42E33231"/>
    <w:rsid w:val="43281A31"/>
    <w:rsid w:val="43DC1A0D"/>
    <w:rsid w:val="43FE2133"/>
    <w:rsid w:val="44725636"/>
    <w:rsid w:val="44FA35FD"/>
    <w:rsid w:val="45637592"/>
    <w:rsid w:val="457A5EF2"/>
    <w:rsid w:val="45A92BC9"/>
    <w:rsid w:val="474C3F5D"/>
    <w:rsid w:val="47BB0CCB"/>
    <w:rsid w:val="48A90EBB"/>
    <w:rsid w:val="496B4CA0"/>
    <w:rsid w:val="4A5B7E34"/>
    <w:rsid w:val="4AF64B7C"/>
    <w:rsid w:val="4AFA62A3"/>
    <w:rsid w:val="4BA64E06"/>
    <w:rsid w:val="4BE73F62"/>
    <w:rsid w:val="4C1E393E"/>
    <w:rsid w:val="4C7205A5"/>
    <w:rsid w:val="4DB37B38"/>
    <w:rsid w:val="4DCA62DD"/>
    <w:rsid w:val="4EBE573E"/>
    <w:rsid w:val="4EE44497"/>
    <w:rsid w:val="50EC2B32"/>
    <w:rsid w:val="5164364B"/>
    <w:rsid w:val="51765DFD"/>
    <w:rsid w:val="519E6ECF"/>
    <w:rsid w:val="52547743"/>
    <w:rsid w:val="52EB59D1"/>
    <w:rsid w:val="52F35C31"/>
    <w:rsid w:val="54E84E40"/>
    <w:rsid w:val="55077873"/>
    <w:rsid w:val="554A6E6E"/>
    <w:rsid w:val="55C51BA3"/>
    <w:rsid w:val="55F73214"/>
    <w:rsid w:val="55F92552"/>
    <w:rsid w:val="56D83F29"/>
    <w:rsid w:val="56DE10C7"/>
    <w:rsid w:val="572216F1"/>
    <w:rsid w:val="57727B09"/>
    <w:rsid w:val="584C3E7F"/>
    <w:rsid w:val="58B33F35"/>
    <w:rsid w:val="59CD7278"/>
    <w:rsid w:val="59EC50C7"/>
    <w:rsid w:val="5A032EEA"/>
    <w:rsid w:val="5A654426"/>
    <w:rsid w:val="5C6B79B4"/>
    <w:rsid w:val="5C721E19"/>
    <w:rsid w:val="5D722610"/>
    <w:rsid w:val="5DA41571"/>
    <w:rsid w:val="5DA76D9D"/>
    <w:rsid w:val="5DD821C1"/>
    <w:rsid w:val="60A76A75"/>
    <w:rsid w:val="614534C9"/>
    <w:rsid w:val="615C5477"/>
    <w:rsid w:val="61842381"/>
    <w:rsid w:val="61BA27D8"/>
    <w:rsid w:val="61C977B9"/>
    <w:rsid w:val="6220263B"/>
    <w:rsid w:val="6299163B"/>
    <w:rsid w:val="62E01DCA"/>
    <w:rsid w:val="6324615B"/>
    <w:rsid w:val="65225751"/>
    <w:rsid w:val="656729C2"/>
    <w:rsid w:val="656F7435"/>
    <w:rsid w:val="65985489"/>
    <w:rsid w:val="660164E0"/>
    <w:rsid w:val="669874FF"/>
    <w:rsid w:val="66B92259"/>
    <w:rsid w:val="67DB4126"/>
    <w:rsid w:val="68217862"/>
    <w:rsid w:val="682F23A6"/>
    <w:rsid w:val="686B20E8"/>
    <w:rsid w:val="68D52A98"/>
    <w:rsid w:val="68D550AF"/>
    <w:rsid w:val="69912D7D"/>
    <w:rsid w:val="6A5E135C"/>
    <w:rsid w:val="6A7A0D56"/>
    <w:rsid w:val="6A966A50"/>
    <w:rsid w:val="6A984704"/>
    <w:rsid w:val="6B182A49"/>
    <w:rsid w:val="6B4020DA"/>
    <w:rsid w:val="6B4A563E"/>
    <w:rsid w:val="6C16685D"/>
    <w:rsid w:val="6C755C79"/>
    <w:rsid w:val="6D090170"/>
    <w:rsid w:val="6DF62992"/>
    <w:rsid w:val="6EFA7BFF"/>
    <w:rsid w:val="6F5B1156"/>
    <w:rsid w:val="6F775864"/>
    <w:rsid w:val="6F7C08F2"/>
    <w:rsid w:val="6FBF5649"/>
    <w:rsid w:val="6FE0165C"/>
    <w:rsid w:val="70900510"/>
    <w:rsid w:val="710B7DC9"/>
    <w:rsid w:val="712E4649"/>
    <w:rsid w:val="71976CEE"/>
    <w:rsid w:val="719E17CE"/>
    <w:rsid w:val="71DB1320"/>
    <w:rsid w:val="724B20B5"/>
    <w:rsid w:val="72F74C46"/>
    <w:rsid w:val="72FA5B9A"/>
    <w:rsid w:val="7318611E"/>
    <w:rsid w:val="73214465"/>
    <w:rsid w:val="737208DB"/>
    <w:rsid w:val="74B35591"/>
    <w:rsid w:val="759AC977"/>
    <w:rsid w:val="75EC43AC"/>
    <w:rsid w:val="766C6C2F"/>
    <w:rsid w:val="76EA2DC0"/>
    <w:rsid w:val="77A9459E"/>
    <w:rsid w:val="77FC495B"/>
    <w:rsid w:val="78E86DDB"/>
    <w:rsid w:val="7A5F39FD"/>
    <w:rsid w:val="7E345985"/>
    <w:rsid w:val="7E783185"/>
    <w:rsid w:val="7F1C1122"/>
    <w:rsid w:val="7F1DD288"/>
    <w:rsid w:val="7F8244DD"/>
    <w:rsid w:val="F5FF5C12"/>
    <w:rsid w:val="FD74EE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next w:val="1"/>
    <w:link w:val="8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7"/>
    <w:unhideWhenUsed/>
    <w:qFormat/>
    <w:uiPriority w:val="9"/>
    <w:pPr>
      <w:keepNext/>
      <w:keepLines/>
      <w:spacing w:before="320" w:after="200"/>
      <w:outlineLvl w:val="8"/>
    </w:pPr>
    <w:rPr>
      <w:rFonts w:ascii="Arial" w:hAnsi="Arial" w:eastAsia="Arial" w:cs="Arial"/>
      <w:i/>
      <w:iCs/>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qFormat/>
    <w:uiPriority w:val="0"/>
    <w:rPr>
      <w:rFonts w:ascii="楷体_GB2312" w:hAnsi="Arial" w:eastAsia="楷体_GB2312"/>
      <w:sz w:val="28"/>
      <w:szCs w:val="28"/>
    </w:rPr>
  </w:style>
  <w:style w:type="paragraph" w:styleId="15">
    <w:name w:val="Body Text Indent"/>
    <w:basedOn w:val="1"/>
    <w:next w:val="16"/>
    <w:qFormat/>
    <w:uiPriority w:val="0"/>
    <w:pPr>
      <w:ind w:firstLine="645"/>
    </w:pPr>
    <w:rPr>
      <w:rFonts w:ascii="楷体_GB2312" w:eastAsia="楷体_GB2312"/>
      <w:sz w:val="32"/>
      <w:szCs w:val="32"/>
    </w:rPr>
  </w:style>
  <w:style w:type="paragraph" w:styleId="16">
    <w:name w:val="envelope return"/>
    <w:basedOn w:val="1"/>
    <w:unhideWhenUsed/>
    <w:qFormat/>
    <w:uiPriority w:val="99"/>
    <w:rPr>
      <w:rFonts w:ascii="Arial" w:hAnsi="Arial"/>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next w:val="1"/>
    <w:qFormat/>
    <w:uiPriority w:val="0"/>
    <w:rPr>
      <w:rFonts w:ascii="宋体" w:hAnsi="Courier New" w:cs="Courier New"/>
    </w:rPr>
  </w:style>
  <w:style w:type="paragraph" w:styleId="20">
    <w:name w:val="toc 8"/>
    <w:basedOn w:val="1"/>
    <w:next w:val="1"/>
    <w:unhideWhenUsed/>
    <w:qFormat/>
    <w:uiPriority w:val="39"/>
    <w:pPr>
      <w:spacing w:after="57"/>
      <w:ind w:left="1984"/>
    </w:pPr>
  </w:style>
  <w:style w:type="paragraph" w:styleId="21">
    <w:name w:val="endnote text"/>
    <w:basedOn w:val="1"/>
    <w:link w:val="224"/>
    <w:semiHidden/>
    <w:unhideWhenUsed/>
    <w:qFormat/>
    <w:uiPriority w:val="99"/>
    <w:rPr>
      <w:sz w:val="20"/>
    </w:rPr>
  </w:style>
  <w:style w:type="paragraph" w:styleId="22">
    <w:name w:val="footer"/>
    <w:basedOn w:val="1"/>
    <w:link w:val="240"/>
    <w:qFormat/>
    <w:uiPriority w:val="99"/>
    <w:pPr>
      <w:tabs>
        <w:tab w:val="center" w:pos="4153"/>
        <w:tab w:val="right" w:pos="8306"/>
      </w:tabs>
      <w:jc w:val="left"/>
    </w:pPr>
    <w:rPr>
      <w:sz w:val="18"/>
      <w:szCs w:val="18"/>
    </w:rPr>
  </w:style>
  <w:style w:type="paragraph" w:styleId="23">
    <w:name w:val="header"/>
    <w:basedOn w:val="1"/>
    <w:qFormat/>
    <w:uiPriority w:val="0"/>
    <w:pPr>
      <w:tabs>
        <w:tab w:val="center" w:pos="4153"/>
        <w:tab w:val="right" w:pos="8306"/>
      </w:tabs>
      <w:jc w:val="center"/>
    </w:pPr>
    <w:rPr>
      <w:sz w:val="18"/>
      <w:szCs w:val="18"/>
    </w:rPr>
  </w:style>
  <w:style w:type="paragraph" w:styleId="24">
    <w:name w:val="toc 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styleId="25">
    <w:name w:val="toc 4"/>
    <w:basedOn w:val="1"/>
    <w:next w:val="1"/>
    <w:unhideWhenUsed/>
    <w:qFormat/>
    <w:uiPriority w:val="39"/>
    <w:pPr>
      <w:spacing w:after="57"/>
      <w:ind w:left="850"/>
    </w:pPr>
  </w:style>
  <w:style w:type="paragraph" w:styleId="26">
    <w:name w:val="Subtitle"/>
    <w:basedOn w:val="1"/>
    <w:next w:val="1"/>
    <w:link w:val="90"/>
    <w:qFormat/>
    <w:uiPriority w:val="11"/>
    <w:pPr>
      <w:spacing w:before="200" w:after="200"/>
    </w:pPr>
    <w:rPr>
      <w:sz w:val="24"/>
      <w:szCs w:val="24"/>
    </w:rPr>
  </w:style>
  <w:style w:type="paragraph" w:styleId="27">
    <w:name w:val="footnote text"/>
    <w:basedOn w:val="1"/>
    <w:link w:val="223"/>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3">
    <w:name w:val="Title"/>
    <w:basedOn w:val="1"/>
    <w:next w:val="1"/>
    <w:link w:val="89"/>
    <w:qFormat/>
    <w:uiPriority w:val="10"/>
    <w:pPr>
      <w:spacing w:before="300" w:after="200"/>
      <w:contextualSpacing/>
    </w:pPr>
    <w:rPr>
      <w:sz w:val="48"/>
      <w:szCs w:val="48"/>
    </w:rPr>
  </w:style>
  <w:style w:type="paragraph" w:styleId="34">
    <w:name w:val="Body Text First Indent"/>
    <w:basedOn w:val="14"/>
    <w:qFormat/>
    <w:uiPriority w:val="0"/>
    <w:pPr>
      <w:spacing w:line="360" w:lineRule="auto"/>
      <w:ind w:firstLine="200"/>
    </w:pPr>
    <w:rPr>
      <w:rFonts w:ascii="仿宋_GB2312" w:eastAsia="仿宋_GB2312"/>
      <w:sz w:val="30"/>
      <w:szCs w:val="30"/>
    </w:rPr>
  </w:style>
  <w:style w:type="paragraph" w:styleId="35">
    <w:name w:val="Body Text First Indent 2"/>
    <w:basedOn w:val="15"/>
    <w:next w:val="1"/>
    <w:qFormat/>
    <w:uiPriority w:val="0"/>
    <w:pPr>
      <w:spacing w:line="360" w:lineRule="auto"/>
      <w:ind w:firstLine="420"/>
    </w:pPr>
    <w:rPr>
      <w:rFonts w:ascii="宋体" w:hAnsi="宋体" w:eastAsia="宋体"/>
      <w:sz w:val="21"/>
      <w:szCs w:val="20"/>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basedOn w:val="38"/>
    <w:semiHidden/>
    <w:unhideWhenUsed/>
    <w:qFormat/>
    <w:uiPriority w:val="99"/>
    <w:rPr>
      <w:vertAlign w:val="superscript"/>
    </w:rPr>
  </w:style>
  <w:style w:type="character" w:styleId="40">
    <w:name w:val="page number"/>
    <w:qFormat/>
    <w:uiPriority w:val="0"/>
  </w:style>
  <w:style w:type="character" w:styleId="41">
    <w:name w:val="FollowedHyperlink"/>
    <w:basedOn w:val="38"/>
    <w:semiHidden/>
    <w:unhideWhenUsed/>
    <w:qFormat/>
    <w:uiPriority w:val="99"/>
    <w:rPr>
      <w:color w:val="333333"/>
      <w:u w:val="none"/>
    </w:rPr>
  </w:style>
  <w:style w:type="character" w:styleId="42">
    <w:name w:val="Hyperlink"/>
    <w:unhideWhenUsed/>
    <w:qFormat/>
    <w:uiPriority w:val="99"/>
    <w:rPr>
      <w:color w:val="0026E5" w:themeColor="hyperlink"/>
      <w:u w:val="single"/>
      <w14:textFill>
        <w14:solidFill>
          <w14:schemeClr w14:val="hlink"/>
        </w14:solidFill>
      </w14:textFill>
    </w:rPr>
  </w:style>
  <w:style w:type="character" w:styleId="43">
    <w:name w:val="footnote reference"/>
    <w:basedOn w:val="38"/>
    <w:unhideWhenUsed/>
    <w:qFormat/>
    <w:uiPriority w:val="99"/>
    <w:rPr>
      <w:vertAlign w:val="superscript"/>
    </w:rPr>
  </w:style>
  <w:style w:type="character" w:customStyle="1" w:styleId="44">
    <w:name w:val="Heading 2 Char"/>
    <w:basedOn w:val="38"/>
    <w:qFormat/>
    <w:uiPriority w:val="9"/>
    <w:rPr>
      <w:rFonts w:ascii="Arial" w:hAnsi="Arial" w:eastAsia="Arial" w:cs="Arial"/>
      <w:sz w:val="34"/>
    </w:rPr>
  </w:style>
  <w:style w:type="character" w:customStyle="1" w:styleId="45">
    <w:name w:val="Heading 3 Char"/>
    <w:basedOn w:val="38"/>
    <w:qFormat/>
    <w:uiPriority w:val="9"/>
    <w:rPr>
      <w:rFonts w:ascii="Arial" w:hAnsi="Arial" w:eastAsia="Arial" w:cs="Arial"/>
      <w:sz w:val="30"/>
      <w:szCs w:val="30"/>
    </w:rPr>
  </w:style>
  <w:style w:type="character" w:customStyle="1" w:styleId="46">
    <w:name w:val="Heading 4 Char"/>
    <w:basedOn w:val="38"/>
    <w:qFormat/>
    <w:uiPriority w:val="9"/>
    <w:rPr>
      <w:rFonts w:ascii="Arial" w:hAnsi="Arial" w:eastAsia="Arial" w:cs="Arial"/>
      <w:b/>
      <w:bCs/>
      <w:sz w:val="26"/>
      <w:szCs w:val="26"/>
    </w:rPr>
  </w:style>
  <w:style w:type="character" w:customStyle="1" w:styleId="47">
    <w:name w:val="Heading 5 Char"/>
    <w:basedOn w:val="38"/>
    <w:qFormat/>
    <w:uiPriority w:val="9"/>
    <w:rPr>
      <w:rFonts w:ascii="Arial" w:hAnsi="Arial" w:eastAsia="Arial" w:cs="Arial"/>
      <w:b/>
      <w:bCs/>
      <w:sz w:val="24"/>
      <w:szCs w:val="24"/>
    </w:rPr>
  </w:style>
  <w:style w:type="character" w:customStyle="1" w:styleId="48">
    <w:name w:val="Heading 6 Char"/>
    <w:basedOn w:val="38"/>
    <w:qFormat/>
    <w:uiPriority w:val="9"/>
    <w:rPr>
      <w:rFonts w:ascii="Arial" w:hAnsi="Arial" w:eastAsia="Arial" w:cs="Arial"/>
      <w:b/>
      <w:bCs/>
      <w:sz w:val="22"/>
      <w:szCs w:val="22"/>
    </w:rPr>
  </w:style>
  <w:style w:type="character" w:customStyle="1" w:styleId="49">
    <w:name w:val="Heading 7 Char"/>
    <w:basedOn w:val="38"/>
    <w:qFormat/>
    <w:uiPriority w:val="9"/>
    <w:rPr>
      <w:rFonts w:ascii="Arial" w:hAnsi="Arial" w:eastAsia="Arial" w:cs="Arial"/>
      <w:b/>
      <w:bCs/>
      <w:i/>
      <w:iCs/>
      <w:sz w:val="22"/>
      <w:szCs w:val="22"/>
    </w:rPr>
  </w:style>
  <w:style w:type="character" w:customStyle="1" w:styleId="50">
    <w:name w:val="Heading 8 Char"/>
    <w:basedOn w:val="38"/>
    <w:qFormat/>
    <w:uiPriority w:val="9"/>
    <w:rPr>
      <w:rFonts w:ascii="Arial" w:hAnsi="Arial" w:eastAsia="Arial" w:cs="Arial"/>
      <w:i/>
      <w:iCs/>
      <w:sz w:val="22"/>
      <w:szCs w:val="22"/>
    </w:rPr>
  </w:style>
  <w:style w:type="character" w:customStyle="1" w:styleId="51">
    <w:name w:val="Heading 9 Char"/>
    <w:basedOn w:val="38"/>
    <w:qFormat/>
    <w:uiPriority w:val="9"/>
    <w:rPr>
      <w:rFonts w:ascii="Arial" w:hAnsi="Arial" w:eastAsia="Arial" w:cs="Arial"/>
      <w:i/>
      <w:iCs/>
      <w:sz w:val="21"/>
      <w:szCs w:val="21"/>
    </w:rPr>
  </w:style>
  <w:style w:type="character" w:customStyle="1" w:styleId="52">
    <w:name w:val="Title Char"/>
    <w:basedOn w:val="38"/>
    <w:qFormat/>
    <w:uiPriority w:val="10"/>
    <w:rPr>
      <w:sz w:val="48"/>
      <w:szCs w:val="48"/>
    </w:rPr>
  </w:style>
  <w:style w:type="character" w:customStyle="1" w:styleId="53">
    <w:name w:val="Subtitle Char"/>
    <w:basedOn w:val="38"/>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table" w:customStyle="1" w:styleId="56">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6">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9">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1">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3">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4">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5">
    <w:name w:val="Footnote Text Char"/>
    <w:qFormat/>
    <w:uiPriority w:val="99"/>
    <w:rPr>
      <w:sz w:val="18"/>
    </w:rPr>
  </w:style>
  <w:style w:type="character" w:customStyle="1" w:styleId="76">
    <w:name w:val="Endnote Text Char"/>
    <w:qFormat/>
    <w:uiPriority w:val="99"/>
    <w:rPr>
      <w:sz w:val="20"/>
    </w:rPr>
  </w:style>
  <w:style w:type="paragraph" w:customStyle="1" w:styleId="77">
    <w:name w:val="TOC Heading"/>
    <w:unhideWhenUsed/>
    <w:qFormat/>
    <w:uiPriority w:val="39"/>
    <w:rPr>
      <w:rFonts w:hint="default" w:asciiTheme="minorHAnsi" w:hAnsiTheme="minorHAnsi" w:eastAsiaTheme="minorEastAsia" w:cstheme="minorBidi"/>
    </w:rPr>
  </w:style>
  <w:style w:type="paragraph" w:customStyle="1" w:styleId="78">
    <w:name w:val="报告正文"/>
    <w:basedOn w:val="1"/>
    <w:qFormat/>
    <w:uiPriority w:val="0"/>
    <w:pPr>
      <w:ind w:firstLine="560"/>
    </w:pPr>
    <w:rPr>
      <w:szCs w:val="20"/>
      <w:lang w:val="zh-CN"/>
    </w:rPr>
  </w:style>
  <w:style w:type="character" w:customStyle="1" w:styleId="79">
    <w:name w:val="Heading 1 Char"/>
    <w:basedOn w:val="38"/>
    <w:qFormat/>
    <w:uiPriority w:val="9"/>
    <w:rPr>
      <w:rFonts w:ascii="Arial" w:hAnsi="Arial" w:eastAsia="Arial" w:cs="Arial"/>
      <w:sz w:val="40"/>
      <w:szCs w:val="40"/>
    </w:rPr>
  </w:style>
  <w:style w:type="character" w:customStyle="1" w:styleId="80">
    <w:name w:val="标题 2 Char"/>
    <w:basedOn w:val="38"/>
    <w:link w:val="3"/>
    <w:qFormat/>
    <w:uiPriority w:val="9"/>
    <w:rPr>
      <w:rFonts w:ascii="Arial" w:hAnsi="Arial" w:eastAsia="Arial" w:cs="Arial"/>
      <w:sz w:val="34"/>
    </w:rPr>
  </w:style>
  <w:style w:type="character" w:customStyle="1" w:styleId="81">
    <w:name w:val="标题 3 Char"/>
    <w:basedOn w:val="38"/>
    <w:link w:val="4"/>
    <w:qFormat/>
    <w:uiPriority w:val="9"/>
    <w:rPr>
      <w:rFonts w:ascii="Arial" w:hAnsi="Arial" w:eastAsia="Arial" w:cs="Arial"/>
      <w:sz w:val="30"/>
      <w:szCs w:val="30"/>
    </w:rPr>
  </w:style>
  <w:style w:type="character" w:customStyle="1" w:styleId="82">
    <w:name w:val="标题 4 Char"/>
    <w:basedOn w:val="38"/>
    <w:link w:val="5"/>
    <w:qFormat/>
    <w:uiPriority w:val="9"/>
    <w:rPr>
      <w:rFonts w:ascii="Arial" w:hAnsi="Arial" w:eastAsia="Arial" w:cs="Arial"/>
      <w:b/>
      <w:bCs/>
      <w:sz w:val="26"/>
      <w:szCs w:val="26"/>
    </w:rPr>
  </w:style>
  <w:style w:type="character" w:customStyle="1" w:styleId="83">
    <w:name w:val="标题 5 Char"/>
    <w:basedOn w:val="38"/>
    <w:link w:val="6"/>
    <w:qFormat/>
    <w:uiPriority w:val="9"/>
    <w:rPr>
      <w:rFonts w:ascii="Arial" w:hAnsi="Arial" w:eastAsia="Arial" w:cs="Arial"/>
      <w:b/>
      <w:bCs/>
      <w:sz w:val="24"/>
      <w:szCs w:val="24"/>
    </w:rPr>
  </w:style>
  <w:style w:type="character" w:customStyle="1" w:styleId="84">
    <w:name w:val="标题 6 Char"/>
    <w:basedOn w:val="38"/>
    <w:link w:val="7"/>
    <w:qFormat/>
    <w:uiPriority w:val="9"/>
    <w:rPr>
      <w:rFonts w:ascii="Arial" w:hAnsi="Arial" w:eastAsia="Arial" w:cs="Arial"/>
      <w:b/>
      <w:bCs/>
      <w:sz w:val="22"/>
      <w:szCs w:val="22"/>
    </w:rPr>
  </w:style>
  <w:style w:type="character" w:customStyle="1" w:styleId="85">
    <w:name w:val="标题 7 Char"/>
    <w:basedOn w:val="38"/>
    <w:link w:val="8"/>
    <w:qFormat/>
    <w:uiPriority w:val="9"/>
    <w:rPr>
      <w:rFonts w:ascii="Arial" w:hAnsi="Arial" w:eastAsia="Arial" w:cs="Arial"/>
      <w:b/>
      <w:bCs/>
      <w:i/>
      <w:iCs/>
      <w:sz w:val="22"/>
      <w:szCs w:val="22"/>
    </w:rPr>
  </w:style>
  <w:style w:type="character" w:customStyle="1" w:styleId="86">
    <w:name w:val="标题 8 Char"/>
    <w:basedOn w:val="38"/>
    <w:link w:val="9"/>
    <w:qFormat/>
    <w:uiPriority w:val="9"/>
    <w:rPr>
      <w:rFonts w:ascii="Arial" w:hAnsi="Arial" w:eastAsia="Arial" w:cs="Arial"/>
      <w:i/>
      <w:iCs/>
      <w:sz w:val="22"/>
      <w:szCs w:val="22"/>
    </w:rPr>
  </w:style>
  <w:style w:type="character" w:customStyle="1" w:styleId="87">
    <w:name w:val="标题 9 Char"/>
    <w:basedOn w:val="38"/>
    <w:link w:val="10"/>
    <w:qFormat/>
    <w:uiPriority w:val="9"/>
    <w:rPr>
      <w:rFonts w:ascii="Arial" w:hAnsi="Arial" w:eastAsia="Arial" w:cs="Arial"/>
      <w:i/>
      <w:iCs/>
      <w:sz w:val="21"/>
      <w:szCs w:val="21"/>
    </w:rPr>
  </w:style>
  <w:style w:type="paragraph" w:styleId="88">
    <w:name w:val="List Paragraph"/>
    <w:basedOn w:val="1"/>
    <w:qFormat/>
    <w:uiPriority w:val="34"/>
    <w:pPr>
      <w:ind w:left="720"/>
      <w:contextualSpacing/>
    </w:pPr>
  </w:style>
  <w:style w:type="character" w:customStyle="1" w:styleId="89">
    <w:name w:val="标题 Char"/>
    <w:basedOn w:val="38"/>
    <w:link w:val="33"/>
    <w:qFormat/>
    <w:uiPriority w:val="10"/>
    <w:rPr>
      <w:sz w:val="48"/>
      <w:szCs w:val="48"/>
    </w:rPr>
  </w:style>
  <w:style w:type="character" w:customStyle="1" w:styleId="90">
    <w:name w:val="副标题 Char"/>
    <w:basedOn w:val="38"/>
    <w:link w:val="26"/>
    <w:qFormat/>
    <w:uiPriority w:val="11"/>
    <w:rPr>
      <w:sz w:val="24"/>
      <w:szCs w:val="24"/>
    </w:rPr>
  </w:style>
  <w:style w:type="paragraph" w:styleId="91">
    <w:name w:val="Quote"/>
    <w:basedOn w:val="1"/>
    <w:next w:val="1"/>
    <w:link w:val="92"/>
    <w:qFormat/>
    <w:uiPriority w:val="29"/>
    <w:pPr>
      <w:ind w:left="720" w:right="720"/>
    </w:pPr>
    <w:rPr>
      <w:i/>
    </w:rPr>
  </w:style>
  <w:style w:type="character" w:customStyle="1" w:styleId="92">
    <w:name w:val="引用 Char"/>
    <w:link w:val="91"/>
    <w:qFormat/>
    <w:uiPriority w:val="29"/>
    <w:rPr>
      <w:i/>
    </w:rPr>
  </w:style>
  <w:style w:type="paragraph" w:styleId="93">
    <w:name w:val="Intense Quote"/>
    <w:basedOn w:val="1"/>
    <w:next w:val="1"/>
    <w:link w:val="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4">
    <w:name w:val="明显引用 Char"/>
    <w:link w:val="93"/>
    <w:qFormat/>
    <w:uiPriority w:val="30"/>
    <w:rPr>
      <w:i/>
    </w:rPr>
  </w:style>
  <w:style w:type="character" w:customStyle="1" w:styleId="95">
    <w:name w:val="Header Char"/>
    <w:basedOn w:val="38"/>
    <w:qFormat/>
    <w:uiPriority w:val="99"/>
  </w:style>
  <w:style w:type="character" w:customStyle="1" w:styleId="96">
    <w:name w:val="Footer Char"/>
    <w:basedOn w:val="38"/>
    <w:qFormat/>
    <w:uiPriority w:val="99"/>
  </w:style>
  <w:style w:type="character" w:customStyle="1" w:styleId="97">
    <w:name w:val="Caption Char"/>
    <w:qFormat/>
    <w:uiPriority w:val="99"/>
  </w:style>
  <w:style w:type="table" w:customStyle="1" w:styleId="98">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9">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0">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1">
    <w:name w:val="无格式表格 31"/>
    <w:basedOn w:val="36"/>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无格式表格 41"/>
    <w:basedOn w:val="36"/>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51"/>
    <w:basedOn w:val="36"/>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5">
    <w:name w:val="Grid Table 1 Light - Accent 1"/>
    <w:basedOn w:val="36"/>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06">
    <w:name w:val="Grid Table 1 Light - Accent 2"/>
    <w:basedOn w:val="36"/>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07">
    <w:name w:val="Grid Table 1 Light - Accent 3"/>
    <w:basedOn w:val="36"/>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08">
    <w:name w:val="Grid Table 1 Light - Accent 4"/>
    <w:basedOn w:val="36"/>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09">
    <w:name w:val="Grid Table 1 Light - Accent 5"/>
    <w:basedOn w:val="36"/>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10">
    <w:name w:val="Grid Table 1 Light - Accent 6"/>
    <w:basedOn w:val="36"/>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11">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2 - Accent 1"/>
    <w:basedOn w:val="36"/>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13">
    <w:name w:val="Grid Table 2 - Accent 2"/>
    <w:basedOn w:val="36"/>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14">
    <w:name w:val="Grid Table 2 - Accent 3"/>
    <w:basedOn w:val="36"/>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5">
    <w:name w:val="Grid Table 2 - Accent 4"/>
    <w:basedOn w:val="36"/>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6">
    <w:name w:val="Grid Table 2 - Accent 5"/>
    <w:basedOn w:val="36"/>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7">
    <w:name w:val="Grid Table 2 - Accent 6"/>
    <w:basedOn w:val="36"/>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8">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3 - Accent 1"/>
    <w:basedOn w:val="36"/>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20">
    <w:name w:val="Grid Table 3 - Accent 2"/>
    <w:basedOn w:val="36"/>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1">
    <w:name w:val="Grid Table 3 - Accent 3"/>
    <w:basedOn w:val="36"/>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22">
    <w:name w:val="Grid Table 3 - Accent 4"/>
    <w:basedOn w:val="36"/>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23">
    <w:name w:val="Grid Table 3 - Accent 5"/>
    <w:basedOn w:val="36"/>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4">
    <w:name w:val="Grid Table 3 - Accent 6"/>
    <w:basedOn w:val="36"/>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5">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4 - Accent 1"/>
    <w:basedOn w:val="36"/>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27">
    <w:name w:val="Grid Table 4 - Accent 2"/>
    <w:basedOn w:val="36"/>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8">
    <w:name w:val="Grid Table 4 - Accent 3"/>
    <w:basedOn w:val="36"/>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29">
    <w:name w:val="Grid Table 4 - Accent 4"/>
    <w:basedOn w:val="36"/>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30">
    <w:name w:val="Grid Table 4 - Accent 5"/>
    <w:basedOn w:val="36"/>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31">
    <w:name w:val="Grid Table 4 - Accent 6"/>
    <w:basedOn w:val="36"/>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32">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3">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34">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35">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36">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37">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38">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39">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6 Colorful - Accent 1"/>
    <w:basedOn w:val="36"/>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41">
    <w:name w:val="Grid Table 6 Colorful - Accent 2"/>
    <w:basedOn w:val="36"/>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2">
    <w:name w:val="Grid Table 6 Colorful - Accent 3"/>
    <w:basedOn w:val="36"/>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43">
    <w:name w:val="Grid Table 6 Colorful - Accent 4"/>
    <w:basedOn w:val="36"/>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44">
    <w:name w:val="Grid Table 6 Colorful - Accent 5"/>
    <w:basedOn w:val="36"/>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45">
    <w:name w:val="Grid Table 6 Colorful - Accent 6"/>
    <w:basedOn w:val="36"/>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46">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7 Colorful - Accent 1"/>
    <w:basedOn w:val="36"/>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48">
    <w:name w:val="Grid Table 7 Colorful - Accent 2"/>
    <w:basedOn w:val="36"/>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9">
    <w:name w:val="Grid Table 7 Colorful - Accent 3"/>
    <w:basedOn w:val="36"/>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50">
    <w:name w:val="Grid Table 7 Colorful - Accent 4"/>
    <w:basedOn w:val="36"/>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1">
    <w:name w:val="Grid Table 7 Colorful - Accent 5"/>
    <w:basedOn w:val="36"/>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52">
    <w:name w:val="Grid Table 7 Colorful - Accent 6"/>
    <w:basedOn w:val="36"/>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53">
    <w:name w:val="清单表 1 浅色1"/>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4">
    <w:name w:val="List Table 1 Light - Accent 1"/>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55">
    <w:name w:val="List Table 1 Light - Accent 2"/>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56">
    <w:name w:val="List Table 1 Light - Accent 3"/>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57">
    <w:name w:val="List Table 1 Light - Accent 4"/>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58">
    <w:name w:val="List Table 1 Light - Accent 5"/>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59">
    <w:name w:val="List Table 1 Light - Accent 6"/>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60">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2 - Accent 1"/>
    <w:basedOn w:val="36"/>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62">
    <w:name w:val="List Table 2 - Accent 2"/>
    <w:basedOn w:val="36"/>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63">
    <w:name w:val="List Table 2 - Accent 3"/>
    <w:basedOn w:val="36"/>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64">
    <w:name w:val="List Table 2 - Accent 4"/>
    <w:basedOn w:val="36"/>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65">
    <w:name w:val="List Table 2 - Accent 5"/>
    <w:basedOn w:val="36"/>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66">
    <w:name w:val="List Table 2 - Accent 6"/>
    <w:basedOn w:val="36"/>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67">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8">
    <w:name w:val="List Table 3 - Accent 1"/>
    <w:basedOn w:val="36"/>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69">
    <w:name w:val="List Table 3 - Accent 2"/>
    <w:basedOn w:val="36"/>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70">
    <w:name w:val="List Table 3 - Accent 3"/>
    <w:basedOn w:val="36"/>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71">
    <w:name w:val="List Table 3 - Accent 4"/>
    <w:basedOn w:val="36"/>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72">
    <w:name w:val="List Table 3 - Accent 5"/>
    <w:basedOn w:val="36"/>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73">
    <w:name w:val="List Table 3 - Accent 6"/>
    <w:basedOn w:val="36"/>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74">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5">
    <w:name w:val="List Table 4 - Accent 1"/>
    <w:basedOn w:val="36"/>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76">
    <w:name w:val="List Table 4 - Accent 2"/>
    <w:basedOn w:val="36"/>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77">
    <w:name w:val="List Table 4 - Accent 3"/>
    <w:basedOn w:val="36"/>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78">
    <w:name w:val="List Table 4 - Accent 4"/>
    <w:basedOn w:val="36"/>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79">
    <w:name w:val="List Table 4 - Accent 5"/>
    <w:basedOn w:val="36"/>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80">
    <w:name w:val="List Table 4 - Accent 6"/>
    <w:basedOn w:val="36"/>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81">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2">
    <w:name w:val="List Table 5 Dark - Accent 1"/>
    <w:basedOn w:val="36"/>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83">
    <w:name w:val="List Table 5 Dark - Accent 2"/>
    <w:basedOn w:val="36"/>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84">
    <w:name w:val="List Table 5 Dark - Accent 3"/>
    <w:basedOn w:val="36"/>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85">
    <w:name w:val="List Table 5 Dark - Accent 4"/>
    <w:basedOn w:val="36"/>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86">
    <w:name w:val="List Table 5 Dark - Accent 5"/>
    <w:basedOn w:val="36"/>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87">
    <w:name w:val="List Table 5 Dark - Accent 6"/>
    <w:basedOn w:val="36"/>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88">
    <w:name w:val="清单表 6 彩色1"/>
    <w:basedOn w:val="36"/>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9">
    <w:name w:val="List Table 6 Colorful - Accent 1"/>
    <w:basedOn w:val="36"/>
    <w:qFormat/>
    <w:uiPriority w:val="99"/>
    <w:tblPr>
      <w:tblBorders>
        <w:top w:val="single" w:color="4874CB" w:themeColor="accent1" w:sz="4" w:space="0"/>
        <w:bottom w:val="single" w:color="4874CB" w:themeColor="accent1" w:sz="4" w:space="0"/>
      </w:tblBorders>
      <w:tblCellMar>
        <w:top w:w="0" w:type="dxa"/>
        <w:left w:w="108" w:type="dxa"/>
        <w:bottom w:w="0" w:type="dxa"/>
        <w:right w:w="108" w:type="dxa"/>
      </w:tblCellMar>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90">
    <w:name w:val="List Table 6 Colorful - Accent 2"/>
    <w:basedOn w:val="36"/>
    <w:qFormat/>
    <w:uiPriority w:val="99"/>
    <w:tblPr>
      <w:tblBorders>
        <w:top w:val="single" w:color="F4B483" w:themeColor="accent2" w:themeTint="97" w:sz="4" w:space="0"/>
        <w:bottom w:val="single" w:color="F4B483" w:themeColor="accent2" w:themeTint="97" w:sz="4" w:space="0"/>
      </w:tblBorders>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1">
    <w:name w:val="List Table 6 Colorful - Accent 3"/>
    <w:basedOn w:val="36"/>
    <w:qFormat/>
    <w:uiPriority w:val="99"/>
    <w:tblPr>
      <w:tblBorders>
        <w:top w:val="single" w:color="FDD961" w:themeColor="accent3" w:themeTint="98" w:sz="4" w:space="0"/>
        <w:bottom w:val="single" w:color="FDD961" w:themeColor="accent3" w:themeTint="98" w:sz="4" w:space="0"/>
      </w:tblBorders>
      <w:tblCellMar>
        <w:top w:w="0" w:type="dxa"/>
        <w:left w:w="108" w:type="dxa"/>
        <w:bottom w:w="0" w:type="dxa"/>
        <w:right w:w="108" w:type="dxa"/>
      </w:tblCellMar>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92">
    <w:name w:val="List Table 6 Colorful - Accent 4"/>
    <w:basedOn w:val="36"/>
    <w:qFormat/>
    <w:uiPriority w:val="99"/>
    <w:tblPr>
      <w:tblBorders>
        <w:top w:val="single" w:color="ABD78C" w:themeColor="accent4" w:themeTint="9A" w:sz="4" w:space="0"/>
        <w:bottom w:val="single" w:color="ABD78C" w:themeColor="accent4" w:themeTint="9A" w:sz="4" w:space="0"/>
      </w:tblBorders>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93">
    <w:name w:val="List Table 6 Colorful - Accent 5"/>
    <w:basedOn w:val="36"/>
    <w:qFormat/>
    <w:uiPriority w:val="99"/>
    <w:tblPr>
      <w:tblBorders>
        <w:top w:val="single" w:color="7CDED6" w:themeColor="accent5" w:themeTint="9A" w:sz="4" w:space="0"/>
        <w:bottom w:val="single" w:color="7CDED6" w:themeColor="accent5" w:themeTint="9A" w:sz="4" w:space="0"/>
      </w:tblBorders>
      <w:tblCellMar>
        <w:top w:w="0" w:type="dxa"/>
        <w:left w:w="108" w:type="dxa"/>
        <w:bottom w:w="0" w:type="dxa"/>
        <w:right w:w="108" w:type="dxa"/>
      </w:tblCellMar>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94">
    <w:name w:val="List Table 6 Colorful - Accent 6"/>
    <w:basedOn w:val="36"/>
    <w:qFormat/>
    <w:uiPriority w:val="99"/>
    <w:tblPr>
      <w:tblBorders>
        <w:top w:val="single" w:color="EF949F" w:themeColor="accent6" w:themeTint="98" w:sz="4" w:space="0"/>
        <w:bottom w:val="single" w:color="EF949F" w:themeColor="accent6" w:themeTint="98" w:sz="4" w:space="0"/>
      </w:tblBorders>
      <w:tblCellMar>
        <w:top w:w="0" w:type="dxa"/>
        <w:left w:w="108" w:type="dxa"/>
        <w:bottom w:w="0" w:type="dxa"/>
        <w:right w:w="108" w:type="dxa"/>
      </w:tblCellMar>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95">
    <w:name w:val="清单表 7 彩色1"/>
    <w:basedOn w:val="36"/>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6">
    <w:name w:val="List Table 7 Colorful - Accent 1"/>
    <w:basedOn w:val="36"/>
    <w:qFormat/>
    <w:uiPriority w:val="99"/>
    <w:tblPr>
      <w:tblBorders>
        <w:right w:val="single" w:color="4874CB" w:themeColor="accent1" w:sz="4" w:space="0"/>
      </w:tblBorders>
      <w:tblCellMar>
        <w:top w:w="0" w:type="dxa"/>
        <w:left w:w="108" w:type="dxa"/>
        <w:bottom w:w="0" w:type="dxa"/>
        <w:right w:w="108" w:type="dxa"/>
      </w:tblCellMar>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97">
    <w:name w:val="List Table 7 Colorful - Accent 2"/>
    <w:basedOn w:val="36"/>
    <w:qFormat/>
    <w:uiPriority w:val="99"/>
    <w:tblPr>
      <w:tblBorders>
        <w:right w:val="single" w:color="F4B483" w:themeColor="accent2" w:themeTint="97" w:sz="4" w:space="0"/>
      </w:tblBorders>
      <w:tblCellMar>
        <w:top w:w="0" w:type="dxa"/>
        <w:left w:w="108" w:type="dxa"/>
        <w:bottom w:w="0" w:type="dxa"/>
        <w:right w:w="108" w:type="dxa"/>
      </w:tblCellMar>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8">
    <w:name w:val="List Table 7 Colorful - Accent 3"/>
    <w:basedOn w:val="36"/>
    <w:qFormat/>
    <w:uiPriority w:val="99"/>
    <w:tblPr>
      <w:tblBorders>
        <w:right w:val="single" w:color="FDD961" w:themeColor="accent3" w:themeTint="98" w:sz="4" w:space="0"/>
      </w:tblBorders>
      <w:tblCellMar>
        <w:top w:w="0" w:type="dxa"/>
        <w:left w:w="108" w:type="dxa"/>
        <w:bottom w:w="0" w:type="dxa"/>
        <w:right w:w="108" w:type="dxa"/>
      </w:tblCellMar>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99">
    <w:name w:val="List Table 7 Colorful - Accent 4"/>
    <w:basedOn w:val="36"/>
    <w:qFormat/>
    <w:uiPriority w:val="99"/>
    <w:tblPr>
      <w:tblBorders>
        <w:right w:val="single" w:color="ABD78C" w:themeColor="accent4" w:themeTint="9A" w:sz="4" w:space="0"/>
      </w:tblBorders>
      <w:tblCellMar>
        <w:top w:w="0" w:type="dxa"/>
        <w:left w:w="108" w:type="dxa"/>
        <w:bottom w:w="0" w:type="dxa"/>
        <w:right w:w="108" w:type="dxa"/>
      </w:tblCellMar>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200">
    <w:name w:val="List Table 7 Colorful - Accent 5"/>
    <w:basedOn w:val="36"/>
    <w:qFormat/>
    <w:uiPriority w:val="99"/>
    <w:tblPr>
      <w:tblBorders>
        <w:right w:val="single" w:color="7CDED6" w:themeColor="accent5" w:themeTint="9A" w:sz="4" w:space="0"/>
      </w:tblBorders>
      <w:tblCellMar>
        <w:top w:w="0" w:type="dxa"/>
        <w:left w:w="108" w:type="dxa"/>
        <w:bottom w:w="0" w:type="dxa"/>
        <w:right w:w="108" w:type="dxa"/>
      </w:tblCellMar>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201">
    <w:name w:val="List Table 7 Colorful - Accent 6"/>
    <w:basedOn w:val="36"/>
    <w:qFormat/>
    <w:uiPriority w:val="99"/>
    <w:tblPr>
      <w:tblBorders>
        <w:right w:val="single" w:color="EF949F" w:themeColor="accent6" w:themeTint="98" w:sz="4" w:space="0"/>
      </w:tblBorders>
      <w:tblCellMar>
        <w:top w:w="0" w:type="dxa"/>
        <w:left w:w="108" w:type="dxa"/>
        <w:bottom w:w="0" w:type="dxa"/>
        <w:right w:w="108" w:type="dxa"/>
      </w:tblCellMar>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202">
    <w:name w:val="Lined - Accent"/>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Lined - Accent 1"/>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04">
    <w:name w:val="Lined - Accent 2"/>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05">
    <w:name w:val="Lined - Accent 3"/>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06">
    <w:name w:val="Lined - Accent 4"/>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07">
    <w:name w:val="Lined - Accent 5"/>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08">
    <w:name w:val="Lined - Accent 6"/>
    <w:basedOn w:val="3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09">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Bordered &amp; Lined - Accent 1"/>
    <w:basedOn w:val="36"/>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11">
    <w:name w:val="Bordered &amp; Lined - Accent 2"/>
    <w:basedOn w:val="36"/>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12">
    <w:name w:val="Bordered &amp; Lined - Accent 3"/>
    <w:basedOn w:val="36"/>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13">
    <w:name w:val="Bordered &amp; Lined - Accent 4"/>
    <w:basedOn w:val="36"/>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14">
    <w:name w:val="Bordered &amp; Lined - Accent 5"/>
    <w:basedOn w:val="36"/>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15">
    <w:name w:val="Bordered &amp; Lined - Accent 6"/>
    <w:basedOn w:val="36"/>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16">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7">
    <w:name w:val="Bordered - Accent 1"/>
    <w:basedOn w:val="36"/>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18">
    <w:name w:val="Bordered - Accent 2"/>
    <w:basedOn w:val="36"/>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19">
    <w:name w:val="Bordered - Accent 3"/>
    <w:basedOn w:val="36"/>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20">
    <w:name w:val="Bordered - Accent 4"/>
    <w:basedOn w:val="36"/>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21">
    <w:name w:val="Bordered - Accent 5"/>
    <w:basedOn w:val="36"/>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22">
    <w:name w:val="Bordered - Accent 6"/>
    <w:basedOn w:val="36"/>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23">
    <w:name w:val="脚注文本 Char"/>
    <w:link w:val="27"/>
    <w:qFormat/>
    <w:uiPriority w:val="99"/>
    <w:rPr>
      <w:sz w:val="18"/>
    </w:rPr>
  </w:style>
  <w:style w:type="character" w:customStyle="1" w:styleId="224">
    <w:name w:val="尾注文本 Char"/>
    <w:link w:val="21"/>
    <w:qFormat/>
    <w:uiPriority w:val="99"/>
    <w:rPr>
      <w:sz w:val="20"/>
    </w:rPr>
  </w:style>
  <w:style w:type="paragraph" w:customStyle="1" w:styleId="225">
    <w:name w:val="TOC 标题1"/>
    <w:unhideWhenUsed/>
    <w:qFormat/>
    <w:uiPriority w:val="39"/>
    <w:rPr>
      <w:rFonts w:hint="default" w:asciiTheme="minorHAnsi" w:hAnsiTheme="minorHAnsi" w:eastAsiaTheme="minorEastAsia" w:cstheme="minorBidi"/>
      <w:lang w:val="en-US" w:eastAsia="zh-CN" w:bidi="ar-SA"/>
    </w:rPr>
  </w:style>
  <w:style w:type="paragraph" w:customStyle="1" w:styleId="226">
    <w:name w:val="普通正文"/>
    <w:basedOn w:val="1"/>
    <w:qFormat/>
    <w:uiPriority w:val="0"/>
    <w:pPr>
      <w:spacing w:before="120" w:after="120" w:line="360" w:lineRule="auto"/>
      <w:ind w:firstLine="480"/>
      <w:jc w:val="left"/>
    </w:pPr>
    <w:rPr>
      <w:rFonts w:ascii="Arial" w:hAnsi="Arial"/>
      <w:sz w:val="24"/>
      <w:szCs w:val="24"/>
    </w:rPr>
  </w:style>
  <w:style w:type="paragraph" w:styleId="227">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28">
    <w:name w:val="一级目录"/>
    <w:next w:val="1"/>
    <w:qFormat/>
    <w:uiPriority w:val="0"/>
    <w:pPr>
      <w:jc w:val="center"/>
      <w:outlineLvl w:val="0"/>
    </w:pPr>
    <w:rPr>
      <w:rFonts w:hint="default" w:ascii="黑体" w:hAnsi="Times New Roman" w:eastAsia="黑体" w:cs="Times New Roman"/>
      <w:b/>
      <w:sz w:val="44"/>
      <w:szCs w:val="44"/>
      <w:lang w:val="en-US" w:eastAsia="zh-CN" w:bidi="ar-SA"/>
    </w:rPr>
  </w:style>
  <w:style w:type="paragraph" w:customStyle="1" w:styleId="229">
    <w:name w:val="二级目录"/>
    <w:next w:val="1"/>
    <w:qFormat/>
    <w:uiPriority w:val="0"/>
    <w:pPr>
      <w:numPr>
        <w:ilvl w:val="0"/>
        <w:numId w:val="1"/>
      </w:numPr>
      <w:tabs>
        <w:tab w:val="left" w:pos="1145"/>
      </w:tabs>
      <w:outlineLvl w:val="1"/>
    </w:pPr>
    <w:rPr>
      <w:rFonts w:hint="default" w:ascii="Times New Roman" w:hAnsi="Times New Roman" w:eastAsia="宋体" w:cs="Times New Roman"/>
      <w:b/>
      <w:sz w:val="30"/>
      <w:szCs w:val="28"/>
      <w:lang w:val="en-US" w:eastAsia="zh-CN" w:bidi="ar-SA"/>
    </w:rPr>
  </w:style>
  <w:style w:type="paragraph" w:customStyle="1" w:styleId="230">
    <w:name w:val="Table Paragraph"/>
    <w:basedOn w:val="1"/>
    <w:qFormat/>
    <w:uiPriority w:val="1"/>
    <w:rPr>
      <w:rFonts w:ascii="宋体" w:hAnsi="宋体" w:cs="宋体"/>
      <w:lang w:val="zh-CN" w:bidi="zh-CN"/>
    </w:rPr>
  </w:style>
  <w:style w:type="paragraph" w:customStyle="1" w:styleId="231">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232">
    <w:name w:val="正文文本11"/>
    <w:basedOn w:val="1"/>
    <w:next w:val="233"/>
    <w:qFormat/>
    <w:uiPriority w:val="0"/>
    <w:rPr>
      <w:rFonts w:ascii="楷体_GB2312" w:hAnsi="Arial" w:eastAsia="楷体_GB2312"/>
      <w:sz w:val="28"/>
      <w:szCs w:val="28"/>
    </w:rPr>
  </w:style>
  <w:style w:type="paragraph" w:customStyle="1" w:styleId="233">
    <w:name w:val="一级条标题"/>
    <w:basedOn w:val="234"/>
    <w:next w:val="23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34">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35">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character" w:customStyle="1" w:styleId="236">
    <w:name w:val="font51"/>
    <w:basedOn w:val="38"/>
    <w:qFormat/>
    <w:uiPriority w:val="0"/>
    <w:rPr>
      <w:rFonts w:hint="eastAsia" w:ascii="宋体" w:hAnsi="宋体" w:eastAsia="宋体" w:cs="宋体"/>
      <w:b/>
      <w:bCs/>
      <w:color w:val="000000"/>
      <w:sz w:val="40"/>
      <w:szCs w:val="40"/>
      <w:u w:val="none"/>
    </w:rPr>
  </w:style>
  <w:style w:type="paragraph" w:customStyle="1" w:styleId="237">
    <w:name w:val="正文缩进1"/>
    <w:basedOn w:val="1"/>
    <w:qFormat/>
    <w:uiPriority w:val="99"/>
    <w:pPr>
      <w:jc w:val="left"/>
    </w:pPr>
    <w:rPr>
      <w:sz w:val="24"/>
    </w:rPr>
  </w:style>
  <w:style w:type="paragraph" w:customStyle="1" w:styleId="238">
    <w:name w:val="BodyText"/>
    <w:basedOn w:val="1"/>
    <w:qFormat/>
    <w:uiPriority w:val="0"/>
    <w:pPr>
      <w:spacing w:after="60" w:line="360" w:lineRule="atLeast"/>
      <w:ind w:left="72" w:right="30"/>
      <w:jc w:val="center"/>
    </w:pPr>
  </w:style>
  <w:style w:type="table" w:customStyle="1" w:styleId="239">
    <w:name w:val="网格型1"/>
    <w:basedOn w:val="36"/>
    <w:qFormat/>
    <w:uiPriority w:val="3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40">
    <w:name w:val="页脚 Char"/>
    <w:basedOn w:val="38"/>
    <w:link w:val="22"/>
    <w:qFormat/>
    <w:uiPriority w:val="99"/>
    <w:rPr>
      <w:rFonts w:ascii="Times New Roman" w:hAnsi="Times New Roman" w:eastAsia="宋体" w:cs="Times New Roman"/>
      <w:sz w:val="18"/>
      <w:szCs w:val="18"/>
    </w:rPr>
  </w:style>
  <w:style w:type="character" w:customStyle="1" w:styleId="241">
    <w:name w:val="font21"/>
    <w:basedOn w:val="38"/>
    <w:qFormat/>
    <w:uiPriority w:val="0"/>
    <w:rPr>
      <w:rFonts w:hint="eastAsia" w:ascii="宋体" w:hAnsi="宋体" w:eastAsia="宋体" w:cs="宋体"/>
      <w:color w:val="000000"/>
      <w:sz w:val="24"/>
      <w:szCs w:val="24"/>
      <w:u w:val="none"/>
    </w:rPr>
  </w:style>
  <w:style w:type="character" w:customStyle="1" w:styleId="242">
    <w:name w:val="active16"/>
    <w:basedOn w:val="38"/>
    <w:qFormat/>
    <w:uiPriority w:val="0"/>
    <w:rPr>
      <w:color w:val="FFFFFF"/>
      <w:bdr w:val="single" w:color="0F5BB9" w:sz="4" w:space="0"/>
      <w:shd w:val="clear" w:fill="0F5BB9"/>
    </w:rPr>
  </w:style>
  <w:style w:type="paragraph" w:customStyle="1" w:styleId="243">
    <w:name w:val="正文1"/>
    <w:next w:val="244"/>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244">
    <w:name w:val="正文文本1"/>
    <w:basedOn w:val="1"/>
    <w:next w:val="233"/>
    <w:qFormat/>
    <w:uiPriority w:val="0"/>
    <w:rPr>
      <w:sz w:val="24"/>
      <w:szCs w:val="24"/>
    </w:rPr>
  </w:style>
  <w:style w:type="character" w:customStyle="1" w:styleId="245">
    <w:name w:val="font41"/>
    <w:basedOn w:val="38"/>
    <w:qFormat/>
    <w:uiPriority w:val="0"/>
    <w:rPr>
      <w:rFonts w:hint="eastAsia" w:ascii="宋体" w:hAnsi="宋体" w:eastAsia="宋体" w:cs="宋体"/>
      <w:color w:val="000000"/>
      <w:sz w:val="18"/>
      <w:szCs w:val="18"/>
      <w:u w:val="none"/>
    </w:rPr>
  </w:style>
  <w:style w:type="character" w:customStyle="1" w:styleId="246">
    <w:name w:val="font61"/>
    <w:basedOn w:val="38"/>
    <w:qFormat/>
    <w:uiPriority w:val="0"/>
    <w:rPr>
      <w:rFonts w:ascii="宋体" w:hAnsi="宋体" w:eastAsia="宋体" w:cs="宋体"/>
      <w:color w:val="000000"/>
      <w:sz w:val="18"/>
      <w:szCs w:val="18"/>
      <w:u w:val="none"/>
    </w:rPr>
  </w:style>
  <w:style w:type="character" w:customStyle="1" w:styleId="247">
    <w:name w:val="font71"/>
    <w:basedOn w:val="38"/>
    <w:qFormat/>
    <w:uiPriority w:val="0"/>
    <w:rPr>
      <w:rFonts w:hint="eastAsia" w:ascii="宋体" w:hAnsi="宋体" w:eastAsia="宋体" w:cs="宋体"/>
      <w:color w:val="FF0000"/>
      <w:sz w:val="18"/>
      <w:szCs w:val="18"/>
      <w:u w:val="none"/>
    </w:rPr>
  </w:style>
  <w:style w:type="paragraph" w:customStyle="1" w:styleId="248">
    <w:name w:val="纯文本11"/>
    <w:qFormat/>
    <w:uiPriority w:val="0"/>
    <w:pPr>
      <w:widowControl w:val="0"/>
      <w:jc w:val="both"/>
    </w:pPr>
    <w:rPr>
      <w:rFonts w:hint="eastAsia" w:ascii="宋体" w:hAnsi="宋体" w:eastAsia="楷体_GB2312" w:cs="Times New Roman"/>
      <w:kern w:val="1"/>
      <w:sz w:val="28"/>
      <w:lang w:val="en-US" w:eastAsia="zh-CN" w:bidi="ar-SA"/>
    </w:rPr>
  </w:style>
  <w:style w:type="character" w:customStyle="1" w:styleId="249">
    <w:name w:val="font11"/>
    <w:basedOn w:val="38"/>
    <w:qFormat/>
    <w:uiPriority w:val="0"/>
    <w:rPr>
      <w:rFonts w:hint="eastAsia" w:ascii="宋体" w:hAnsi="宋体" w:eastAsia="宋体" w:cs="宋体"/>
      <w:color w:val="000000"/>
      <w:sz w:val="20"/>
      <w:szCs w:val="20"/>
      <w:u w:val="none"/>
    </w:rPr>
  </w:style>
  <w:style w:type="character" w:customStyle="1" w:styleId="250">
    <w:name w:val="font81"/>
    <w:basedOn w:val="38"/>
    <w:qFormat/>
    <w:uiPriority w:val="0"/>
    <w:rPr>
      <w:rFonts w:hint="eastAsia" w:ascii="宋体" w:hAnsi="宋体" w:eastAsia="宋体" w:cs="宋体"/>
      <w:b/>
      <w:bCs/>
      <w:color w:val="000000"/>
      <w:sz w:val="20"/>
      <w:szCs w:val="20"/>
      <w:u w:val="none"/>
    </w:rPr>
  </w:style>
  <w:style w:type="character" w:customStyle="1" w:styleId="251">
    <w:name w:val="font91"/>
    <w:basedOn w:val="38"/>
    <w:qFormat/>
    <w:uiPriority w:val="0"/>
    <w:rPr>
      <w:rFonts w:hint="eastAsia" w:ascii="宋体" w:hAnsi="宋体" w:eastAsia="宋体" w:cs="宋体"/>
      <w:color w:val="FF0000"/>
      <w:sz w:val="18"/>
      <w:szCs w:val="18"/>
      <w:u w:val="none"/>
    </w:rPr>
  </w:style>
  <w:style w:type="character" w:customStyle="1" w:styleId="252">
    <w:name w:val="font31"/>
    <w:basedOn w:val="38"/>
    <w:qFormat/>
    <w:uiPriority w:val="0"/>
    <w:rPr>
      <w:rFonts w:hint="eastAsia" w:ascii="宋体" w:hAnsi="宋体" w:eastAsia="宋体" w:cs="宋体"/>
      <w:color w:val="FF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55</Pages>
  <Words>20052</Words>
  <Characters>21200</Characters>
  <TotalTime>0</TotalTime>
  <ScaleCrop>false</ScaleCrop>
  <LinksUpToDate>false</LinksUpToDate>
  <CharactersWithSpaces>21723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user</dc:creator>
  <cp:lastModifiedBy>KomineC</cp:lastModifiedBy>
  <dcterms:modified xsi:type="dcterms:W3CDTF">2025-03-13T02:28:38Z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2F14B43429A54C46BC650739957DAAAE_13</vt:lpwstr>
  </property>
  <property fmtid="{D5CDD505-2E9C-101B-9397-08002B2CF9AE}" pid="4" name="KSOTemplateDocerSaveRecord">
    <vt:lpwstr>eyJoZGlkIjoiYWFlYTE5ODU3MGE0Y2Y4ZmQ0NWUyZTlmNWYwNTNlOWQiLCJ1c2VySWQiOiI0ODEyMDkyMTMifQ==</vt:lpwstr>
  </property>
</Properties>
</file>