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Cs/>
          <w:spacing w:val="20"/>
          <w:sz w:val="44"/>
          <w:highlight w:val="none"/>
        </w:rPr>
      </w:pPr>
      <w:r>
        <w:rPr>
          <w:rFonts w:hint="eastAsia" w:ascii="宋体" w:hAnsi="宋体"/>
          <w:bCs/>
          <w:spacing w:val="20"/>
          <w:sz w:val="44"/>
          <w:highlight w:val="none"/>
        </w:rPr>
        <w:t xml:space="preserve"> </w:t>
      </w:r>
    </w:p>
    <w:p>
      <w:pPr>
        <w:spacing w:line="500" w:lineRule="exact"/>
        <w:jc w:val="center"/>
        <w:rPr>
          <w:rFonts w:hint="eastAsia" w:ascii="宋体" w:hAnsi="宋体" w:cs="宋体"/>
          <w:b/>
          <w:bCs/>
          <w:spacing w:val="20"/>
          <w:sz w:val="44"/>
          <w:szCs w:val="44"/>
          <w:highlight w:val="none"/>
        </w:rPr>
      </w:pPr>
    </w:p>
    <w:p>
      <w:pPr>
        <w:spacing w:line="360" w:lineRule="auto"/>
        <w:jc w:val="center"/>
        <w:rPr>
          <w:rFonts w:hint="eastAsia" w:ascii="宋体" w:hAnsi="宋体" w:cs="宋体"/>
          <w:b/>
          <w:bCs/>
          <w:sz w:val="36"/>
          <w:szCs w:val="36"/>
        </w:rPr>
      </w:pPr>
      <w:bookmarkStart w:id="0" w:name="OLE_LINK1"/>
      <w:r>
        <w:rPr>
          <w:rFonts w:hint="eastAsia" w:ascii="宋体" w:hAnsi="宋体" w:cs="宋体"/>
          <w:b/>
          <w:bCs/>
          <w:sz w:val="36"/>
          <w:szCs w:val="36"/>
        </w:rPr>
        <w:t>通州湾滨海新区和高新技术产业园围填海生态修复</w:t>
      </w:r>
    </w:p>
    <w:p>
      <w:pPr>
        <w:spacing w:line="360" w:lineRule="auto"/>
        <w:jc w:val="center"/>
        <w:rPr>
          <w:rFonts w:hint="eastAsia" w:ascii="宋体"/>
          <w:b/>
          <w:bCs/>
          <w:sz w:val="36"/>
          <w:szCs w:val="36"/>
        </w:rPr>
      </w:pPr>
      <w:r>
        <w:rPr>
          <w:rFonts w:hint="eastAsia" w:ascii="宋体" w:hAnsi="宋体" w:cs="宋体"/>
          <w:b/>
          <w:bCs/>
          <w:sz w:val="36"/>
          <w:szCs w:val="36"/>
        </w:rPr>
        <w:t>水生生物资源2024年增殖放流项目</w:t>
      </w:r>
    </w:p>
    <w:bookmarkEnd w:id="0"/>
    <w:p>
      <w:pPr>
        <w:spacing w:line="500" w:lineRule="exact"/>
        <w:jc w:val="center"/>
        <w:rPr>
          <w:rFonts w:hint="eastAsia" w:ascii="宋体" w:hAnsi="宋体" w:cs="___WRD_EMBED_SUB_347"/>
          <w:b/>
          <w:bCs/>
          <w:spacing w:val="20"/>
          <w:sz w:val="48"/>
          <w:szCs w:val="48"/>
          <w:highlight w:val="none"/>
        </w:rPr>
      </w:pPr>
    </w:p>
    <w:p>
      <w:pPr>
        <w:spacing w:line="500" w:lineRule="exact"/>
        <w:jc w:val="center"/>
        <w:rPr>
          <w:rFonts w:hint="eastAsia" w:ascii="宋体" w:hAnsi="宋体" w:cs="___WRD_EMBED_SUB_347"/>
          <w:b/>
          <w:bCs/>
          <w:spacing w:val="20"/>
          <w:sz w:val="48"/>
          <w:szCs w:val="48"/>
          <w:highlight w:val="none"/>
        </w:rPr>
      </w:pPr>
    </w:p>
    <w:p>
      <w:pPr>
        <w:spacing w:line="500" w:lineRule="exact"/>
        <w:jc w:val="center"/>
        <w:rPr>
          <w:rFonts w:hint="eastAsia" w:ascii="宋体" w:hAnsi="宋体"/>
          <w:b/>
          <w:bCs/>
          <w:spacing w:val="20"/>
          <w:sz w:val="48"/>
          <w:szCs w:val="48"/>
          <w:highlight w:val="none"/>
        </w:rPr>
      </w:pPr>
    </w:p>
    <w:p>
      <w:pPr>
        <w:pStyle w:val="2"/>
        <w:rPr>
          <w:rFonts w:hint="eastAsia"/>
        </w:rPr>
      </w:pPr>
    </w:p>
    <w:p>
      <w:pPr>
        <w:jc w:val="center"/>
        <w:rPr>
          <w:rFonts w:hint="eastAsia" w:ascii="宋体" w:hAnsi="宋体"/>
          <w:bCs/>
          <w:sz w:val="100"/>
          <w:szCs w:val="100"/>
          <w:highlight w:val="none"/>
        </w:rPr>
      </w:pPr>
      <w:r>
        <w:rPr>
          <w:rFonts w:hint="eastAsia" w:ascii="宋体" w:hAnsi="宋体"/>
          <w:bCs/>
          <w:sz w:val="100"/>
          <w:szCs w:val="100"/>
          <w:highlight w:val="none"/>
        </w:rPr>
        <w:t>招标文件</w:t>
      </w:r>
    </w:p>
    <w:p>
      <w:pPr>
        <w:pStyle w:val="191"/>
        <w:spacing w:line="500" w:lineRule="exact"/>
        <w:rPr>
          <w:rFonts w:hint="eastAsia" w:ascii="宋体" w:hAnsi="宋体"/>
          <w:b w:val="0"/>
          <w:bCs/>
          <w:highlight w:val="none"/>
        </w:rPr>
      </w:pPr>
    </w:p>
    <w:p>
      <w:pPr>
        <w:pStyle w:val="191"/>
        <w:spacing w:line="500" w:lineRule="exact"/>
        <w:rPr>
          <w:rFonts w:hint="eastAsia" w:ascii="宋体" w:hAnsi="宋体" w:eastAsia="宋体"/>
          <w:b w:val="0"/>
          <w:bCs/>
          <w:sz w:val="36"/>
          <w:szCs w:val="36"/>
          <w:highlight w:val="none"/>
          <w:lang w:val="en-US" w:eastAsia="zh-CN"/>
        </w:rPr>
      </w:pPr>
      <w:r>
        <w:rPr>
          <w:rFonts w:hint="eastAsia" w:ascii="宋体" w:hAnsi="宋体"/>
          <w:b w:val="0"/>
          <w:bCs/>
          <w:sz w:val="36"/>
          <w:szCs w:val="36"/>
          <w:highlight w:val="none"/>
        </w:rPr>
        <w:t>项目编号：</w:t>
      </w:r>
      <w:r>
        <w:rPr>
          <w:rFonts w:hint="eastAsia" w:ascii="宋体" w:hAnsi="宋体"/>
          <w:b w:val="0"/>
          <w:bCs/>
          <w:sz w:val="36"/>
          <w:szCs w:val="36"/>
          <w:highlight w:val="none"/>
          <w:lang w:val="en-US" w:eastAsia="zh-CN"/>
        </w:rPr>
        <w:t xml:space="preserve">JSZC-320692-JSAF-G2024-0002 </w:t>
      </w:r>
    </w:p>
    <w:p>
      <w:pPr>
        <w:spacing w:line="500" w:lineRule="exact"/>
        <w:jc w:val="center"/>
        <w:rPr>
          <w:rFonts w:hint="eastAsia" w:ascii="宋体" w:hAnsi="宋体"/>
          <w:b/>
          <w:sz w:val="36"/>
          <w:highlight w:val="none"/>
        </w:rPr>
      </w:pPr>
    </w:p>
    <w:p>
      <w:pPr>
        <w:spacing w:line="500" w:lineRule="exact"/>
        <w:jc w:val="center"/>
        <w:rPr>
          <w:rFonts w:hint="eastAsia" w:ascii="宋体" w:hAnsi="宋体"/>
          <w:b/>
          <w:sz w:val="36"/>
          <w:highlight w:val="none"/>
        </w:rPr>
      </w:pPr>
    </w:p>
    <w:p>
      <w:pPr>
        <w:spacing w:line="500" w:lineRule="exact"/>
        <w:rPr>
          <w:rFonts w:hint="eastAsia" w:ascii="宋体" w:hAnsi="宋体"/>
          <w:sz w:val="32"/>
          <w:highlight w:val="none"/>
        </w:rPr>
      </w:pPr>
    </w:p>
    <w:p>
      <w:pPr>
        <w:spacing w:line="500" w:lineRule="exact"/>
        <w:rPr>
          <w:rFonts w:hint="eastAsia" w:ascii="宋体" w:hAnsi="宋体"/>
          <w:sz w:val="32"/>
          <w:highlight w:val="none"/>
        </w:rPr>
      </w:pPr>
    </w:p>
    <w:p>
      <w:pPr>
        <w:spacing w:line="500" w:lineRule="exact"/>
        <w:rPr>
          <w:rFonts w:hint="eastAsia" w:ascii="宋体" w:hAnsi="宋体"/>
          <w:sz w:val="32"/>
          <w:highlight w:val="none"/>
        </w:rPr>
      </w:pPr>
    </w:p>
    <w:p>
      <w:pPr>
        <w:spacing w:line="500" w:lineRule="exact"/>
        <w:rPr>
          <w:rFonts w:hint="eastAsia" w:ascii="宋体" w:hAnsi="宋体"/>
          <w:sz w:val="32"/>
          <w:highlight w:val="none"/>
        </w:rPr>
      </w:pPr>
    </w:p>
    <w:p>
      <w:pPr>
        <w:spacing w:line="500" w:lineRule="exact"/>
        <w:rPr>
          <w:rFonts w:hint="eastAsia" w:ascii="宋体" w:hAnsi="宋体"/>
          <w:sz w:val="32"/>
          <w:highlight w:val="none"/>
        </w:rPr>
      </w:pPr>
    </w:p>
    <w:p>
      <w:pPr>
        <w:spacing w:line="500" w:lineRule="exact"/>
        <w:rPr>
          <w:rFonts w:hint="eastAsia" w:ascii="宋体" w:hAnsi="宋体"/>
          <w:sz w:val="32"/>
          <w:highlight w:val="none"/>
        </w:rPr>
      </w:pPr>
    </w:p>
    <w:p>
      <w:pPr>
        <w:spacing w:line="360" w:lineRule="auto"/>
        <w:jc w:val="both"/>
        <w:rPr>
          <w:rFonts w:hint="eastAsia" w:ascii="宋体" w:hAnsi="宋体"/>
          <w:sz w:val="32"/>
          <w:highlight w:val="none"/>
        </w:rPr>
      </w:pPr>
    </w:p>
    <w:p>
      <w:pPr>
        <w:spacing w:line="360" w:lineRule="auto"/>
        <w:jc w:val="center"/>
        <w:rPr>
          <w:rFonts w:hint="eastAsia" w:ascii="宋体" w:hAnsi="宋体" w:cs="宋体"/>
          <w:b/>
          <w:bCs/>
          <w:sz w:val="36"/>
          <w:szCs w:val="36"/>
        </w:rPr>
      </w:pPr>
      <w:r>
        <w:rPr>
          <w:rFonts w:hint="eastAsia" w:ascii="宋体" w:hAnsi="宋体" w:cs="宋体"/>
          <w:b/>
          <w:bCs/>
          <w:sz w:val="36"/>
          <w:szCs w:val="36"/>
        </w:rPr>
        <w:t>采购人：通州湾示范区海洋与渔业局</w:t>
      </w:r>
    </w:p>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rPr>
        <w:t>代理机构：江苏</w:t>
      </w:r>
      <w:r>
        <w:rPr>
          <w:rFonts w:hint="eastAsia" w:ascii="宋体" w:hAnsi="宋体" w:cs="宋体"/>
          <w:b/>
          <w:bCs/>
          <w:sz w:val="36"/>
          <w:szCs w:val="36"/>
          <w:lang w:eastAsia="zh-CN"/>
        </w:rPr>
        <w:t>奥峰工程项目管理有限公司</w:t>
      </w:r>
    </w:p>
    <w:p>
      <w:pPr>
        <w:spacing w:line="360" w:lineRule="auto"/>
        <w:jc w:val="center"/>
        <w:rPr>
          <w:rFonts w:hint="eastAsia" w:ascii="宋体" w:hAnsi="宋体" w:cs="宋体"/>
          <w:b/>
          <w:bCs/>
          <w:sz w:val="36"/>
          <w:szCs w:val="36"/>
        </w:rPr>
      </w:pPr>
      <w:r>
        <w:rPr>
          <w:rFonts w:hint="eastAsia" w:ascii="宋体" w:hAnsi="宋体" w:cs="宋体"/>
          <w:b/>
          <w:bCs/>
          <w:sz w:val="36"/>
          <w:szCs w:val="36"/>
        </w:rPr>
        <w:t>二○二四年</w:t>
      </w:r>
      <w:r>
        <w:rPr>
          <w:rFonts w:hint="eastAsia" w:ascii="宋体" w:hAnsi="宋体" w:cs="宋体"/>
          <w:b/>
          <w:bCs/>
          <w:sz w:val="36"/>
          <w:szCs w:val="36"/>
          <w:lang w:eastAsia="zh-CN"/>
        </w:rPr>
        <w:t>五</w:t>
      </w:r>
      <w:r>
        <w:rPr>
          <w:rFonts w:hint="eastAsia" w:ascii="宋体" w:hAnsi="宋体" w:cs="宋体"/>
          <w:b/>
          <w:bCs/>
          <w:sz w:val="36"/>
          <w:szCs w:val="36"/>
        </w:rPr>
        <w:t>月</w:t>
      </w:r>
    </w:p>
    <w:p>
      <w:pPr>
        <w:spacing w:line="360" w:lineRule="auto"/>
        <w:jc w:val="center"/>
        <w:rPr>
          <w:rFonts w:hint="eastAsia" w:ascii="宋体" w:hAnsi="宋体"/>
          <w:sz w:val="44"/>
          <w:szCs w:val="44"/>
          <w:highlight w:val="none"/>
        </w:rPr>
      </w:pPr>
    </w:p>
    <w:p>
      <w:pPr>
        <w:spacing w:line="360" w:lineRule="auto"/>
        <w:jc w:val="center"/>
        <w:rPr>
          <w:rFonts w:ascii="宋体" w:hAnsi="宋体"/>
          <w:sz w:val="32"/>
          <w:szCs w:val="32"/>
          <w:highlight w:val="none"/>
        </w:rPr>
      </w:pPr>
      <w:r>
        <w:rPr>
          <w:rFonts w:hint="eastAsia" w:ascii="宋体" w:hAnsi="宋体"/>
          <w:sz w:val="44"/>
          <w:szCs w:val="44"/>
          <w:highlight w:val="none"/>
        </w:rPr>
        <w:t>目 录</w:t>
      </w:r>
    </w:p>
    <w:p>
      <w:pPr>
        <w:spacing w:line="360" w:lineRule="auto"/>
        <w:jc w:val="center"/>
        <w:rPr>
          <w:rFonts w:hint="eastAsia" w:ascii="宋体" w:hAnsi="宋体"/>
          <w:sz w:val="32"/>
          <w:szCs w:val="32"/>
          <w:highlight w:val="none"/>
        </w:rPr>
      </w:pPr>
    </w:p>
    <w:p>
      <w:pPr>
        <w:tabs>
          <w:tab w:val="left" w:pos="7740"/>
        </w:tabs>
        <w:spacing w:line="360" w:lineRule="auto"/>
        <w:ind w:firstLine="640"/>
        <w:rPr>
          <w:rFonts w:hint="eastAsia" w:ascii="宋体" w:hAnsi="宋体"/>
          <w:spacing w:val="2"/>
          <w:sz w:val="32"/>
          <w:szCs w:val="32"/>
          <w:highlight w:val="none"/>
        </w:rPr>
      </w:pPr>
      <w:r>
        <w:rPr>
          <w:rFonts w:hint="eastAsia" w:ascii="宋体" w:hAnsi="宋体"/>
          <w:bCs/>
          <w:sz w:val="32"/>
          <w:szCs w:val="32"/>
          <w:highlight w:val="none"/>
        </w:rPr>
        <w:t>第一部分  投标邀请</w:t>
      </w:r>
    </w:p>
    <w:p>
      <w:pPr>
        <w:tabs>
          <w:tab w:val="left" w:pos="7740"/>
        </w:tabs>
        <w:spacing w:line="360" w:lineRule="auto"/>
        <w:ind w:firstLine="640"/>
        <w:rPr>
          <w:rFonts w:hint="eastAsia" w:ascii="宋体" w:hAnsi="宋体"/>
          <w:spacing w:val="2"/>
          <w:sz w:val="32"/>
          <w:szCs w:val="32"/>
          <w:highlight w:val="none"/>
        </w:rPr>
      </w:pPr>
      <w:r>
        <w:rPr>
          <w:rFonts w:hint="eastAsia" w:ascii="宋体" w:hAnsi="宋体"/>
          <w:bCs/>
          <w:sz w:val="32"/>
          <w:szCs w:val="32"/>
          <w:highlight w:val="none"/>
        </w:rPr>
        <w:t>第二部分  投标须知</w:t>
      </w:r>
    </w:p>
    <w:p>
      <w:pPr>
        <w:tabs>
          <w:tab w:val="left" w:pos="7740"/>
        </w:tabs>
        <w:spacing w:line="360" w:lineRule="auto"/>
        <w:ind w:firstLine="640"/>
        <w:rPr>
          <w:rFonts w:hint="eastAsia" w:ascii="宋体" w:hAnsi="宋体"/>
          <w:spacing w:val="2"/>
          <w:sz w:val="32"/>
          <w:szCs w:val="32"/>
          <w:highlight w:val="none"/>
        </w:rPr>
      </w:pPr>
      <w:r>
        <w:rPr>
          <w:rFonts w:hint="eastAsia" w:ascii="宋体" w:hAnsi="宋体"/>
          <w:bCs/>
          <w:sz w:val="32"/>
          <w:szCs w:val="32"/>
          <w:highlight w:val="none"/>
        </w:rPr>
        <w:t>第三部分  项目需求</w:t>
      </w:r>
    </w:p>
    <w:p>
      <w:pPr>
        <w:tabs>
          <w:tab w:val="left" w:pos="7740"/>
        </w:tabs>
        <w:spacing w:line="360" w:lineRule="auto"/>
        <w:ind w:firstLine="640"/>
        <w:rPr>
          <w:rFonts w:ascii="宋体" w:hAnsi="宋体"/>
          <w:sz w:val="32"/>
          <w:szCs w:val="32"/>
          <w:highlight w:val="none"/>
        </w:rPr>
      </w:pPr>
      <w:r>
        <w:rPr>
          <w:rFonts w:hint="eastAsia" w:ascii="宋体" w:hAnsi="宋体"/>
          <w:sz w:val="32"/>
          <w:szCs w:val="32"/>
          <w:highlight w:val="none"/>
        </w:rPr>
        <w:t>第四部分  合同条款及格式</w:t>
      </w:r>
    </w:p>
    <w:p>
      <w:pPr>
        <w:tabs>
          <w:tab w:val="left" w:pos="7740"/>
        </w:tabs>
        <w:spacing w:line="360" w:lineRule="auto"/>
        <w:ind w:firstLine="640"/>
        <w:rPr>
          <w:rFonts w:hint="eastAsia" w:ascii="宋体" w:hAnsi="宋体"/>
          <w:spacing w:val="2"/>
          <w:sz w:val="32"/>
          <w:szCs w:val="32"/>
          <w:highlight w:val="none"/>
        </w:rPr>
      </w:pPr>
      <w:r>
        <w:rPr>
          <w:rFonts w:hint="eastAsia" w:ascii="宋体" w:hAnsi="宋体"/>
          <w:sz w:val="32"/>
          <w:szCs w:val="32"/>
          <w:highlight w:val="none"/>
        </w:rPr>
        <w:t xml:space="preserve">第五部分  </w:t>
      </w:r>
      <w:r>
        <w:rPr>
          <w:rFonts w:hint="eastAsia" w:ascii="宋体" w:hAnsi="宋体"/>
          <w:bCs/>
          <w:sz w:val="32"/>
          <w:szCs w:val="32"/>
          <w:highlight w:val="none"/>
        </w:rPr>
        <w:t>开标和评标</w:t>
      </w:r>
    </w:p>
    <w:p>
      <w:pPr>
        <w:tabs>
          <w:tab w:val="left" w:pos="7740"/>
        </w:tabs>
        <w:spacing w:line="360" w:lineRule="auto"/>
        <w:ind w:firstLine="640"/>
        <w:rPr>
          <w:rFonts w:ascii="宋体" w:hAnsi="宋体"/>
          <w:spacing w:val="2"/>
          <w:sz w:val="32"/>
          <w:szCs w:val="32"/>
          <w:highlight w:val="none"/>
        </w:rPr>
      </w:pPr>
      <w:r>
        <w:rPr>
          <w:rFonts w:hint="eastAsia" w:ascii="宋体" w:hAnsi="宋体"/>
          <w:bCs/>
          <w:sz w:val="32"/>
          <w:szCs w:val="32"/>
          <w:highlight w:val="none"/>
        </w:rPr>
        <w:t>第六部分  投标文件格式</w:t>
      </w:r>
    </w:p>
    <w:p>
      <w:pPr>
        <w:spacing w:line="500" w:lineRule="exact"/>
        <w:rPr>
          <w:rFonts w:hint="eastAsia" w:ascii="宋体" w:hAnsi="宋体"/>
          <w:b/>
          <w:sz w:val="32"/>
          <w:szCs w:val="32"/>
          <w:highlight w:val="none"/>
        </w:rPr>
      </w:pPr>
    </w:p>
    <w:p>
      <w:pPr>
        <w:tabs>
          <w:tab w:val="left" w:pos="7740"/>
        </w:tabs>
        <w:spacing w:line="500" w:lineRule="exact"/>
        <w:rPr>
          <w:rFonts w:hint="eastAsia" w:ascii="宋体" w:hAnsi="宋体"/>
          <w:b/>
          <w:spacing w:val="2"/>
          <w:sz w:val="32"/>
          <w:szCs w:val="32"/>
          <w:highlight w:val="none"/>
        </w:rPr>
      </w:pPr>
    </w:p>
    <w:p>
      <w:pPr>
        <w:tabs>
          <w:tab w:val="left" w:pos="7740"/>
        </w:tabs>
        <w:spacing w:line="500" w:lineRule="exact"/>
        <w:rPr>
          <w:rFonts w:hint="eastAsia" w:ascii="宋体" w:hAnsi="宋体"/>
          <w:b/>
          <w:spacing w:val="2"/>
          <w:sz w:val="32"/>
          <w:szCs w:val="32"/>
          <w:highlight w:val="none"/>
        </w:rPr>
      </w:pPr>
    </w:p>
    <w:p>
      <w:pPr>
        <w:tabs>
          <w:tab w:val="left" w:pos="7740"/>
        </w:tabs>
        <w:spacing w:line="500" w:lineRule="exact"/>
        <w:rPr>
          <w:rFonts w:hint="eastAsia" w:ascii="宋体" w:hAnsi="宋体"/>
          <w:b/>
          <w:bCs/>
          <w:sz w:val="32"/>
          <w:szCs w:val="32"/>
          <w:highlight w:val="none"/>
        </w:rPr>
      </w:pPr>
    </w:p>
    <w:p>
      <w:pPr>
        <w:spacing w:line="500" w:lineRule="exact"/>
        <w:outlineLvl w:val="0"/>
        <w:rPr>
          <w:rFonts w:hint="eastAsia" w:ascii="宋体" w:hAnsi="宋体"/>
          <w:b/>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hint="eastAsia" w:ascii="宋体" w:hAnsi="宋体"/>
          <w:sz w:val="44"/>
          <w:szCs w:val="44"/>
          <w:highlight w:val="none"/>
        </w:rPr>
      </w:pPr>
    </w:p>
    <w:p>
      <w:pPr>
        <w:spacing w:line="500" w:lineRule="exact"/>
        <w:outlineLvl w:val="0"/>
        <w:rPr>
          <w:rFonts w:ascii="宋体" w:hAnsi="宋体"/>
          <w:sz w:val="44"/>
          <w:szCs w:val="44"/>
          <w:highlight w:val="none"/>
        </w:rPr>
      </w:pPr>
    </w:p>
    <w:p>
      <w:pPr>
        <w:spacing w:line="500" w:lineRule="exact"/>
        <w:jc w:val="center"/>
        <w:outlineLvl w:val="0"/>
        <w:rPr>
          <w:rFonts w:hint="eastAsia" w:ascii="宋体" w:hAnsi="宋体"/>
          <w:bCs/>
          <w:sz w:val="36"/>
          <w:szCs w:val="36"/>
          <w:highlight w:val="none"/>
        </w:rPr>
      </w:pPr>
    </w:p>
    <w:p>
      <w:pPr>
        <w:spacing w:line="500" w:lineRule="exact"/>
        <w:jc w:val="center"/>
        <w:outlineLvl w:val="0"/>
        <w:rPr>
          <w:rFonts w:hint="eastAsia" w:ascii="宋体" w:hAnsi="宋体"/>
          <w:bCs/>
          <w:sz w:val="36"/>
          <w:szCs w:val="36"/>
          <w:highlight w:val="none"/>
        </w:rPr>
      </w:pPr>
    </w:p>
    <w:p>
      <w:pPr>
        <w:spacing w:line="500" w:lineRule="exact"/>
        <w:jc w:val="center"/>
        <w:outlineLvl w:val="0"/>
        <w:rPr>
          <w:rFonts w:hint="eastAsia" w:ascii="宋体" w:hAnsi="宋体"/>
          <w:bCs/>
          <w:sz w:val="36"/>
          <w:szCs w:val="36"/>
          <w:highlight w:val="none"/>
        </w:rPr>
      </w:pPr>
    </w:p>
    <w:p>
      <w:pPr>
        <w:spacing w:before="120" w:after="120" w:line="360" w:lineRule="auto"/>
        <w:jc w:val="center"/>
        <w:outlineLvl w:val="0"/>
        <w:rPr>
          <w:rFonts w:hint="eastAsia" w:ascii="宋体" w:hAnsi="宋体"/>
          <w:bCs/>
          <w:sz w:val="36"/>
          <w:szCs w:val="36"/>
          <w:highlight w:val="none"/>
        </w:rPr>
      </w:pPr>
      <w:r>
        <w:rPr>
          <w:rFonts w:hint="eastAsia" w:ascii="宋体" w:hAnsi="宋体"/>
          <w:bCs/>
          <w:sz w:val="36"/>
          <w:szCs w:val="36"/>
          <w:highlight w:val="none"/>
        </w:rPr>
        <w:br w:type="page" w:clear="all"/>
      </w:r>
      <w:r>
        <w:rPr>
          <w:rFonts w:hint="eastAsia" w:ascii="宋体" w:hAnsi="宋体"/>
          <w:bCs/>
          <w:sz w:val="36"/>
          <w:szCs w:val="36"/>
          <w:highlight w:val="none"/>
        </w:rPr>
        <w:t xml:space="preserve">第一部分  </w:t>
      </w:r>
      <w:bookmarkStart w:id="1" w:name="OLE_LINK7"/>
      <w:bookmarkStart w:id="2" w:name="OLE_LINK5"/>
      <w:r>
        <w:rPr>
          <w:rFonts w:hint="eastAsia" w:ascii="宋体" w:hAnsi="宋体"/>
          <w:bCs/>
          <w:sz w:val="36"/>
          <w:szCs w:val="36"/>
          <w:highlight w:val="none"/>
        </w:rPr>
        <w:t>投标邀请</w:t>
      </w:r>
    </w:p>
    <w:p>
      <w:pPr>
        <w:pStyle w:val="191"/>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sz w:val="24"/>
          <w:highlight w:val="none"/>
        </w:rPr>
      </w:pPr>
      <w:bookmarkStart w:id="3" w:name="OLE_LINK6"/>
      <w:r>
        <w:rPr>
          <w:rFonts w:hint="eastAsia" w:ascii="宋体" w:hAnsi="宋体"/>
          <w:b/>
          <w:bCs/>
          <w:sz w:val="24"/>
          <w:highlight w:val="none"/>
        </w:rPr>
        <w:t>江苏</w:t>
      </w:r>
      <w:r>
        <w:rPr>
          <w:rFonts w:hint="eastAsia" w:ascii="宋体" w:hAnsi="宋体"/>
          <w:b/>
          <w:bCs/>
          <w:sz w:val="24"/>
          <w:highlight w:val="none"/>
          <w:lang w:eastAsia="zh-CN"/>
        </w:rPr>
        <w:t>奥峰工程项目管理有限公司</w:t>
      </w:r>
      <w:r>
        <w:rPr>
          <w:rFonts w:hint="eastAsia" w:ascii="宋体" w:hAnsi="宋体" w:cs="___WRD_EMBED_SUB_348"/>
          <w:b/>
          <w:bCs/>
          <w:sz w:val="24"/>
          <w:highlight w:val="none"/>
        </w:rPr>
        <w:t>（以下称采购代理机构）受</w:t>
      </w:r>
      <w:r>
        <w:rPr>
          <w:rFonts w:hint="eastAsia" w:ascii="宋体" w:hAnsi="宋体"/>
          <w:b/>
          <w:bCs/>
          <w:sz w:val="24"/>
          <w:highlight w:val="none"/>
          <w:lang w:eastAsia="zh-CN"/>
        </w:rPr>
        <w:t>通州湾示范区海洋与渔业局</w:t>
      </w:r>
      <w:r>
        <w:rPr>
          <w:rFonts w:hint="eastAsia" w:ascii="宋体" w:hAnsi="宋体" w:cs="___WRD_EMBED_SUB_348"/>
          <w:b/>
          <w:bCs/>
          <w:sz w:val="24"/>
          <w:highlight w:val="none"/>
        </w:rPr>
        <w:t>（以下称采购人）的委托</w:t>
      </w:r>
      <w:r>
        <w:rPr>
          <w:rFonts w:ascii="宋体" w:hAnsi="宋体"/>
          <w:sz w:val="24"/>
          <w:highlight w:val="none"/>
        </w:rPr>
        <w:t>就[</w:t>
      </w:r>
      <w:r>
        <w:rPr>
          <w:rFonts w:hint="eastAsia" w:ascii="宋体" w:hAnsi="宋体"/>
          <w:sz w:val="24"/>
          <w:highlight w:val="none"/>
          <w:lang w:eastAsia="zh-CN"/>
        </w:rPr>
        <w:t>通州湾滨海新区和高新技术产业园围填海生态修复水生生物资源2024年增殖放流项目</w:t>
      </w:r>
      <w:r>
        <w:rPr>
          <w:rFonts w:ascii="宋体" w:hAnsi="宋体"/>
          <w:sz w:val="24"/>
          <w:highlight w:val="none"/>
        </w:rPr>
        <w:t>](项目编号:</w:t>
      </w:r>
      <w:r>
        <w:rPr>
          <w:rFonts w:hint="eastAsia" w:ascii="宋体" w:hAnsi="宋体" w:eastAsia="宋体" w:cs="Times New Roman"/>
          <w:b w:val="0"/>
          <w:sz w:val="24"/>
          <w:szCs w:val="24"/>
          <w:highlight w:val="none"/>
          <w:lang w:val="en-US" w:eastAsia="zh-CN" w:bidi="ar-SA"/>
        </w:rPr>
        <w:t>JSZC-320692-JSAF-G2024-0002</w:t>
      </w:r>
      <w:r>
        <w:rPr>
          <w:rFonts w:ascii="宋体" w:hAnsi="宋体"/>
          <w:sz w:val="24"/>
          <w:highlight w:val="none"/>
        </w:rPr>
        <w:t>)进行公开招标采购，欢迎符合条件的供应商投标。</w:t>
      </w:r>
    </w:p>
    <w:p>
      <w:pPr>
        <w:pBdr>
          <w:top w:val="single" w:color="000000" w:sz="4" w:space="1"/>
          <w:left w:val="single" w:color="000000" w:sz="4" w:space="4"/>
          <w:bottom w:val="single" w:color="000000" w:sz="4" w:space="1"/>
          <w:right w:val="single" w:color="000000" w:sz="4" w:space="4"/>
        </w:pBdr>
        <w:spacing w:line="360" w:lineRule="auto"/>
        <w:ind w:firstLine="480"/>
        <w:jc w:val="left"/>
        <w:rPr>
          <w:rFonts w:ascii="宋体" w:hAnsi="宋体"/>
          <w:sz w:val="24"/>
          <w:highlight w:val="none"/>
        </w:rPr>
      </w:pPr>
      <w:r>
        <w:rPr>
          <w:rFonts w:ascii="宋体" w:hAnsi="宋体"/>
          <w:sz w:val="24"/>
          <w:highlight w:val="none"/>
        </w:rPr>
        <w:t>项目概况</w:t>
      </w:r>
    </w:p>
    <w:p>
      <w:pPr>
        <w:pBdr>
          <w:top w:val="single" w:color="000000" w:sz="4" w:space="1"/>
          <w:left w:val="single" w:color="000000" w:sz="4" w:space="4"/>
          <w:bottom w:val="single" w:color="000000" w:sz="4" w:space="1"/>
          <w:right w:val="single" w:color="000000" w:sz="4" w:space="4"/>
        </w:pBdr>
        <w:spacing w:line="360" w:lineRule="auto"/>
        <w:ind w:firstLine="480"/>
        <w:jc w:val="left"/>
        <w:rPr>
          <w:rFonts w:ascii="宋体" w:hAnsi="宋体"/>
          <w:sz w:val="24"/>
          <w:highlight w:val="none"/>
        </w:rPr>
      </w:pPr>
      <w:r>
        <w:rPr>
          <w:rFonts w:hint="eastAsia" w:ascii="宋体" w:hAnsi="宋体"/>
          <w:sz w:val="24"/>
          <w:highlight w:val="none"/>
          <w:u w:val="single"/>
          <w:lang w:eastAsia="zh-CN"/>
        </w:rPr>
        <w:t>通州湾滨海新区和高新技术产业园围填海生态修复水生生物资源2024年增殖放流项目</w:t>
      </w:r>
      <w:r>
        <w:rPr>
          <w:rFonts w:ascii="宋体" w:hAnsi="宋体"/>
          <w:sz w:val="24"/>
          <w:highlight w:val="none"/>
        </w:rPr>
        <w:t>的潜在投标人应在</w:t>
      </w:r>
      <w:r>
        <w:rPr>
          <w:rFonts w:hint="eastAsia" w:ascii="宋体" w:hAnsi="宋体"/>
          <w:sz w:val="24"/>
          <w:highlight w:val="none"/>
          <w:u w:val="single"/>
        </w:rPr>
        <w:t>江苏政府采购网</w:t>
      </w:r>
      <w:r>
        <w:rPr>
          <w:rFonts w:ascii="宋体" w:hAnsi="宋体"/>
          <w:sz w:val="24"/>
          <w:highlight w:val="none"/>
        </w:rPr>
        <w:t>获取招标文件，并于</w:t>
      </w:r>
      <w:r>
        <w:rPr>
          <w:rFonts w:hint="eastAsia" w:ascii="宋体" w:hAnsi="宋体"/>
          <w:b/>
          <w:bCs/>
          <w:sz w:val="24"/>
          <w:highlight w:val="none"/>
          <w:u w:val="single"/>
        </w:rPr>
        <w:t>2024</w:t>
      </w:r>
      <w:r>
        <w:rPr>
          <w:rFonts w:ascii="宋体" w:hAnsi="宋体"/>
          <w:b/>
          <w:bCs/>
          <w:sz w:val="24"/>
          <w:highlight w:val="none"/>
          <w:u w:val="single"/>
        </w:rPr>
        <w:t>年</w:t>
      </w:r>
      <w:r>
        <w:rPr>
          <w:rFonts w:hint="eastAsia" w:ascii="宋体" w:hAnsi="宋体"/>
          <w:b/>
          <w:bCs/>
          <w:sz w:val="24"/>
          <w:highlight w:val="none"/>
          <w:u w:val="single"/>
          <w:lang w:val="en-US" w:eastAsia="zh-CN"/>
        </w:rPr>
        <w:t xml:space="preserve"> 06</w:t>
      </w:r>
      <w:r>
        <w:rPr>
          <w:rFonts w:ascii="宋体" w:hAnsi="宋体"/>
          <w:b/>
          <w:bCs/>
          <w:sz w:val="24"/>
          <w:highlight w:val="none"/>
          <w:u w:val="single"/>
        </w:rPr>
        <w:t>月</w:t>
      </w:r>
      <w:r>
        <w:rPr>
          <w:rFonts w:hint="eastAsia" w:ascii="宋体" w:hAnsi="宋体"/>
          <w:b/>
          <w:bCs/>
          <w:sz w:val="24"/>
          <w:highlight w:val="none"/>
          <w:u w:val="single"/>
          <w:lang w:val="en-US" w:eastAsia="zh-CN"/>
        </w:rPr>
        <w:t xml:space="preserve">12 </w:t>
      </w:r>
      <w:r>
        <w:rPr>
          <w:rFonts w:ascii="宋体" w:hAnsi="宋体"/>
          <w:b/>
          <w:bCs/>
          <w:sz w:val="24"/>
          <w:highlight w:val="none"/>
          <w:u w:val="single"/>
        </w:rPr>
        <w:t>日</w:t>
      </w:r>
      <w:r>
        <w:rPr>
          <w:rFonts w:hint="eastAsia" w:ascii="宋体" w:hAnsi="宋体"/>
          <w:b/>
          <w:bCs/>
          <w:sz w:val="24"/>
          <w:highlight w:val="none"/>
          <w:u w:val="single"/>
          <w:lang w:val="en-US" w:eastAsia="zh-CN"/>
        </w:rPr>
        <w:t xml:space="preserve">09  </w:t>
      </w:r>
      <w:r>
        <w:rPr>
          <w:rFonts w:ascii="宋体" w:hAnsi="宋体"/>
          <w:b/>
          <w:bCs/>
          <w:sz w:val="24"/>
          <w:highlight w:val="none"/>
          <w:u w:val="single"/>
        </w:rPr>
        <w:t>点</w:t>
      </w:r>
      <w:r>
        <w:rPr>
          <w:rFonts w:hint="eastAsia" w:ascii="宋体" w:hAnsi="宋体"/>
          <w:b/>
          <w:bCs/>
          <w:sz w:val="24"/>
          <w:highlight w:val="none"/>
          <w:u w:val="single"/>
          <w:lang w:val="en-US" w:eastAsia="zh-CN"/>
        </w:rPr>
        <w:t xml:space="preserve">30 </w:t>
      </w:r>
      <w:r>
        <w:rPr>
          <w:rFonts w:ascii="宋体" w:hAnsi="宋体"/>
          <w:b/>
          <w:bCs/>
          <w:sz w:val="24"/>
          <w:highlight w:val="none"/>
          <w:u w:val="single"/>
        </w:rPr>
        <w:t>分</w:t>
      </w:r>
      <w:r>
        <w:rPr>
          <w:rFonts w:ascii="宋体" w:hAnsi="宋体"/>
          <w:sz w:val="24"/>
          <w:highlight w:val="none"/>
        </w:rPr>
        <w:t>（北京时间）前递交投标文件。</w:t>
      </w:r>
    </w:p>
    <w:p>
      <w:pPr>
        <w:spacing w:line="360" w:lineRule="auto"/>
        <w:ind w:firstLine="482"/>
        <w:jc w:val="left"/>
        <w:rPr>
          <w:rFonts w:ascii="宋体" w:hAnsi="宋体"/>
          <w:b/>
          <w:sz w:val="24"/>
          <w:highlight w:val="none"/>
        </w:rPr>
      </w:pPr>
      <w:r>
        <w:rPr>
          <w:rFonts w:ascii="宋体" w:hAnsi="宋体"/>
          <w:b/>
          <w:sz w:val="24"/>
          <w:highlight w:val="none"/>
        </w:rPr>
        <w:t xml:space="preserve"> 一、项目基本情况</w:t>
      </w:r>
    </w:p>
    <w:p>
      <w:pPr>
        <w:pStyle w:val="191"/>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sz w:val="24"/>
          <w:szCs w:val="24"/>
          <w:highlight w:val="none"/>
          <w:lang w:val="en-US" w:eastAsia="zh-CN" w:bidi="ar-SA"/>
        </w:rPr>
      </w:pPr>
      <w:r>
        <w:rPr>
          <w:rFonts w:hint="eastAsia" w:ascii="宋体" w:hAnsi="宋体" w:eastAsia="宋体" w:cs="Times New Roman"/>
          <w:b w:val="0"/>
          <w:sz w:val="24"/>
          <w:szCs w:val="24"/>
          <w:highlight w:val="none"/>
          <w:lang w:val="en-US" w:eastAsia="zh-CN" w:bidi="ar-SA"/>
        </w:rPr>
        <w:t xml:space="preserve">1.项目编号：JSZC-320692-JSAF-G2024-0002 </w:t>
      </w:r>
    </w:p>
    <w:p>
      <w:pPr>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sz w:val="24"/>
          <w:highlight w:val="none"/>
          <w:lang w:eastAsia="zh-CN"/>
        </w:rPr>
      </w:pPr>
      <w:r>
        <w:rPr>
          <w:rFonts w:hint="eastAsia" w:ascii="宋体" w:hAnsi="宋体"/>
          <w:sz w:val="24"/>
          <w:highlight w:val="none"/>
        </w:rPr>
        <w:t>2.</w:t>
      </w:r>
      <w:r>
        <w:rPr>
          <w:rFonts w:ascii="宋体" w:hAnsi="宋体"/>
          <w:sz w:val="24"/>
          <w:highlight w:val="none"/>
        </w:rPr>
        <w:t>项目名称：</w:t>
      </w:r>
      <w:r>
        <w:rPr>
          <w:rFonts w:hint="eastAsia" w:ascii="宋体" w:hAnsi="宋体"/>
          <w:sz w:val="24"/>
          <w:highlight w:val="none"/>
          <w:lang w:eastAsia="zh-CN"/>
        </w:rPr>
        <w:t>通州湾滨海新区和高新技术产业园围填海生态修复水生生物资源2024年增殖放流项目</w:t>
      </w:r>
    </w:p>
    <w:p>
      <w:pPr>
        <w:spacing w:line="360" w:lineRule="auto"/>
        <w:ind w:firstLine="480"/>
        <w:jc w:val="left"/>
        <w:rPr>
          <w:rFonts w:hint="eastAsia" w:ascii="宋体" w:hAnsi="宋体"/>
          <w:sz w:val="24"/>
          <w:highlight w:val="none"/>
        </w:rPr>
      </w:pPr>
      <w:r>
        <w:rPr>
          <w:rFonts w:hint="eastAsia" w:ascii="宋体" w:hAnsi="宋体"/>
          <w:sz w:val="24"/>
          <w:highlight w:val="none"/>
        </w:rPr>
        <w:t>3.</w:t>
      </w:r>
      <w:r>
        <w:rPr>
          <w:rFonts w:ascii="宋体" w:hAnsi="宋体"/>
          <w:sz w:val="24"/>
          <w:highlight w:val="none"/>
        </w:rPr>
        <w:t>预算金额：</w:t>
      </w:r>
      <w:r>
        <w:rPr>
          <w:rFonts w:hint="eastAsia" w:ascii="宋体" w:hAnsi="宋体"/>
          <w:sz w:val="24"/>
          <w:highlight w:val="none"/>
          <w:lang w:val="en-US" w:eastAsia="zh-CN"/>
        </w:rPr>
        <w:t>520万</w:t>
      </w:r>
      <w:r>
        <w:rPr>
          <w:rFonts w:hint="eastAsia" w:ascii="宋体" w:hAnsi="宋体"/>
          <w:sz w:val="24"/>
          <w:highlight w:val="none"/>
        </w:rPr>
        <w:t>元。</w:t>
      </w:r>
    </w:p>
    <w:p>
      <w:pPr>
        <w:spacing w:line="360" w:lineRule="auto"/>
        <w:ind w:firstLine="480"/>
        <w:jc w:val="left"/>
        <w:rPr>
          <w:rFonts w:hint="eastAsia" w:ascii="宋体" w:hAnsi="宋体"/>
          <w:sz w:val="24"/>
          <w:highlight w:val="none"/>
          <w:lang w:eastAsia="zh-CN"/>
        </w:rPr>
      </w:pPr>
      <w:r>
        <w:rPr>
          <w:rFonts w:hint="eastAsia" w:ascii="宋体" w:hAnsi="宋体"/>
          <w:sz w:val="24"/>
          <w:highlight w:val="none"/>
          <w:lang w:eastAsia="zh-CN"/>
        </w:rPr>
        <w:t>4.最高限价：520万元（人民币）（其中大黄鱼0.5元/尾、黑鲷0.5元/尾、菊黄东方鲀2.5元/尾、黄姑鱼0.5元/尾），投标报价超过最高限价的投标将作为无效投标处理。</w:t>
      </w:r>
    </w:p>
    <w:p>
      <w:pPr>
        <w:spacing w:line="360" w:lineRule="auto"/>
        <w:ind w:firstLine="480"/>
        <w:jc w:val="left"/>
        <w:rPr>
          <w:rFonts w:ascii="宋体" w:hAnsi="宋体"/>
          <w:sz w:val="24"/>
          <w:highlight w:val="none"/>
        </w:rPr>
      </w:pPr>
      <w:r>
        <w:rPr>
          <w:rFonts w:hint="eastAsia" w:ascii="宋体" w:hAnsi="宋体"/>
          <w:sz w:val="24"/>
          <w:highlight w:val="none"/>
        </w:rPr>
        <w:t>5.</w:t>
      </w:r>
      <w:r>
        <w:rPr>
          <w:rFonts w:ascii="宋体" w:hAnsi="宋体"/>
          <w:sz w:val="24"/>
          <w:highlight w:val="none"/>
        </w:rPr>
        <w:t>采购需求：</w:t>
      </w:r>
      <w:r>
        <w:rPr>
          <w:rFonts w:hint="eastAsia" w:ascii="宋体" w:hAnsi="宋体" w:cs="宋体"/>
          <w:sz w:val="24"/>
          <w:highlight w:val="none"/>
        </w:rPr>
        <w:t>详见招标文件第三部分项目需求</w:t>
      </w:r>
      <w:r>
        <w:rPr>
          <w:rFonts w:ascii="宋体" w:hAnsi="宋体"/>
          <w:sz w:val="24"/>
          <w:highlight w:val="none"/>
        </w:rPr>
        <w:t>，请仔细研究。</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6.合同履行期限：计划于6月底前完成全部放流，具体以合同签订为准。</w:t>
      </w:r>
    </w:p>
    <w:p>
      <w:pPr>
        <w:spacing w:line="360" w:lineRule="auto"/>
        <w:ind w:firstLine="480"/>
        <w:jc w:val="left"/>
        <w:rPr>
          <w:rFonts w:ascii="宋体" w:hAnsi="宋体"/>
          <w:sz w:val="24"/>
          <w:highlight w:val="none"/>
        </w:rPr>
      </w:pPr>
      <w:r>
        <w:rPr>
          <w:rFonts w:hint="eastAsia" w:ascii="宋体" w:hAnsi="宋体"/>
          <w:sz w:val="24"/>
          <w:highlight w:val="none"/>
        </w:rPr>
        <w:t>7.</w:t>
      </w:r>
      <w:r>
        <w:rPr>
          <w:rFonts w:ascii="宋体" w:hAnsi="宋体"/>
          <w:sz w:val="24"/>
          <w:highlight w:val="none"/>
        </w:rPr>
        <w:t>本项目（是/否）接受联合体投标：</w:t>
      </w:r>
      <w:r>
        <w:rPr>
          <w:rFonts w:hint="eastAsia" w:ascii="宋体" w:hAnsi="宋体"/>
          <w:sz w:val="24"/>
          <w:highlight w:val="none"/>
        </w:rPr>
        <w:t>是</w:t>
      </w:r>
      <w:r>
        <w:rPr>
          <w:rFonts w:ascii="宋体" w:hAnsi="宋体"/>
          <w:sz w:val="24"/>
          <w:highlight w:val="none"/>
        </w:rPr>
        <w:t>。</w:t>
      </w:r>
    </w:p>
    <w:p>
      <w:pPr>
        <w:spacing w:line="360" w:lineRule="auto"/>
        <w:ind w:firstLine="480"/>
        <w:jc w:val="left"/>
        <w:rPr>
          <w:rFonts w:ascii="宋体" w:hAnsi="宋体"/>
          <w:sz w:val="24"/>
          <w:highlight w:val="none"/>
        </w:rPr>
      </w:pPr>
      <w:r>
        <w:rPr>
          <w:rFonts w:hint="eastAsia" w:ascii="宋体" w:hAnsi="宋体"/>
          <w:sz w:val="24"/>
          <w:highlight w:val="none"/>
        </w:rPr>
        <w:t>8.</w:t>
      </w:r>
      <w:r>
        <w:rPr>
          <w:rFonts w:ascii="宋体" w:hAnsi="宋体"/>
          <w:sz w:val="24"/>
          <w:highlight w:val="none"/>
        </w:rPr>
        <w:t>本项目（是/否）接受</w:t>
      </w:r>
      <w:r>
        <w:rPr>
          <w:rFonts w:hint="eastAsia" w:ascii="宋体" w:hAnsi="宋体"/>
          <w:sz w:val="24"/>
          <w:highlight w:val="none"/>
        </w:rPr>
        <w:t>分包：</w:t>
      </w:r>
      <w:r>
        <w:rPr>
          <w:rFonts w:ascii="宋体" w:hAnsi="宋体"/>
          <w:sz w:val="24"/>
          <w:highlight w:val="none"/>
        </w:rPr>
        <w:t>否。</w:t>
      </w:r>
    </w:p>
    <w:p>
      <w:pPr>
        <w:spacing w:line="360" w:lineRule="auto"/>
        <w:ind w:firstLine="482"/>
        <w:jc w:val="left"/>
        <w:rPr>
          <w:rFonts w:ascii="宋体" w:hAnsi="宋体"/>
          <w:b/>
          <w:sz w:val="24"/>
          <w:highlight w:val="none"/>
        </w:rPr>
      </w:pPr>
      <w:r>
        <w:rPr>
          <w:rFonts w:ascii="宋体" w:hAnsi="宋体"/>
          <w:b/>
          <w:sz w:val="24"/>
          <w:highlight w:val="none"/>
        </w:rPr>
        <w:t>二、申请人的资格要求：</w:t>
      </w:r>
    </w:p>
    <w:p>
      <w:pPr>
        <w:spacing w:line="360" w:lineRule="auto"/>
        <w:ind w:firstLine="480"/>
        <w:jc w:val="left"/>
        <w:rPr>
          <w:rFonts w:ascii="宋体" w:hAnsi="宋体"/>
          <w:sz w:val="24"/>
          <w:highlight w:val="none"/>
        </w:rPr>
      </w:pPr>
      <w:r>
        <w:rPr>
          <w:rFonts w:ascii="宋体" w:hAnsi="宋体"/>
          <w:sz w:val="24"/>
          <w:highlight w:val="none"/>
        </w:rPr>
        <w:t>1.满足《中华人民共和国政府采购法》第二十二条规定；提供投标人符合《政府采购法》第二十二条规定条件的声明函（格式见附件1）。</w:t>
      </w:r>
    </w:p>
    <w:p>
      <w:pPr>
        <w:spacing w:line="360" w:lineRule="auto"/>
        <w:ind w:firstLine="480"/>
        <w:jc w:val="left"/>
        <w:rPr>
          <w:rFonts w:hint="eastAsia" w:ascii="宋体" w:hAnsi="宋体"/>
          <w:sz w:val="24"/>
          <w:highlight w:val="none"/>
        </w:rPr>
      </w:pPr>
      <w:r>
        <w:rPr>
          <w:rFonts w:hint="eastAsia" w:ascii="宋体" w:hAnsi="宋体"/>
          <w:sz w:val="24"/>
          <w:highlight w:val="none"/>
        </w:rPr>
        <w:t>2.</w:t>
      </w:r>
      <w:r>
        <w:rPr>
          <w:rFonts w:ascii="宋体" w:hAnsi="宋体"/>
          <w:sz w:val="24"/>
          <w:highlight w:val="none"/>
        </w:rPr>
        <w:t>落实政府采购政策需满足的资格要求：</w:t>
      </w:r>
      <w:r>
        <w:rPr>
          <w:rFonts w:hint="eastAsia" w:ascii="宋体" w:hAnsi="宋体"/>
          <w:sz w:val="24"/>
          <w:highlight w:val="none"/>
        </w:rPr>
        <w:t>无。</w:t>
      </w:r>
    </w:p>
    <w:p>
      <w:pPr>
        <w:spacing w:line="360" w:lineRule="auto"/>
        <w:ind w:firstLine="480"/>
        <w:jc w:val="left"/>
        <w:rPr>
          <w:rFonts w:hint="eastAsia" w:ascii="宋体" w:hAnsi="宋体"/>
          <w:sz w:val="24"/>
          <w:highlight w:val="none"/>
        </w:rPr>
      </w:pPr>
      <w:r>
        <w:rPr>
          <w:rFonts w:hint="eastAsia" w:ascii="宋体" w:hAnsi="宋体"/>
          <w:sz w:val="24"/>
          <w:highlight w:val="none"/>
        </w:rPr>
        <w:t>3</w:t>
      </w:r>
      <w:r>
        <w:rPr>
          <w:rFonts w:ascii="宋体" w:hAnsi="宋体"/>
          <w:sz w:val="24"/>
          <w:highlight w:val="none"/>
        </w:rPr>
        <w:t>.本项目的特定资格要求：</w:t>
      </w:r>
    </w:p>
    <w:p>
      <w:pPr>
        <w:spacing w:line="360" w:lineRule="auto"/>
        <w:ind w:firstLine="480"/>
        <w:jc w:val="left"/>
        <w:rPr>
          <w:rFonts w:ascii="宋体" w:hAnsi="宋体" w:cs="宋体"/>
          <w:sz w:val="24"/>
          <w:highlight w:val="none"/>
        </w:rPr>
      </w:pPr>
      <w:r>
        <w:rPr>
          <w:rFonts w:hint="eastAsia" w:ascii="宋体" w:hAnsi="宋体" w:cs="宋体"/>
          <w:sz w:val="24"/>
          <w:highlight w:val="none"/>
        </w:rPr>
        <w:t>3.1投标人具有有效的法人或者其他组织的营业执照等证明文件；提供相关证明材料并加盖投标单位公章。</w:t>
      </w:r>
    </w:p>
    <w:p>
      <w:pPr>
        <w:spacing w:line="360" w:lineRule="auto"/>
        <w:ind w:firstLine="480"/>
        <w:rPr>
          <w:rFonts w:hint="eastAsia" w:ascii="宋体" w:hAnsi="宋体" w:cs="宋体"/>
          <w:sz w:val="24"/>
          <w:highlight w:val="none"/>
        </w:rPr>
      </w:pPr>
      <w:r>
        <w:rPr>
          <w:rFonts w:hint="eastAsia" w:ascii="宋体" w:hAnsi="宋体" w:cs="宋体"/>
          <w:sz w:val="24"/>
          <w:highlight w:val="none"/>
        </w:rPr>
        <w:t>3.2</w:t>
      </w:r>
      <w:r>
        <w:rPr>
          <w:rFonts w:ascii="宋体" w:hAnsi="宋体" w:cs="宋体"/>
          <w:sz w:val="24"/>
          <w:highlight w:val="none"/>
        </w:rPr>
        <w:t xml:space="preserve"> </w:t>
      </w:r>
      <w:r>
        <w:rPr>
          <w:rFonts w:hint="eastAsia" w:ascii="宋体" w:hAnsi="宋体" w:cs="宋体"/>
          <w:sz w:val="24"/>
          <w:highlight w:val="none"/>
        </w:rPr>
        <w:t>法定代表人参加投标的，提供法定代表人身份证明及法定代表人本人身份证复印件；非法定代表人参加投标的，必须提供法定代表人身份证明、法定代表人签字或盖章的授权委托书、法定代表人本人身份证复印件及被授权人本人身份证复印件；格式见附件2、附件3。</w:t>
      </w:r>
    </w:p>
    <w:p>
      <w:pPr>
        <w:spacing w:line="360" w:lineRule="auto"/>
        <w:ind w:firstLine="480"/>
        <w:jc w:val="left"/>
        <w:rPr>
          <w:rFonts w:hint="eastAsia" w:ascii="宋体" w:hAnsi="宋体"/>
          <w:sz w:val="24"/>
          <w:highlight w:val="none"/>
        </w:rPr>
      </w:pPr>
      <w:r>
        <w:rPr>
          <w:rFonts w:hint="eastAsia" w:ascii="宋体" w:hAnsi="宋体"/>
          <w:sz w:val="24"/>
          <w:highlight w:val="none"/>
        </w:rPr>
        <w:t>3.3提供供应商信用承诺书；格式见附件4。</w:t>
      </w:r>
    </w:p>
    <w:p>
      <w:pPr>
        <w:spacing w:line="360" w:lineRule="auto"/>
        <w:ind w:firstLine="480"/>
        <w:jc w:val="left"/>
        <w:rPr>
          <w:rFonts w:ascii="宋体" w:hAnsi="宋体"/>
          <w:sz w:val="24"/>
          <w:highlight w:val="none"/>
        </w:rPr>
      </w:pPr>
      <w:r>
        <w:rPr>
          <w:rFonts w:hint="eastAsia" w:ascii="宋体" w:hAnsi="宋体"/>
          <w:sz w:val="24"/>
          <w:highlight w:val="none"/>
        </w:rPr>
        <w:t>3.4提供投标函；格式见附件5。</w:t>
      </w:r>
    </w:p>
    <w:p>
      <w:pPr>
        <w:spacing w:line="360" w:lineRule="auto"/>
        <w:ind w:firstLine="480"/>
        <w:jc w:val="left"/>
        <w:rPr>
          <w:rFonts w:hint="eastAsia" w:ascii="宋体" w:hAnsi="宋体"/>
          <w:sz w:val="24"/>
          <w:highlight w:val="none"/>
        </w:rPr>
      </w:pPr>
      <w:r>
        <w:rPr>
          <w:rFonts w:hint="eastAsia" w:ascii="宋体" w:hAnsi="宋体"/>
          <w:sz w:val="24"/>
          <w:highlight w:val="none"/>
        </w:rPr>
        <w:t>3.5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pPr>
        <w:spacing w:line="360" w:lineRule="auto"/>
        <w:ind w:firstLine="480"/>
        <w:rPr>
          <w:rFonts w:ascii="宋体" w:hAnsi="宋体"/>
          <w:sz w:val="24"/>
          <w:highlight w:val="none"/>
        </w:rPr>
      </w:pPr>
      <w:r>
        <w:rPr>
          <w:rFonts w:hint="eastAsia" w:ascii="宋体" w:hAnsi="宋体"/>
          <w:sz w:val="24"/>
          <w:highlight w:val="none"/>
        </w:rPr>
        <w:t>3.6如为联合投标须满足以下要求：</w:t>
      </w:r>
    </w:p>
    <w:p>
      <w:pPr>
        <w:spacing w:line="360" w:lineRule="auto"/>
        <w:ind w:firstLine="480"/>
        <w:rPr>
          <w:rFonts w:hint="eastAsia" w:ascii="宋体" w:hAnsi="宋体" w:cs="宋体"/>
          <w:sz w:val="24"/>
          <w:highlight w:val="none"/>
          <w:lang w:eastAsia="zh-CN"/>
        </w:rPr>
      </w:pPr>
      <w:r>
        <w:rPr>
          <w:rFonts w:hint="eastAsia" w:ascii="宋体" w:hAnsi="宋体" w:cs="宋体"/>
          <w:sz w:val="24"/>
          <w:highlight w:val="none"/>
        </w:rPr>
        <w:t>①联合体成员总数不得超过2家（含2家）</w:t>
      </w:r>
      <w:r>
        <w:rPr>
          <w:rFonts w:hint="eastAsia" w:ascii="宋体" w:hAnsi="宋体" w:cs="宋体"/>
          <w:sz w:val="24"/>
          <w:highlight w:val="none"/>
          <w:lang w:eastAsia="zh-CN"/>
        </w:rPr>
        <w:t>。</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②联合体各方必须签订联合体协议书，明确联合体牵头人和各方职责分工、权利义务，各联合体成员所占合同总金额比例，并承诺就中标项目向采购人承担连带责任。 </w:t>
      </w:r>
    </w:p>
    <w:p>
      <w:pPr>
        <w:spacing w:line="360" w:lineRule="auto"/>
        <w:ind w:firstLine="480"/>
        <w:rPr>
          <w:rFonts w:hint="eastAsia" w:ascii="宋体" w:hAnsi="宋体" w:cs="宋体"/>
          <w:sz w:val="24"/>
          <w:highlight w:val="none"/>
        </w:rPr>
      </w:pPr>
      <w:r>
        <w:rPr>
          <w:rFonts w:hint="eastAsia" w:ascii="宋体" w:hAnsi="宋体" w:cs="宋体"/>
          <w:sz w:val="24"/>
          <w:highlight w:val="none"/>
        </w:rPr>
        <w:t>③联合体各方不得单独参加或者与其他供应商另外组成联合体参加同一合同项下的政府采购活动。</w:t>
      </w:r>
    </w:p>
    <w:p>
      <w:pPr>
        <w:spacing w:line="360" w:lineRule="auto"/>
        <w:ind w:firstLine="480"/>
        <w:rPr>
          <w:rFonts w:hint="eastAsia" w:ascii="宋体" w:hAnsi="宋体" w:cs="宋体"/>
          <w:sz w:val="24"/>
          <w:highlight w:val="none"/>
        </w:rPr>
      </w:pPr>
      <w:r>
        <w:rPr>
          <w:rFonts w:hint="eastAsia" w:ascii="宋体" w:hAnsi="宋体" w:cs="宋体"/>
          <w:sz w:val="24"/>
          <w:highlight w:val="none"/>
        </w:rPr>
        <w:t>④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⑤尽管委任了联合体牵头人，但联合体各成员在投标、签约与履行合同过程中，仍负有连带的和各自的法律责任。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3.7</w:t>
      </w:r>
      <w:r>
        <w:rPr>
          <w:rFonts w:hint="eastAsia" w:ascii="宋体" w:hAnsi="宋体" w:cs="宋体"/>
          <w:sz w:val="24"/>
          <w:highlight w:val="none"/>
        </w:rPr>
        <w:t>须持有相应苗种的《水产苗种生产许可证》。</w:t>
      </w:r>
    </w:p>
    <w:p>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3.8</w:t>
      </w:r>
      <w:r>
        <w:rPr>
          <w:rFonts w:hint="eastAsia" w:ascii="宋体" w:hAnsi="宋体" w:cs="宋体"/>
          <w:sz w:val="24"/>
          <w:highlight w:val="none"/>
        </w:rPr>
        <w:t>根据农业农村部（农渔发【2022】1号）文件要求“用于增殖放流的水生生物必须是本地种，严禁放流外来种、杂交种、选育种及其他不符合生态要求的水生生物。同时，应遵循“哪里来哪里放”原则，确保种质纯正，避免跨流域、跨海区放流导致生态风险。”</w:t>
      </w:r>
    </w:p>
    <w:p>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3.9</w:t>
      </w:r>
      <w:r>
        <w:rPr>
          <w:rFonts w:hint="eastAsia" w:ascii="宋体" w:hAnsi="宋体" w:cs="宋体"/>
          <w:sz w:val="24"/>
          <w:highlight w:val="none"/>
        </w:rPr>
        <w:t>投标供应商具有设区市级及以上水产原（良）种（繁育）场（基地）资质或审查合格证明。</w:t>
      </w:r>
    </w:p>
    <w:p>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本项允许联合体投标：以联合体方式投标的需要提供联合体投标协议及各参与体的《水产苗种生产许可证》。</w:t>
      </w:r>
    </w:p>
    <w:p>
      <w:pPr>
        <w:spacing w:line="360" w:lineRule="auto"/>
        <w:ind w:firstLine="480"/>
        <w:rPr>
          <w:rFonts w:hint="eastAsia" w:ascii="宋体" w:hAnsi="宋体" w:cs="宋体"/>
          <w:sz w:val="24"/>
          <w:highlight w:val="none"/>
        </w:rPr>
      </w:pPr>
      <w:r>
        <w:rPr>
          <w:rFonts w:hint="eastAsia" w:ascii="宋体" w:hAnsi="宋体" w:cs="宋体"/>
          <w:sz w:val="24"/>
          <w:highlight w:val="none"/>
        </w:rPr>
        <w:t>5、符合相关法律、法规规定的其他要求。</w:t>
      </w:r>
    </w:p>
    <w:p>
      <w:pPr>
        <w:spacing w:line="360" w:lineRule="auto"/>
        <w:ind w:firstLine="482"/>
        <w:jc w:val="left"/>
        <w:rPr>
          <w:rFonts w:hint="eastAsia" w:ascii="宋体" w:hAnsi="宋体" w:cs="宋体"/>
          <w:sz w:val="24"/>
          <w:highlight w:val="none"/>
        </w:rPr>
      </w:pPr>
      <w:r>
        <w:rPr>
          <w:rFonts w:hint="eastAsia" w:ascii="宋体" w:hAnsi="宋体" w:cs="宋体"/>
          <w:b/>
          <w:bCs/>
          <w:sz w:val="24"/>
          <w:highlight w:val="none"/>
        </w:rPr>
        <w:t>【特别提醒】</w:t>
      </w:r>
      <w:r>
        <w:rPr>
          <w:rFonts w:hint="eastAsia" w:ascii="宋体" w:hAnsi="宋体" w:cs="宋体"/>
          <w:sz w:val="24"/>
          <w:highlight w:val="none"/>
        </w:rPr>
        <w:t>单位负责人为同一人或者存在直接控股、管理关系的不同供应商，不得参加同一合同项下的政府采购活动。</w:t>
      </w:r>
    </w:p>
    <w:p>
      <w:pPr>
        <w:spacing w:line="360" w:lineRule="auto"/>
        <w:ind w:firstLine="482"/>
        <w:jc w:val="left"/>
        <w:rPr>
          <w:rFonts w:ascii="宋体" w:hAnsi="宋体"/>
          <w:b/>
          <w:sz w:val="24"/>
          <w:highlight w:val="none"/>
        </w:rPr>
      </w:pPr>
      <w:r>
        <w:rPr>
          <w:rFonts w:ascii="宋体" w:hAnsi="宋体"/>
          <w:b/>
          <w:sz w:val="24"/>
          <w:highlight w:val="none"/>
        </w:rPr>
        <w:t>三、获取招标文件</w:t>
      </w:r>
    </w:p>
    <w:p>
      <w:pPr>
        <w:spacing w:line="360" w:lineRule="auto"/>
        <w:ind w:firstLine="480"/>
        <w:jc w:val="left"/>
        <w:rPr>
          <w:rFonts w:hint="eastAsia" w:ascii="宋体" w:hAnsi="宋体"/>
          <w:sz w:val="24"/>
          <w:highlight w:val="none"/>
        </w:rPr>
      </w:pPr>
      <w:r>
        <w:rPr>
          <w:rFonts w:hint="eastAsia" w:ascii="宋体" w:hAnsi="宋体"/>
          <w:sz w:val="24"/>
          <w:highlight w:val="none"/>
        </w:rPr>
        <w:t>1.时间：自本公告发布之日起至2024年</w:t>
      </w:r>
      <w:r>
        <w:rPr>
          <w:rFonts w:hint="eastAsia" w:ascii="宋体" w:hAnsi="宋体"/>
          <w:sz w:val="24"/>
          <w:highlight w:val="none"/>
          <w:lang w:val="en-US" w:eastAsia="zh-CN"/>
        </w:rPr>
        <w:t xml:space="preserve">06 </w:t>
      </w:r>
      <w:r>
        <w:rPr>
          <w:rFonts w:hint="eastAsia" w:ascii="宋体" w:hAnsi="宋体"/>
          <w:sz w:val="24"/>
          <w:highlight w:val="none"/>
        </w:rPr>
        <w:t>月</w:t>
      </w:r>
      <w:r>
        <w:rPr>
          <w:rFonts w:hint="eastAsia" w:ascii="宋体" w:hAnsi="宋体"/>
          <w:sz w:val="24"/>
          <w:highlight w:val="none"/>
          <w:lang w:val="en-US" w:eastAsia="zh-CN"/>
        </w:rPr>
        <w:t xml:space="preserve">12 </w:t>
      </w:r>
      <w:r>
        <w:rPr>
          <w:rFonts w:hint="eastAsia" w:ascii="宋体" w:hAnsi="宋体"/>
          <w:sz w:val="24"/>
          <w:highlight w:val="none"/>
        </w:rPr>
        <w:t>日</w:t>
      </w:r>
      <w:r>
        <w:rPr>
          <w:rFonts w:hint="eastAsia" w:ascii="宋体" w:hAnsi="宋体"/>
          <w:sz w:val="24"/>
          <w:highlight w:val="none"/>
          <w:lang w:val="en-US" w:eastAsia="zh-CN"/>
        </w:rPr>
        <w:t xml:space="preserve"> 09 </w:t>
      </w:r>
      <w:r>
        <w:rPr>
          <w:rFonts w:hint="eastAsia" w:ascii="宋体" w:hAnsi="宋体"/>
          <w:sz w:val="24"/>
          <w:highlight w:val="none"/>
        </w:rPr>
        <w:t>时</w:t>
      </w:r>
      <w:r>
        <w:rPr>
          <w:rFonts w:hint="eastAsia" w:ascii="宋体" w:hAnsi="宋体"/>
          <w:sz w:val="24"/>
          <w:highlight w:val="none"/>
          <w:lang w:val="en-US" w:eastAsia="zh-CN"/>
        </w:rPr>
        <w:t xml:space="preserve"> 30 </w:t>
      </w:r>
      <w:r>
        <w:rPr>
          <w:rFonts w:hint="eastAsia" w:ascii="宋体" w:hAnsi="宋体"/>
          <w:sz w:val="24"/>
          <w:highlight w:val="none"/>
        </w:rPr>
        <w:t>分（北京时间）。</w:t>
      </w:r>
    </w:p>
    <w:p>
      <w:pPr>
        <w:spacing w:line="360" w:lineRule="auto"/>
        <w:ind w:firstLine="480"/>
        <w:jc w:val="left"/>
        <w:rPr>
          <w:rFonts w:hint="eastAsia" w:ascii="宋体" w:hAnsi="宋体"/>
          <w:sz w:val="24"/>
          <w:highlight w:val="none"/>
        </w:rPr>
      </w:pPr>
      <w:r>
        <w:rPr>
          <w:rFonts w:hint="eastAsia" w:ascii="宋体" w:hAnsi="宋体"/>
          <w:sz w:val="24"/>
          <w:highlight w:val="none"/>
        </w:rPr>
        <w:t>2.地点：网上注册登记成功后“苏采云”系统内免费下载。</w:t>
      </w:r>
    </w:p>
    <w:p>
      <w:pPr>
        <w:spacing w:line="360" w:lineRule="auto"/>
        <w:ind w:firstLine="480"/>
        <w:jc w:val="left"/>
        <w:rPr>
          <w:rFonts w:ascii="宋体" w:hAnsi="宋体"/>
          <w:sz w:val="24"/>
          <w:highlight w:val="none"/>
        </w:rPr>
      </w:pPr>
      <w:r>
        <w:rPr>
          <w:rFonts w:hint="eastAsia" w:ascii="宋体" w:hAnsi="宋体"/>
          <w:sz w:val="24"/>
          <w:highlight w:val="none"/>
        </w:rPr>
        <w:t>3.方式：自行下载。</w:t>
      </w:r>
    </w:p>
    <w:p>
      <w:pPr>
        <w:spacing w:line="360" w:lineRule="auto"/>
        <w:ind w:firstLine="482"/>
        <w:jc w:val="left"/>
        <w:rPr>
          <w:rFonts w:ascii="宋体" w:hAnsi="宋体"/>
          <w:b/>
          <w:sz w:val="24"/>
          <w:highlight w:val="none"/>
        </w:rPr>
      </w:pPr>
      <w:r>
        <w:rPr>
          <w:rFonts w:ascii="宋体" w:hAnsi="宋体"/>
          <w:b/>
          <w:sz w:val="24"/>
          <w:highlight w:val="none"/>
        </w:rPr>
        <w:t>四、提交投标文件截止时间、</w:t>
      </w:r>
      <w:r>
        <w:rPr>
          <w:rFonts w:hint="eastAsia" w:ascii="宋体" w:hAnsi="宋体"/>
          <w:b/>
          <w:sz w:val="24"/>
          <w:highlight w:val="none"/>
        </w:rPr>
        <w:t>开标时间和</w:t>
      </w:r>
      <w:r>
        <w:rPr>
          <w:rFonts w:ascii="宋体" w:hAnsi="宋体"/>
          <w:b/>
          <w:sz w:val="24"/>
          <w:highlight w:val="none"/>
        </w:rPr>
        <w:t>地点</w:t>
      </w:r>
    </w:p>
    <w:p>
      <w:pPr>
        <w:spacing w:line="360" w:lineRule="auto"/>
        <w:ind w:firstLine="480"/>
        <w:jc w:val="left"/>
        <w:rPr>
          <w:rFonts w:hint="eastAsia" w:ascii="宋体" w:hAnsi="宋体"/>
          <w:sz w:val="24"/>
          <w:highlight w:val="none"/>
        </w:rPr>
      </w:pPr>
      <w:r>
        <w:rPr>
          <w:rFonts w:hint="eastAsia" w:ascii="宋体" w:hAnsi="宋体"/>
          <w:sz w:val="24"/>
          <w:highlight w:val="none"/>
        </w:rPr>
        <w:t>提交投标文件截止时间及开标时间：</w:t>
      </w:r>
      <w:r>
        <w:rPr>
          <w:rFonts w:hint="eastAsia" w:ascii="宋体" w:hAnsi="宋体"/>
          <w:sz w:val="24"/>
          <w:highlight w:val="none"/>
          <w:u w:val="single"/>
        </w:rPr>
        <w:t>2024年</w:t>
      </w:r>
      <w:r>
        <w:rPr>
          <w:rFonts w:hint="eastAsia" w:ascii="宋体" w:hAnsi="宋体"/>
          <w:sz w:val="24"/>
          <w:highlight w:val="none"/>
          <w:u w:val="single"/>
          <w:lang w:val="en-US" w:eastAsia="zh-CN"/>
        </w:rPr>
        <w:t xml:space="preserve"> 06 </w:t>
      </w:r>
      <w:r>
        <w:rPr>
          <w:rFonts w:hint="eastAsia" w:ascii="宋体" w:hAnsi="宋体"/>
          <w:sz w:val="24"/>
          <w:highlight w:val="none"/>
          <w:u w:val="single"/>
        </w:rPr>
        <w:t>月</w:t>
      </w:r>
      <w:r>
        <w:rPr>
          <w:rFonts w:hint="eastAsia" w:ascii="宋体" w:hAnsi="宋体"/>
          <w:sz w:val="24"/>
          <w:highlight w:val="none"/>
          <w:u w:val="single"/>
          <w:lang w:val="en-US" w:eastAsia="zh-CN"/>
        </w:rPr>
        <w:t xml:space="preserve">12 </w:t>
      </w:r>
      <w:r>
        <w:rPr>
          <w:rFonts w:hint="eastAsia" w:ascii="宋体" w:hAnsi="宋体"/>
          <w:sz w:val="24"/>
          <w:highlight w:val="none"/>
          <w:u w:val="single"/>
        </w:rPr>
        <w:t>日</w:t>
      </w:r>
      <w:r>
        <w:rPr>
          <w:rFonts w:hint="eastAsia" w:ascii="宋体" w:hAnsi="宋体"/>
          <w:sz w:val="24"/>
          <w:highlight w:val="none"/>
          <w:u w:val="single"/>
          <w:lang w:val="en-US" w:eastAsia="zh-CN"/>
        </w:rPr>
        <w:t xml:space="preserve"> 09 </w:t>
      </w:r>
      <w:r>
        <w:rPr>
          <w:rFonts w:hint="eastAsia" w:ascii="宋体" w:hAnsi="宋体"/>
          <w:sz w:val="24"/>
          <w:highlight w:val="none"/>
          <w:u w:val="single"/>
        </w:rPr>
        <w:t>点</w:t>
      </w:r>
      <w:r>
        <w:rPr>
          <w:rFonts w:hint="eastAsia" w:ascii="宋体" w:hAnsi="宋体"/>
          <w:sz w:val="24"/>
          <w:highlight w:val="none"/>
          <w:u w:val="single"/>
          <w:lang w:val="en-US" w:eastAsia="zh-CN"/>
        </w:rPr>
        <w:t xml:space="preserve"> 30 </w:t>
      </w:r>
      <w:r>
        <w:rPr>
          <w:rFonts w:hint="eastAsia" w:ascii="宋体" w:hAnsi="宋体"/>
          <w:sz w:val="24"/>
          <w:highlight w:val="none"/>
          <w:u w:val="single"/>
        </w:rPr>
        <w:t>分</w:t>
      </w:r>
      <w:r>
        <w:rPr>
          <w:rFonts w:hint="eastAsia" w:ascii="宋体" w:hAnsi="宋体"/>
          <w:sz w:val="24"/>
          <w:highlight w:val="none"/>
        </w:rPr>
        <w:t>（北京时间）；逾时，“苏采云”系统将拒绝接受上传投标文件电子文档。</w:t>
      </w:r>
    </w:p>
    <w:p>
      <w:pPr>
        <w:spacing w:line="360" w:lineRule="auto"/>
        <w:ind w:firstLine="480"/>
        <w:jc w:val="left"/>
        <w:rPr>
          <w:rFonts w:hint="eastAsia" w:ascii="宋体" w:hAnsi="宋体"/>
          <w:sz w:val="24"/>
          <w:highlight w:val="none"/>
        </w:rPr>
      </w:pPr>
      <w:r>
        <w:rPr>
          <w:rFonts w:hint="eastAsia" w:ascii="宋体" w:hAnsi="宋体"/>
          <w:sz w:val="24"/>
          <w:highlight w:val="none"/>
        </w:rPr>
        <w:t>提交投标文件地点：“苏采云”系统（网址：http://jszfcg.jsczt.cn/）。</w:t>
      </w:r>
    </w:p>
    <w:p>
      <w:pPr>
        <w:spacing w:line="360" w:lineRule="auto"/>
        <w:ind w:firstLine="480"/>
        <w:jc w:val="left"/>
        <w:rPr>
          <w:rFonts w:hint="eastAsia" w:ascii="宋体" w:hAnsi="宋体"/>
          <w:sz w:val="24"/>
          <w:highlight w:val="none"/>
        </w:rPr>
      </w:pPr>
      <w:r>
        <w:rPr>
          <w:rFonts w:hint="eastAsia" w:ascii="宋体" w:hAnsi="宋体"/>
          <w:sz w:val="24"/>
          <w:highlight w:val="none"/>
        </w:rPr>
        <w:t>线上开标地点：“苏采云”系统（网址：http://jszfcg.jsczt.cn/）“开标大厅”。</w:t>
      </w:r>
    </w:p>
    <w:p>
      <w:pPr>
        <w:spacing w:line="360" w:lineRule="auto"/>
        <w:ind w:firstLine="482"/>
        <w:jc w:val="left"/>
        <w:rPr>
          <w:rFonts w:ascii="宋体" w:hAnsi="宋体"/>
          <w:b/>
          <w:sz w:val="24"/>
          <w:highlight w:val="none"/>
        </w:rPr>
      </w:pPr>
      <w:r>
        <w:rPr>
          <w:rFonts w:hint="eastAsia" w:ascii="宋体" w:hAnsi="宋体"/>
          <w:b/>
          <w:sz w:val="24"/>
          <w:highlight w:val="none"/>
        </w:rPr>
        <w:t>五</w:t>
      </w:r>
      <w:r>
        <w:rPr>
          <w:rFonts w:ascii="宋体" w:hAnsi="宋体"/>
          <w:b/>
          <w:sz w:val="24"/>
          <w:highlight w:val="none"/>
        </w:rPr>
        <w:t>、公告期限</w:t>
      </w:r>
    </w:p>
    <w:p>
      <w:pPr>
        <w:spacing w:line="360" w:lineRule="auto"/>
        <w:ind w:firstLine="480"/>
        <w:jc w:val="left"/>
        <w:rPr>
          <w:rFonts w:ascii="宋体" w:hAnsi="宋体"/>
          <w:sz w:val="24"/>
          <w:highlight w:val="none"/>
        </w:rPr>
      </w:pPr>
      <w:r>
        <w:rPr>
          <w:rFonts w:ascii="宋体" w:hAnsi="宋体"/>
          <w:sz w:val="24"/>
          <w:highlight w:val="none"/>
        </w:rPr>
        <w:t>自本公告发布之日起5个工作日。</w:t>
      </w:r>
    </w:p>
    <w:p>
      <w:pPr>
        <w:spacing w:line="360" w:lineRule="auto"/>
        <w:ind w:firstLine="482"/>
        <w:jc w:val="left"/>
        <w:rPr>
          <w:rFonts w:ascii="宋体" w:hAnsi="宋体"/>
          <w:b/>
          <w:sz w:val="24"/>
          <w:highlight w:val="none"/>
        </w:rPr>
      </w:pPr>
      <w:r>
        <w:rPr>
          <w:rFonts w:hint="eastAsia" w:ascii="宋体" w:hAnsi="宋体"/>
          <w:b/>
          <w:sz w:val="24"/>
          <w:highlight w:val="none"/>
        </w:rPr>
        <w:t>六</w:t>
      </w:r>
      <w:r>
        <w:rPr>
          <w:rFonts w:ascii="宋体" w:hAnsi="宋体"/>
          <w:b/>
          <w:sz w:val="24"/>
          <w:highlight w:val="none"/>
        </w:rPr>
        <w:t>、其他补充事宜</w:t>
      </w:r>
    </w:p>
    <w:p>
      <w:pPr>
        <w:spacing w:line="360" w:lineRule="auto"/>
        <w:ind w:firstLine="480"/>
        <w:jc w:val="lef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ascii="宋体" w:hAnsi="宋体"/>
          <w:sz w:val="24"/>
          <w:highlight w:val="none"/>
        </w:rPr>
        <w:t>投标保证金：免收</w:t>
      </w:r>
      <w:r>
        <w:rPr>
          <w:rFonts w:hint="eastAsia" w:ascii="宋体" w:hAnsi="宋体"/>
          <w:sz w:val="24"/>
          <w:highlight w:val="none"/>
        </w:rPr>
        <w:t>。</w:t>
      </w:r>
    </w:p>
    <w:p>
      <w:pPr>
        <w:spacing w:line="360" w:lineRule="auto"/>
        <w:ind w:firstLine="480"/>
        <w:jc w:val="left"/>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ascii="宋体" w:hAnsi="宋体"/>
          <w:sz w:val="24"/>
          <w:highlight w:val="none"/>
        </w:rPr>
        <w:t>项目</w:t>
      </w:r>
      <w:r>
        <w:rPr>
          <w:rFonts w:hint="eastAsia" w:ascii="宋体" w:hAnsi="宋体"/>
          <w:sz w:val="24"/>
          <w:highlight w:val="none"/>
        </w:rPr>
        <w:t>开标</w:t>
      </w:r>
      <w:r>
        <w:rPr>
          <w:rFonts w:ascii="宋体" w:hAnsi="宋体"/>
          <w:sz w:val="24"/>
          <w:highlight w:val="none"/>
        </w:rPr>
        <w:t>活动模式：</w:t>
      </w:r>
      <w:r>
        <w:rPr>
          <w:rFonts w:hint="eastAsia" w:ascii="宋体" w:hAnsi="宋体"/>
          <w:sz w:val="24"/>
          <w:highlight w:val="none"/>
        </w:rPr>
        <w:t>不见面远程开标模式，投标人在各自地点通过不见面交易系统参加开标会。</w:t>
      </w:r>
    </w:p>
    <w:p>
      <w:pPr>
        <w:spacing w:line="360" w:lineRule="auto"/>
        <w:ind w:firstLine="480"/>
        <w:jc w:val="left"/>
        <w:rPr>
          <w:rFonts w:hint="eastAsia" w:ascii="宋体" w:hAnsi="宋体"/>
          <w:sz w:val="24"/>
          <w:highlight w:val="none"/>
        </w:rPr>
      </w:pPr>
      <w:r>
        <w:rPr>
          <w:rFonts w:hint="eastAsia" w:ascii="宋体" w:hAnsi="宋体"/>
          <w:sz w:val="24"/>
          <w:highlight w:val="none"/>
        </w:rPr>
        <w:t>3.项目演示、样品、答辩等（如有请描述）：无。</w:t>
      </w:r>
    </w:p>
    <w:p>
      <w:pPr>
        <w:spacing w:line="360" w:lineRule="auto"/>
        <w:ind w:firstLine="480"/>
        <w:jc w:val="left"/>
        <w:rPr>
          <w:rFonts w:ascii="宋体" w:hAnsi="宋体"/>
          <w:sz w:val="24"/>
          <w:highlight w:val="none"/>
        </w:rPr>
      </w:pPr>
      <w:r>
        <w:rPr>
          <w:rFonts w:hint="eastAsia" w:ascii="宋体" w:hAnsi="宋体"/>
          <w:sz w:val="24"/>
          <w:highlight w:val="none"/>
        </w:rPr>
        <w:t>4.对项目需求部分（供应商资格要求、项目需求、评分标准）的询问、质疑请向采购人提出，由采购人负责答复；对项目招标文件其它部分的询问请向请向招标文件制作人或项目采购经办人提出；对在“电子交易平台”操作阶段的询问请向交易系统软件维护人员提出。</w:t>
      </w:r>
    </w:p>
    <w:p>
      <w:pPr>
        <w:spacing w:line="360" w:lineRule="auto"/>
        <w:ind w:firstLine="480"/>
        <w:jc w:val="left"/>
        <w:rPr>
          <w:rFonts w:hint="eastAsia" w:ascii="宋体" w:hAnsi="宋体"/>
          <w:sz w:val="24"/>
          <w:highlight w:val="none"/>
        </w:rPr>
      </w:pPr>
      <w:r>
        <w:rPr>
          <w:rFonts w:hint="eastAsia" w:ascii="宋体" w:hAnsi="宋体"/>
          <w:sz w:val="24"/>
          <w:highlight w:val="none"/>
        </w:rPr>
        <w:t>5.有关本次招标的事项若存在变动或修改，均以江苏政府采购网发布的更正或补充通知为准，敬请及时关注。</w:t>
      </w:r>
    </w:p>
    <w:p>
      <w:pPr>
        <w:shd w:val="clear" w:color="auto" w:fill="FFFFFF"/>
        <w:spacing w:line="360" w:lineRule="auto"/>
        <w:ind w:firstLine="468"/>
        <w:jc w:val="left"/>
        <w:rPr>
          <w:rFonts w:hint="eastAsia" w:ascii="宋体" w:hAnsi="宋体"/>
          <w:sz w:val="24"/>
          <w:highlight w:val="none"/>
        </w:rPr>
      </w:pPr>
      <w:r>
        <w:rPr>
          <w:rFonts w:hint="eastAsia" w:ascii="宋体" w:hAnsi="宋体"/>
          <w:sz w:val="24"/>
          <w:highlight w:val="none"/>
        </w:rPr>
        <w:t>6.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pPr>
        <w:spacing w:line="360" w:lineRule="auto"/>
        <w:ind w:firstLine="480"/>
        <w:jc w:val="left"/>
        <w:rPr>
          <w:rFonts w:ascii="宋体" w:hAnsi="宋体"/>
          <w:sz w:val="24"/>
          <w:highlight w:val="none"/>
        </w:rPr>
      </w:pPr>
      <w:r>
        <w:rPr>
          <w:rFonts w:hint="eastAsia" w:ascii="宋体" w:hAnsi="宋体"/>
          <w:sz w:val="24"/>
          <w:highlight w:val="none"/>
        </w:rPr>
        <w:t>7.潜在供应商访问电子招标响应交易平台的网络地址和方法：</w:t>
      </w:r>
    </w:p>
    <w:p>
      <w:pPr>
        <w:spacing w:line="360" w:lineRule="auto"/>
        <w:ind w:firstLine="480"/>
        <w:jc w:val="left"/>
        <w:rPr>
          <w:rFonts w:ascii="宋体" w:hAnsi="宋体"/>
          <w:sz w:val="24"/>
          <w:highlight w:val="none"/>
        </w:rPr>
      </w:pPr>
      <w:r>
        <w:rPr>
          <w:rFonts w:hint="eastAsia" w:ascii="宋体" w:hAnsi="宋体"/>
          <w:sz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pPr>
        <w:spacing w:line="360" w:lineRule="auto"/>
        <w:ind w:firstLine="480"/>
        <w:jc w:val="left"/>
        <w:rPr>
          <w:rFonts w:ascii="宋体" w:hAnsi="宋体"/>
          <w:sz w:val="24"/>
          <w:highlight w:val="none"/>
        </w:rPr>
      </w:pPr>
      <w:r>
        <w:rPr>
          <w:rFonts w:hint="eastAsia" w:ascii="宋体" w:hAnsi="宋体"/>
          <w:sz w:val="24"/>
          <w:highlight w:val="none"/>
        </w:rPr>
        <w:t>8.潜在供应商访问“苏采云”系统的网络地址和方法：“苏采云”系统的网址：http://jszfcg.jsczt.cn/。</w:t>
      </w:r>
    </w:p>
    <w:p>
      <w:pPr>
        <w:spacing w:line="360" w:lineRule="auto"/>
        <w:ind w:firstLine="480"/>
        <w:jc w:val="left"/>
        <w:rPr>
          <w:rFonts w:ascii="宋体" w:hAnsi="宋体"/>
          <w:sz w:val="24"/>
          <w:highlight w:val="none"/>
        </w:rPr>
      </w:pPr>
      <w:r>
        <w:rPr>
          <w:rFonts w:hint="eastAsia" w:ascii="宋体" w:hAnsi="宋体"/>
          <w:sz w:val="24"/>
          <w:highlight w:val="none"/>
        </w:rPr>
        <w:t>9.“CA数字证书”的获取：</w:t>
      </w:r>
    </w:p>
    <w:p>
      <w:pPr>
        <w:spacing w:line="360" w:lineRule="auto"/>
        <w:ind w:firstLine="480"/>
        <w:jc w:val="left"/>
        <w:rPr>
          <w:rFonts w:ascii="宋体" w:hAnsi="宋体"/>
          <w:sz w:val="24"/>
          <w:highlight w:val="none"/>
        </w:rPr>
      </w:pPr>
      <w:r>
        <w:rPr>
          <w:rFonts w:hint="eastAsia" w:ascii="宋体" w:hAnsi="宋体"/>
          <w:sz w:val="24"/>
          <w:highlight w:val="none"/>
        </w:rPr>
        <w:t>响应供应商需办理“CA数字证书”，CA办理指南及“苏采云”操作手册可至江苏政府采购网―办事指南-资料下载中心下载。</w:t>
      </w:r>
    </w:p>
    <w:p>
      <w:pPr>
        <w:spacing w:line="360" w:lineRule="auto"/>
        <w:ind w:firstLine="480"/>
        <w:jc w:val="left"/>
        <w:rPr>
          <w:rFonts w:ascii="宋体" w:hAnsi="宋体"/>
          <w:sz w:val="24"/>
          <w:highlight w:val="none"/>
        </w:rPr>
      </w:pPr>
      <w:r>
        <w:rPr>
          <w:rFonts w:hint="eastAsia" w:ascii="宋体" w:hAnsi="宋体"/>
          <w:sz w:val="24"/>
          <w:highlight w:val="none"/>
        </w:rPr>
        <w:t>通过苏采云系统首页（http://jszfcg.jscz.gov.cn/）的“苏采云控件驱动下载”，选择“政务CA、方正签章控件驱动安装包及安装说明”下载安装，具体安装方法详见下载文件内的《安装说明》。</w:t>
      </w:r>
    </w:p>
    <w:p>
      <w:pPr>
        <w:spacing w:line="360" w:lineRule="auto"/>
        <w:ind w:firstLine="480"/>
        <w:jc w:val="left"/>
        <w:rPr>
          <w:rFonts w:hint="eastAsia" w:ascii="宋体" w:hAnsi="宋体"/>
          <w:sz w:val="24"/>
          <w:highlight w:val="none"/>
        </w:rPr>
      </w:pPr>
      <w:r>
        <w:rPr>
          <w:rFonts w:hint="eastAsia" w:ascii="宋体" w:hAnsi="宋体"/>
          <w:bCs/>
          <w:sz w:val="24"/>
          <w:highlight w:val="none"/>
        </w:rPr>
        <w:t>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www.ccgp-jiangsu.gov.cn/jiangsu/zlxz/ee/ee3a4bc5a3454aa2b0d9312230633ce9.html。</w:t>
      </w:r>
    </w:p>
    <w:p>
      <w:pPr>
        <w:spacing w:line="360" w:lineRule="auto"/>
        <w:ind w:firstLine="480"/>
        <w:jc w:val="left"/>
        <w:rPr>
          <w:rFonts w:ascii="宋体" w:hAnsi="宋体"/>
          <w:sz w:val="24"/>
          <w:highlight w:val="none"/>
        </w:rPr>
      </w:pPr>
      <w:r>
        <w:rPr>
          <w:rFonts w:hint="eastAsia" w:ascii="宋体" w:hAnsi="宋体"/>
          <w:sz w:val="24"/>
          <w:highlight w:val="none"/>
        </w:rPr>
        <w:t>10.采购文件（后缀名为“.kedt”）、供应商操作手册及政府采购客户端工具可通过“苏采云”系统--已报名项目--报名详情页面内相应链接进行下载。</w:t>
      </w:r>
    </w:p>
    <w:p>
      <w:pPr>
        <w:spacing w:line="360" w:lineRule="auto"/>
        <w:ind w:firstLine="480"/>
        <w:jc w:val="left"/>
        <w:rPr>
          <w:rFonts w:hint="eastAsia" w:ascii="宋体" w:hAnsi="宋体"/>
          <w:sz w:val="24"/>
          <w:highlight w:val="none"/>
        </w:rPr>
      </w:pPr>
      <w:r>
        <w:rPr>
          <w:rFonts w:hint="eastAsia" w:ascii="宋体" w:hAnsi="宋体"/>
          <w:sz w:val="24"/>
          <w:highlight w:val="none"/>
        </w:rPr>
        <w:t xml:space="preserve">11.采购人或采购代理机构将数据电文形式的采购文件加载至“苏采云”系统，供潜在供应商下载或者查阅。 </w:t>
      </w:r>
    </w:p>
    <w:p>
      <w:pPr>
        <w:spacing w:line="360" w:lineRule="auto"/>
        <w:ind w:firstLine="480"/>
        <w:jc w:val="left"/>
        <w:rPr>
          <w:rFonts w:ascii="宋体" w:hAnsi="宋体"/>
          <w:sz w:val="24"/>
          <w:highlight w:val="none"/>
        </w:rPr>
      </w:pPr>
      <w:r>
        <w:rPr>
          <w:rFonts w:hint="eastAsia" w:ascii="宋体" w:hAnsi="宋体"/>
          <w:sz w:val="24"/>
          <w:highlight w:val="none"/>
        </w:rPr>
        <w:t>12.请潜在供应商提前安装相应的控件（详见《江苏省政府采购管理交易系统（苏采云）供应商操作手册》）并登录“苏采云”系统参与不见面开评标。</w:t>
      </w:r>
    </w:p>
    <w:p>
      <w:pPr>
        <w:spacing w:line="360" w:lineRule="auto"/>
        <w:ind w:firstLine="480"/>
        <w:jc w:val="left"/>
        <w:rPr>
          <w:rFonts w:ascii="宋体" w:hAnsi="宋体"/>
          <w:sz w:val="24"/>
          <w:highlight w:val="none"/>
        </w:rPr>
      </w:pPr>
      <w:r>
        <w:rPr>
          <w:rFonts w:hint="eastAsia" w:ascii="宋体" w:hAnsi="宋体"/>
          <w:sz w:val="24"/>
          <w:highlight w:val="none"/>
        </w:rPr>
        <w:t>13.开评标全过程中，投标人一端参与交互的人员将均被视为是投标人的授权委托人或法定代表人，投标人不得以不承认交互人员的资格或身份等为借口抵赖推脱，投标人自行承担随意更换人员所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pPr>
        <w:spacing w:line="360" w:lineRule="auto"/>
        <w:ind w:firstLine="480"/>
        <w:jc w:val="left"/>
        <w:rPr>
          <w:rFonts w:ascii="宋体" w:hAnsi="宋体"/>
          <w:sz w:val="24"/>
          <w:highlight w:val="none"/>
        </w:rPr>
      </w:pPr>
      <w:r>
        <w:rPr>
          <w:rFonts w:hint="eastAsia" w:ascii="宋体" w:hAnsi="宋体"/>
          <w:sz w:val="24"/>
          <w:highlight w:val="none"/>
        </w:rPr>
        <w:t>14.投标文件的解密：开标当天投标人应及时登录“苏采云”不见面开标大厅，并在规定时间内自行实施远程解密。</w:t>
      </w:r>
      <w:r>
        <w:rPr>
          <w:rFonts w:hint="eastAsia" w:ascii="宋体" w:hAnsi="宋体"/>
          <w:b/>
          <w:sz w:val="24"/>
          <w:highlight w:val="none"/>
        </w:rPr>
        <w:t>投标人解密时间限定为投标文件解密指令发出后30分钟（投标人应当充分考虑网络延时造成的本地网络计时不一致风险，提前完成解密动作）。</w:t>
      </w:r>
      <w:r>
        <w:rPr>
          <w:rFonts w:hint="eastAsia" w:ascii="宋体" w:hAnsi="宋体"/>
          <w:b/>
          <w:bCs/>
          <w:sz w:val="24"/>
          <w:highlight w:val="none"/>
        </w:rPr>
        <w:t>投标人因网络、电源、浏览器不稳定、未按要求配置软硬件环境，解密锁用错或其他物理故障、操作熟练程度等自身原因，导致投标文件在规定时间内未能解密、解密失败或解密超时，系统内投标文件将被退回，相应风险由投标人自行承担；</w:t>
      </w:r>
      <w:r>
        <w:rPr>
          <w:rFonts w:hint="eastAsia" w:ascii="宋体" w:hAnsi="宋体"/>
          <w:sz w:val="24"/>
          <w:highlight w:val="none"/>
        </w:rPr>
        <w:t>因采购人（或采购代理机构）原因或网上招投标平台发生故障，导致无法按时完成投标文件解密或开、评标工作无法进行的，可根据实际情况相应延迟解密时间或调整开、评标时间。</w:t>
      </w:r>
    </w:p>
    <w:p>
      <w:pPr>
        <w:spacing w:line="360" w:lineRule="auto"/>
        <w:ind w:firstLine="482"/>
        <w:jc w:val="left"/>
        <w:rPr>
          <w:rFonts w:ascii="宋体" w:hAnsi="宋体"/>
          <w:b/>
          <w:sz w:val="24"/>
          <w:highlight w:val="none"/>
        </w:rPr>
      </w:pPr>
      <w:r>
        <w:rPr>
          <w:rFonts w:hint="eastAsia" w:ascii="宋体" w:hAnsi="宋体"/>
          <w:b/>
          <w:sz w:val="24"/>
          <w:highlight w:val="none"/>
        </w:rPr>
        <w:t>注：如潜在供应商未按上述要求操作，将自行承担所产生的风险。</w:t>
      </w:r>
    </w:p>
    <w:p>
      <w:pPr>
        <w:widowControl/>
        <w:shd w:val="clear" w:color="auto" w:fill="FFFFFF"/>
        <w:spacing w:line="360" w:lineRule="auto"/>
        <w:ind w:firstLine="470"/>
        <w:jc w:val="left"/>
        <w:rPr>
          <w:rFonts w:ascii="宋体" w:hAnsi="宋体"/>
          <w:b/>
          <w:bCs/>
          <w:sz w:val="24"/>
          <w:highlight w:val="none"/>
        </w:rPr>
      </w:pPr>
      <w:r>
        <w:rPr>
          <w:rFonts w:hint="eastAsia" w:ascii="宋体" w:hAnsi="宋体"/>
          <w:b/>
          <w:bCs/>
          <w:sz w:val="24"/>
          <w:highlight w:val="none"/>
        </w:rPr>
        <w:t>七</w:t>
      </w:r>
      <w:r>
        <w:rPr>
          <w:rFonts w:ascii="宋体" w:hAnsi="宋体"/>
          <w:b/>
          <w:bCs/>
          <w:sz w:val="24"/>
          <w:highlight w:val="none"/>
        </w:rPr>
        <w:t>、对本次</w:t>
      </w:r>
      <w:r>
        <w:rPr>
          <w:rFonts w:hint="eastAsia" w:ascii="宋体" w:hAnsi="宋体"/>
          <w:b/>
          <w:bCs/>
          <w:sz w:val="24"/>
          <w:highlight w:val="none"/>
        </w:rPr>
        <w:t>招标</w:t>
      </w:r>
      <w:r>
        <w:rPr>
          <w:rFonts w:ascii="宋体" w:hAnsi="宋体"/>
          <w:b/>
          <w:bCs/>
          <w:sz w:val="24"/>
          <w:highlight w:val="none"/>
        </w:rPr>
        <w:t>提出询问，请按以下方式联系。</w:t>
      </w:r>
    </w:p>
    <w:p>
      <w:pPr>
        <w:spacing w:line="360" w:lineRule="auto"/>
        <w:ind w:firstLine="470"/>
        <w:jc w:val="left"/>
        <w:rPr>
          <w:rFonts w:ascii="宋体" w:hAnsi="宋体"/>
          <w:sz w:val="24"/>
          <w:highlight w:val="none"/>
        </w:rPr>
      </w:pPr>
      <w:r>
        <w:rPr>
          <w:rFonts w:ascii="宋体" w:hAnsi="宋体"/>
          <w:sz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名称：通州湾示范区海洋与渔业局</w:t>
      </w:r>
    </w:p>
    <w:p>
      <w:pPr>
        <w:keepNext w:val="0"/>
        <w:keepLines w:val="0"/>
        <w:pageBreakBefore w:val="0"/>
        <w:widowControl w:val="0"/>
        <w:kinsoku/>
        <w:wordWrap/>
        <w:overflowPunct/>
        <w:topLinePunct w:val="0"/>
        <w:autoSpaceDE/>
        <w:autoSpaceDN/>
        <w:bidi w:val="0"/>
        <w:adjustRightInd/>
        <w:snapToGrid/>
        <w:spacing w:line="360" w:lineRule="auto"/>
        <w:ind w:firstLine="470"/>
        <w:jc w:val="left"/>
        <w:textAlignment w:val="auto"/>
        <w:rPr>
          <w:rFonts w:hint="eastAsia" w:ascii="宋体" w:hAnsi="宋体"/>
          <w:sz w:val="24"/>
          <w:highlight w:val="none"/>
        </w:rPr>
      </w:pPr>
      <w:r>
        <w:rPr>
          <w:rFonts w:hint="eastAsia" w:ascii="宋体" w:hAnsi="宋体"/>
          <w:sz w:val="24"/>
          <w:highlight w:val="none"/>
        </w:rPr>
        <w:t>地址：南通市通州湾示范区</w:t>
      </w:r>
    </w:p>
    <w:p>
      <w:pPr>
        <w:spacing w:line="360" w:lineRule="auto"/>
        <w:ind w:firstLine="470"/>
        <w:jc w:val="left"/>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王女士</w:t>
      </w:r>
    </w:p>
    <w:p>
      <w:pPr>
        <w:spacing w:line="360" w:lineRule="auto"/>
        <w:ind w:firstLine="470"/>
        <w:jc w:val="left"/>
        <w:rPr>
          <w:rFonts w:hint="eastAsia" w:ascii="宋体" w:hAnsi="宋体"/>
          <w:sz w:val="24"/>
          <w:highlight w:val="none"/>
          <w:lang w:val="en-US" w:eastAsia="zh-CN"/>
        </w:rPr>
      </w:pPr>
      <w:r>
        <w:rPr>
          <w:rFonts w:hint="eastAsia" w:ascii="宋体" w:hAnsi="宋体"/>
          <w:sz w:val="24"/>
          <w:highlight w:val="none"/>
        </w:rPr>
        <w:t>联系方式：</w:t>
      </w:r>
      <w:r>
        <w:rPr>
          <w:rFonts w:hint="eastAsia" w:ascii="宋体" w:hAnsi="宋体"/>
          <w:sz w:val="24"/>
          <w:highlight w:val="none"/>
          <w:lang w:val="en-US" w:eastAsia="zh-CN"/>
        </w:rPr>
        <w:t>0513-81680511</w:t>
      </w:r>
    </w:p>
    <w:p>
      <w:pPr>
        <w:spacing w:line="360" w:lineRule="auto"/>
        <w:ind w:firstLine="470"/>
        <w:jc w:val="left"/>
        <w:rPr>
          <w:rFonts w:ascii="宋体" w:hAnsi="宋体"/>
          <w:sz w:val="24"/>
          <w:highlight w:val="none"/>
        </w:rPr>
      </w:pPr>
      <w:r>
        <w:rPr>
          <w:rFonts w:hint="eastAsia" w:ascii="宋体" w:hAnsi="宋体"/>
          <w:sz w:val="24"/>
          <w:highlight w:val="none"/>
        </w:rPr>
        <w:t>2.采购代理机构信息</w:t>
      </w:r>
    </w:p>
    <w:p>
      <w:pPr>
        <w:spacing w:line="360" w:lineRule="auto"/>
        <w:ind w:firstLine="470"/>
        <w:jc w:val="left"/>
        <w:rPr>
          <w:rFonts w:hint="eastAsia" w:ascii="宋体" w:hAnsi="宋体"/>
          <w:sz w:val="24"/>
          <w:highlight w:val="none"/>
          <w:lang w:eastAsia="zh-CN"/>
        </w:rPr>
      </w:pPr>
      <w:r>
        <w:rPr>
          <w:rFonts w:hint="eastAsia" w:ascii="宋体" w:hAnsi="宋体"/>
          <w:sz w:val="24"/>
          <w:highlight w:val="none"/>
        </w:rPr>
        <w:t>名称：</w:t>
      </w:r>
      <w:r>
        <w:rPr>
          <w:rFonts w:ascii="宋体" w:hAnsi="宋体"/>
          <w:sz w:val="24"/>
          <w:highlight w:val="none"/>
        </w:rPr>
        <w:t>江苏</w:t>
      </w:r>
      <w:r>
        <w:rPr>
          <w:rFonts w:hint="eastAsia" w:ascii="宋体" w:hAnsi="宋体"/>
          <w:sz w:val="24"/>
          <w:highlight w:val="none"/>
          <w:lang w:eastAsia="zh-CN"/>
        </w:rPr>
        <w:t>奥峰工程项目管理有限公司</w:t>
      </w:r>
    </w:p>
    <w:p>
      <w:pPr>
        <w:spacing w:line="360" w:lineRule="auto"/>
        <w:ind w:firstLine="470"/>
        <w:jc w:val="left"/>
        <w:rPr>
          <w:rFonts w:hint="eastAsia" w:ascii="宋体" w:hAnsi="宋体"/>
          <w:sz w:val="24"/>
          <w:highlight w:val="none"/>
          <w:lang w:eastAsia="zh-CN"/>
        </w:rPr>
      </w:pPr>
      <w:r>
        <w:rPr>
          <w:rFonts w:hint="eastAsia" w:ascii="宋体" w:hAnsi="宋体"/>
          <w:sz w:val="24"/>
          <w:highlight w:val="none"/>
          <w:lang w:eastAsia="zh-CN"/>
        </w:rPr>
        <w:t>地址：南京市江宁区滨江经济开发区地秀路757号</w:t>
      </w:r>
    </w:p>
    <w:p>
      <w:pPr>
        <w:spacing w:line="360" w:lineRule="auto"/>
        <w:ind w:firstLine="470"/>
        <w:jc w:val="left"/>
        <w:rPr>
          <w:rFonts w:ascii="宋体" w:hAnsi="宋体"/>
          <w:sz w:val="24"/>
          <w:highlight w:val="none"/>
        </w:rPr>
      </w:pPr>
      <w:r>
        <w:rPr>
          <w:rFonts w:ascii="宋体" w:hAnsi="宋体"/>
          <w:sz w:val="24"/>
          <w:highlight w:val="none"/>
        </w:rPr>
        <w:t>联系人：</w:t>
      </w:r>
      <w:r>
        <w:rPr>
          <w:rFonts w:hint="eastAsia" w:ascii="宋体" w:hAnsi="宋体"/>
          <w:sz w:val="24"/>
          <w:highlight w:val="none"/>
          <w:lang w:eastAsia="zh-CN"/>
        </w:rPr>
        <w:t>赵</w:t>
      </w:r>
      <w:r>
        <w:rPr>
          <w:rFonts w:hint="eastAsia" w:ascii="宋体" w:hAnsi="宋体"/>
          <w:sz w:val="24"/>
          <w:highlight w:val="none"/>
        </w:rPr>
        <w:t>女士</w:t>
      </w:r>
    </w:p>
    <w:p>
      <w:pPr>
        <w:spacing w:line="360" w:lineRule="auto"/>
        <w:ind w:firstLine="470"/>
        <w:jc w:val="left"/>
        <w:rPr>
          <w:rFonts w:hint="eastAsia" w:ascii="宋体" w:hAnsi="宋体"/>
          <w:sz w:val="24"/>
          <w:highlight w:val="none"/>
          <w:lang w:val="en-US" w:eastAsia="zh-CN"/>
        </w:rPr>
      </w:pPr>
      <w:r>
        <w:rPr>
          <w:rFonts w:ascii="宋体" w:hAnsi="宋体"/>
          <w:sz w:val="24"/>
          <w:highlight w:val="none"/>
        </w:rPr>
        <w:t>电话：</w:t>
      </w:r>
      <w:r>
        <w:rPr>
          <w:rFonts w:hint="eastAsia" w:ascii="宋体" w:hAnsi="宋体"/>
          <w:sz w:val="24"/>
          <w:highlight w:val="none"/>
          <w:lang w:val="en-US" w:eastAsia="zh-CN"/>
        </w:rPr>
        <w:t>13584646029</w:t>
      </w:r>
    </w:p>
    <w:p>
      <w:pPr>
        <w:spacing w:line="360" w:lineRule="auto"/>
        <w:ind w:firstLine="470"/>
        <w:jc w:val="left"/>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lang w:val="en-US" w:eastAsia="zh-CN"/>
        </w:rPr>
        <w:t>475905142</w:t>
      </w:r>
      <w:r>
        <w:rPr>
          <w:rFonts w:ascii="宋体" w:hAnsi="宋体"/>
          <w:sz w:val="24"/>
          <w:highlight w:val="none"/>
        </w:rPr>
        <w:t>@</w:t>
      </w:r>
      <w:r>
        <w:rPr>
          <w:rFonts w:hint="eastAsia" w:ascii="宋体" w:hAnsi="宋体"/>
          <w:sz w:val="24"/>
          <w:highlight w:val="none"/>
          <w:lang w:val="en-US" w:eastAsia="zh-CN"/>
        </w:rPr>
        <w:t>qq</w:t>
      </w:r>
      <w:r>
        <w:rPr>
          <w:rFonts w:hint="eastAsia" w:ascii="宋体" w:hAnsi="宋体"/>
          <w:sz w:val="24"/>
          <w:highlight w:val="none"/>
        </w:rPr>
        <w:t>.com</w:t>
      </w:r>
    </w:p>
    <w:p>
      <w:pPr>
        <w:spacing w:line="360" w:lineRule="auto"/>
        <w:ind w:firstLine="470"/>
        <w:jc w:val="left"/>
        <w:rPr>
          <w:rFonts w:ascii="宋体" w:hAnsi="宋体"/>
          <w:sz w:val="24"/>
          <w:highlight w:val="none"/>
        </w:rPr>
      </w:pPr>
      <w:r>
        <w:rPr>
          <w:rFonts w:ascii="宋体" w:hAnsi="宋体"/>
          <w:sz w:val="24"/>
          <w:highlight w:val="none"/>
        </w:rPr>
        <w:t>3.项目联系方式</w:t>
      </w:r>
    </w:p>
    <w:p>
      <w:pPr>
        <w:spacing w:line="360" w:lineRule="auto"/>
        <w:ind w:firstLine="470"/>
        <w:jc w:val="left"/>
        <w:rPr>
          <w:rFonts w:ascii="宋体" w:hAnsi="宋体"/>
          <w:sz w:val="24"/>
          <w:highlight w:val="none"/>
        </w:rPr>
      </w:pPr>
      <w:r>
        <w:rPr>
          <w:rFonts w:hint="eastAsia" w:ascii="宋体" w:hAnsi="宋体"/>
          <w:sz w:val="24"/>
          <w:highlight w:val="none"/>
        </w:rPr>
        <w:t>招标</w:t>
      </w:r>
      <w:r>
        <w:rPr>
          <w:rFonts w:ascii="宋体" w:hAnsi="宋体"/>
          <w:sz w:val="24"/>
          <w:highlight w:val="none"/>
        </w:rPr>
        <w:t xml:space="preserve">文件制作人: </w:t>
      </w:r>
      <w:r>
        <w:rPr>
          <w:rFonts w:hint="eastAsia" w:ascii="宋体" w:hAnsi="宋体"/>
          <w:sz w:val="24"/>
          <w:highlight w:val="none"/>
          <w:lang w:eastAsia="zh-CN"/>
        </w:rPr>
        <w:t>赵</w:t>
      </w:r>
      <w:r>
        <w:rPr>
          <w:rFonts w:hint="eastAsia" w:ascii="宋体" w:hAnsi="宋体"/>
          <w:sz w:val="24"/>
          <w:highlight w:val="none"/>
        </w:rPr>
        <w:t>女士</w:t>
      </w:r>
      <w:r>
        <w:rPr>
          <w:rFonts w:ascii="宋体" w:hAnsi="宋体"/>
          <w:sz w:val="24"/>
          <w:highlight w:val="none"/>
        </w:rPr>
        <w:t>（</w:t>
      </w:r>
      <w:r>
        <w:rPr>
          <w:rFonts w:hint="eastAsia" w:ascii="宋体" w:hAnsi="宋体"/>
          <w:sz w:val="24"/>
          <w:highlight w:val="none"/>
        </w:rPr>
        <w:t>1</w:t>
      </w:r>
      <w:r>
        <w:rPr>
          <w:rFonts w:hint="eastAsia" w:ascii="宋体" w:hAnsi="宋体"/>
          <w:sz w:val="24"/>
          <w:highlight w:val="none"/>
          <w:lang w:val="en-US" w:eastAsia="zh-CN"/>
        </w:rPr>
        <w:t>3584646029</w:t>
      </w:r>
      <w:r>
        <w:rPr>
          <w:rFonts w:ascii="宋体" w:hAnsi="宋体"/>
          <w:sz w:val="24"/>
          <w:highlight w:val="none"/>
        </w:rPr>
        <w:t>）</w:t>
      </w:r>
    </w:p>
    <w:p>
      <w:pPr>
        <w:spacing w:line="360" w:lineRule="auto"/>
        <w:ind w:firstLine="470"/>
        <w:jc w:val="left"/>
        <w:rPr>
          <w:rFonts w:ascii="宋体" w:hAnsi="宋体"/>
          <w:sz w:val="24"/>
          <w:highlight w:val="none"/>
        </w:rPr>
      </w:pPr>
      <w:r>
        <w:rPr>
          <w:rFonts w:ascii="宋体" w:hAnsi="宋体"/>
          <w:sz w:val="24"/>
          <w:highlight w:val="none"/>
        </w:rPr>
        <w:t>项目</w:t>
      </w:r>
      <w:r>
        <w:rPr>
          <w:rFonts w:hint="eastAsia" w:ascii="宋体" w:hAnsi="宋体"/>
          <w:sz w:val="24"/>
          <w:highlight w:val="none"/>
        </w:rPr>
        <w:t>采购</w:t>
      </w:r>
      <w:r>
        <w:rPr>
          <w:rFonts w:ascii="宋体" w:hAnsi="宋体"/>
          <w:sz w:val="24"/>
          <w:highlight w:val="none"/>
        </w:rPr>
        <w:t>经办人：</w:t>
      </w:r>
      <w:r>
        <w:rPr>
          <w:rFonts w:hint="eastAsia" w:ascii="宋体" w:hAnsi="宋体"/>
          <w:sz w:val="24"/>
          <w:highlight w:val="none"/>
          <w:lang w:eastAsia="zh-CN"/>
        </w:rPr>
        <w:t>赵</w:t>
      </w:r>
      <w:r>
        <w:rPr>
          <w:rFonts w:hint="eastAsia" w:ascii="宋体" w:hAnsi="宋体"/>
          <w:sz w:val="24"/>
          <w:highlight w:val="none"/>
        </w:rPr>
        <w:t>女士（1</w:t>
      </w:r>
      <w:r>
        <w:rPr>
          <w:rFonts w:hint="eastAsia" w:ascii="宋体" w:hAnsi="宋体"/>
          <w:sz w:val="24"/>
          <w:highlight w:val="none"/>
          <w:lang w:val="en-US" w:eastAsia="zh-CN"/>
        </w:rPr>
        <w:t>3584646029</w:t>
      </w:r>
      <w:r>
        <w:rPr>
          <w:rFonts w:hint="eastAsia" w:ascii="宋体" w:hAnsi="宋体"/>
          <w:sz w:val="24"/>
          <w:highlight w:val="none"/>
        </w:rPr>
        <w:t>）</w:t>
      </w:r>
    </w:p>
    <w:p>
      <w:pPr>
        <w:spacing w:line="360" w:lineRule="auto"/>
        <w:ind w:firstLine="470"/>
        <w:jc w:val="left"/>
        <w:rPr>
          <w:rFonts w:ascii="宋体" w:hAnsi="宋体"/>
          <w:sz w:val="24"/>
          <w:highlight w:val="none"/>
        </w:rPr>
      </w:pPr>
      <w:r>
        <w:rPr>
          <w:rFonts w:hint="eastAsia" w:ascii="宋体" w:hAnsi="宋体"/>
          <w:sz w:val="24"/>
          <w:highlight w:val="none"/>
        </w:rPr>
        <w:t>软件技术支持电话：0519-86722801、0519-86722806</w:t>
      </w:r>
    </w:p>
    <w:p>
      <w:pPr>
        <w:spacing w:before="120" w:after="120" w:line="360" w:lineRule="auto"/>
        <w:jc w:val="center"/>
        <w:outlineLvl w:val="0"/>
        <w:rPr>
          <w:rFonts w:hint="eastAsia" w:ascii="宋体" w:hAnsi="宋体"/>
          <w:bCs/>
          <w:sz w:val="36"/>
          <w:szCs w:val="36"/>
          <w:highlight w:val="none"/>
        </w:rPr>
      </w:pPr>
      <w:r>
        <w:rPr>
          <w:rFonts w:hint="eastAsia" w:ascii="宋体" w:hAnsi="宋体"/>
          <w:bCs/>
          <w:sz w:val="36"/>
          <w:szCs w:val="36"/>
          <w:highlight w:val="none"/>
        </w:rPr>
        <w:br w:type="page" w:clear="all"/>
      </w:r>
      <w:r>
        <w:rPr>
          <w:rFonts w:hint="eastAsia" w:ascii="宋体" w:hAnsi="宋体"/>
          <w:bCs/>
          <w:sz w:val="36"/>
          <w:szCs w:val="36"/>
          <w:highlight w:val="none"/>
        </w:rPr>
        <w:t>第二部分  投标须知</w:t>
      </w:r>
    </w:p>
    <w:p>
      <w:pPr>
        <w:pStyle w:val="188"/>
        <w:spacing w:before="0" w:after="0" w:line="500" w:lineRule="exact"/>
        <w:rPr>
          <w:rFonts w:ascii="宋体" w:hAnsi="宋体"/>
          <w:sz w:val="24"/>
          <w:szCs w:val="24"/>
          <w:highlight w:val="none"/>
        </w:rPr>
      </w:pPr>
      <w:bookmarkStart w:id="4" w:name="_Toc20823275"/>
      <w:bookmarkStart w:id="5" w:name="_Toc513029203"/>
      <w:bookmarkStart w:id="6" w:name="_Toc120614214"/>
      <w:bookmarkStart w:id="7" w:name="_Toc16938519"/>
      <w:r>
        <w:rPr>
          <w:rFonts w:ascii="宋体" w:hAnsi="宋体"/>
          <w:sz w:val="24"/>
          <w:szCs w:val="24"/>
          <w:highlight w:val="none"/>
        </w:rPr>
        <w:t>（一）总则</w:t>
      </w:r>
      <w:bookmarkEnd w:id="4"/>
      <w:bookmarkEnd w:id="5"/>
      <w:bookmarkEnd w:id="6"/>
      <w:bookmarkEnd w:id="7"/>
    </w:p>
    <w:p>
      <w:pPr>
        <w:pStyle w:val="189"/>
        <w:spacing w:line="360" w:lineRule="auto"/>
        <w:ind w:firstLine="480"/>
        <w:jc w:val="left"/>
        <w:rPr>
          <w:rFonts w:ascii="宋体" w:hAnsi="宋体" w:eastAsia="宋体"/>
          <w:b/>
          <w:bCs/>
          <w:sz w:val="24"/>
          <w:szCs w:val="24"/>
          <w:highlight w:val="none"/>
        </w:rPr>
      </w:pPr>
      <w:bookmarkStart w:id="8" w:name="_Hlt16619475"/>
      <w:bookmarkEnd w:id="8"/>
      <w:bookmarkStart w:id="9" w:name="_Toc458694821"/>
      <w:bookmarkStart w:id="10" w:name="_Toc20823276"/>
      <w:bookmarkStart w:id="11" w:name="_Toc513029204"/>
      <w:bookmarkStart w:id="12" w:name="_Toc16938520"/>
      <w:r>
        <w:rPr>
          <w:rFonts w:ascii="宋体" w:hAnsi="宋体" w:eastAsia="宋体"/>
          <w:sz w:val="24"/>
          <w:szCs w:val="24"/>
          <w:highlight w:val="none"/>
        </w:rPr>
        <w:t>1</w:t>
      </w:r>
      <w:bookmarkEnd w:id="9"/>
      <w:r>
        <w:rPr>
          <w:rFonts w:ascii="宋体" w:hAnsi="宋体" w:eastAsia="宋体"/>
          <w:sz w:val="24"/>
          <w:szCs w:val="24"/>
          <w:highlight w:val="none"/>
        </w:rPr>
        <w:t>.招标方式</w:t>
      </w:r>
      <w:bookmarkEnd w:id="10"/>
      <w:bookmarkEnd w:id="11"/>
      <w:bookmarkEnd w:id="12"/>
    </w:p>
    <w:p>
      <w:pPr>
        <w:spacing w:line="360" w:lineRule="auto"/>
        <w:ind w:firstLine="480"/>
        <w:jc w:val="left"/>
        <w:rPr>
          <w:rFonts w:ascii="宋体" w:hAnsi="宋体"/>
          <w:sz w:val="24"/>
          <w:highlight w:val="none"/>
        </w:rPr>
      </w:pPr>
      <w:r>
        <w:rPr>
          <w:rFonts w:ascii="宋体" w:hAnsi="宋体"/>
          <w:sz w:val="24"/>
          <w:highlight w:val="none"/>
        </w:rPr>
        <w:t>1.1本次招标采取公开招标方式，本招标文件仅适用于招标公告中所述项目。</w:t>
      </w:r>
    </w:p>
    <w:p>
      <w:pPr>
        <w:pStyle w:val="189"/>
        <w:spacing w:line="360" w:lineRule="auto"/>
        <w:ind w:firstLine="480"/>
        <w:jc w:val="left"/>
        <w:rPr>
          <w:rFonts w:ascii="宋体" w:hAnsi="宋体" w:eastAsia="宋体"/>
          <w:b/>
          <w:bCs/>
          <w:sz w:val="24"/>
          <w:szCs w:val="24"/>
          <w:highlight w:val="none"/>
        </w:rPr>
      </w:pPr>
      <w:bookmarkStart w:id="13" w:name="_Toc513029205"/>
      <w:bookmarkStart w:id="14" w:name="_Toc16938521"/>
      <w:bookmarkStart w:id="15" w:name="_Toc20823277"/>
      <w:r>
        <w:rPr>
          <w:rFonts w:ascii="宋体" w:hAnsi="宋体" w:eastAsia="宋体"/>
          <w:sz w:val="24"/>
          <w:szCs w:val="24"/>
          <w:highlight w:val="none"/>
        </w:rPr>
        <w:t>2.合格的投标人</w:t>
      </w:r>
      <w:bookmarkEnd w:id="13"/>
      <w:bookmarkEnd w:id="14"/>
      <w:bookmarkEnd w:id="15"/>
    </w:p>
    <w:p>
      <w:pPr>
        <w:spacing w:line="360" w:lineRule="auto"/>
        <w:ind w:firstLine="480"/>
        <w:jc w:val="left"/>
        <w:rPr>
          <w:rFonts w:ascii="宋体" w:hAnsi="宋体"/>
          <w:sz w:val="24"/>
          <w:highlight w:val="none"/>
        </w:rPr>
      </w:pPr>
      <w:r>
        <w:rPr>
          <w:rFonts w:ascii="宋体" w:hAnsi="宋体"/>
          <w:sz w:val="24"/>
          <w:highlight w:val="none"/>
        </w:rPr>
        <w:t>2.1满足招标公告中供应商的资格要求的规定。</w:t>
      </w:r>
    </w:p>
    <w:p>
      <w:pPr>
        <w:spacing w:line="360" w:lineRule="auto"/>
        <w:ind w:firstLine="480"/>
        <w:jc w:val="left"/>
        <w:rPr>
          <w:rFonts w:ascii="宋体" w:hAnsi="宋体"/>
          <w:sz w:val="24"/>
          <w:highlight w:val="none"/>
        </w:rPr>
      </w:pPr>
      <w:r>
        <w:rPr>
          <w:rFonts w:ascii="宋体" w:hAnsi="宋体"/>
          <w:sz w:val="24"/>
          <w:highlight w:val="none"/>
        </w:rPr>
        <w:t>2.2满足本文件实质性条款的规定。</w:t>
      </w:r>
    </w:p>
    <w:p>
      <w:pPr>
        <w:pStyle w:val="189"/>
        <w:spacing w:line="360" w:lineRule="auto"/>
        <w:ind w:firstLine="480"/>
        <w:jc w:val="left"/>
        <w:rPr>
          <w:rFonts w:ascii="宋体" w:hAnsi="宋体" w:eastAsia="宋体"/>
          <w:b/>
          <w:bCs/>
          <w:sz w:val="24"/>
          <w:szCs w:val="24"/>
          <w:highlight w:val="none"/>
        </w:rPr>
      </w:pPr>
      <w:bookmarkStart w:id="16" w:name="_Toc20823278"/>
      <w:bookmarkStart w:id="17" w:name="_Toc513029206"/>
      <w:bookmarkStart w:id="18" w:name="_Toc16938522"/>
      <w:r>
        <w:rPr>
          <w:rFonts w:ascii="宋体" w:hAnsi="宋体" w:eastAsia="宋体"/>
          <w:sz w:val="24"/>
          <w:szCs w:val="24"/>
          <w:highlight w:val="none"/>
        </w:rPr>
        <w:t>3.适用法律</w:t>
      </w:r>
      <w:bookmarkEnd w:id="16"/>
      <w:bookmarkEnd w:id="17"/>
      <w:bookmarkEnd w:id="18"/>
    </w:p>
    <w:p>
      <w:pPr>
        <w:spacing w:line="360" w:lineRule="auto"/>
        <w:ind w:firstLine="420"/>
        <w:jc w:val="left"/>
        <w:rPr>
          <w:rFonts w:ascii="宋体" w:hAnsi="宋体"/>
          <w:sz w:val="24"/>
          <w:highlight w:val="none"/>
        </w:rPr>
      </w:pPr>
      <w:r>
        <w:rPr>
          <w:rFonts w:ascii="宋体" w:hAnsi="宋体"/>
          <w:sz w:val="24"/>
          <w:highlight w:val="none"/>
        </w:rPr>
        <w:t>3.1本次招标及由此产生的合同受中华人民共和国有关的法律法规制约和保护。</w:t>
      </w:r>
    </w:p>
    <w:p>
      <w:pPr>
        <w:pStyle w:val="189"/>
        <w:spacing w:line="360" w:lineRule="auto"/>
        <w:ind w:firstLine="480"/>
        <w:jc w:val="left"/>
        <w:rPr>
          <w:rFonts w:ascii="宋体" w:hAnsi="宋体" w:eastAsia="宋体"/>
          <w:b/>
          <w:bCs/>
          <w:sz w:val="24"/>
          <w:szCs w:val="24"/>
          <w:highlight w:val="none"/>
        </w:rPr>
      </w:pPr>
      <w:bookmarkStart w:id="19" w:name="_Toc20823279"/>
      <w:bookmarkStart w:id="20" w:name="_Toc513029207"/>
      <w:bookmarkStart w:id="21" w:name="_Toc462564067"/>
      <w:bookmarkStart w:id="22" w:name="_Toc16938523"/>
      <w:r>
        <w:rPr>
          <w:rFonts w:ascii="宋体" w:hAnsi="宋体" w:eastAsia="宋体"/>
          <w:sz w:val="24"/>
          <w:szCs w:val="24"/>
          <w:highlight w:val="none"/>
        </w:rPr>
        <w:t>4.投标费用</w:t>
      </w:r>
      <w:bookmarkEnd w:id="19"/>
      <w:bookmarkEnd w:id="20"/>
      <w:bookmarkEnd w:id="21"/>
      <w:bookmarkEnd w:id="22"/>
    </w:p>
    <w:p>
      <w:pPr>
        <w:spacing w:line="360" w:lineRule="auto"/>
        <w:ind w:firstLine="480"/>
        <w:jc w:val="left"/>
        <w:rPr>
          <w:rFonts w:ascii="宋体" w:hAnsi="宋体"/>
          <w:sz w:val="24"/>
          <w:highlight w:val="none"/>
        </w:rPr>
      </w:pPr>
      <w:r>
        <w:rPr>
          <w:rFonts w:ascii="宋体" w:hAnsi="宋体"/>
          <w:bCs/>
          <w:sz w:val="24"/>
          <w:highlight w:val="none"/>
        </w:rPr>
        <w:t>4.1</w:t>
      </w:r>
      <w:r>
        <w:rPr>
          <w:rFonts w:ascii="宋体" w:hAnsi="宋体"/>
          <w:sz w:val="24"/>
          <w:highlight w:val="none"/>
        </w:rPr>
        <w:t>投标人应自行承担所有与参加投标有关的费用，无论投标过程中的做法和结果如何，</w:t>
      </w:r>
      <w:r>
        <w:rPr>
          <w:rFonts w:hint="eastAsia" w:ascii="宋体" w:hAnsi="宋体"/>
          <w:b/>
          <w:bCs/>
          <w:sz w:val="24"/>
          <w:highlight w:val="none"/>
        </w:rPr>
        <w:t>采购人</w:t>
      </w:r>
      <w:r>
        <w:rPr>
          <w:rFonts w:ascii="宋体" w:hAnsi="宋体"/>
          <w:sz w:val="24"/>
          <w:highlight w:val="none"/>
        </w:rPr>
        <w:t>在任何情况下均无义务和责任承担这些费用。</w:t>
      </w:r>
    </w:p>
    <w:p>
      <w:pPr>
        <w:spacing w:line="360" w:lineRule="auto"/>
        <w:ind w:firstLine="480"/>
        <w:jc w:val="left"/>
        <w:rPr>
          <w:rFonts w:ascii="宋体" w:hAnsi="宋体" w:cs="宋体"/>
          <w:sz w:val="24"/>
          <w:highlight w:val="none"/>
        </w:rPr>
      </w:pPr>
      <w:r>
        <w:rPr>
          <w:rFonts w:ascii="宋体" w:hAnsi="宋体"/>
          <w:sz w:val="24"/>
          <w:highlight w:val="none"/>
        </w:rPr>
        <w:t>4.2</w:t>
      </w:r>
      <w:r>
        <w:rPr>
          <w:rFonts w:hint="eastAsia" w:ascii="宋体" w:hAnsi="宋体" w:cs="宋体"/>
          <w:sz w:val="24"/>
          <w:highlight w:val="none"/>
        </w:rPr>
        <w:t>本项目的招标代理费用由中标人承担，由投标人在投标报价时综合考虑并包含在报价内（不单列），招标代理费的计费基数为中标金额。由中标人在领取中标通知书前一次性支付给采购代理机构。</w:t>
      </w:r>
      <w:r>
        <w:rPr>
          <w:rFonts w:ascii="宋体" w:hAnsi="宋体" w:cs="宋体"/>
          <w:sz w:val="24"/>
          <w:highlight w:val="none"/>
        </w:rPr>
        <w:t xml:space="preserve"> </w:t>
      </w:r>
    </w:p>
    <w:p>
      <w:pPr>
        <w:spacing w:line="360" w:lineRule="auto"/>
        <w:ind w:firstLine="480"/>
        <w:jc w:val="left"/>
        <w:outlineLvl w:val="1"/>
        <w:rPr>
          <w:rFonts w:hint="eastAsia" w:ascii="宋体" w:hAnsi="宋体" w:cs="宋体"/>
          <w:sz w:val="24"/>
          <w:highlight w:val="none"/>
        </w:rPr>
      </w:pPr>
      <w:r>
        <w:rPr>
          <w:rFonts w:hint="eastAsia" w:ascii="宋体" w:hAnsi="宋体" w:cs="宋体"/>
          <w:sz w:val="24"/>
          <w:highlight w:val="none"/>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2"/>
        <w:gridCol w:w="4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pPr>
              <w:spacing w:line="480" w:lineRule="exact"/>
              <w:outlineLvl w:val="1"/>
              <w:rPr>
                <w:rFonts w:ascii="宋体" w:hAnsi="宋体" w:cs="宋体"/>
                <w:sz w:val="24"/>
                <w:highlight w:val="none"/>
              </w:rPr>
            </w:pPr>
            <w:r>
              <w:rPr>
                <w:rFonts w:ascii="宋体" w:hAnsi="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9525</wp:posOffset>
                      </wp:positionV>
                      <wp:extent cx="2302510" cy="870585"/>
                      <wp:effectExtent l="0" t="0" r="0" b="0"/>
                      <wp:wrapNone/>
                      <wp:docPr id="2" name="直接连接符 2"/>
                      <wp:cNvGraphicFramePr/>
                      <a:graphic xmlns:a="http://schemas.openxmlformats.org/drawingml/2006/main">
                        <a:graphicData uri="http://schemas.microsoft.com/office/word/2010/wordprocessingShape">
                          <wps:wsp>
                            <wps:cNvCnPr/>
                            <wps:spPr bwMode="auto">
                              <a:xfrm flipH="1" flipV="1">
                                <a:off x="0" y="0"/>
                                <a:ext cx="2302510" cy="870585"/>
                              </a:xfrm>
                              <a:prstGeom prst="line">
                                <a:avLst/>
                              </a:prstGeom>
                              <a:noFill/>
                              <a:ln w="15875">
                                <a:solidFill>
                                  <a:srgbClr val="000000"/>
                                </a:solidFill>
                              </a:ln>
                            </wps:spPr>
                            <wps:bodyPr rot="0">
                              <a:noAutofit/>
                            </wps:bodyPr>
                          </wps:wsp>
                        </a:graphicData>
                      </a:graphic>
                    </wp:anchor>
                  </w:drawing>
                </mc:Choice>
                <mc:Fallback>
                  <w:pict>
                    <v:line id="_x0000_s1026" o:spid="_x0000_s1026" o:spt="20" style="position:absolute;left:0pt;flip:x y;margin-left:45.6pt;margin-top:0.75pt;height:68.55pt;width:181.3pt;z-index:251659264;mso-width-relative:page;mso-height-relative:page;" filled="f" stroked="t" coordsize="21600,21600" o:gfxdata="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GIwbY&#10;AAAACAEAAA8AAAAAAAAAAQAgAAAAIgAAAGRycy9kb3ducmV2LnhtbFBLAQIUABQAAAAIAIdO4kD0&#10;7K2+5wEAAKoDAAAOAAAAAAAAAAEAIAAAACcBAABkcnMvZTJvRG9jLnhtbFBLBQYAAAAABgAGAFkB&#10;AACABQAAAAA=&#10;">
                      <v:fill on="f" focussize="0,0"/>
                      <v:stroke weight="1.25pt" color="#000000" joinstyle="round"/>
                      <v:imagedata o:title=""/>
                      <o:lock v:ext="edit" aspectratio="f"/>
                    </v:line>
                  </w:pict>
                </mc:Fallback>
              </mc:AlternateContent>
            </w:r>
            <w:r>
              <w:rPr>
                <w:rFonts w:hint="eastAsia" w:ascii="宋体" w:hAnsi="宋体" w:cs="宋体"/>
                <w:sz w:val="24"/>
                <w:highlight w:val="none"/>
              </w:rPr>
              <w:t xml:space="preserve">                  服务类型</w:t>
            </w:r>
          </w:p>
          <w:p>
            <w:pPr>
              <w:spacing w:line="480" w:lineRule="exact"/>
              <w:outlineLvl w:val="1"/>
              <w:rPr>
                <w:rFonts w:ascii="宋体" w:hAnsi="宋体" w:cs="宋体"/>
                <w:sz w:val="24"/>
                <w:highlight w:val="none"/>
              </w:rPr>
            </w:pPr>
            <w:r>
              <w:rPr>
                <w:rFonts w:ascii="宋体" w:hAnsi="宋体"/>
                <w:sz w:val="24"/>
                <w:highlight w:val="none"/>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182880</wp:posOffset>
                      </wp:positionV>
                      <wp:extent cx="2886075" cy="392430"/>
                      <wp:effectExtent l="0" t="0" r="0" b="0"/>
                      <wp:wrapNone/>
                      <wp:docPr id="3" name="直接连接符 3"/>
                      <wp:cNvGraphicFramePr/>
                      <a:graphic xmlns:a="http://schemas.openxmlformats.org/drawingml/2006/main">
                        <a:graphicData uri="http://schemas.microsoft.com/office/word/2010/wordprocessingShape">
                          <wps:wsp>
                            <wps:cNvCnPr/>
                            <wps:spPr bwMode="auto">
                              <a:xfrm flipH="1" flipV="1">
                                <a:off x="0" y="0"/>
                                <a:ext cx="2886075" cy="392430"/>
                              </a:xfrm>
                              <a:prstGeom prst="line">
                                <a:avLst/>
                              </a:prstGeom>
                              <a:noFill/>
                              <a:ln w="15875">
                                <a:solidFill>
                                  <a:srgbClr val="000000"/>
                                </a:solidFill>
                              </a:ln>
                            </wps:spPr>
                            <wps:bodyPr rot="0">
                              <a:noAutofit/>
                            </wps:bodyPr>
                          </wps:wsp>
                        </a:graphicData>
                      </a:graphic>
                    </wp:anchor>
                  </w:drawing>
                </mc:Choice>
                <mc:Fallback>
                  <w:pict>
                    <v:line id="_x0000_s1026" o:spid="_x0000_s1026" o:spt="20" style="position:absolute;left:0pt;flip:x y;margin-left:-4.8pt;margin-top:14.4pt;height:30.9pt;width:227.25pt;z-index:251662336;mso-width-relative:page;mso-height-relative:page;" filled="f" stroked="t" coordsize="21600,21600" o:gfxdata="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JnvA&#10;2QAAAAgBAAAPAAAAAAAAAAEAIAAAACIAAABkcnMvZG93bnJldi54bWxQSwECFAAUAAAACACHTuJA&#10;cVIiZ+cBAACqAwAADgAAAAAAAAABACAAAAAoAQAAZHJzL2Uyb0RvYy54bWxQSwUGAAAAAAYABgBZ&#10;AQAAgQUAAAAA&#10;">
                      <v:fill on="f" focussize="0,0"/>
                      <v:stroke weight="1.25pt" color="#000000" joinstyle="round"/>
                      <v:imagedata o:title=""/>
                      <o:lock v:ext="edit" aspectratio="f"/>
                    </v:line>
                  </w:pict>
                </mc:Fallback>
              </mc:AlternateContent>
            </w:r>
            <w:r>
              <w:rPr>
                <w:rFonts w:hint="eastAsia" w:ascii="宋体" w:hAnsi="宋体" w:cs="宋体"/>
                <w:sz w:val="24"/>
                <w:highlight w:val="none"/>
              </w:rPr>
              <w:t xml:space="preserve">         费    率</w:t>
            </w:r>
          </w:p>
          <w:p>
            <w:pPr>
              <w:spacing w:line="480" w:lineRule="exact"/>
              <w:outlineLvl w:val="1"/>
              <w:rPr>
                <w:rFonts w:ascii="宋体" w:hAnsi="宋体" w:cs="宋体"/>
                <w:sz w:val="24"/>
                <w:highlight w:val="none"/>
              </w:rPr>
            </w:pPr>
            <w:r>
              <w:rPr>
                <w:rFonts w:hint="eastAsia" w:ascii="宋体" w:hAnsi="宋体" w:cs="宋体"/>
                <w:sz w:val="24"/>
                <w:highlight w:val="none"/>
              </w:rPr>
              <w:t>中标金额（万元)</w:t>
            </w:r>
          </w:p>
        </w:tc>
        <w:tc>
          <w:tcPr>
            <w:tcW w:w="4953" w:type="dxa"/>
            <w:noWrap w:val="0"/>
            <w:vAlign w:val="center"/>
          </w:tcPr>
          <w:p>
            <w:pPr>
              <w:spacing w:line="480" w:lineRule="exact"/>
              <w:jc w:val="center"/>
              <w:outlineLvl w:val="1"/>
              <w:rPr>
                <w:rFonts w:ascii="宋体" w:hAnsi="宋体" w:cs="宋体"/>
                <w:sz w:val="24"/>
                <w:highlight w:val="none"/>
              </w:rPr>
            </w:pPr>
            <w:r>
              <w:rPr>
                <w:rFonts w:hint="eastAsia" w:ascii="宋体" w:hAnsi="宋体" w:cs="宋体"/>
                <w:sz w:val="24"/>
                <w:highlight w:val="none"/>
              </w:rPr>
              <w:t>示范区</w:t>
            </w:r>
          </w:p>
          <w:p>
            <w:pPr>
              <w:spacing w:line="480" w:lineRule="exact"/>
              <w:jc w:val="center"/>
              <w:outlineLvl w:val="1"/>
              <w:rPr>
                <w:rFonts w:ascii="宋体" w:hAnsi="宋体" w:cs="宋体"/>
                <w:sz w:val="24"/>
                <w:highlight w:val="none"/>
              </w:rPr>
            </w:pPr>
            <w:r>
              <w:rPr>
                <w:rFonts w:hint="eastAsia" w:ascii="宋体" w:hAnsi="宋体" w:cs="宋体"/>
                <w:sz w:val="24"/>
                <w:highlight w:val="none"/>
              </w:rPr>
              <w:t>货物、服务类招标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pPr>
              <w:spacing w:line="480" w:lineRule="exact"/>
              <w:outlineLvl w:val="1"/>
              <w:rPr>
                <w:rFonts w:ascii="宋体" w:hAnsi="宋体" w:cs="宋体"/>
                <w:sz w:val="24"/>
                <w:highlight w:val="none"/>
              </w:rPr>
            </w:pPr>
            <w:r>
              <w:rPr>
                <w:rFonts w:hint="eastAsia" w:ascii="宋体" w:hAnsi="宋体" w:cs="宋体"/>
                <w:sz w:val="24"/>
                <w:highlight w:val="none"/>
              </w:rPr>
              <w:t>30以下</w:t>
            </w:r>
          </w:p>
        </w:tc>
        <w:tc>
          <w:tcPr>
            <w:tcW w:w="4953" w:type="dxa"/>
            <w:noWrap w:val="0"/>
            <w:vAlign w:val="center"/>
          </w:tcPr>
          <w:p>
            <w:pPr>
              <w:spacing w:line="480" w:lineRule="exact"/>
              <w:jc w:val="center"/>
              <w:outlineLvl w:val="1"/>
              <w:rPr>
                <w:rFonts w:ascii="宋体" w:hAnsi="宋体" w:cs="宋体"/>
                <w:sz w:val="24"/>
                <w:highlight w:val="none"/>
              </w:rPr>
            </w:pPr>
            <w:r>
              <w:rPr>
                <w:rFonts w:hint="eastAsia" w:ascii="宋体" w:hAnsi="宋体" w:cs="宋体"/>
                <w:sz w:val="24"/>
                <w:highlight w:val="none"/>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pPr>
              <w:spacing w:line="480" w:lineRule="exact"/>
              <w:outlineLvl w:val="1"/>
              <w:rPr>
                <w:rFonts w:ascii="宋体" w:hAnsi="宋体" w:cs="宋体"/>
                <w:sz w:val="24"/>
                <w:highlight w:val="none"/>
              </w:rPr>
            </w:pPr>
            <w:r>
              <w:rPr>
                <w:rFonts w:hint="eastAsia" w:ascii="宋体" w:hAnsi="宋体" w:cs="宋体"/>
                <w:sz w:val="24"/>
                <w:highlight w:val="none"/>
              </w:rPr>
              <w:t>30-50（不含）</w:t>
            </w:r>
          </w:p>
        </w:tc>
        <w:tc>
          <w:tcPr>
            <w:tcW w:w="4953" w:type="dxa"/>
            <w:noWrap w:val="0"/>
            <w:vAlign w:val="center"/>
          </w:tcPr>
          <w:p>
            <w:pPr>
              <w:spacing w:line="480" w:lineRule="exact"/>
              <w:jc w:val="center"/>
              <w:outlineLvl w:val="1"/>
              <w:rPr>
                <w:rFonts w:ascii="宋体" w:hAnsi="宋体" w:cs="宋体"/>
                <w:sz w:val="24"/>
                <w:highlight w:val="none"/>
              </w:rPr>
            </w:pPr>
            <w:r>
              <w:rPr>
                <w:rFonts w:hint="eastAsia" w:ascii="宋体" w:hAnsi="宋体" w:cs="宋体"/>
                <w:sz w:val="24"/>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pPr>
              <w:spacing w:line="480" w:lineRule="exact"/>
              <w:outlineLvl w:val="1"/>
              <w:rPr>
                <w:rFonts w:ascii="宋体" w:hAnsi="宋体" w:cs="宋体"/>
                <w:sz w:val="24"/>
                <w:highlight w:val="none"/>
              </w:rPr>
            </w:pPr>
            <w:r>
              <w:rPr>
                <w:rFonts w:hint="eastAsia" w:ascii="宋体" w:hAnsi="宋体" w:cs="宋体"/>
                <w:sz w:val="24"/>
                <w:highlight w:val="none"/>
              </w:rPr>
              <w:t>50（含）-100（不含）</w:t>
            </w:r>
          </w:p>
        </w:tc>
        <w:tc>
          <w:tcPr>
            <w:tcW w:w="4953" w:type="dxa"/>
            <w:noWrap w:val="0"/>
            <w:vAlign w:val="center"/>
          </w:tcPr>
          <w:p>
            <w:pPr>
              <w:spacing w:line="480" w:lineRule="exact"/>
              <w:jc w:val="center"/>
              <w:outlineLvl w:val="1"/>
              <w:rPr>
                <w:rFonts w:ascii="宋体" w:hAnsi="宋体" w:cs="宋体"/>
                <w:sz w:val="24"/>
                <w:highlight w:val="none"/>
              </w:rPr>
            </w:pPr>
            <w:r>
              <w:rPr>
                <w:rFonts w:hint="eastAsia" w:ascii="宋体" w:hAnsi="宋体" w:cs="宋体"/>
                <w:sz w:val="24"/>
                <w:highlight w:val="none"/>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pPr>
              <w:spacing w:line="480" w:lineRule="exact"/>
              <w:outlineLvl w:val="1"/>
              <w:rPr>
                <w:rFonts w:ascii="宋体" w:hAnsi="宋体" w:cs="宋体"/>
                <w:sz w:val="24"/>
                <w:highlight w:val="none"/>
              </w:rPr>
            </w:pPr>
            <w:r>
              <w:rPr>
                <w:rFonts w:hint="eastAsia" w:ascii="宋体" w:hAnsi="宋体" w:cs="宋体"/>
                <w:sz w:val="24"/>
                <w:highlight w:val="none"/>
              </w:rPr>
              <w:t>100（含）以上</w:t>
            </w:r>
          </w:p>
        </w:tc>
        <w:tc>
          <w:tcPr>
            <w:tcW w:w="4953" w:type="dxa"/>
            <w:noWrap w:val="0"/>
            <w:vAlign w:val="center"/>
          </w:tcPr>
          <w:p>
            <w:pPr>
              <w:spacing w:line="480" w:lineRule="exact"/>
              <w:jc w:val="center"/>
              <w:outlineLvl w:val="1"/>
              <w:rPr>
                <w:rFonts w:ascii="宋体" w:hAnsi="宋体" w:cs="宋体"/>
                <w:sz w:val="24"/>
                <w:highlight w:val="none"/>
              </w:rPr>
            </w:pPr>
            <w:r>
              <w:rPr>
                <w:rFonts w:hint="eastAsia" w:ascii="宋体" w:hAnsi="宋体" w:cs="宋体"/>
                <w:sz w:val="24"/>
                <w:highlight w:val="none"/>
              </w:rPr>
              <w:t>5000元</w:t>
            </w:r>
          </w:p>
        </w:tc>
      </w:tr>
    </w:tbl>
    <w:p>
      <w:pPr>
        <w:pStyle w:val="189"/>
        <w:spacing w:line="360" w:lineRule="auto"/>
        <w:ind w:firstLine="48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pPr>
        <w:pStyle w:val="189"/>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6.招标文件的解释</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6.1</w:t>
      </w:r>
      <w:r>
        <w:rPr>
          <w:rFonts w:hint="eastAsia" w:ascii="宋体" w:hAnsi="宋体" w:cs="宋体"/>
          <w:b/>
          <w:bCs/>
          <w:sz w:val="24"/>
          <w:highlight w:val="none"/>
        </w:rPr>
        <w:t>招标文件需求部分（供应商资格要求、项目需求、商务技术评分标准）由采购人解释，其它部分由代理机构解释。</w:t>
      </w:r>
    </w:p>
    <w:p>
      <w:pPr>
        <w:pStyle w:val="188"/>
        <w:spacing w:before="0" w:after="0" w:line="360" w:lineRule="auto"/>
        <w:jc w:val="left"/>
        <w:rPr>
          <w:rFonts w:hint="eastAsia" w:ascii="宋体" w:hAnsi="宋体" w:cs="宋体"/>
          <w:sz w:val="24"/>
          <w:szCs w:val="24"/>
          <w:highlight w:val="none"/>
        </w:rPr>
      </w:pPr>
      <w:bookmarkStart w:id="23" w:name="_Toc120614215"/>
      <w:bookmarkStart w:id="24" w:name="_Toc20823281"/>
      <w:bookmarkStart w:id="25" w:name="_Toc513029209"/>
      <w:bookmarkStart w:id="26" w:name="_Toc16938525"/>
      <w:r>
        <w:rPr>
          <w:rFonts w:hint="eastAsia" w:ascii="宋体" w:hAnsi="宋体" w:cs="宋体"/>
          <w:sz w:val="24"/>
          <w:szCs w:val="24"/>
          <w:highlight w:val="none"/>
        </w:rPr>
        <w:t>（二）招标文件</w:t>
      </w:r>
      <w:bookmarkEnd w:id="23"/>
      <w:bookmarkEnd w:id="24"/>
      <w:bookmarkEnd w:id="25"/>
      <w:bookmarkEnd w:id="26"/>
    </w:p>
    <w:p>
      <w:pPr>
        <w:pStyle w:val="189"/>
        <w:spacing w:line="360" w:lineRule="auto"/>
        <w:ind w:firstLine="480"/>
        <w:jc w:val="left"/>
        <w:rPr>
          <w:rFonts w:hint="eastAsia" w:ascii="宋体" w:hAnsi="宋体" w:eastAsia="宋体" w:cs="宋体"/>
          <w:bCs/>
          <w:sz w:val="24"/>
          <w:szCs w:val="24"/>
          <w:highlight w:val="none"/>
        </w:rPr>
      </w:pPr>
      <w:bookmarkStart w:id="27" w:name="_Toc16938526"/>
      <w:bookmarkStart w:id="28" w:name="_Toc20823282"/>
      <w:bookmarkStart w:id="29" w:name="_Toc513029210"/>
      <w:r>
        <w:rPr>
          <w:rFonts w:hint="eastAsia" w:ascii="宋体" w:hAnsi="宋体" w:eastAsia="宋体" w:cs="宋体"/>
          <w:sz w:val="24"/>
          <w:szCs w:val="24"/>
          <w:highlight w:val="none"/>
        </w:rPr>
        <w:t>1.招标文件构成</w:t>
      </w:r>
      <w:bookmarkEnd w:id="27"/>
      <w:bookmarkEnd w:id="28"/>
      <w:bookmarkEnd w:id="29"/>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pPr>
        <w:spacing w:line="360" w:lineRule="auto"/>
        <w:ind w:firstLine="360"/>
        <w:jc w:val="left"/>
        <w:rPr>
          <w:rFonts w:hint="eastAsia"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投标邀请</w:t>
      </w:r>
    </w:p>
    <w:p>
      <w:pPr>
        <w:spacing w:line="360" w:lineRule="auto"/>
        <w:ind w:firstLine="360"/>
        <w:jc w:val="left"/>
        <w:rPr>
          <w:rFonts w:hint="eastAsia" w:ascii="宋体" w:hAnsi="宋体" w:cs="宋体"/>
          <w:sz w:val="24"/>
          <w:highlight w:val="none"/>
        </w:rPr>
      </w:pPr>
      <w:r>
        <w:rPr>
          <w:rFonts w:hint="eastAsia" w:ascii="宋体" w:hAnsi="宋体" w:cs="宋体"/>
          <w:sz w:val="24"/>
          <w:highlight w:val="none"/>
        </w:rPr>
        <w:t>（2）投标须知</w:t>
      </w:r>
    </w:p>
    <w:p>
      <w:pPr>
        <w:spacing w:line="360" w:lineRule="auto"/>
        <w:ind w:firstLine="360"/>
        <w:jc w:val="left"/>
        <w:rPr>
          <w:rFonts w:hint="eastAsia" w:ascii="宋体" w:hAnsi="宋体" w:cs="宋体"/>
          <w:sz w:val="24"/>
          <w:highlight w:val="none"/>
        </w:rPr>
      </w:pPr>
      <w:r>
        <w:rPr>
          <w:rFonts w:hint="eastAsia" w:ascii="宋体" w:hAnsi="宋体" w:cs="宋体"/>
          <w:sz w:val="24"/>
          <w:highlight w:val="none"/>
        </w:rPr>
        <w:t>（3）项目需求</w:t>
      </w:r>
    </w:p>
    <w:p>
      <w:pPr>
        <w:spacing w:line="360" w:lineRule="auto"/>
        <w:ind w:firstLine="360"/>
        <w:jc w:val="left"/>
        <w:rPr>
          <w:rFonts w:ascii="宋体" w:hAnsi="宋体" w:cs="宋体"/>
          <w:sz w:val="24"/>
          <w:highlight w:val="none"/>
        </w:rPr>
      </w:pPr>
      <w:r>
        <w:rPr>
          <w:rFonts w:hint="eastAsia" w:ascii="宋体" w:hAnsi="宋体" w:cs="宋体"/>
          <w:sz w:val="24"/>
          <w:highlight w:val="none"/>
        </w:rPr>
        <w:t>（4）合同条款及格式</w:t>
      </w:r>
    </w:p>
    <w:p>
      <w:pPr>
        <w:spacing w:line="360" w:lineRule="auto"/>
        <w:ind w:firstLine="360"/>
        <w:jc w:val="left"/>
        <w:rPr>
          <w:rFonts w:hint="eastAsia" w:ascii="宋体" w:hAnsi="宋体" w:cs="宋体"/>
          <w:sz w:val="24"/>
          <w:highlight w:val="none"/>
        </w:rPr>
      </w:pPr>
      <w:r>
        <w:rPr>
          <w:rFonts w:hint="eastAsia" w:ascii="宋体" w:hAnsi="宋体" w:cs="宋体"/>
          <w:sz w:val="24"/>
          <w:highlight w:val="none"/>
        </w:rPr>
        <w:t>（5）开标和评标</w:t>
      </w:r>
    </w:p>
    <w:p>
      <w:pPr>
        <w:spacing w:line="360" w:lineRule="auto"/>
        <w:ind w:firstLine="360"/>
        <w:jc w:val="left"/>
        <w:rPr>
          <w:rFonts w:ascii="宋体" w:hAnsi="宋体" w:cs="宋体"/>
          <w:sz w:val="24"/>
          <w:highlight w:val="none"/>
        </w:rPr>
      </w:pPr>
      <w:r>
        <w:rPr>
          <w:rFonts w:hint="eastAsia" w:ascii="宋体" w:hAnsi="宋体" w:cs="宋体"/>
          <w:sz w:val="24"/>
          <w:highlight w:val="none"/>
        </w:rPr>
        <w:t>（6）投标文件格式</w:t>
      </w:r>
    </w:p>
    <w:p>
      <w:pPr>
        <w:spacing w:line="360" w:lineRule="auto"/>
        <w:ind w:firstLine="360"/>
        <w:jc w:val="left"/>
        <w:rPr>
          <w:rFonts w:hint="eastAsia" w:ascii="宋体" w:hAnsi="宋体" w:cs="宋体"/>
          <w:sz w:val="24"/>
          <w:highlight w:val="none"/>
        </w:rPr>
      </w:pPr>
      <w:r>
        <w:rPr>
          <w:rFonts w:hint="eastAsia" w:ascii="宋体" w:hAnsi="宋体" w:cs="宋体"/>
          <w:sz w:val="24"/>
          <w:highlight w:val="none"/>
        </w:rPr>
        <w:t>（7）附件（如有）</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请仔细检查招标文件是否齐全，如有缺漏请立即与</w:t>
      </w:r>
      <w:r>
        <w:rPr>
          <w:rFonts w:hint="eastAsia" w:ascii="宋体" w:hAnsi="宋体" w:cs="宋体"/>
          <w:bCs/>
          <w:sz w:val="24"/>
          <w:highlight w:val="none"/>
        </w:rPr>
        <w:t>代理机构</w:t>
      </w:r>
      <w:r>
        <w:rPr>
          <w:rFonts w:hint="eastAsia" w:ascii="宋体" w:hAnsi="宋体" w:cs="宋体"/>
          <w:sz w:val="24"/>
          <w:highlight w:val="none"/>
        </w:rPr>
        <w:t>联系解决。</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89"/>
        <w:spacing w:line="360" w:lineRule="auto"/>
        <w:ind w:firstLine="480"/>
        <w:jc w:val="left"/>
        <w:rPr>
          <w:rFonts w:hint="eastAsia" w:ascii="宋体" w:hAnsi="宋体" w:eastAsia="宋体" w:cs="宋体"/>
          <w:bCs/>
          <w:sz w:val="24"/>
          <w:szCs w:val="24"/>
          <w:highlight w:val="none"/>
        </w:rPr>
      </w:pPr>
      <w:bookmarkStart w:id="30" w:name="_Toc513029211"/>
      <w:bookmarkStart w:id="31" w:name="_Toc462564070"/>
      <w:bookmarkStart w:id="32" w:name="_Toc16938527"/>
      <w:bookmarkStart w:id="33" w:name="_Toc20823283"/>
      <w:r>
        <w:rPr>
          <w:rFonts w:hint="eastAsia" w:ascii="宋体" w:hAnsi="宋体" w:eastAsia="宋体" w:cs="宋体"/>
          <w:sz w:val="24"/>
          <w:szCs w:val="24"/>
          <w:highlight w:val="none"/>
        </w:rPr>
        <w:t>2.招标文件的澄清</w:t>
      </w:r>
      <w:bookmarkEnd w:id="30"/>
      <w:bookmarkEnd w:id="31"/>
      <w:bookmarkEnd w:id="32"/>
      <w:bookmarkEnd w:id="33"/>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2.2采购人视情组织答疑会</w:t>
      </w:r>
    </w:p>
    <w:p>
      <w:pPr>
        <w:pStyle w:val="189"/>
        <w:spacing w:line="360" w:lineRule="auto"/>
        <w:ind w:firstLine="480"/>
        <w:jc w:val="left"/>
        <w:rPr>
          <w:rFonts w:hint="eastAsia" w:ascii="宋体" w:hAnsi="宋体" w:eastAsia="宋体" w:cs="宋体"/>
          <w:bCs/>
          <w:sz w:val="24"/>
          <w:szCs w:val="24"/>
          <w:highlight w:val="none"/>
        </w:rPr>
      </w:pPr>
      <w:bookmarkStart w:id="34" w:name="_Toc462564071"/>
      <w:bookmarkStart w:id="35" w:name="_Toc16938528"/>
      <w:bookmarkStart w:id="36" w:name="_Toc513029212"/>
      <w:bookmarkStart w:id="37" w:name="_Toc20823284"/>
      <w:r>
        <w:rPr>
          <w:rFonts w:hint="eastAsia" w:ascii="宋体" w:hAnsi="宋体" w:eastAsia="宋体" w:cs="宋体"/>
          <w:sz w:val="24"/>
          <w:szCs w:val="24"/>
          <w:highlight w:val="none"/>
        </w:rPr>
        <w:t>3.招标文件的修改</w:t>
      </w:r>
      <w:bookmarkEnd w:id="34"/>
      <w:bookmarkEnd w:id="35"/>
      <w:bookmarkEnd w:id="36"/>
      <w:bookmarkEnd w:id="37"/>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在提交投标文件截止时间前，</w:t>
      </w:r>
      <w:r>
        <w:rPr>
          <w:rFonts w:hint="eastAsia" w:ascii="宋体" w:hAnsi="宋体" w:cs="宋体"/>
          <w:bCs/>
          <w:sz w:val="24"/>
          <w:highlight w:val="none"/>
        </w:rPr>
        <w:t>采购人或代理机构</w:t>
      </w:r>
      <w:r>
        <w:rPr>
          <w:rFonts w:hint="eastAsia" w:ascii="宋体" w:hAnsi="宋体" w:cs="宋体"/>
          <w:sz w:val="24"/>
          <w:highlight w:val="none"/>
        </w:rPr>
        <w:t>可以对招标文件进行修改。</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3.2采购人或代理机构</w:t>
      </w:r>
      <w:r>
        <w:rPr>
          <w:rFonts w:hint="eastAsia" w:ascii="宋体" w:hAnsi="宋体" w:cs="宋体"/>
          <w:sz w:val="24"/>
          <w:highlight w:val="none"/>
        </w:rPr>
        <w:t>有权按照法定的要求推迟提交投标文件截止日期和开标日期。</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招标文件的修改将在江苏政府采购网公布，补充文件将作为招标文件的组成部分，并对投标人具有约束力。</w:t>
      </w:r>
      <w:bookmarkStart w:id="38" w:name="_Toc16938529"/>
      <w:bookmarkStart w:id="39" w:name="_Toc462564072"/>
      <w:bookmarkStart w:id="40" w:name="_Toc120614216"/>
      <w:bookmarkStart w:id="41" w:name="_Toc513029213"/>
      <w:bookmarkStart w:id="42" w:name="_Toc20823285"/>
    </w:p>
    <w:p>
      <w:pPr>
        <w:spacing w:line="360" w:lineRule="auto"/>
        <w:ind w:firstLine="480"/>
        <w:jc w:val="left"/>
        <w:rPr>
          <w:rFonts w:hint="eastAsia" w:ascii="宋体" w:hAnsi="宋体" w:cs="宋体"/>
          <w:b/>
          <w:sz w:val="24"/>
          <w:highlight w:val="none"/>
          <w:u w:val="single"/>
        </w:rPr>
      </w:pPr>
      <w:r>
        <w:rPr>
          <w:rFonts w:hint="eastAsia" w:ascii="宋体" w:hAnsi="宋体" w:cs="宋体"/>
          <w:sz w:val="24"/>
          <w:highlight w:val="none"/>
        </w:rPr>
        <w:t>3.4</w:t>
      </w:r>
      <w:r>
        <w:rPr>
          <w:rFonts w:hint="eastAsia" w:ascii="宋体" w:hAnsi="宋体" w:cs="宋体"/>
          <w:b/>
          <w:sz w:val="24"/>
          <w:highlight w:val="none"/>
          <w:u w:val="single"/>
        </w:rPr>
        <w:t>在提交投标文件截止日期前，采购单位（或采购代理机构）对采购文件进行澄清或者修改的，通过“苏采云”系统发布澄清公告或者修改的内容。澄清或者修改的内容以所发布的本项目的“更正（澄清）公告”的形式通知所有获取采购文件的潜在供应商。发布本项目的“更正（澄清）公告”后采购代理机构已尽通知义务。敬请各潜在供应商关注本项目的“更正（澄清）公告”，并通过“苏采云”系统重新下载更正（澄清）后的采购文件（后缀名为“.kedt”），离线编制响应文件，否则，将自行承担相应的风险。</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3.5投标人对采购人（或采购代理机构）提供的招标文件所做出的推论、解释和结论，采购人（或采购代理机构）概不负责。投标人由于对招标文件的任何推论和误解以及采购人（或采购代理机构）对有关问题的口头解释所造成的后果，均由各潜在投标人自负。</w:t>
      </w:r>
    </w:p>
    <w:p>
      <w:pPr>
        <w:pStyle w:val="189"/>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4.采购项目涉及到的现场勘察</w:t>
      </w:r>
    </w:p>
    <w:p>
      <w:pPr>
        <w:spacing w:line="360" w:lineRule="auto"/>
        <w:ind w:firstLine="480"/>
        <w:jc w:val="left"/>
        <w:rPr>
          <w:rFonts w:ascii="宋体" w:hAnsi="宋体" w:cs="宋体"/>
          <w:bCs/>
          <w:sz w:val="24"/>
          <w:highlight w:val="none"/>
        </w:rPr>
      </w:pPr>
      <w:r>
        <w:rPr>
          <w:rFonts w:hint="eastAsia" w:ascii="宋体" w:hAnsi="宋体" w:cs="宋体"/>
          <w:bCs/>
          <w:sz w:val="24"/>
          <w:highlight w:val="none"/>
        </w:rPr>
        <w:t>4.</w:t>
      </w:r>
      <w:r>
        <w:rPr>
          <w:rFonts w:ascii="宋体" w:hAnsi="宋体" w:cs="宋体"/>
          <w:bCs/>
          <w:sz w:val="24"/>
          <w:highlight w:val="none"/>
        </w:rPr>
        <w:t>1</w:t>
      </w:r>
      <w:r>
        <w:rPr>
          <w:rFonts w:hint="eastAsia" w:ascii="宋体" w:hAnsi="宋体" w:cs="宋体"/>
          <w:bCs/>
          <w:sz w:val="24"/>
          <w:highlight w:val="none"/>
        </w:rPr>
        <w:t>招标</w:t>
      </w:r>
      <w:r>
        <w:rPr>
          <w:rFonts w:ascii="宋体" w:hAnsi="宋体" w:cs="宋体"/>
          <w:bCs/>
          <w:sz w:val="24"/>
          <w:highlight w:val="none"/>
        </w:rPr>
        <w:t>文件所提供的项目相关数据仅做参考，根据自身需要，</w:t>
      </w:r>
      <w:r>
        <w:rPr>
          <w:rFonts w:hint="eastAsia" w:ascii="宋体" w:hAnsi="宋体" w:cs="宋体"/>
          <w:sz w:val="24"/>
          <w:highlight w:val="none"/>
        </w:rPr>
        <w:t>投标人</w:t>
      </w:r>
      <w:r>
        <w:rPr>
          <w:rFonts w:ascii="宋体" w:hAnsi="宋体" w:cs="宋体"/>
          <w:bCs/>
          <w:sz w:val="24"/>
          <w:highlight w:val="none"/>
        </w:rPr>
        <w:t>可在</w:t>
      </w:r>
      <w:r>
        <w:rPr>
          <w:rFonts w:hint="eastAsia" w:ascii="宋体" w:hAnsi="宋体" w:cs="宋体"/>
          <w:sz w:val="24"/>
          <w:highlight w:val="none"/>
        </w:rPr>
        <w:t>提交投标文件截止</w:t>
      </w:r>
      <w:r>
        <w:rPr>
          <w:rFonts w:ascii="宋体" w:hAnsi="宋体" w:cs="宋体"/>
          <w:bCs/>
          <w:sz w:val="24"/>
          <w:highlight w:val="none"/>
        </w:rPr>
        <w:t>之日前对有关现场和周围环境进行勘察，以获取编制</w:t>
      </w:r>
      <w:r>
        <w:rPr>
          <w:rFonts w:hint="eastAsia" w:ascii="宋体" w:hAnsi="宋体" w:cs="宋体"/>
          <w:sz w:val="24"/>
          <w:highlight w:val="none"/>
        </w:rPr>
        <w:t>投标</w:t>
      </w:r>
      <w:r>
        <w:rPr>
          <w:rFonts w:ascii="宋体" w:hAnsi="宋体" w:cs="宋体"/>
          <w:bCs/>
          <w:sz w:val="24"/>
          <w:highlight w:val="none"/>
        </w:rPr>
        <w:t>文件和签署合同所需的信息。勘察现场所发生的费用由</w:t>
      </w:r>
      <w:r>
        <w:rPr>
          <w:rFonts w:hint="eastAsia" w:ascii="宋体" w:hAnsi="宋体" w:cs="宋体"/>
          <w:sz w:val="24"/>
          <w:highlight w:val="none"/>
        </w:rPr>
        <w:t>投标人</w:t>
      </w:r>
      <w:r>
        <w:rPr>
          <w:rFonts w:ascii="宋体" w:hAnsi="宋体" w:cs="宋体"/>
          <w:bCs/>
          <w:sz w:val="24"/>
          <w:highlight w:val="none"/>
        </w:rPr>
        <w:t>自己承担。</w:t>
      </w:r>
    </w:p>
    <w:p>
      <w:pPr>
        <w:spacing w:line="360" w:lineRule="auto"/>
        <w:ind w:firstLine="480"/>
        <w:jc w:val="left"/>
        <w:rPr>
          <w:rFonts w:ascii="宋体" w:hAnsi="宋体" w:cs="宋体"/>
          <w:bCs/>
          <w:sz w:val="24"/>
          <w:highlight w:val="none"/>
        </w:rPr>
      </w:pPr>
      <w:r>
        <w:rPr>
          <w:rFonts w:hint="eastAsia" w:ascii="宋体" w:hAnsi="宋体" w:cs="宋体"/>
          <w:bCs/>
          <w:sz w:val="24"/>
          <w:highlight w:val="none"/>
        </w:rPr>
        <w:t>4.</w:t>
      </w:r>
      <w:r>
        <w:rPr>
          <w:rFonts w:ascii="宋体" w:hAnsi="宋体" w:cs="宋体"/>
          <w:bCs/>
          <w:sz w:val="24"/>
          <w:highlight w:val="none"/>
        </w:rPr>
        <w:t>2采购人向</w:t>
      </w:r>
      <w:r>
        <w:rPr>
          <w:rFonts w:hint="eastAsia" w:ascii="宋体" w:hAnsi="宋体" w:cs="宋体"/>
          <w:sz w:val="24"/>
          <w:highlight w:val="none"/>
        </w:rPr>
        <w:t>投标人</w:t>
      </w:r>
      <w:r>
        <w:rPr>
          <w:rFonts w:ascii="宋体" w:hAnsi="宋体" w:cs="宋体"/>
          <w:bCs/>
          <w:sz w:val="24"/>
          <w:highlight w:val="none"/>
        </w:rPr>
        <w:t>提供的有关现场的资料和数据，是采购人现有的并认为能使</w:t>
      </w:r>
      <w:r>
        <w:rPr>
          <w:rFonts w:hint="eastAsia" w:ascii="宋体" w:hAnsi="宋体" w:cs="宋体"/>
          <w:sz w:val="24"/>
          <w:highlight w:val="none"/>
        </w:rPr>
        <w:t>投标人</w:t>
      </w:r>
      <w:r>
        <w:rPr>
          <w:rFonts w:ascii="宋体" w:hAnsi="宋体" w:cs="宋体"/>
          <w:bCs/>
          <w:sz w:val="24"/>
          <w:highlight w:val="none"/>
        </w:rPr>
        <w:t>可利用的资料。采购人对</w:t>
      </w:r>
      <w:r>
        <w:rPr>
          <w:rFonts w:hint="eastAsia" w:ascii="宋体" w:hAnsi="宋体" w:cs="宋体"/>
          <w:sz w:val="24"/>
          <w:highlight w:val="none"/>
        </w:rPr>
        <w:t>投标人</w:t>
      </w:r>
      <w:r>
        <w:rPr>
          <w:rFonts w:ascii="宋体" w:hAnsi="宋体" w:cs="宋体"/>
          <w:bCs/>
          <w:sz w:val="24"/>
          <w:highlight w:val="none"/>
        </w:rPr>
        <w:t>由此而做出的推论、理解和结论概不负责。</w:t>
      </w:r>
    </w:p>
    <w:p>
      <w:pPr>
        <w:spacing w:line="360" w:lineRule="auto"/>
        <w:ind w:firstLine="480"/>
        <w:jc w:val="left"/>
        <w:rPr>
          <w:rFonts w:ascii="宋体" w:hAnsi="宋体" w:cs="宋体"/>
          <w:bCs/>
          <w:sz w:val="24"/>
          <w:highlight w:val="none"/>
        </w:rPr>
      </w:pPr>
      <w:r>
        <w:rPr>
          <w:rFonts w:hint="eastAsia" w:ascii="宋体" w:hAnsi="宋体" w:cs="宋体"/>
          <w:bCs/>
          <w:sz w:val="24"/>
          <w:highlight w:val="none"/>
        </w:rPr>
        <w:t>4.</w:t>
      </w:r>
      <w:r>
        <w:rPr>
          <w:rFonts w:ascii="宋体" w:hAnsi="宋体" w:cs="宋体"/>
          <w:bCs/>
          <w:sz w:val="24"/>
          <w:highlight w:val="none"/>
        </w:rPr>
        <w:t>3经采购人允许，</w:t>
      </w:r>
      <w:r>
        <w:rPr>
          <w:rFonts w:hint="eastAsia" w:ascii="宋体" w:hAnsi="宋体" w:cs="宋体"/>
          <w:sz w:val="24"/>
          <w:highlight w:val="none"/>
        </w:rPr>
        <w:t>投标人</w:t>
      </w:r>
      <w:r>
        <w:rPr>
          <w:rFonts w:ascii="宋体" w:hAnsi="宋体" w:cs="宋体"/>
          <w:bCs/>
          <w:sz w:val="24"/>
          <w:highlight w:val="none"/>
        </w:rPr>
        <w:t>可为勘察目的进入采购人的项目现场，但</w:t>
      </w:r>
      <w:r>
        <w:rPr>
          <w:rFonts w:hint="eastAsia" w:ascii="宋体" w:hAnsi="宋体" w:cs="宋体"/>
          <w:sz w:val="24"/>
          <w:highlight w:val="none"/>
        </w:rPr>
        <w:t>投标人</w:t>
      </w:r>
      <w:r>
        <w:rPr>
          <w:rFonts w:ascii="宋体" w:hAnsi="宋体" w:cs="宋体"/>
          <w:bCs/>
          <w:sz w:val="24"/>
          <w:highlight w:val="none"/>
        </w:rPr>
        <w:t>不得因此使采购人承担有关的责任和蒙受损失。</w:t>
      </w:r>
      <w:r>
        <w:rPr>
          <w:rFonts w:hint="eastAsia" w:ascii="宋体" w:hAnsi="宋体" w:cs="宋体"/>
          <w:sz w:val="24"/>
          <w:highlight w:val="none"/>
        </w:rPr>
        <w:t>投标人</w:t>
      </w:r>
      <w:r>
        <w:rPr>
          <w:rFonts w:ascii="宋体" w:hAnsi="宋体" w:cs="宋体"/>
          <w:bCs/>
          <w:sz w:val="24"/>
          <w:highlight w:val="none"/>
        </w:rPr>
        <w:t>应承担勘察现场的责任和风险。</w:t>
      </w:r>
    </w:p>
    <w:p>
      <w:pPr>
        <w:spacing w:line="360" w:lineRule="auto"/>
        <w:ind w:firstLine="480"/>
        <w:jc w:val="left"/>
        <w:rPr>
          <w:rFonts w:ascii="宋体" w:hAnsi="宋体" w:cs="宋体"/>
          <w:bCs/>
          <w:sz w:val="24"/>
          <w:highlight w:val="none"/>
        </w:rPr>
      </w:pPr>
      <w:r>
        <w:rPr>
          <w:rFonts w:hint="eastAsia" w:ascii="宋体" w:hAnsi="宋体" w:cs="宋体"/>
          <w:bCs/>
          <w:sz w:val="24"/>
          <w:highlight w:val="none"/>
        </w:rPr>
        <w:t>4.</w:t>
      </w:r>
      <w:r>
        <w:rPr>
          <w:rFonts w:ascii="宋体" w:hAnsi="宋体" w:cs="宋体"/>
          <w:bCs/>
          <w:sz w:val="24"/>
          <w:highlight w:val="none"/>
        </w:rPr>
        <w:t>4</w:t>
      </w:r>
      <w:r>
        <w:rPr>
          <w:rFonts w:hint="eastAsia" w:ascii="宋体" w:hAnsi="宋体" w:cs="宋体"/>
          <w:sz w:val="24"/>
          <w:highlight w:val="none"/>
        </w:rPr>
        <w:t>投标人</w:t>
      </w:r>
      <w:r>
        <w:rPr>
          <w:rFonts w:ascii="宋体" w:hAnsi="宋体" w:cs="宋体"/>
          <w:bCs/>
          <w:sz w:val="24"/>
          <w:highlight w:val="none"/>
        </w:rPr>
        <w:t>应认真踏勘现场。在现场勘察时，熟悉</w:t>
      </w:r>
      <w:r>
        <w:rPr>
          <w:rFonts w:hint="eastAsia" w:ascii="宋体" w:hAnsi="宋体" w:cs="宋体"/>
          <w:bCs/>
          <w:sz w:val="24"/>
          <w:highlight w:val="none"/>
        </w:rPr>
        <w:t>作业现场</w:t>
      </w:r>
      <w:r>
        <w:rPr>
          <w:rFonts w:ascii="宋体" w:hAnsi="宋体" w:cs="宋体"/>
          <w:bCs/>
          <w:sz w:val="24"/>
          <w:highlight w:val="none"/>
        </w:rPr>
        <w:t>、现场周围交通道路等情况，以获得一切可能影响其</w:t>
      </w:r>
      <w:r>
        <w:rPr>
          <w:rFonts w:hint="eastAsia" w:ascii="宋体" w:hAnsi="宋体" w:cs="宋体"/>
          <w:bCs/>
          <w:sz w:val="24"/>
          <w:highlight w:val="none"/>
        </w:rPr>
        <w:t>投标</w:t>
      </w:r>
      <w:r>
        <w:rPr>
          <w:rFonts w:ascii="宋体" w:hAnsi="宋体" w:cs="宋体"/>
          <w:bCs/>
          <w:sz w:val="24"/>
          <w:highlight w:val="none"/>
        </w:rPr>
        <w:t>的直接资料。</w:t>
      </w:r>
      <w:r>
        <w:rPr>
          <w:rFonts w:hint="eastAsia" w:ascii="宋体" w:hAnsi="宋体" w:cs="宋体"/>
          <w:bCs/>
          <w:sz w:val="24"/>
          <w:highlight w:val="none"/>
        </w:rPr>
        <w:t>投标人中标</w:t>
      </w:r>
      <w:r>
        <w:rPr>
          <w:rFonts w:ascii="宋体" w:hAnsi="宋体" w:cs="宋体"/>
          <w:bCs/>
          <w:sz w:val="24"/>
          <w:highlight w:val="none"/>
        </w:rPr>
        <w:t>后，不得以不完全了解现场情况为理由而向采购人提出任何索赔的要求，对此采购人不承担任何责任并将不作任何答复与考虑。</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（三）投标文件的编制</w:t>
      </w:r>
      <w:bookmarkEnd w:id="38"/>
      <w:bookmarkEnd w:id="39"/>
      <w:bookmarkEnd w:id="40"/>
      <w:bookmarkEnd w:id="41"/>
      <w:bookmarkEnd w:id="42"/>
      <w:bookmarkStart w:id="43" w:name="_Toc16938530"/>
      <w:bookmarkStart w:id="44" w:name="_Toc20823286"/>
      <w:bookmarkStart w:id="45" w:name="_Toc462564073"/>
      <w:bookmarkStart w:id="46" w:name="_Toc513029214"/>
    </w:p>
    <w:p>
      <w:pPr>
        <w:pStyle w:val="189"/>
        <w:spacing w:line="360" w:lineRule="auto"/>
        <w:ind w:firstLine="480"/>
        <w:jc w:val="left"/>
        <w:rPr>
          <w:rFonts w:hint="eastAsia" w:ascii="宋体" w:hAnsi="宋体" w:eastAsia="宋体" w:cs="宋体"/>
          <w:bCs/>
          <w:sz w:val="24"/>
          <w:highlight w:val="none"/>
        </w:rPr>
      </w:pPr>
      <w:r>
        <w:rPr>
          <w:rFonts w:hint="eastAsia" w:ascii="宋体" w:hAnsi="宋体" w:eastAsia="宋体" w:cs="宋体"/>
          <w:sz w:val="24"/>
          <w:highlight w:val="none"/>
        </w:rPr>
        <w:t>1.投标文件的语言及度量衡单位</w:t>
      </w:r>
      <w:bookmarkEnd w:id="43"/>
      <w:bookmarkEnd w:id="44"/>
      <w:bookmarkEnd w:id="45"/>
      <w:bookmarkEnd w:id="46"/>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投标人提交的投标文件以及投标人与</w:t>
      </w:r>
      <w:r>
        <w:rPr>
          <w:rFonts w:hint="eastAsia" w:ascii="宋体" w:hAnsi="宋体" w:cs="宋体"/>
          <w:bCs/>
          <w:sz w:val="24"/>
          <w:highlight w:val="none"/>
        </w:rPr>
        <w:t>采购人或代理机构</w:t>
      </w:r>
      <w:r>
        <w:rPr>
          <w:rFonts w:hint="eastAsia" w:ascii="宋体" w:hAnsi="宋体" w:cs="宋体"/>
          <w:sz w:val="24"/>
          <w:highlight w:val="none"/>
        </w:rPr>
        <w:t>就有关投标的所有来往通知、函件和文件均应使用</w:t>
      </w:r>
      <w:r>
        <w:rPr>
          <w:rFonts w:hint="eastAsia" w:ascii="宋体" w:hAnsi="宋体" w:cs="宋体"/>
          <w:bCs/>
          <w:sz w:val="24"/>
          <w:highlight w:val="none"/>
        </w:rPr>
        <w:t>简体中文</w:t>
      </w:r>
      <w:r>
        <w:rPr>
          <w:rFonts w:hint="eastAsia" w:ascii="宋体" w:hAnsi="宋体" w:cs="宋体"/>
          <w:sz w:val="24"/>
          <w:highlight w:val="none"/>
        </w:rPr>
        <w:t>。</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除技术性能另有规定外，投标文件所使用的度量衡单位，均须采用国家法定计量单位。</w:t>
      </w:r>
    </w:p>
    <w:p>
      <w:pPr>
        <w:pStyle w:val="189"/>
        <w:spacing w:line="360" w:lineRule="auto"/>
        <w:ind w:firstLine="480"/>
        <w:jc w:val="left"/>
        <w:rPr>
          <w:rFonts w:hint="eastAsia" w:ascii="宋体" w:hAnsi="宋体" w:eastAsia="宋体" w:cs="宋体"/>
          <w:bCs/>
          <w:sz w:val="24"/>
          <w:szCs w:val="24"/>
          <w:highlight w:val="none"/>
        </w:rPr>
      </w:pPr>
      <w:bookmarkStart w:id="47" w:name="_Toc462564074"/>
      <w:bookmarkStart w:id="48" w:name="_Toc513029215"/>
      <w:bookmarkStart w:id="49" w:name="_Toc20823287"/>
      <w:bookmarkStart w:id="50" w:name="_Toc16938531"/>
      <w:r>
        <w:rPr>
          <w:rFonts w:hint="eastAsia" w:ascii="宋体" w:hAnsi="宋体" w:eastAsia="宋体" w:cs="宋体"/>
          <w:sz w:val="24"/>
          <w:szCs w:val="24"/>
          <w:highlight w:val="none"/>
        </w:rPr>
        <w:t>2.投标文件构成</w:t>
      </w:r>
      <w:bookmarkEnd w:id="47"/>
      <w:bookmarkEnd w:id="48"/>
      <w:bookmarkEnd w:id="49"/>
      <w:bookmarkEnd w:id="50"/>
    </w:p>
    <w:p>
      <w:pPr>
        <w:pStyle w:val="189"/>
        <w:spacing w:line="360" w:lineRule="auto"/>
        <w:ind w:firstLine="480"/>
        <w:jc w:val="left"/>
        <w:rPr>
          <w:rFonts w:hint="eastAsia" w:ascii="宋体" w:hAnsi="宋体" w:eastAsia="宋体" w:cs="宋体"/>
          <w:sz w:val="24"/>
          <w:highlight w:val="none"/>
        </w:rPr>
      </w:pPr>
      <w:bookmarkStart w:id="51" w:name="_Hlt26668975"/>
      <w:bookmarkEnd w:id="51"/>
      <w:bookmarkStart w:id="52" w:name="_Hlt26954838"/>
      <w:bookmarkEnd w:id="52"/>
      <w:bookmarkStart w:id="53" w:name="_Hlt26670360"/>
      <w:bookmarkEnd w:id="53"/>
      <w:bookmarkStart w:id="54" w:name="_Toc14577360"/>
      <w:bookmarkStart w:id="55" w:name="_Toc49090511"/>
      <w:r>
        <w:rPr>
          <w:rFonts w:hint="eastAsia" w:ascii="宋体" w:hAnsi="宋体" w:eastAsia="宋体" w:cs="宋体"/>
          <w:sz w:val="24"/>
          <w:highlight w:val="none"/>
        </w:rPr>
        <w:t>2.1 投标人编写的投标文件应包括资格证明文件、符合性证明文件、开标一览表、技术部分正负偏离表、商务部分正负偏离表、其他证明文件等部分，</w:t>
      </w:r>
      <w:r>
        <w:rPr>
          <w:rFonts w:hint="eastAsia" w:ascii="宋体" w:hAnsi="宋体" w:eastAsia="宋体" w:cs="宋体"/>
          <w:b/>
          <w:bCs/>
          <w:sz w:val="24"/>
          <w:highlight w:val="none"/>
        </w:rPr>
        <w:t>具体详见系统内电子投标文件组成</w:t>
      </w:r>
      <w:r>
        <w:rPr>
          <w:rFonts w:hint="eastAsia" w:ascii="宋体" w:hAnsi="宋体" w:eastAsia="宋体" w:cs="宋体"/>
          <w:sz w:val="24"/>
          <w:highlight w:val="none"/>
        </w:rPr>
        <w:t>。供应商按“第六部分 投标文件格式”要求编写投标文件。</w:t>
      </w:r>
    </w:p>
    <w:p>
      <w:pPr>
        <w:pStyle w:val="189"/>
        <w:spacing w:line="360" w:lineRule="auto"/>
        <w:ind w:firstLine="480"/>
        <w:jc w:val="left"/>
        <w:rPr>
          <w:rFonts w:hint="eastAsia" w:ascii="宋体" w:hAnsi="宋体" w:cs="宋体"/>
          <w:sz w:val="28"/>
          <w:szCs w:val="28"/>
          <w:highlight w:val="none"/>
        </w:rPr>
      </w:pPr>
      <w:r>
        <w:rPr>
          <w:rFonts w:hint="eastAsia" w:ascii="宋体" w:hAnsi="宋体" w:eastAsia="宋体" w:cs="宋体"/>
          <w:sz w:val="24"/>
          <w:highlight w:val="none"/>
        </w:rPr>
        <w:t>2.2如标书制作工具中格式和内容与“江苏政府采购网”发布的招标文件不一致，请以“江苏政府采购网”发布的招标文件为准。</w:t>
      </w:r>
    </w:p>
    <w:p>
      <w:pPr>
        <w:pStyle w:val="189"/>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3.投标有效期</w:t>
      </w:r>
      <w:bookmarkEnd w:id="54"/>
      <w:bookmarkEnd w:id="55"/>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3.1投标有效期为采购人规定的开标之日后</w:t>
      </w:r>
      <w:r>
        <w:rPr>
          <w:rFonts w:hint="eastAsia" w:ascii="宋体" w:hAnsi="宋体" w:cs="宋体"/>
          <w:sz w:val="24"/>
          <w:highlight w:val="none"/>
          <w:u w:val="single"/>
        </w:rPr>
        <w:t>六十（60）天</w:t>
      </w:r>
      <w:r>
        <w:rPr>
          <w:rFonts w:hint="eastAsia" w:ascii="宋体" w:hAnsi="宋体" w:cs="宋体"/>
          <w:bCs/>
          <w:sz w:val="24"/>
          <w:highlight w:val="none"/>
        </w:rPr>
        <w:t>。投标有效期比规定短的将被视为非响应性投标而予以拒绝。</w:t>
      </w:r>
    </w:p>
    <w:p>
      <w:pPr>
        <w:pStyle w:val="189"/>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4.投标有效期的延长</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4.1在特殊情况下，采购人于原投标有效期满之前，可向投标人提出延长投标有效期的要求。这种要求与答复均应采用书面形式。投标人可以拒绝</w:t>
      </w:r>
      <w:r>
        <w:rPr>
          <w:rFonts w:hint="eastAsia" w:ascii="宋体" w:hAnsi="宋体" w:cs="宋体"/>
          <w:sz w:val="24"/>
          <w:highlight w:val="none"/>
        </w:rPr>
        <w:t>采购人</w:t>
      </w:r>
      <w:r>
        <w:rPr>
          <w:rFonts w:hint="eastAsia" w:ascii="宋体" w:hAnsi="宋体" w:cs="宋体"/>
          <w:bCs/>
          <w:sz w:val="24"/>
          <w:highlight w:val="none"/>
        </w:rPr>
        <w:t>的这一要求而放弃投标，同意延长投标有效期的投标人既不能要求也不允许修改其投标文件。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pPr>
        <w:pStyle w:val="189"/>
        <w:spacing w:line="360" w:lineRule="auto"/>
        <w:ind w:firstLine="480"/>
        <w:jc w:val="left"/>
        <w:rPr>
          <w:rFonts w:hint="eastAsia" w:ascii="宋体" w:hAnsi="宋体" w:eastAsia="宋体" w:cs="宋体"/>
          <w:bCs/>
          <w:sz w:val="24"/>
          <w:highlight w:val="none"/>
        </w:rPr>
      </w:pPr>
      <w:r>
        <w:rPr>
          <w:rFonts w:hint="eastAsia" w:ascii="宋体" w:hAnsi="宋体" w:eastAsia="宋体" w:cs="宋体"/>
          <w:bCs/>
          <w:sz w:val="24"/>
          <w:highlight w:val="none"/>
        </w:rPr>
        <w:t>5.电子投标文件其他要求</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5.1电子招标投标交易平台（即“苏采云”系统）相关要求是本采购文件的组成部分。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5.2投标人应对CA证书妥善保管，如被他人盗用投标，因此带来的结果均由投标人自行承担。</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5.3投标人应当对招标文件提出的实质性要求和条件作出实质性响应，并在电子投标系统逐条应答。</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5.4投标人应对要求提供的资格证明文件（如资质证书、资格证书）、技术资料（如白皮书、彩页、手册、检测报告等）扫描上传至投标系统。</w:t>
      </w:r>
    </w:p>
    <w:p>
      <w:pPr>
        <w:pStyle w:val="189"/>
        <w:spacing w:line="360" w:lineRule="auto"/>
        <w:ind w:firstLine="480"/>
        <w:jc w:val="left"/>
        <w:rPr>
          <w:rFonts w:hint="eastAsia" w:ascii="宋体" w:hAnsi="宋体" w:eastAsia="宋体" w:cs="宋体"/>
          <w:bCs/>
          <w:sz w:val="24"/>
          <w:highlight w:val="none"/>
        </w:rPr>
      </w:pPr>
      <w:r>
        <w:rPr>
          <w:rFonts w:hint="eastAsia" w:ascii="宋体" w:hAnsi="宋体" w:eastAsia="宋体" w:cs="宋体"/>
          <w:bCs/>
          <w:sz w:val="24"/>
          <w:highlight w:val="none"/>
        </w:rPr>
        <w:t>6.投标人应当在招标文件要求</w:t>
      </w:r>
      <w:r>
        <w:rPr>
          <w:rFonts w:hint="eastAsia" w:ascii="宋体" w:hAnsi="宋体" w:eastAsia="宋体" w:cs="宋体"/>
          <w:sz w:val="24"/>
          <w:highlight w:val="none"/>
        </w:rPr>
        <w:t>提交投标文件截止</w:t>
      </w:r>
      <w:r>
        <w:rPr>
          <w:rFonts w:hint="eastAsia" w:ascii="宋体" w:hAnsi="宋体" w:eastAsia="宋体" w:cs="宋体"/>
          <w:bCs/>
          <w:sz w:val="24"/>
          <w:highlight w:val="none"/>
        </w:rPr>
        <w:t>时间前，将投标文件提交至“苏采云”系统，逾期提交的投标文件，“苏采云”系统将自动拒收。各投标人应在规定时间内凭CA证书进行网上解密。</w:t>
      </w:r>
    </w:p>
    <w:p>
      <w:pPr>
        <w:keepNext/>
        <w:keepLines/>
        <w:spacing w:line="360" w:lineRule="auto"/>
        <w:ind w:firstLine="482"/>
        <w:jc w:val="left"/>
        <w:outlineLvl w:val="2"/>
        <w:rPr>
          <w:rFonts w:hint="eastAsia" w:ascii="宋体" w:hAnsi="宋体" w:cs="宋体"/>
          <w:b/>
          <w:bCs/>
          <w:sz w:val="24"/>
          <w:highlight w:val="none"/>
        </w:rPr>
      </w:pPr>
      <w:bookmarkStart w:id="56" w:name="_Hlt26954739"/>
      <w:bookmarkEnd w:id="56"/>
      <w:bookmarkStart w:id="57" w:name="_Hlt26954852"/>
      <w:bookmarkEnd w:id="57"/>
      <w:bookmarkStart w:id="58" w:name="_Toc20823296"/>
      <w:bookmarkStart w:id="59" w:name="_Toc513029224"/>
      <w:bookmarkStart w:id="60" w:name="_Toc16938540"/>
      <w:bookmarkStart w:id="61" w:name="_Toc120614217"/>
      <w:bookmarkStart w:id="62" w:name="_Toc16938545"/>
      <w:bookmarkStart w:id="63" w:name="_Toc513029229"/>
      <w:bookmarkStart w:id="64" w:name="_Toc20823301"/>
      <w:bookmarkStart w:id="65" w:name="_Toc120614218"/>
      <w:r>
        <w:rPr>
          <w:rFonts w:hint="eastAsia" w:ascii="宋体" w:hAnsi="宋体" w:cs="宋体"/>
          <w:b/>
          <w:bCs/>
          <w:sz w:val="24"/>
          <w:highlight w:val="none"/>
        </w:rPr>
        <w:t>（四）投标文件的提交</w:t>
      </w:r>
      <w:bookmarkEnd w:id="58"/>
      <w:bookmarkEnd w:id="59"/>
      <w:bookmarkEnd w:id="60"/>
      <w:bookmarkEnd w:id="61"/>
    </w:p>
    <w:p>
      <w:pPr>
        <w:spacing w:line="360" w:lineRule="auto"/>
        <w:ind w:firstLine="480"/>
        <w:jc w:val="left"/>
        <w:rPr>
          <w:rFonts w:hint="eastAsia" w:ascii="宋体" w:hAnsi="宋体" w:cs="宋体"/>
          <w:bCs/>
          <w:sz w:val="24"/>
          <w:highlight w:val="none"/>
        </w:rPr>
      </w:pPr>
      <w:bookmarkStart w:id="66" w:name="_Toc513029225"/>
      <w:bookmarkStart w:id="67" w:name="_Toc462564084"/>
      <w:bookmarkStart w:id="68" w:name="_Toc20823297"/>
      <w:bookmarkStart w:id="69" w:name="_Toc16938541"/>
      <w:r>
        <w:rPr>
          <w:rFonts w:hint="eastAsia" w:ascii="宋体" w:hAnsi="宋体" w:cs="宋体"/>
          <w:bCs/>
          <w:sz w:val="24"/>
          <w:highlight w:val="none"/>
        </w:rPr>
        <w:t>1.投标文件</w:t>
      </w:r>
      <w:bookmarkEnd w:id="66"/>
      <w:bookmarkEnd w:id="67"/>
      <w:bookmarkEnd w:id="68"/>
      <w:bookmarkEnd w:id="69"/>
      <w:r>
        <w:rPr>
          <w:rFonts w:hint="eastAsia" w:ascii="宋体" w:hAnsi="宋体" w:cs="宋体"/>
          <w:bCs/>
          <w:sz w:val="24"/>
          <w:highlight w:val="none"/>
        </w:rPr>
        <w:t>的提交</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1.1线上提交与接收地点：投标人应当通过“苏采云”系统提交数据电文形式的投标文件（即电子投标），“苏采云”系统自动接收。</w:t>
      </w:r>
    </w:p>
    <w:p>
      <w:pPr>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rPr>
        <w:t>说明：电子投标文件应由其法定代表人或被授权人在规定的网上投标时间内，凭CA证书登录“苏采云”系统在线编制投标文件（电子数据），并在提交投标文件截止时间之前上传投标文件。投标人应在达到开标时间后，使用CA数字证书解密各自投标文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2.提交投标文件截止日期</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2.1投标人上传电子投标文件的时间不得迟于采购公告中规定的提交投标文件截止时间。</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投标人应充分考虑到网络环境、网络带宽等风险因素，如因投标人自身原因造成的电子投标文件上传不成功由投标人自行承担全部责任。</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2.2采购人或采购代理机构可以按照规定，通过修改投标文件酌情延长提交投标文件截止日期，在此情况下，投标人的所有权利和义务以及投标人受制的截止日期均应以延长后新的截止日期为准。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3.投标文件的密封（加密）要求：</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3.1投标人应当按照采购文件和“苏采云”系统的要求编制并加密投标文件。本项目投标人须通过“苏采云”系统提供的政府采购客户端工具（使用“CA数字证书”）对其数据电文形式的投标文件加密。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3.2投标人须通过“苏采云”系统提供的政府采购客户端工具（使用“CA数字证书”）加盖电子签章。</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说明：投标人应在用CA数字证书以及自备的能够登录“苏采云”系统的电脑，在达到开标时间后，使用CA数字证书解密各自投标文件。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3.3投标人未按规定加密的投标文件，“苏采云”系统将拒收并提示。</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4.投标文件的拒收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4.1采购人（或采购代理机构）拒绝接收在其规定的提交投标文件截止时间后上传的任何投标文件。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5.投标文件的撤回和修改</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5.1投标文件的撤回</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5.1.1电子投标文件的撤回</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投标人可在提交投标文件截止时间前，撤回其投标文件，具体操作方法见“苏采云”系统供应商操作手册。</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5.1.2投标人撤回电子投标文件，则认为其不再参与本项目投标活动。</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5.2投标文件的修改</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投标人可在提交投标文件截止时间前，对其电子投标文件进行修改。具体操作方法见“苏采云”系统供应商操作手册。</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5.3在提交投标文件截止时间之后，投标人不得对其电子投标文件作任何修改。</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5.4在提交投标文件截止时间至招标文件中规定的投标有效期满之间的这段时间内，投标人不得撤回其投标文件。</w:t>
      </w:r>
    </w:p>
    <w:p>
      <w:pPr>
        <w:pStyle w:val="188"/>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（五）投标报价</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1.本项目不接受任何有选择的报价。</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2.本项目采取固定总价报价（即总价固定不变，潜在投标人全部按520万报入价格），响应报价为完成本投标文件中提出的全部产品（或货物）及其伴随服务应支付的各项金额总和；投标报价中的所有价格全部采用人民币表示，参加投标的供应商应按照招标文件规定格式填报报价表，在表内的报价应包括完成本次招标范围内全部工作内容所需所有费用。其中包括但不限于为完成本项目全部内容所提供人工、货物、设备、安装、交通、利润、保险、规费、税金、配合费、采购代理费、（第三方）检测费、宣传费用、检验检疫费、专家评审费、交通运输费用、放流仪式费用、放流实施（包含租船费，吊机费等）费用及多批次放流涉及到的上述相关费用、风险等有可能发生的各项费用（增殖放流苗种的购置费占比90％，其他费用为合同总价的10%）。等完成该项目放流工作所需的一切费用，同时供应商的响应报价在合同实施期间不因市场变化因素而变动。成交投标供应商超额完成放流任务的视为对采购人的优惠，采购人对成交供应商超额完成放流任务的价款不予支付。供应商应充分考虑本项目所涉及的全部知识产权及其相关费用，因第三方知识产权问题产生的各类损失均由中标供应商自行承担，并赔偿采购人的一切损失</w:t>
      </w:r>
      <w:r>
        <w:rPr>
          <w:rFonts w:hint="eastAsia" w:ascii="宋体" w:hAnsi="宋体" w:cs="宋体"/>
          <w:bCs/>
          <w:sz w:val="24"/>
          <w:highlight w:val="none"/>
          <w:lang w:eastAsia="zh-CN"/>
        </w:rPr>
        <w:t>，</w:t>
      </w:r>
      <w:r>
        <w:rPr>
          <w:rFonts w:hint="eastAsia" w:ascii="宋体" w:hAnsi="宋体" w:cs="宋体"/>
          <w:bCs/>
          <w:sz w:val="24"/>
          <w:highlight w:val="none"/>
        </w:rPr>
        <w:t>同时，报价也应包含合同履行过程中可能发生的一切风险。</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3.供应商应结合招标文件、项目需求、技术要求、技术规范、作业现场的环境等，考虑本项目各项费用风险，周密调研，理性报价。</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4.本项目的投标报价作为中标价。同时，投标人的中标价在合同实施期间不因市场变化因素而变动。</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pPr>
        <w:pStyle w:val="188"/>
        <w:spacing w:before="0" w:after="0" w:line="360" w:lineRule="auto"/>
        <w:jc w:val="left"/>
        <w:rPr>
          <w:rFonts w:hint="eastAsia" w:ascii="宋体" w:hAnsi="宋体" w:cs="宋体"/>
          <w:sz w:val="24"/>
          <w:szCs w:val="24"/>
          <w:highlight w:val="none"/>
        </w:rPr>
      </w:pPr>
      <w:r>
        <w:rPr>
          <w:rFonts w:hint="eastAsia" w:ascii="宋体" w:hAnsi="宋体" w:cs="宋体"/>
          <w:sz w:val="24"/>
          <w:szCs w:val="24"/>
          <w:highlight w:val="none"/>
        </w:rPr>
        <w:t>（六）开标与评标</w:t>
      </w:r>
      <w:bookmarkEnd w:id="62"/>
      <w:bookmarkEnd w:id="63"/>
      <w:bookmarkEnd w:id="64"/>
      <w:bookmarkEnd w:id="65"/>
    </w:p>
    <w:p>
      <w:pPr>
        <w:spacing w:line="360" w:lineRule="auto"/>
        <w:ind w:firstLine="480"/>
        <w:jc w:val="left"/>
        <w:rPr>
          <w:rFonts w:hint="eastAsia" w:ascii="宋体" w:hAnsi="宋体" w:cs="宋体"/>
          <w:bCs/>
          <w:sz w:val="24"/>
          <w:highlight w:val="none"/>
        </w:rPr>
      </w:pPr>
      <w:bookmarkStart w:id="70" w:name="_Toc513029231"/>
      <w:bookmarkStart w:id="71" w:name="_Toc16938547"/>
      <w:bookmarkStart w:id="72" w:name="_Toc20823303"/>
      <w:r>
        <w:rPr>
          <w:rFonts w:hint="eastAsia" w:ascii="宋体" w:hAnsi="宋体" w:cs="宋体"/>
          <w:bCs/>
          <w:sz w:val="24"/>
          <w:highlight w:val="none"/>
        </w:rPr>
        <w:t>1.开标仪式</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1.1采购代理</w:t>
      </w:r>
      <w:r>
        <w:rPr>
          <w:rFonts w:hint="eastAsia" w:ascii="宋体" w:hAnsi="宋体"/>
          <w:bCs/>
          <w:sz w:val="24"/>
          <w:highlight w:val="none"/>
        </w:rPr>
        <w:t>将在招标公告中规定的时间和地点组织公开开标</w:t>
      </w:r>
      <w:r>
        <w:rPr>
          <w:rFonts w:hint="eastAsia" w:ascii="宋体" w:hAnsi="宋体"/>
          <w:sz w:val="24"/>
          <w:highlight w:val="none"/>
        </w:rPr>
        <w:t>。投标人应当按照《江苏省政府采购管理交易系统（苏采云）供应商操作手册》规定，</w:t>
      </w:r>
      <w:r>
        <w:rPr>
          <w:rFonts w:ascii="宋体" w:hAnsi="宋体"/>
          <w:sz w:val="24"/>
          <w:highlight w:val="none"/>
        </w:rPr>
        <w:t>参加开标活动</w:t>
      </w:r>
      <w:r>
        <w:rPr>
          <w:rFonts w:hint="eastAsia" w:ascii="宋体" w:hAnsi="宋体"/>
          <w:sz w:val="24"/>
          <w:highlight w:val="none"/>
        </w:rPr>
        <w:t>和在苏采云系统规定的时间内对投标文件进行解密。</w:t>
      </w:r>
    </w:p>
    <w:p>
      <w:pPr>
        <w:spacing w:line="360" w:lineRule="auto"/>
        <w:ind w:firstLine="480"/>
        <w:jc w:val="left"/>
        <w:rPr>
          <w:rFonts w:hint="eastAsia" w:ascii="宋体" w:hAnsi="宋体"/>
          <w:sz w:val="24"/>
          <w:highlight w:val="none"/>
        </w:rPr>
      </w:pPr>
      <w:r>
        <w:rPr>
          <w:rFonts w:hint="eastAsia" w:ascii="宋体" w:hAnsi="宋体"/>
          <w:sz w:val="24"/>
          <w:highlight w:val="none"/>
        </w:rPr>
        <w:t>开标当天投标人应及时登录“苏采云”不见面开标大厅，并在规定时间内自行实施远程解密。</w:t>
      </w:r>
      <w:r>
        <w:rPr>
          <w:rFonts w:hint="eastAsia" w:ascii="宋体" w:hAnsi="宋体"/>
          <w:b/>
          <w:sz w:val="24"/>
          <w:highlight w:val="none"/>
        </w:rPr>
        <w:t>投标人解密时间限定为投标文件解密指令发出后30分钟（投标人应当充分考虑网络延时造成的本地网络计时不一致风险，提前完成解密动作）。</w:t>
      </w:r>
      <w:r>
        <w:rPr>
          <w:rFonts w:hint="eastAsia" w:ascii="宋体" w:hAnsi="宋体"/>
          <w:b/>
          <w:bCs/>
          <w:sz w:val="24"/>
          <w:highlight w:val="none"/>
        </w:rPr>
        <w:t>投标人因网络、电源、浏览器不稳定、未按要求配置软硬件环境，解密锁用错或其他物理故障、操作熟练程度等自身原因，导致投标文件在规定时间内未能解密、解密失败或解密超时，系统内投标文件将被退回，相应风险由投标人自行承担；</w:t>
      </w:r>
      <w:r>
        <w:rPr>
          <w:rFonts w:hint="eastAsia" w:ascii="宋体" w:hAnsi="宋体"/>
          <w:sz w:val="24"/>
          <w:highlight w:val="none"/>
        </w:rPr>
        <w:t>因采购人（或采购代理机构）原因或网上招投标平台发生故障，导致无法按时完成投标文件解密或开、评标工作无法进行的，可根据实际情况相应延迟解密时间或调整开、评标时间。</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1.2开标仪式由采购代理机构组织。苏采云系统将自动对项目进行开标，并宣布各投标人名称和投标价格。</w:t>
      </w:r>
    </w:p>
    <w:p>
      <w:pPr>
        <w:spacing w:line="360" w:lineRule="auto"/>
        <w:ind w:firstLine="480"/>
        <w:jc w:val="left"/>
        <w:rPr>
          <w:rFonts w:ascii="宋体" w:hAnsi="宋体" w:cs="宋体"/>
          <w:sz w:val="24"/>
          <w:highlight w:val="none"/>
        </w:rPr>
      </w:pPr>
      <w:r>
        <w:rPr>
          <w:rFonts w:hint="eastAsia" w:ascii="宋体" w:hAnsi="宋体" w:cs="宋体"/>
          <w:sz w:val="24"/>
          <w:highlight w:val="none"/>
        </w:rPr>
        <w:t>1.3投标人在开标过程中涉及到的投标文件解密、开标结果确认等工作，应按照《</w:t>
      </w:r>
      <w:r>
        <w:rPr>
          <w:rFonts w:hint="eastAsia" w:ascii="宋体" w:hAnsi="宋体"/>
          <w:sz w:val="24"/>
          <w:highlight w:val="none"/>
        </w:rPr>
        <w:t>江苏省政府采购管理交易系统（苏采云）供应商操作手册</w:t>
      </w:r>
      <w:r>
        <w:rPr>
          <w:rFonts w:hint="eastAsia" w:ascii="宋体" w:hAnsi="宋体" w:cs="宋体"/>
          <w:sz w:val="24"/>
          <w:highlight w:val="none"/>
        </w:rPr>
        <w:t>》规定执行。</w:t>
      </w:r>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2.评标委员会</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2.1 开标后，采购</w:t>
      </w:r>
      <w:r>
        <w:rPr>
          <w:rFonts w:hint="eastAsia" w:ascii="宋体" w:hAnsi="宋体" w:cs="宋体"/>
          <w:bCs/>
          <w:sz w:val="24"/>
          <w:highlight w:val="none"/>
        </w:rPr>
        <w:t>代理机构</w:t>
      </w:r>
      <w:r>
        <w:rPr>
          <w:rFonts w:hint="eastAsia" w:ascii="宋体" w:hAnsi="宋体" w:cs="宋体"/>
          <w:sz w:val="24"/>
          <w:highlight w:val="none"/>
        </w:rPr>
        <w:t>将立即组织评标委员会（以下简称评委会）进行评标。</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 xml:space="preserve">2.2 </w:t>
      </w:r>
      <w:r>
        <w:rPr>
          <w:rFonts w:hint="eastAsia" w:ascii="宋体" w:hAnsi="宋体"/>
          <w:sz w:val="24"/>
          <w:highlight w:val="none"/>
        </w:rPr>
        <w:t>评委会由采购人代表和有关技术、经济等方面的专家组成，且人员构成符合政府采购有关规定。</w:t>
      </w:r>
      <w:r>
        <w:rPr>
          <w:rFonts w:hint="eastAsia" w:ascii="宋体" w:hAnsi="宋体" w:cs="宋体"/>
          <w:sz w:val="24"/>
          <w:highlight w:val="none"/>
        </w:rPr>
        <w:t>评标专家应当从政府采购评审专家库内相关专业的专家名单中随机抽取。情况特殊、通过随机方式难以确定合适的评标专家的，经主管预算单位同意，可以自行选定评标专家。</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2.3评委会独立工作，负责评审所有投标文件并确定中标侯选人。</w:t>
      </w:r>
    </w:p>
    <w:p>
      <w:pPr>
        <w:pStyle w:val="189"/>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3.评标过程的保密与公正</w:t>
      </w:r>
    </w:p>
    <w:bookmarkEnd w:id="70"/>
    <w:bookmarkEnd w:id="71"/>
    <w:bookmarkEnd w:id="72"/>
    <w:p>
      <w:pPr>
        <w:tabs>
          <w:tab w:val="left" w:pos="900"/>
        </w:tabs>
        <w:spacing w:line="360" w:lineRule="auto"/>
        <w:ind w:firstLine="480"/>
        <w:jc w:val="left"/>
        <w:rPr>
          <w:rFonts w:hint="eastAsia" w:ascii="宋体" w:hAnsi="宋体" w:cs="宋体"/>
          <w:sz w:val="24"/>
          <w:highlight w:val="none"/>
        </w:rPr>
      </w:pPr>
      <w:r>
        <w:rPr>
          <w:rFonts w:hint="eastAsia" w:ascii="宋体" w:hAnsi="宋体" w:cs="宋体"/>
          <w:sz w:val="24"/>
          <w:highlight w:val="none"/>
        </w:rPr>
        <w:t>3.1评委会、采购人和采购代理机构工作人员、相关监督人员等与评标工作有关的人员，对评标情况以及在评标过程中获悉的国家秘密、商业秘密负有保密责任。</w:t>
      </w:r>
    </w:p>
    <w:p>
      <w:pPr>
        <w:spacing w:line="360" w:lineRule="auto"/>
        <w:ind w:firstLine="480"/>
        <w:jc w:val="left"/>
        <w:rPr>
          <w:rFonts w:ascii="宋体" w:hAnsi="宋体" w:cs="宋体"/>
          <w:sz w:val="24"/>
          <w:highlight w:val="none"/>
        </w:rPr>
      </w:pPr>
      <w:r>
        <w:rPr>
          <w:rFonts w:hint="eastAsia" w:ascii="宋体" w:hAnsi="宋体" w:cs="宋体"/>
          <w:sz w:val="24"/>
          <w:highlight w:val="none"/>
        </w:rPr>
        <w:t>3.2在评标过程中，投标人不得以任何行为影响评标过程，否则其投标文件将被作为无效投标文件。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3.3公开开标后，直至向中标人授予合同时止，凡是与审查、澄清、评价和比较投标的有关资料以及授标建议等，采购人、评委、</w:t>
      </w:r>
      <w:r>
        <w:rPr>
          <w:rFonts w:hint="eastAsia" w:ascii="宋体" w:hAnsi="宋体" w:cs="宋体"/>
          <w:sz w:val="24"/>
          <w:highlight w:val="none"/>
        </w:rPr>
        <w:t>代理机构</w:t>
      </w:r>
      <w:r>
        <w:rPr>
          <w:rFonts w:hint="eastAsia" w:ascii="宋体" w:hAnsi="宋体" w:cs="宋体"/>
          <w:bCs/>
          <w:sz w:val="24"/>
          <w:highlight w:val="none"/>
        </w:rPr>
        <w:t>均不得向投标人或与评标无关的其他人员透露。</w:t>
      </w:r>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3.4在评标期间，</w:t>
      </w:r>
      <w:r>
        <w:rPr>
          <w:rFonts w:hint="eastAsia" w:ascii="宋体" w:hAnsi="宋体" w:cs="宋体"/>
          <w:bCs/>
          <w:sz w:val="24"/>
          <w:highlight w:val="none"/>
        </w:rPr>
        <w:t>采购人或代理机构</w:t>
      </w:r>
      <w:r>
        <w:rPr>
          <w:rFonts w:hint="eastAsia" w:ascii="宋体" w:hAnsi="宋体" w:cs="宋体"/>
          <w:sz w:val="24"/>
          <w:highlight w:val="none"/>
        </w:rPr>
        <w:t>将设专门人员与投标人联系。</w:t>
      </w:r>
    </w:p>
    <w:p>
      <w:pPr>
        <w:spacing w:line="360" w:lineRule="auto"/>
        <w:ind w:firstLine="480"/>
        <w:jc w:val="left"/>
        <w:rPr>
          <w:rFonts w:ascii="宋体" w:hAnsi="宋体" w:cs="宋体"/>
          <w:sz w:val="24"/>
          <w:highlight w:val="none"/>
        </w:rPr>
      </w:pPr>
      <w:r>
        <w:rPr>
          <w:rFonts w:hint="eastAsia" w:ascii="宋体" w:hAnsi="宋体" w:cs="宋体"/>
          <w:sz w:val="24"/>
          <w:highlight w:val="none"/>
        </w:rPr>
        <w:t>3.5</w:t>
      </w:r>
      <w:r>
        <w:rPr>
          <w:rFonts w:hint="eastAsia" w:ascii="宋体" w:hAnsi="宋体" w:cs="宋体"/>
          <w:bCs/>
          <w:sz w:val="24"/>
          <w:highlight w:val="none"/>
        </w:rPr>
        <w:t>采购人、代理机构</w:t>
      </w:r>
      <w:r>
        <w:rPr>
          <w:rFonts w:hint="eastAsia" w:ascii="宋体" w:hAnsi="宋体" w:cs="宋体"/>
          <w:sz w:val="24"/>
          <w:highlight w:val="none"/>
        </w:rPr>
        <w:t>和评标委员会不向未中标的投标人解释未中标原因，也不公布评标过程中的相关细节。</w:t>
      </w:r>
      <w:bookmarkStart w:id="73" w:name="_Toc513029232"/>
      <w:bookmarkStart w:id="74" w:name="_Toc20823304"/>
      <w:bookmarkStart w:id="75" w:name="_Toc16938548"/>
    </w:p>
    <w:p>
      <w:pPr>
        <w:spacing w:line="360" w:lineRule="auto"/>
        <w:ind w:firstLine="480"/>
        <w:jc w:val="left"/>
        <w:rPr>
          <w:rFonts w:ascii="宋体" w:hAnsi="宋体" w:cs="宋体"/>
          <w:sz w:val="24"/>
          <w:highlight w:val="none"/>
        </w:rPr>
      </w:pPr>
      <w:r>
        <w:rPr>
          <w:rFonts w:hint="eastAsia" w:ascii="宋体" w:hAnsi="宋体" w:cs="宋体"/>
          <w:sz w:val="24"/>
          <w:highlight w:val="none"/>
        </w:rPr>
        <w:t>3.6采用综合评分法的项目，未中标的投标人可于中标结果公告期限届满之日起通过苏采云系统查看自己的评审得分及排序情况。</w:t>
      </w:r>
    </w:p>
    <w:p>
      <w:pPr>
        <w:spacing w:line="360" w:lineRule="auto"/>
        <w:ind w:firstLine="480"/>
        <w:jc w:val="left"/>
        <w:rPr>
          <w:rFonts w:ascii="宋体" w:hAnsi="宋体" w:cs="宋体"/>
          <w:sz w:val="24"/>
          <w:highlight w:val="none"/>
        </w:rPr>
      </w:pPr>
      <w:r>
        <w:rPr>
          <w:rFonts w:hint="eastAsia" w:ascii="宋体" w:hAnsi="宋体" w:cs="宋体"/>
          <w:sz w:val="24"/>
          <w:highlight w:val="none"/>
        </w:rPr>
        <w:t>4.投标的澄清</w:t>
      </w:r>
      <w:bookmarkEnd w:id="73"/>
      <w:bookmarkEnd w:id="74"/>
      <w:bookmarkEnd w:id="75"/>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4.1评标期间，评委会对投标文件中含义不明确、同类问题表述不一致或者有明显文字和计算错误的内容 ，有权要求投标人作出必要的澄清、说明或者补正。</w:t>
      </w:r>
    </w:p>
    <w:p>
      <w:pPr>
        <w:pStyle w:val="189"/>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投标人的澄清、说明或者补正不得超出投标文件的范围或者改变投标文件的实质性内容。</w:t>
      </w:r>
    </w:p>
    <w:p>
      <w:pPr>
        <w:pStyle w:val="189"/>
        <w:spacing w:line="360" w:lineRule="auto"/>
        <w:ind w:firstLine="480"/>
        <w:jc w:val="left"/>
        <w:rPr>
          <w:rFonts w:hint="eastAsia" w:ascii="宋体" w:hAnsi="宋体" w:cs="宋体"/>
          <w:sz w:val="24"/>
          <w:highlight w:val="none"/>
        </w:rPr>
      </w:pPr>
      <w:r>
        <w:rPr>
          <w:rFonts w:hint="eastAsia" w:ascii="宋体" w:hAnsi="宋体" w:eastAsia="宋体" w:cs="宋体"/>
          <w:sz w:val="24"/>
          <w:szCs w:val="24"/>
          <w:highlight w:val="none"/>
        </w:rPr>
        <w:t>评标委员会并非对每个投标人都做澄清要求。</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pPr>
        <w:pStyle w:val="189"/>
        <w:spacing w:line="360" w:lineRule="auto"/>
        <w:ind w:firstLine="480"/>
        <w:jc w:val="left"/>
        <w:rPr>
          <w:rFonts w:hint="eastAsia" w:ascii="宋体" w:hAnsi="宋体" w:eastAsia="宋体" w:cs="宋体"/>
          <w:bCs/>
          <w:sz w:val="24"/>
          <w:szCs w:val="24"/>
          <w:highlight w:val="none"/>
        </w:rPr>
      </w:pPr>
      <w:bookmarkStart w:id="76" w:name="_Toc513029233"/>
      <w:bookmarkStart w:id="77" w:name="_Toc20823305"/>
      <w:bookmarkStart w:id="78" w:name="_Toc16938549"/>
      <w:r>
        <w:rPr>
          <w:rFonts w:hint="eastAsia" w:ascii="宋体" w:hAnsi="宋体" w:eastAsia="宋体" w:cs="宋体"/>
          <w:sz w:val="24"/>
          <w:szCs w:val="24"/>
          <w:highlight w:val="none"/>
        </w:rPr>
        <w:t>5.对投标文件的初审</w:t>
      </w:r>
      <w:bookmarkEnd w:id="76"/>
      <w:bookmarkEnd w:id="77"/>
      <w:bookmarkEnd w:id="78"/>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5.1.1资格审查：依据法律法规和招标文件的规定，由采购人对投标文件中的资格审查证明材料进行审查。资格审查的结论，采购人以书面形式向评委会进行反馈。</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采购人在进行资格性审查的同时，将在“信用中国”网站（www.creditchina.gov.cn）查询投标人的信用记录，以确定投标人是否具备投标资格,查询结果留存并归档。</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5.1.3未通过资格审查或符合性审查的投标人，采购代理将在苏采云系统中告知未通过资格审查或符合性审查的原因，评标结束后，采购代理将不再告知未通过资格审查或符合性审查的原因。</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5.3如果投标文件实质上没有响应招标文件的要求，评委会将予以拒绝，投标人不得通过修改或撤销不合要求的偏离或保留而使其投标成为实质性响应的投标。</w:t>
      </w:r>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（2）大写金额和小写金额不一致的，以大写金额为准。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同时出现两种以上错误的，按照前款规定的顺序修正。</w:t>
      </w:r>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评委会将按上述修正错误的方法调整投标文件中的报价，并通过苏采云系统告知投标人，调整后的价格应对投标人具有约束力。如果投标人不接受修正后的价格，则其投标将被拒绝。</w:t>
      </w:r>
    </w:p>
    <w:p>
      <w:pPr>
        <w:spacing w:line="360" w:lineRule="auto"/>
        <w:ind w:firstLine="420"/>
        <w:jc w:val="left"/>
        <w:rPr>
          <w:rFonts w:hint="eastAsia" w:ascii="宋体" w:hAnsi="宋体" w:cs="宋体"/>
          <w:sz w:val="24"/>
          <w:highlight w:val="none"/>
        </w:rPr>
      </w:pPr>
      <w:bookmarkStart w:id="79" w:name="_Toc513029234"/>
      <w:bookmarkStart w:id="80" w:name="_Toc20823306"/>
      <w:bookmarkStart w:id="81" w:name="_Toc16938550"/>
      <w:r>
        <w:rPr>
          <w:rFonts w:hint="eastAsia" w:ascii="宋体" w:hAnsi="宋体" w:cs="宋体"/>
          <w:sz w:val="24"/>
          <w:highlight w:val="none"/>
        </w:rPr>
        <w:t>5.6</w:t>
      </w:r>
      <w:r>
        <w:rPr>
          <w:rFonts w:hint="eastAsia" w:ascii="宋体" w:hAnsi="宋体"/>
          <w:sz w:val="24"/>
          <w:highlight w:val="none"/>
        </w:rPr>
        <w:t>投标人在开、评标全过程中应保持通讯畅通，及时登录苏采云系统查阅</w:t>
      </w:r>
      <w:r>
        <w:rPr>
          <w:rFonts w:ascii="宋体" w:hAnsi="宋体"/>
          <w:sz w:val="24"/>
          <w:highlight w:val="none"/>
        </w:rPr>
        <w:t>、答复相关</w:t>
      </w:r>
      <w:r>
        <w:rPr>
          <w:rFonts w:hint="eastAsia" w:ascii="宋体" w:hAnsi="宋体"/>
          <w:sz w:val="24"/>
          <w:highlight w:val="none"/>
        </w:rPr>
        <w:t>信息</w:t>
      </w:r>
      <w:r>
        <w:rPr>
          <w:rFonts w:ascii="宋体" w:hAnsi="宋体"/>
          <w:sz w:val="24"/>
          <w:highlight w:val="none"/>
        </w:rPr>
        <w:t>，</w:t>
      </w:r>
      <w:r>
        <w:rPr>
          <w:rFonts w:hint="eastAsia" w:ascii="宋体" w:hAnsi="宋体"/>
          <w:sz w:val="24"/>
          <w:highlight w:val="none"/>
        </w:rPr>
        <w:t>并安排专人与采购中心及评标委员会联系。</w:t>
      </w:r>
    </w:p>
    <w:bookmarkEnd w:id="79"/>
    <w:bookmarkEnd w:id="80"/>
    <w:bookmarkEnd w:id="81"/>
    <w:p>
      <w:pPr>
        <w:pStyle w:val="189"/>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6.无效投标条款和废标条款</w:t>
      </w:r>
    </w:p>
    <w:p>
      <w:pPr>
        <w:tabs>
          <w:tab w:val="left" w:pos="6555"/>
          <w:tab w:val="right" w:pos="8306"/>
        </w:tabs>
        <w:spacing w:line="360" w:lineRule="auto"/>
        <w:ind w:firstLine="480"/>
        <w:jc w:val="left"/>
        <w:rPr>
          <w:rFonts w:hint="eastAsia" w:ascii="宋体" w:hAnsi="宋体" w:cs="宋体"/>
          <w:b/>
          <w:sz w:val="24"/>
          <w:highlight w:val="none"/>
        </w:rPr>
      </w:pPr>
      <w:bookmarkStart w:id="82" w:name="_Toc513029235"/>
      <w:bookmarkStart w:id="83" w:name="_Toc20823307"/>
      <w:bookmarkStart w:id="84" w:name="_Toc16938551"/>
      <w:r>
        <w:rPr>
          <w:rFonts w:hint="eastAsia" w:ascii="宋体" w:hAnsi="宋体" w:cs="宋体"/>
          <w:bCs/>
          <w:sz w:val="24"/>
          <w:highlight w:val="none"/>
        </w:rPr>
        <w:t>6.1无效投标条款</w:t>
      </w:r>
      <w:r>
        <w:rPr>
          <w:rFonts w:hint="eastAsia" w:ascii="宋体" w:hAnsi="宋体" w:cs="宋体"/>
          <w:bCs/>
          <w:sz w:val="24"/>
          <w:highlight w:val="none"/>
        </w:rPr>
        <w:tab/>
      </w:r>
      <w:r>
        <w:rPr>
          <w:rFonts w:hint="eastAsia" w:ascii="宋体" w:hAnsi="宋体" w:cs="宋体"/>
          <w:b/>
          <w:sz w:val="24"/>
          <w:highlight w:val="none"/>
        </w:rPr>
        <w:tab/>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6.1.1投标人在苏采云系统规定的时间内未成功解密电子投标文件的。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6.1.2投标人未按照招标文件要求上传电子投标文件的。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6.1.3同一投标人提交两个（含两个）以上不同的投标报价的。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6.1.4投标人不具备招标文件中规定资格要求的。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6.1.5投标报价超过项目最高限价的。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6.1.6</w:t>
      </w:r>
      <w:r>
        <w:rPr>
          <w:rFonts w:hint="eastAsia" w:ascii="宋体" w:hAnsi="宋体"/>
          <w:bCs/>
          <w:sz w:val="24"/>
          <w:highlight w:val="none"/>
        </w:rPr>
        <w:t>未通过符合性审查的。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6.1.7</w:t>
      </w:r>
      <w:r>
        <w:rPr>
          <w:rFonts w:hint="eastAsia" w:ascii="宋体" w:hAnsi="宋体"/>
          <w:bCs/>
          <w:sz w:val="24"/>
          <w:highlight w:val="none"/>
        </w:rPr>
        <w:t>不符合招标文件中规定的其他实质性要求和条件的。</w:t>
      </w:r>
    </w:p>
    <w:p>
      <w:pPr>
        <w:spacing w:line="360" w:lineRule="auto"/>
        <w:ind w:firstLine="480"/>
        <w:jc w:val="left"/>
        <w:rPr>
          <w:rFonts w:ascii="宋体" w:hAnsi="宋体" w:cs="宋体"/>
          <w:sz w:val="24"/>
          <w:highlight w:val="none"/>
        </w:rPr>
      </w:pPr>
      <w:r>
        <w:rPr>
          <w:rFonts w:hint="eastAsia" w:ascii="宋体" w:hAnsi="宋体" w:cs="宋体"/>
          <w:sz w:val="24"/>
          <w:highlight w:val="none"/>
        </w:rPr>
        <w:t>6.1.8</w:t>
      </w:r>
      <w:r>
        <w:rPr>
          <w:rFonts w:hint="eastAsia" w:ascii="宋体" w:hAnsi="宋体"/>
          <w:bCs/>
          <w:sz w:val="24"/>
          <w:highlight w:val="none"/>
        </w:rPr>
        <w:t>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6.1.9</w:t>
      </w:r>
      <w:r>
        <w:rPr>
          <w:rFonts w:hint="eastAsia" w:ascii="宋体" w:hAnsi="宋体"/>
          <w:bCs/>
          <w:sz w:val="24"/>
          <w:highlight w:val="none"/>
        </w:rPr>
        <w:t>投标文件含有采购人不能接受的附加条件的。</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6.1.10</w:t>
      </w:r>
      <w:r>
        <w:rPr>
          <w:rFonts w:hint="eastAsia" w:ascii="宋体" w:hAnsi="宋体"/>
          <w:bCs/>
          <w:sz w:val="24"/>
          <w:highlight w:val="none"/>
        </w:rPr>
        <w:t>评标委员会认为投标人的报价明显低于其他通过符合性审查投标人的报价，有可能影响产品质量或者不能诚信履约的，将通过</w:t>
      </w:r>
      <w:r>
        <w:rPr>
          <w:rFonts w:hint="eastAsia" w:ascii="宋体" w:hAnsi="宋体"/>
          <w:sz w:val="24"/>
          <w:highlight w:val="none"/>
        </w:rPr>
        <w:t>苏采云系统</w:t>
      </w:r>
      <w:r>
        <w:rPr>
          <w:rFonts w:hint="eastAsia" w:ascii="宋体" w:hAnsi="宋体"/>
          <w:bCs/>
          <w:sz w:val="24"/>
          <w:highlight w:val="none"/>
        </w:rPr>
        <w:t>要求其在合理的时间内提供说明，必要时提交相关证明材料；投标人不能证明其报价合理性的，评标委员会应当将其作为无效投标处理。</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6.1.11</w:t>
      </w:r>
      <w:r>
        <w:rPr>
          <w:rFonts w:hint="eastAsia" w:ascii="宋体" w:hAnsi="宋体"/>
          <w:bCs/>
          <w:sz w:val="24"/>
          <w:highlight w:val="none"/>
        </w:rPr>
        <w:t>投标文件未按照招标文件要求进行签章。</w:t>
      </w:r>
    </w:p>
    <w:p>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6.1.12</w:t>
      </w:r>
      <w:r>
        <w:rPr>
          <w:rFonts w:hint="eastAsia" w:ascii="宋体" w:hAnsi="宋体"/>
          <w:bCs/>
          <w:sz w:val="24"/>
          <w:highlight w:val="none"/>
        </w:rPr>
        <w:t>其他法律、法规及本招标文件规定的属无效投标的情形。</w:t>
      </w:r>
    </w:p>
    <w:p>
      <w:pPr>
        <w:spacing w:line="360" w:lineRule="auto"/>
        <w:ind w:firstLine="480"/>
        <w:jc w:val="left"/>
        <w:outlineLvl w:val="1"/>
        <w:rPr>
          <w:rFonts w:hint="eastAsia" w:ascii="宋体" w:hAnsi="宋体" w:cs="宋体"/>
          <w:sz w:val="24"/>
          <w:highlight w:val="none"/>
        </w:rPr>
      </w:pPr>
      <w:r>
        <w:rPr>
          <w:rFonts w:hint="eastAsia" w:ascii="宋体" w:hAnsi="宋体" w:cs="宋体"/>
          <w:sz w:val="24"/>
          <w:highlight w:val="none"/>
        </w:rPr>
        <w:t>6.2废标条款</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6.2.2出现影响采购公正的违法、违规行为的。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6.2.3因重大变故，采购任务取消的。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6.2.4评标委员会认定招标文件存在歧义、重大缺陷导致评标工作无法进行。</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6.2.5</w:t>
      </w:r>
      <w:r>
        <w:rPr>
          <w:rFonts w:hint="eastAsia" w:ascii="宋体" w:hAnsi="宋体"/>
          <w:bCs/>
          <w:sz w:val="24"/>
          <w:highlight w:val="none"/>
        </w:rPr>
        <w:t>因</w:t>
      </w:r>
      <w:r>
        <w:rPr>
          <w:rFonts w:hint="eastAsia" w:ascii="宋体" w:hAnsi="宋体"/>
          <w:sz w:val="24"/>
          <w:highlight w:val="none"/>
        </w:rPr>
        <w:t>苏采云系统</w:t>
      </w:r>
      <w:r>
        <w:rPr>
          <w:rFonts w:ascii="宋体" w:hAnsi="宋体"/>
          <w:bCs/>
          <w:sz w:val="24"/>
          <w:highlight w:val="none"/>
        </w:rPr>
        <w:t>系统故障原因造成开标不成功</w:t>
      </w:r>
      <w:r>
        <w:rPr>
          <w:rFonts w:hint="eastAsia" w:ascii="宋体" w:hAnsi="宋体"/>
          <w:bCs/>
          <w:sz w:val="24"/>
          <w:highlight w:val="none"/>
        </w:rPr>
        <w:t>的</w:t>
      </w:r>
      <w:r>
        <w:rPr>
          <w:rFonts w:ascii="宋体" w:hAnsi="宋体"/>
          <w:bCs/>
          <w:sz w:val="24"/>
          <w:highlight w:val="none"/>
        </w:rPr>
        <w:t>。</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6.3 提交投标文件截止时间结束后参加投标的投标人不足三家的处理：</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6.3.1如出现提交投标文件截止时间结束后参加投标的投标人或者在评标期间对招标文件做出实质响应的投标人不足三家情况，按政府采购相关规定执行。</w:t>
      </w:r>
      <w:bookmarkEnd w:id="82"/>
      <w:bookmarkEnd w:id="83"/>
      <w:bookmarkEnd w:id="84"/>
      <w:bookmarkStart w:id="85" w:name="_Toc120614219"/>
    </w:p>
    <w:p>
      <w:pPr>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rPr>
        <w:t>（七）定标</w:t>
      </w:r>
      <w:bookmarkEnd w:id="85"/>
      <w:bookmarkStart w:id="86" w:name="_Toc16938554"/>
      <w:bookmarkStart w:id="87" w:name="_Toc20823310"/>
    </w:p>
    <w:p>
      <w:pPr>
        <w:spacing w:line="360" w:lineRule="auto"/>
        <w:ind w:firstLine="480"/>
        <w:jc w:val="left"/>
        <w:rPr>
          <w:rFonts w:hint="eastAsia" w:ascii="宋体" w:hAnsi="宋体" w:cs="宋体"/>
          <w:b/>
          <w:sz w:val="24"/>
          <w:highlight w:val="none"/>
        </w:rPr>
      </w:pPr>
      <w:r>
        <w:rPr>
          <w:rFonts w:hint="eastAsia" w:ascii="宋体" w:hAnsi="宋体" w:cs="宋体"/>
          <w:sz w:val="24"/>
          <w:highlight w:val="none"/>
        </w:rPr>
        <w:t>1.确定</w:t>
      </w:r>
      <w:bookmarkEnd w:id="86"/>
      <w:bookmarkEnd w:id="87"/>
      <w:r>
        <w:rPr>
          <w:rFonts w:hint="eastAsia" w:ascii="宋体" w:hAnsi="宋体" w:cs="宋体"/>
          <w:sz w:val="24"/>
          <w:highlight w:val="none"/>
        </w:rPr>
        <w:t>中标单位</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 xml:space="preserve">1.1中标候选人的选取原则和数量见招标文件第五部分规定。 </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1.2</w:t>
      </w:r>
      <w:r>
        <w:rPr>
          <w:rFonts w:ascii="宋体" w:hAnsi="宋体"/>
          <w:sz w:val="24"/>
          <w:highlight w:val="none"/>
        </w:rPr>
        <w:t>采购人委托评标委员会直接</w:t>
      </w:r>
      <w:r>
        <w:rPr>
          <w:rFonts w:hint="eastAsia" w:ascii="宋体" w:hAnsi="宋体"/>
          <w:bCs/>
          <w:sz w:val="24"/>
          <w:highlight w:val="none"/>
        </w:rPr>
        <w:t>确定中标人。</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1.3采购人或采购代理机构将在“江苏政府采购网”发布中标公告，公告期限为1个工作日。</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1.4若有充分证据证明，中标人出现下列情况之一的，一经查实，将被取消中标资格：</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1.4.1提供虚假材料谋取中标的。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1.4.2</w:t>
      </w:r>
      <w:bookmarkStart w:id="88" w:name="_Hlk107999356"/>
      <w:r>
        <w:rPr>
          <w:rFonts w:hint="eastAsia" w:ascii="宋体" w:hAnsi="宋体"/>
          <w:sz w:val="24"/>
          <w:highlight w:val="none"/>
        </w:rPr>
        <w:t>向采购人、采购代理机构行贿或者提供其他不正当利益的。</w:t>
      </w:r>
    </w:p>
    <w:bookmarkEnd w:id="88"/>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1.4.3属于本文件规定的无效条件，但在评标过程中又未被评委会发现的。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1.4.4与采购人或者其他投标人恶意串通的。</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1.4.5采取不正当手段诋毁、排挤其他投标人的。</w:t>
      </w:r>
    </w:p>
    <w:p>
      <w:pPr>
        <w:spacing w:line="360" w:lineRule="auto"/>
        <w:ind w:firstLine="480"/>
        <w:jc w:val="left"/>
        <w:rPr>
          <w:rFonts w:hint="eastAsia" w:ascii="宋体" w:hAnsi="宋体" w:cs="宋体"/>
          <w:sz w:val="24"/>
          <w:highlight w:val="none"/>
        </w:rPr>
      </w:pPr>
      <w:bookmarkStart w:id="89" w:name="_Toc200451960"/>
      <w:r>
        <w:rPr>
          <w:rFonts w:hint="eastAsia" w:ascii="宋体" w:hAnsi="宋体" w:cs="宋体"/>
          <w:sz w:val="24"/>
          <w:highlight w:val="none"/>
        </w:rPr>
        <w:t>1.5.有下列情形之一的，视为投标人串通投标，投标无效：</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1.5.1不同投标人的投标文件由同一单位或者个人编制；</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1.5.2不同投标人委托同一单位或者个人办理投标事宜；</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1.5.4不同投标人的投标文件异常一致或者投标报价呈规律性差异；</w:t>
      </w:r>
    </w:p>
    <w:p>
      <w:pPr>
        <w:pStyle w:val="189"/>
        <w:spacing w:line="360" w:lineRule="auto"/>
        <w:ind w:firstLine="48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2.质疑处理</w:t>
      </w:r>
      <w:bookmarkEnd w:id="89"/>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2.1 提出质疑的投标人应当是参与所质疑项目采购活动的投标人。潜在投标人依法获取其可质疑的招标文件的，可以对招标文件提出质疑。</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2.2投标人认为招标文件、采购过程和采购结果使自己的权益受到损害的，可以在知道或应知其权益受到损害之日起七个工作日内，以书面形式向采购人提出质疑。上述应知其权益受到损害之日，是指：</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r>
        <w:rPr>
          <w:rFonts w:hint="eastAsia" w:ascii="宋体" w:hAnsi="宋体" w:cs="宋体"/>
          <w:sz w:val="24"/>
          <w:highlight w:val="none"/>
        </w:rPr>
        <w:br w:type="textWrapping" w:clear="all"/>
      </w:r>
      <w:r>
        <w:rPr>
          <w:rFonts w:hint="eastAsia" w:ascii="宋体" w:hAnsi="宋体" w:cs="宋体"/>
          <w:sz w:val="24"/>
          <w:highlight w:val="none"/>
        </w:rPr>
        <w:t>　　2.2.2对采购过程提出质疑的，为各采购程序环节结束之日；</w:t>
      </w:r>
      <w:r>
        <w:rPr>
          <w:rFonts w:hint="eastAsia" w:ascii="宋体" w:hAnsi="宋体" w:cs="宋体"/>
          <w:sz w:val="24"/>
          <w:highlight w:val="none"/>
        </w:rPr>
        <w:br w:type="textWrapping" w:clear="all"/>
      </w:r>
      <w:r>
        <w:rPr>
          <w:rFonts w:hint="eastAsia" w:ascii="宋体" w:hAnsi="宋体" w:cs="宋体"/>
          <w:sz w:val="24"/>
          <w:highlight w:val="none"/>
        </w:rPr>
        <w:t>　　2.2.3对中标或者成交结果提出质疑的，为中标或者成交结果公告期限届满之日。</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投标人应当在法定质疑期内一次性提出针对同一采购程序环节的质疑。投标人如在法定期限内对同一采购程序环节提出多次质疑的，采购人、采购代理机构将只对供应商第一次质疑作出答复。</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2.3质疑函必须按照本招标文件中《质疑函范本》要求的格式和内容进行填写。</w:t>
      </w:r>
    </w:p>
    <w:p>
      <w:pPr>
        <w:spacing w:line="360" w:lineRule="auto"/>
        <w:jc w:val="left"/>
        <w:rPr>
          <w:rFonts w:hint="eastAsia" w:ascii="宋体" w:hAnsi="宋体" w:cs="宋体"/>
          <w:sz w:val="24"/>
          <w:highlight w:val="none"/>
        </w:rPr>
      </w:pPr>
      <w:r>
        <w:rPr>
          <w:rFonts w:hint="eastAsia" w:ascii="宋体" w:hAnsi="宋体" w:cs="宋体"/>
          <w:sz w:val="24"/>
          <w:highlight w:val="none"/>
        </w:rPr>
        <w:t>投标人如组成联合体参加投标，则《质疑函范本》中要求签字、盖章、加盖公章之处，联合体各方均须按要求签字、盖章、加盖公章。</w:t>
      </w:r>
    </w:p>
    <w:p>
      <w:pPr>
        <w:spacing w:line="360" w:lineRule="auto"/>
        <w:ind w:firstLine="480"/>
        <w:jc w:val="left"/>
        <w:rPr>
          <w:rFonts w:hint="eastAsia" w:ascii="宋体" w:hAnsi="宋体"/>
          <w:sz w:val="24"/>
          <w:highlight w:val="none"/>
        </w:rPr>
      </w:pPr>
      <w:r>
        <w:rPr>
          <w:rFonts w:hint="eastAsia" w:ascii="宋体" w:hAnsi="宋体"/>
          <w:sz w:val="24"/>
          <w:highlight w:val="none"/>
        </w:rPr>
        <w:t>2.4供应商（含潜在供应商）对采购方式、采购需求、投标人资格条件及审查结果、评标方法和评标标准、合同文本的询问、质疑请向采购人提出，由采购人负责答复。供应商对除上述事项以外其他事项的询问、质疑请向采购代理机构提出，由采购代理机构负责答复。</w:t>
      </w:r>
    </w:p>
    <w:p>
      <w:pPr>
        <w:spacing w:line="360" w:lineRule="auto"/>
        <w:ind w:firstLine="480"/>
        <w:jc w:val="left"/>
        <w:rPr>
          <w:rFonts w:hint="eastAsia" w:ascii="宋体" w:hAnsi="宋体"/>
          <w:sz w:val="24"/>
          <w:highlight w:val="none"/>
        </w:rPr>
      </w:pPr>
      <w:r>
        <w:rPr>
          <w:rFonts w:hint="eastAsia" w:ascii="宋体" w:hAnsi="宋体"/>
          <w:sz w:val="24"/>
          <w:highlight w:val="none"/>
        </w:rPr>
        <w:t>采购人及采购代理机构只接收以纸质原件形式送达的质疑。若采用邮寄方式提交质疑的，采购人和采购代理机构不接受未填写快递运单的快件。</w:t>
      </w:r>
    </w:p>
    <w:p>
      <w:pPr>
        <w:spacing w:line="360" w:lineRule="auto"/>
        <w:ind w:firstLine="480"/>
        <w:jc w:val="left"/>
        <w:rPr>
          <w:rFonts w:hint="eastAsia" w:ascii="宋体" w:hAnsi="宋体" w:cs="宋体"/>
          <w:sz w:val="24"/>
          <w:highlight w:val="none"/>
        </w:rPr>
      </w:pPr>
      <w:r>
        <w:rPr>
          <w:rFonts w:hint="eastAsia" w:ascii="宋体" w:hAnsi="宋体"/>
          <w:sz w:val="24"/>
          <w:highlight w:val="none"/>
        </w:rPr>
        <w:t>采购人、采购代理机构质疑接收人及联系方式见招标文件第一章。</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2.5 以下情形的质疑不予受理</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2.5.1 内容不符合《政府采购质疑和投诉办法》第十二条规定的质疑。</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2.5.2 超出政府采购法定期限的质疑。</w:t>
      </w:r>
    </w:p>
    <w:p>
      <w:pPr>
        <w:spacing w:line="360" w:lineRule="auto"/>
        <w:ind w:firstLine="480"/>
        <w:jc w:val="left"/>
        <w:rPr>
          <w:rFonts w:ascii="宋体" w:hAnsi="宋体" w:cs="宋体"/>
          <w:sz w:val="24"/>
          <w:highlight w:val="none"/>
        </w:rPr>
      </w:pPr>
      <w:r>
        <w:rPr>
          <w:rFonts w:hint="eastAsia" w:ascii="宋体" w:hAnsi="宋体" w:cs="宋体"/>
          <w:sz w:val="24"/>
          <w:highlight w:val="none"/>
        </w:rPr>
        <w:t>2.5.3</w:t>
      </w:r>
      <w:r>
        <w:rPr>
          <w:rFonts w:hint="eastAsia" w:ascii="宋体" w:hAnsi="宋体"/>
          <w:sz w:val="24"/>
          <w:highlight w:val="none"/>
        </w:rPr>
        <w:t>以传真、电子邮件等方式递交的非原件形式的质疑。</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2.5.4未参加投标活动的投标人或在投标活动中自身权益未受到损害的投标人所提出的质疑。</w:t>
      </w:r>
    </w:p>
    <w:p>
      <w:pPr>
        <w:spacing w:line="360" w:lineRule="auto"/>
        <w:ind w:firstLine="468"/>
        <w:jc w:val="left"/>
        <w:rPr>
          <w:rFonts w:ascii="宋体" w:hAnsi="宋体" w:cs="宋体"/>
          <w:sz w:val="24"/>
          <w:highlight w:val="none"/>
        </w:rPr>
      </w:pPr>
      <w:r>
        <w:rPr>
          <w:rFonts w:hint="eastAsia" w:ascii="宋体" w:hAnsi="宋体" w:cs="宋体"/>
          <w:sz w:val="24"/>
          <w:highlight w:val="none"/>
        </w:rPr>
        <w:t>2.5.5</w:t>
      </w:r>
      <w:r>
        <w:rPr>
          <w:rFonts w:hint="eastAsia" w:ascii="宋体" w:hAnsi="宋体"/>
          <w:sz w:val="24"/>
          <w:highlight w:val="none"/>
        </w:rPr>
        <w:t>供应商组成联合体参加投标，联合体中任何一方或多方未按要求签字、盖章、加盖公章的质疑。</w:t>
      </w:r>
    </w:p>
    <w:p>
      <w:pPr>
        <w:spacing w:line="360" w:lineRule="auto"/>
        <w:ind w:firstLine="468"/>
        <w:jc w:val="left"/>
        <w:rPr>
          <w:rFonts w:hint="eastAsia"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pPr>
        <w:keepNext/>
        <w:spacing w:line="360" w:lineRule="auto"/>
        <w:ind w:firstLine="480"/>
        <w:jc w:val="left"/>
        <w:outlineLvl w:val="3"/>
        <w:rPr>
          <w:rFonts w:hint="eastAsia" w:ascii="宋体" w:hAnsi="宋体" w:cs="宋体"/>
          <w:b/>
          <w:sz w:val="24"/>
          <w:highlight w:val="none"/>
        </w:rPr>
      </w:pPr>
      <w:r>
        <w:rPr>
          <w:rFonts w:hint="eastAsia" w:ascii="宋体" w:hAnsi="宋体" w:cs="宋体"/>
          <w:sz w:val="24"/>
          <w:highlight w:val="none"/>
        </w:rPr>
        <w:t>3．中标通知书</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3.l中标结果确定后，采购人或采购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pPr>
        <w:pStyle w:val="188"/>
        <w:spacing w:before="0" w:after="0" w:line="360" w:lineRule="auto"/>
        <w:jc w:val="left"/>
        <w:rPr>
          <w:rFonts w:hint="eastAsia" w:ascii="宋体" w:hAnsi="宋体" w:cs="宋体"/>
          <w:sz w:val="24"/>
          <w:szCs w:val="24"/>
          <w:highlight w:val="none"/>
        </w:rPr>
      </w:pPr>
      <w:bookmarkStart w:id="90" w:name="_Toc120614220"/>
      <w:bookmarkStart w:id="91" w:name="_Toc20823308"/>
      <w:bookmarkStart w:id="92" w:name="_Toc16938552"/>
      <w:bookmarkStart w:id="93" w:name="_Toc513029236"/>
      <w:r>
        <w:rPr>
          <w:rFonts w:hint="eastAsia" w:ascii="宋体" w:hAnsi="宋体" w:cs="宋体"/>
          <w:sz w:val="24"/>
          <w:szCs w:val="24"/>
          <w:highlight w:val="none"/>
        </w:rPr>
        <w:t>（八）授予合同</w:t>
      </w:r>
      <w:bookmarkEnd w:id="90"/>
    </w:p>
    <w:bookmarkEnd w:id="91"/>
    <w:bookmarkEnd w:id="92"/>
    <w:bookmarkEnd w:id="93"/>
    <w:p>
      <w:pPr>
        <w:pStyle w:val="189"/>
        <w:spacing w:line="360" w:lineRule="auto"/>
        <w:ind w:firstLine="480"/>
        <w:jc w:val="left"/>
        <w:rPr>
          <w:rFonts w:hint="eastAsia" w:ascii="宋体" w:hAnsi="宋体" w:eastAsia="宋体" w:cs="宋体"/>
          <w:b/>
          <w:sz w:val="24"/>
          <w:szCs w:val="24"/>
          <w:highlight w:val="none"/>
        </w:rPr>
      </w:pPr>
      <w:bookmarkStart w:id="94" w:name="_Toc513029237"/>
      <w:bookmarkStart w:id="95" w:name="_Toc20823309"/>
      <w:bookmarkStart w:id="96" w:name="_Toc16938553"/>
      <w:r>
        <w:rPr>
          <w:rFonts w:hint="eastAsia" w:ascii="宋体" w:hAnsi="宋体" w:eastAsia="宋体" w:cs="宋体"/>
          <w:sz w:val="24"/>
          <w:szCs w:val="24"/>
          <w:highlight w:val="none"/>
        </w:rPr>
        <w:t>1.签订合同</w:t>
      </w:r>
    </w:p>
    <w:p>
      <w:pPr>
        <w:spacing w:line="360" w:lineRule="auto"/>
        <w:ind w:firstLine="480"/>
        <w:jc w:val="left"/>
        <w:rPr>
          <w:rFonts w:hint="eastAsia"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中标人的履约保证金将不予退还。政府采购合同分包履行的，中标人就采购项目和分包项目向采购人负责，分包供应商就分包项目承担责任。转包或分包造成采购人损失的，中标人应承担相应赔偿责任。</w:t>
      </w:r>
    </w:p>
    <w:p>
      <w:pPr>
        <w:pStyle w:val="189"/>
        <w:spacing w:line="360" w:lineRule="auto"/>
        <w:ind w:firstLine="48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2.服务（包含与服务相关的货物）的追加</w:t>
      </w:r>
    </w:p>
    <w:p>
      <w:pPr>
        <w:spacing w:line="360" w:lineRule="auto"/>
        <w:ind w:firstLine="480"/>
        <w:jc w:val="left"/>
        <w:rPr>
          <w:rFonts w:hint="eastAsia" w:ascii="宋体" w:hAnsi="宋体"/>
          <w:sz w:val="24"/>
          <w:highlight w:val="none"/>
        </w:rPr>
      </w:pPr>
      <w:r>
        <w:rPr>
          <w:rFonts w:hint="eastAsia" w:ascii="宋体" w:hAnsi="宋体" w:cs="宋体"/>
          <w:sz w:val="24"/>
          <w:highlight w:val="none"/>
        </w:rPr>
        <w:t>2.1</w:t>
      </w:r>
      <w:r>
        <w:rPr>
          <w:rFonts w:hint="eastAsia" w:ascii="宋体" w:hAnsi="宋体"/>
          <w:sz w:val="24"/>
          <w:highlight w:val="none"/>
        </w:rPr>
        <w:t>政府采购合同履行中，采购人需追加与合同标的相同的服务（包含与服务相关的货物），在不改变合同其他条款的前提下，可以与中标人协商签订补充合同，但所有补充合同的采购金额不超过原合同金额10%。</w:t>
      </w:r>
    </w:p>
    <w:bookmarkEnd w:id="94"/>
    <w:bookmarkEnd w:id="95"/>
    <w:bookmarkEnd w:id="96"/>
    <w:p>
      <w:pPr>
        <w:spacing w:line="360" w:lineRule="auto"/>
        <w:ind w:firstLine="480"/>
        <w:jc w:val="left"/>
        <w:rPr>
          <w:rFonts w:hint="eastAsia" w:ascii="宋体" w:hAnsi="宋体" w:cs="宋体"/>
          <w:sz w:val="24"/>
          <w:highlight w:val="none"/>
        </w:rPr>
      </w:pPr>
      <w:r>
        <w:rPr>
          <w:rFonts w:hint="eastAsia" w:ascii="宋体" w:hAnsi="宋体" w:cs="宋体"/>
          <w:sz w:val="24"/>
          <w:highlight w:val="none"/>
        </w:rPr>
        <w:t>3.政府采购合同信用融资扶持政策</w:t>
      </w:r>
    </w:p>
    <w:p>
      <w:pPr>
        <w:spacing w:line="479" w:lineRule="atLeast"/>
        <w:ind w:firstLine="482"/>
        <w:rPr>
          <w:highlight w:val="none"/>
        </w:rPr>
      </w:pPr>
      <w:r>
        <w:rPr>
          <w:rFonts w:hint="eastAsia" w:ascii="宋体" w:hAnsi="宋体" w:cs="宋体"/>
          <w:b/>
          <w:color w:val="000000"/>
          <w:sz w:val="24"/>
          <w:highlight w:val="none"/>
        </w:rPr>
        <w:t>3.1根据《关于转发江苏省财政厅、中国人民银行南京分行&lt;关于深入推进政府采购线上合同信用融资工作的通知&gt;的通知》（通财购〔2021〕41号），对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详情请见南通市政府采购网 “易企服”综合服务平台-金融产品全周期-贷款产品专栏。</w:t>
      </w:r>
    </w:p>
    <w:p>
      <w:pPr>
        <w:spacing w:line="479" w:lineRule="atLeast"/>
        <w:ind w:firstLine="482"/>
        <w:rPr>
          <w:highlight w:val="none"/>
        </w:rPr>
      </w:pPr>
      <w:r>
        <w:rPr>
          <w:rFonts w:hint="eastAsia" w:ascii="宋体" w:hAnsi="宋体" w:cs="宋体"/>
          <w:b/>
          <w:color w:val="000000"/>
          <w:sz w:val="24"/>
          <w:highlight w:val="none"/>
        </w:rPr>
        <w:t xml:space="preserve">3.2根据《关于深入开展南通市政府采购线上合同信用融资业务的通知》（通财购〔2022〕68号），成交供应商可通过中征应收账款融资服务平台（简称“中征平台”）办理“政采贷”融资贷款，具体业务操作流程如下： </w:t>
      </w:r>
    </w:p>
    <w:p>
      <w:pPr>
        <w:spacing w:line="479" w:lineRule="atLeast"/>
        <w:ind w:firstLine="482"/>
        <w:rPr>
          <w:highlight w:val="none"/>
        </w:rPr>
      </w:pPr>
      <w:r>
        <w:rPr>
          <w:rFonts w:hint="eastAsia" w:ascii="宋体" w:hAnsi="宋体" w:cs="宋体"/>
          <w:b/>
          <w:color w:val="000000"/>
          <w:sz w:val="24"/>
          <w:highlight w:val="none"/>
        </w:rPr>
        <w:t>3.2.1确定融资意向。成交供应商取得成交通知书后，联系意向金融机构，商治融资事项，确定融资意向。</w:t>
      </w:r>
    </w:p>
    <w:p>
      <w:pPr>
        <w:spacing w:line="479" w:lineRule="atLeast"/>
        <w:ind w:firstLine="482"/>
        <w:rPr>
          <w:highlight w:val="none"/>
        </w:rPr>
      </w:pPr>
      <w:r>
        <w:rPr>
          <w:rFonts w:hint="eastAsia" w:ascii="宋体" w:hAnsi="宋体" w:cs="宋体"/>
          <w:b/>
          <w:color w:val="000000"/>
          <w:sz w:val="24"/>
          <w:highlight w:val="none"/>
        </w:rPr>
        <w:t>3.2.2签订采购合同。成交供应商与采购人签订政府采购合同时，应将自身融资需求告知采购人或其委托的采购代理机构，提醒 (或协助 ) 其当天在“苏采云”上传合同的同时将“供应商是否融资”选为“是”</w:t>
      </w:r>
    </w:p>
    <w:p>
      <w:pPr>
        <w:spacing w:line="479" w:lineRule="atLeast"/>
        <w:ind w:firstLine="482"/>
        <w:rPr>
          <w:highlight w:val="none"/>
        </w:rPr>
      </w:pPr>
      <w:r>
        <w:rPr>
          <w:rFonts w:hint="eastAsia" w:ascii="宋体" w:hAnsi="宋体" w:cs="宋体"/>
          <w:b/>
          <w:color w:val="000000"/>
          <w:sz w:val="24"/>
          <w:highlight w:val="none"/>
        </w:rPr>
        <w:t>3.2.3提交融资申请。成交供应商登录“中征平台”进行用户注册，查看“政采贷”融资产品，向确定合作的金融机构提交融资申请。</w:t>
      </w:r>
    </w:p>
    <w:p>
      <w:pPr>
        <w:spacing w:line="479" w:lineRule="atLeast"/>
        <w:ind w:firstLine="482"/>
        <w:rPr>
          <w:highlight w:val="none"/>
        </w:rPr>
      </w:pPr>
      <w:r>
        <w:rPr>
          <w:rFonts w:hint="eastAsia" w:ascii="宋体" w:hAnsi="宋体" w:cs="宋体"/>
          <w:b/>
          <w:color w:val="000000"/>
          <w:sz w:val="24"/>
          <w:highlight w:val="none"/>
        </w:rPr>
        <w:t>3.2.4确认回款账户。金融机构填写需要锁定的回款账户信息后成交供应商应登录“中征平台”确认账户信息，以实现回款账户的锁定。</w:t>
      </w:r>
    </w:p>
    <w:p>
      <w:pPr>
        <w:spacing w:line="360" w:lineRule="auto"/>
        <w:ind w:firstLine="480"/>
        <w:jc w:val="left"/>
        <w:rPr>
          <w:rFonts w:ascii="宋体" w:hAnsi="宋体" w:cs="宋体"/>
          <w:sz w:val="24"/>
          <w:highlight w:val="none"/>
        </w:rPr>
      </w:pPr>
    </w:p>
    <w:p>
      <w:pPr>
        <w:spacing w:line="500" w:lineRule="exact"/>
        <w:rPr>
          <w:rFonts w:hint="eastAsia" w:ascii="宋体" w:hAnsi="宋体"/>
          <w:highlight w:val="none"/>
        </w:rPr>
        <w:sectPr>
          <w:footerReference r:id="rId4" w:type="first"/>
          <w:footerReference r:id="rId3" w:type="default"/>
          <w:pgSz w:w="11906" w:h="16838"/>
          <w:pgMar w:top="1361" w:right="1361" w:bottom="1361" w:left="1361" w:header="851" w:footer="992" w:gutter="0"/>
          <w:cols w:space="1701" w:num="1"/>
          <w:docGrid w:linePitch="360" w:charSpace="0"/>
        </w:sectPr>
      </w:pPr>
    </w:p>
    <w:p>
      <w:pPr>
        <w:spacing w:before="120" w:after="120" w:line="360" w:lineRule="auto"/>
        <w:jc w:val="center"/>
        <w:outlineLvl w:val="0"/>
        <w:rPr>
          <w:rFonts w:hint="eastAsia" w:ascii="宋体" w:hAnsi="宋体"/>
          <w:bCs/>
          <w:sz w:val="36"/>
          <w:szCs w:val="36"/>
          <w:highlight w:val="none"/>
        </w:rPr>
      </w:pPr>
      <w:r>
        <w:rPr>
          <w:rFonts w:hint="eastAsia" w:ascii="宋体" w:hAnsi="宋体"/>
          <w:bCs/>
          <w:sz w:val="36"/>
          <w:szCs w:val="36"/>
          <w:highlight w:val="none"/>
        </w:rPr>
        <w:t>第三部分  项目需求</w:t>
      </w:r>
    </w:p>
    <w:p>
      <w:pPr>
        <w:spacing w:line="360" w:lineRule="auto"/>
        <w:ind w:firstLine="482"/>
        <w:jc w:val="left"/>
        <w:rPr>
          <w:rFonts w:hint="eastAsia" w:ascii="宋体" w:hAnsi="宋体" w:cs="宋体"/>
          <w:b/>
          <w:sz w:val="24"/>
          <w:highlight w:val="none"/>
          <w:lang w:val="zh-CN"/>
        </w:rPr>
      </w:pPr>
      <w:r>
        <w:rPr>
          <w:rFonts w:hint="eastAsia" w:ascii="宋体" w:hAnsi="宋体" w:cs="宋体"/>
          <w:b/>
          <w:sz w:val="24"/>
          <w:highlight w:val="none"/>
          <w:lang w:val="zh-CN"/>
        </w:rPr>
        <w:t>请投标</w:t>
      </w:r>
      <w:r>
        <w:rPr>
          <w:rFonts w:hint="eastAsia" w:ascii="宋体" w:hAnsi="宋体" w:cs="宋体"/>
          <w:b/>
          <w:sz w:val="24"/>
          <w:highlight w:val="none"/>
        </w:rPr>
        <w:t>人</w:t>
      </w:r>
      <w:r>
        <w:rPr>
          <w:rFonts w:hint="eastAsia" w:ascii="宋体" w:hAnsi="宋体" w:cs="宋体"/>
          <w:b/>
          <w:sz w:val="24"/>
          <w:highlight w:val="none"/>
          <w:lang w:val="zh-CN"/>
        </w:rPr>
        <w:t>制作投标文件时仔细研究项目需求说明。</w:t>
      </w:r>
    </w:p>
    <w:p>
      <w:pPr>
        <w:spacing w:line="360" w:lineRule="auto"/>
        <w:ind w:firstLine="480"/>
        <w:jc w:val="left"/>
        <w:rPr>
          <w:rFonts w:hint="eastAsia" w:ascii="宋体" w:hAnsi="宋体" w:cs="宋体"/>
          <w:sz w:val="24"/>
          <w:highlight w:val="none"/>
          <w:lang w:val="zh-CN"/>
        </w:rPr>
      </w:pPr>
      <w:r>
        <w:rPr>
          <w:rFonts w:hint="eastAsia" w:ascii="宋体" w:hAnsi="宋体" w:cs="宋体"/>
          <w:sz w:val="24"/>
          <w:highlight w:val="none"/>
          <w:lang w:val="zh-CN"/>
        </w:rPr>
        <w:t>投标</w:t>
      </w:r>
      <w:r>
        <w:rPr>
          <w:rFonts w:hint="eastAsia" w:ascii="宋体" w:hAnsi="宋体" w:cs="宋体"/>
          <w:sz w:val="24"/>
          <w:highlight w:val="none"/>
        </w:rPr>
        <w:t>人</w:t>
      </w:r>
      <w:r>
        <w:rPr>
          <w:rFonts w:hint="eastAsia" w:ascii="宋体" w:hAnsi="宋体" w:cs="宋体"/>
          <w:sz w:val="24"/>
          <w:highlight w:val="none"/>
          <w:lang w:val="zh-CN"/>
        </w:rPr>
        <w:t>不能简单照搬照抄</w:t>
      </w:r>
      <w:r>
        <w:rPr>
          <w:rFonts w:hint="eastAsia" w:ascii="宋体" w:hAnsi="宋体" w:cs="宋体"/>
          <w:sz w:val="24"/>
          <w:highlight w:val="none"/>
        </w:rPr>
        <w:t>采购人项目招标文件、</w:t>
      </w:r>
      <w:r>
        <w:rPr>
          <w:rFonts w:hint="eastAsia" w:ascii="宋体" w:hAnsi="宋体" w:cs="宋体"/>
          <w:sz w:val="24"/>
          <w:highlight w:val="none"/>
          <w:lang w:val="zh-CN"/>
        </w:rPr>
        <w:t>项目需求的</w:t>
      </w:r>
      <w:r>
        <w:rPr>
          <w:rFonts w:hint="eastAsia" w:ascii="宋体" w:hAnsi="宋体" w:cs="宋体"/>
          <w:sz w:val="24"/>
          <w:highlight w:val="none"/>
        </w:rPr>
        <w:t>商务技术</w:t>
      </w:r>
      <w:r>
        <w:rPr>
          <w:rFonts w:hint="eastAsia" w:ascii="宋体" w:hAnsi="宋体" w:cs="宋体"/>
          <w:sz w:val="24"/>
          <w:highlight w:val="none"/>
          <w:lang w:val="zh-CN"/>
        </w:rPr>
        <w:t>要求，必须结合自身实际情况作出实事求是</w:t>
      </w:r>
      <w:r>
        <w:rPr>
          <w:rFonts w:hint="eastAsia" w:ascii="宋体" w:hAnsi="宋体" w:cs="宋体"/>
          <w:sz w:val="24"/>
          <w:highlight w:val="none"/>
        </w:rPr>
        <w:t>的</w:t>
      </w:r>
      <w:r>
        <w:rPr>
          <w:rFonts w:hint="eastAsia" w:ascii="宋体" w:hAnsi="宋体" w:cs="宋体"/>
          <w:sz w:val="24"/>
          <w:highlight w:val="none"/>
          <w:lang w:val="zh-CN"/>
        </w:rPr>
        <w:t>响应。如照搬照抄</w:t>
      </w:r>
      <w:r>
        <w:rPr>
          <w:rFonts w:hint="eastAsia" w:ascii="宋体" w:hAnsi="宋体" w:cs="宋体"/>
          <w:sz w:val="24"/>
          <w:highlight w:val="none"/>
        </w:rPr>
        <w:t>上述内容</w:t>
      </w:r>
      <w:r>
        <w:rPr>
          <w:rFonts w:hint="eastAsia" w:ascii="宋体" w:hAnsi="宋体" w:cs="宋体"/>
          <w:sz w:val="24"/>
          <w:highlight w:val="none"/>
          <w:lang w:val="zh-CN"/>
        </w:rPr>
        <w:t>的，中标人</w:t>
      </w:r>
      <w:r>
        <w:rPr>
          <w:rFonts w:hint="eastAsia" w:ascii="宋体" w:hAnsi="宋体" w:cs="宋体"/>
          <w:sz w:val="24"/>
          <w:highlight w:val="none"/>
        </w:rPr>
        <w:t>在同采购人</w:t>
      </w:r>
      <w:r>
        <w:rPr>
          <w:rFonts w:hint="eastAsia" w:ascii="宋体" w:hAnsi="宋体" w:cs="宋体"/>
          <w:sz w:val="24"/>
          <w:highlight w:val="none"/>
          <w:lang w:val="zh-CN"/>
        </w:rPr>
        <w:t>签订合同和履约环节中不得提出异议，一切后果和损失由中标人</w:t>
      </w:r>
      <w:r>
        <w:rPr>
          <w:rFonts w:hint="eastAsia" w:ascii="宋体" w:hAnsi="宋体" w:cs="宋体"/>
          <w:sz w:val="24"/>
          <w:highlight w:val="none"/>
        </w:rPr>
        <w:t>自行</w:t>
      </w:r>
      <w:r>
        <w:rPr>
          <w:rFonts w:hint="eastAsia" w:ascii="宋体" w:hAnsi="宋体" w:cs="宋体"/>
          <w:sz w:val="24"/>
          <w:highlight w:val="none"/>
          <w:lang w:val="zh-CN"/>
        </w:rPr>
        <w:t>承担。</w:t>
      </w:r>
    </w:p>
    <w:p>
      <w:pPr>
        <w:spacing w:line="360" w:lineRule="auto"/>
        <w:ind w:firstLine="480"/>
        <w:jc w:val="left"/>
        <w:rPr>
          <w:rFonts w:hint="eastAsia" w:ascii="宋体" w:hAnsi="宋体" w:cs="宋体"/>
          <w:sz w:val="24"/>
          <w:highlight w:val="none"/>
          <w:u w:val="single"/>
        </w:rPr>
      </w:pPr>
      <w:r>
        <w:rPr>
          <w:rFonts w:hint="eastAsia" w:ascii="宋体" w:hAnsi="宋体" w:cs="宋体"/>
          <w:sz w:val="24"/>
          <w:highlight w:val="none"/>
          <w:u w:val="single"/>
          <w:lang w:val="zh-CN"/>
        </w:rPr>
        <w:t>投标</w:t>
      </w:r>
      <w:r>
        <w:rPr>
          <w:rFonts w:hint="eastAsia" w:ascii="宋体" w:hAnsi="宋体" w:cs="宋体"/>
          <w:sz w:val="24"/>
          <w:highlight w:val="none"/>
          <w:u w:val="single"/>
        </w:rPr>
        <w:t>人</w:t>
      </w:r>
      <w:r>
        <w:rPr>
          <w:rFonts w:hint="eastAsia" w:ascii="宋体" w:hAnsi="宋体" w:cs="宋体"/>
          <w:sz w:val="24"/>
          <w:highlight w:val="none"/>
          <w:u w:val="single"/>
          <w:lang w:val="zh-CN"/>
        </w:rPr>
        <w:t>参与投标即视作其承诺完全响应</w:t>
      </w:r>
      <w:r>
        <w:rPr>
          <w:rFonts w:hint="eastAsia" w:ascii="宋体" w:hAnsi="宋体" w:cs="宋体"/>
          <w:sz w:val="24"/>
          <w:highlight w:val="none"/>
          <w:u w:val="single"/>
        </w:rPr>
        <w:t>采购</w:t>
      </w:r>
      <w:r>
        <w:rPr>
          <w:rFonts w:hint="eastAsia" w:ascii="宋体" w:hAnsi="宋体" w:cs="宋体"/>
          <w:sz w:val="24"/>
          <w:highlight w:val="none"/>
          <w:u w:val="single"/>
          <w:lang w:val="zh-CN"/>
        </w:rPr>
        <w:t>人在本次招标过程中提出的各项技术及经济要求。在中标后</w:t>
      </w:r>
      <w:r>
        <w:rPr>
          <w:rFonts w:hint="eastAsia" w:ascii="宋体" w:hAnsi="宋体" w:cs="宋体"/>
          <w:sz w:val="24"/>
          <w:highlight w:val="none"/>
          <w:u w:val="single"/>
        </w:rPr>
        <w:t>投标人</w:t>
      </w:r>
      <w:r>
        <w:rPr>
          <w:rFonts w:hint="eastAsia" w:ascii="宋体" w:hAnsi="宋体" w:cs="宋体"/>
          <w:sz w:val="24"/>
          <w:highlight w:val="none"/>
          <w:u w:val="single"/>
          <w:lang w:val="zh-CN"/>
        </w:rPr>
        <w:t>以任何理由不响应本招标文件的，将按违约处理。</w:t>
      </w:r>
    </w:p>
    <w:p>
      <w:pPr>
        <w:spacing w:line="360" w:lineRule="auto"/>
        <w:ind w:firstLine="482"/>
        <w:rPr>
          <w:rFonts w:ascii="宋体" w:hAnsi="宋体" w:cs="宋体"/>
          <w:b/>
          <w:sz w:val="24"/>
          <w:highlight w:val="none"/>
        </w:rPr>
      </w:pPr>
      <w:bookmarkStart w:id="97" w:name="十、其他相关的要求"/>
      <w:bookmarkEnd w:id="97"/>
      <w:r>
        <w:rPr>
          <w:rFonts w:hint="eastAsia" w:ascii="宋体" w:hAnsi="宋体" w:cs="宋体"/>
          <w:b/>
          <w:bCs/>
          <w:sz w:val="24"/>
          <w:highlight w:val="none"/>
        </w:rPr>
        <w:t>其内容包含：</w:t>
      </w:r>
    </w:p>
    <w:p>
      <w:pPr>
        <w:spacing w:line="360" w:lineRule="auto"/>
        <w:ind w:firstLine="480" w:firstLineChars="200"/>
        <w:rPr>
          <w:rFonts w:hint="eastAsia" w:ascii="宋体" w:hAnsi="宋体" w:cs="宋体"/>
          <w:bCs/>
          <w:kern w:val="0"/>
          <w:sz w:val="24"/>
        </w:rPr>
      </w:pPr>
      <w:r>
        <w:rPr>
          <w:rFonts w:hint="eastAsia" w:ascii="宋体" w:hAnsi="宋体" w:cs="宋体"/>
          <w:bCs/>
          <w:kern w:val="0"/>
          <w:sz w:val="24"/>
        </w:rPr>
        <w:t>1、主要技术参数：为鼓励不同品牌的充分竞争，如某主要技术参数属于个别品牌专有，则该主要技术参数不具有限制性，供应商可对该参数进行适当调整，并说明调整的理由。</w:t>
      </w:r>
    </w:p>
    <w:p>
      <w:pPr>
        <w:spacing w:line="360" w:lineRule="auto"/>
        <w:ind w:firstLine="480" w:firstLineChars="200"/>
        <w:rPr>
          <w:rFonts w:hint="eastAsia" w:ascii="宋体" w:hAnsi="宋体" w:cs="宋体"/>
          <w:bCs/>
          <w:kern w:val="0"/>
          <w:sz w:val="24"/>
        </w:rPr>
      </w:pPr>
      <w:r>
        <w:rPr>
          <w:rFonts w:hint="eastAsia" w:ascii="宋体" w:hAnsi="宋体" w:cs="宋体"/>
          <w:bCs/>
          <w:kern w:val="0"/>
          <w:sz w:val="24"/>
        </w:rPr>
        <w:t>2、优先采购：政府采购优先采购节能产品和环境标志产品。节能产品是指列入财政部、国家发展和改革委员会制定的《节能产品政府采购清单》。环境标志产品是指财政部、国家环保总局制定的《环境标志产品政府采购清单》。</w:t>
      </w:r>
    </w:p>
    <w:p>
      <w:pPr>
        <w:spacing w:line="360" w:lineRule="auto"/>
        <w:ind w:firstLine="480" w:firstLineChars="200"/>
        <w:rPr>
          <w:rFonts w:hint="eastAsia" w:ascii="宋体" w:hAnsi="宋体" w:cs="宋体"/>
          <w:bCs/>
          <w:kern w:val="0"/>
          <w:sz w:val="24"/>
        </w:rPr>
      </w:pPr>
      <w:r>
        <w:rPr>
          <w:rFonts w:hint="eastAsia" w:ascii="宋体" w:hAnsi="宋体" w:cs="宋体"/>
          <w:bCs/>
          <w:kern w:val="0"/>
          <w:sz w:val="24"/>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pPr>
        <w:spacing w:line="360" w:lineRule="auto"/>
        <w:ind w:firstLine="482" w:firstLineChars="200"/>
        <w:rPr>
          <w:rFonts w:hint="eastAsia" w:ascii="宋体" w:hAnsi="宋体" w:cs="宋体"/>
          <w:b/>
          <w:kern w:val="0"/>
          <w:sz w:val="24"/>
        </w:rPr>
      </w:pPr>
      <w:r>
        <w:rPr>
          <w:rFonts w:hint="eastAsia" w:ascii="宋体" w:hAnsi="宋体" w:cs="宋体"/>
          <w:b/>
          <w:kern w:val="0"/>
          <w:sz w:val="24"/>
        </w:rPr>
        <w:t>二、项目具体需求说明</w:t>
      </w:r>
    </w:p>
    <w:p>
      <w:pPr>
        <w:widowControl/>
        <w:spacing w:line="360" w:lineRule="auto"/>
        <w:ind w:firstLine="480" w:firstLineChars="200"/>
        <w:jc w:val="left"/>
        <w:rPr>
          <w:rFonts w:ascii="宋体" w:hAnsi="宋体" w:cs="宋体"/>
          <w:sz w:val="24"/>
        </w:rPr>
      </w:pPr>
      <w:r>
        <w:rPr>
          <w:rFonts w:hint="eastAsia" w:ascii="宋体" w:hAnsi="宋体" w:cs="宋体"/>
          <w:sz w:val="24"/>
        </w:rPr>
        <w:t>根据《南通市通州湾滨海新区和高新技术产业园围填海项目生态保护修复方案》相关要求</w:t>
      </w:r>
      <w:r>
        <w:rPr>
          <w:rFonts w:hint="eastAsia" w:hAnsi="宋体" w:cs="宋体"/>
          <w:sz w:val="24"/>
        </w:rPr>
        <w:t>，</w:t>
      </w:r>
      <w:r>
        <w:rPr>
          <w:rFonts w:hint="eastAsia" w:ascii="宋体" w:hAnsi="宋体" w:cs="宋体"/>
          <w:sz w:val="24"/>
        </w:rPr>
        <w:t>本次招标项目为通州湾滨海新区和高新技术产业园围填海生态修复水生生物资源2024年增殖放流项目。</w:t>
      </w:r>
    </w:p>
    <w:p>
      <w:pPr>
        <w:numPr>
          <w:ilvl w:val="0"/>
          <w:numId w:val="2"/>
        </w:numPr>
        <w:spacing w:line="360" w:lineRule="auto"/>
        <w:ind w:firstLine="482" w:firstLineChars="200"/>
        <w:rPr>
          <w:rFonts w:hint="eastAsia" w:ascii="宋体" w:hAnsi="宋体" w:cs="宋体"/>
          <w:b/>
          <w:sz w:val="24"/>
        </w:rPr>
      </w:pPr>
      <w:r>
        <w:rPr>
          <w:rFonts w:hint="eastAsia" w:ascii="宋体" w:hAnsi="宋体" w:cs="宋体"/>
          <w:b/>
          <w:sz w:val="24"/>
        </w:rPr>
        <w:t>本次招标的主要内容：</w:t>
      </w:r>
    </w:p>
    <w:tbl>
      <w:tblPr>
        <w:tblStyle w:val="33"/>
        <w:tblW w:w="7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90"/>
        <w:gridCol w:w="2800"/>
        <w:gridCol w:w="101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89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品种</w:t>
            </w:r>
          </w:p>
        </w:tc>
        <w:tc>
          <w:tcPr>
            <w:tcW w:w="280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实施内容</w:t>
            </w:r>
          </w:p>
        </w:tc>
        <w:tc>
          <w:tcPr>
            <w:tcW w:w="1011"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最高限价</w:t>
            </w:r>
          </w:p>
        </w:tc>
        <w:tc>
          <w:tcPr>
            <w:tcW w:w="808"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放流</w:t>
            </w:r>
          </w:p>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大黄鱼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restart"/>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2024年完成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黑鲷</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菊黄东方鲀</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全长2cm以上，≥64万尾</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黄姑鱼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bl>
    <w:p>
      <w:pPr>
        <w:pStyle w:val="26"/>
        <w:spacing w:before="100" w:beforeAutospacing="1" w:after="0" w:line="360" w:lineRule="auto"/>
        <w:ind w:firstLine="480" w:firstLineChars="200"/>
        <w:jc w:val="both"/>
        <w:outlineLvl w:val="9"/>
        <w:rPr>
          <w:rFonts w:hint="eastAsia" w:ascii="宋体" w:hAnsi="宋体" w:cs="宋体"/>
          <w:sz w:val="24"/>
          <w:szCs w:val="24"/>
        </w:rPr>
      </w:pPr>
      <w:r>
        <w:rPr>
          <w:rFonts w:hint="eastAsia" w:ascii="宋体" w:hAnsi="宋体" w:cs="宋体"/>
          <w:sz w:val="24"/>
          <w:szCs w:val="24"/>
        </w:rPr>
        <w:t>四、相关要求</w:t>
      </w:r>
    </w:p>
    <w:p>
      <w:pPr>
        <w:pStyle w:val="26"/>
        <w:spacing w:before="0" w:after="0"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1、中标单位必须要有繁育亲本，且亲本必须来源于原产地天然水域、水产种质资源保护区或水产原种场。亲本数量以及苗种生产设施、育苗设施规模必须满足中标苗种生产需要。</w:t>
      </w:r>
    </w:p>
    <w:p>
      <w:pPr>
        <w:pStyle w:val="26"/>
        <w:spacing w:before="0" w:after="0"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2、</w:t>
      </w:r>
      <w:r>
        <w:rPr>
          <w:rFonts w:hint="eastAsia" w:ascii="Times New Roman" w:hAnsi="Times New Roman"/>
          <w:b w:val="0"/>
          <w:bCs w:val="0"/>
          <w:sz w:val="24"/>
        </w:rPr>
        <w:t>根据农业农村部（农渔发【2022】1号）文件要求“用于增殖放流的水生生物必须是本地种，严禁放流外来种、杂交种、选育种及其他不符合生态要求的水生生物。同时，应遵循“哪里来哪里放”原则，确保种质纯正，避免跨流域、跨海区放流导致生态风险。”</w:t>
      </w:r>
      <w:r>
        <w:rPr>
          <w:rFonts w:hint="eastAsia" w:ascii="宋体" w:hAnsi="宋体" w:cs="宋体"/>
          <w:b w:val="0"/>
          <w:sz w:val="24"/>
          <w:szCs w:val="24"/>
        </w:rPr>
        <w:t>，必须是本地种，严禁使用外来种、杂交种、选育种及其他不符合生态要求的苗种进行放流。在成交单位苗种培育期间，采购人有权组织资质单位对亲本种质情况进行检查。</w:t>
      </w:r>
    </w:p>
    <w:p>
      <w:pPr>
        <w:pStyle w:val="26"/>
        <w:spacing w:before="0" w:after="0"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3、增殖放流苗种投放前，中标单位必须委托市级以上水产检验检疫单位进行疫病及药残检测，疫病检测参照农渔发[2011]6号执行，药残检验按农办渔[2009]52号执行，中标单位凭市级以上水产检验检疫单位出具的检测合格报告申请增殖放流。鉴定和检验检疫报告一切相关检测费用由中标单位承担（如有最新标准按最新最严格的标准执行）。</w:t>
      </w:r>
    </w:p>
    <w:p>
      <w:pPr>
        <w:pStyle w:val="26"/>
        <w:spacing w:before="0" w:after="0" w:line="360" w:lineRule="auto"/>
        <w:ind w:firstLine="480" w:firstLineChars="200"/>
        <w:jc w:val="both"/>
        <w:outlineLvl w:val="9"/>
        <w:rPr>
          <w:rFonts w:hint="eastAsia" w:ascii="宋体" w:hAnsi="宋体" w:cs="宋体"/>
          <w:b w:val="0"/>
          <w:sz w:val="24"/>
          <w:szCs w:val="24"/>
        </w:rPr>
      </w:pPr>
      <w:r>
        <w:rPr>
          <w:rFonts w:hint="eastAsia" w:ascii="宋体" w:hAnsi="宋体" w:cs="宋体"/>
          <w:b w:val="0"/>
          <w:sz w:val="24"/>
          <w:szCs w:val="24"/>
        </w:rPr>
        <w:t>4、禁止采用抛洒或“高空”倾倒放流方式，中标单位必须采取科学合理的投放方式，且投放方式经采购人确认后方可实施。</w:t>
      </w:r>
    </w:p>
    <w:p>
      <w:pPr>
        <w:spacing w:line="360" w:lineRule="auto"/>
        <w:ind w:firstLine="480" w:firstLineChars="200"/>
        <w:rPr>
          <w:rFonts w:hint="eastAsia" w:ascii="宋体" w:hAnsi="宋体" w:cs="宋体"/>
          <w:sz w:val="24"/>
        </w:rPr>
      </w:pPr>
      <w:r>
        <w:rPr>
          <w:rFonts w:hint="eastAsia" w:ascii="宋体" w:hAnsi="宋体" w:cs="宋体"/>
          <w:sz w:val="24"/>
        </w:rPr>
        <w:t>5、采购人将在中标通知书发出后15日内与中标单位签订供苗合同，并确定供苗期。中标单位须在放流规定时间内按采购人要求供苗。</w:t>
      </w:r>
    </w:p>
    <w:p>
      <w:pPr>
        <w:spacing w:line="360" w:lineRule="auto"/>
        <w:ind w:firstLine="480" w:firstLineChars="200"/>
        <w:rPr>
          <w:rFonts w:hint="eastAsia" w:ascii="宋体" w:hAnsi="宋体" w:cs="宋体"/>
          <w:sz w:val="24"/>
        </w:rPr>
      </w:pPr>
      <w:r>
        <w:rPr>
          <w:rFonts w:hint="eastAsia" w:ascii="宋体" w:hAnsi="宋体" w:cs="宋体"/>
          <w:sz w:val="24"/>
        </w:rPr>
        <w:t>6、中标单位不能在规定的时间内完成全部批次的放流任务，采购人有权按约定标准督促成交人履约，无法履约的，终止经费拨付，其后所发生的相关费用自行承担并追究违约责任。</w:t>
      </w:r>
    </w:p>
    <w:p>
      <w:pPr>
        <w:spacing w:line="360" w:lineRule="auto"/>
        <w:ind w:firstLine="480" w:firstLineChars="200"/>
        <w:rPr>
          <w:rFonts w:hint="eastAsia" w:ascii="宋体" w:hAnsi="宋体" w:cs="宋体"/>
          <w:sz w:val="24"/>
        </w:rPr>
      </w:pPr>
      <w:r>
        <w:rPr>
          <w:rFonts w:hint="eastAsia" w:ascii="宋体" w:hAnsi="宋体" w:cs="宋体"/>
          <w:sz w:val="24"/>
        </w:rPr>
        <w:t>7、中标单位应保证增殖放流苗种完全符合招标文件及合同规定的质量、规格、数量要求，采购人可组织专家进行现场验收，由中标单位提供市级以上水产检验检疫单位出具的检测合格报告，相关验收记录作为投放任务完成情况的依据。种苗起水、运输、验收、放流过程接受采购单位以及纪检等部门全程跟踪监督。原则上在放流地点进行验收，供货方必须保证种苗运抵放流地点的成活率达到规定要求。</w:t>
      </w:r>
    </w:p>
    <w:p>
      <w:pPr>
        <w:spacing w:line="360" w:lineRule="auto"/>
        <w:ind w:firstLine="480" w:firstLineChars="200"/>
        <w:rPr>
          <w:rFonts w:hint="eastAsia" w:ascii="宋体" w:hAnsi="宋体" w:cs="宋体"/>
          <w:sz w:val="24"/>
        </w:rPr>
      </w:pPr>
      <w:r>
        <w:rPr>
          <w:rFonts w:hint="eastAsia" w:ascii="宋体" w:hAnsi="宋体" w:cs="宋体"/>
          <w:sz w:val="24"/>
        </w:rPr>
        <w:t>放流现场由2人或2人以上负责抽样测量，测算放流总数和规格并按规定进行记录验收，全程影像记录。抽样验收接受监督小组现场监督，验收单需由采购单位、种苗供应单位、监督人签字方可生效。</w:t>
      </w:r>
    </w:p>
    <w:p>
      <w:pPr>
        <w:spacing w:line="360" w:lineRule="auto"/>
        <w:ind w:firstLine="480" w:firstLineChars="200"/>
        <w:rPr>
          <w:rFonts w:hint="eastAsia" w:ascii="宋体" w:hAnsi="宋体" w:cs="宋体"/>
          <w:sz w:val="24"/>
        </w:rPr>
      </w:pPr>
      <w:r>
        <w:rPr>
          <w:rFonts w:hint="eastAsia" w:ascii="宋体" w:hAnsi="宋体" w:cs="宋体"/>
          <w:sz w:val="24"/>
        </w:rPr>
        <w:t>① 种质检测</w:t>
      </w:r>
    </w:p>
    <w:p>
      <w:pPr>
        <w:spacing w:line="360" w:lineRule="auto"/>
        <w:ind w:firstLine="480" w:firstLineChars="200"/>
        <w:rPr>
          <w:rFonts w:hint="eastAsia" w:ascii="宋体" w:hAnsi="宋体" w:cs="宋体"/>
          <w:sz w:val="24"/>
        </w:rPr>
      </w:pPr>
      <w:r>
        <w:rPr>
          <w:rFonts w:hint="eastAsia" w:ascii="宋体" w:hAnsi="宋体" w:cs="宋体"/>
          <w:sz w:val="24"/>
        </w:rPr>
        <w:t>对放流种类育苗的过程、苗种的种质、疫病加强过程管理和质量控制，并提供苗种检验检疫报告及药物残留检测报告。</w:t>
      </w:r>
    </w:p>
    <w:p>
      <w:pPr>
        <w:spacing w:line="360" w:lineRule="auto"/>
        <w:ind w:firstLine="480" w:firstLineChars="200"/>
        <w:rPr>
          <w:rFonts w:hint="eastAsia" w:ascii="宋体" w:hAnsi="宋体" w:cs="宋体"/>
          <w:sz w:val="24"/>
        </w:rPr>
      </w:pPr>
      <w:r>
        <w:rPr>
          <w:rFonts w:hint="eastAsia" w:ascii="宋体" w:hAnsi="宋体" w:cs="宋体"/>
          <w:sz w:val="24"/>
        </w:rPr>
        <w:t>②验收方法</w:t>
      </w:r>
    </w:p>
    <w:p>
      <w:pPr>
        <w:spacing w:line="360" w:lineRule="auto"/>
        <w:ind w:firstLine="482" w:firstLineChars="200"/>
        <w:rPr>
          <w:rFonts w:hint="eastAsia" w:ascii="宋体" w:hAnsi="宋体" w:cs="宋体"/>
          <w:b/>
          <w:bCs/>
          <w:sz w:val="24"/>
        </w:rPr>
      </w:pPr>
      <w:r>
        <w:rPr>
          <w:rFonts w:hint="eastAsia" w:ascii="宋体" w:hAnsi="宋体" w:cs="宋体"/>
          <w:b/>
          <w:bCs/>
          <w:sz w:val="24"/>
        </w:rPr>
        <w:t>活水船运输验收方法：</w:t>
      </w:r>
    </w:p>
    <w:p>
      <w:pPr>
        <w:spacing w:line="360" w:lineRule="auto"/>
        <w:ind w:firstLine="482" w:firstLineChars="200"/>
        <w:rPr>
          <w:rFonts w:hint="eastAsia" w:ascii="宋体" w:hAnsi="宋体" w:cs="宋体"/>
          <w:sz w:val="24"/>
        </w:rPr>
      </w:pPr>
      <w:r>
        <w:rPr>
          <w:rFonts w:hint="eastAsia" w:ascii="宋体" w:hAnsi="宋体" w:cs="宋体"/>
          <w:b/>
          <w:bCs/>
          <w:sz w:val="24"/>
        </w:rPr>
        <w:t>苗种质量和成活率验收：</w:t>
      </w:r>
      <w:r>
        <w:rPr>
          <w:rFonts w:hint="eastAsia" w:ascii="宋体" w:hAnsi="宋体" w:cs="宋体"/>
          <w:sz w:val="24"/>
        </w:rPr>
        <w:t>由专家组查验资质单位出具的本批次苗种的疫病检测报告，并对苗种成活率进行抽查，成活率低于95%的不接受用于本次放流。</w:t>
      </w:r>
    </w:p>
    <w:p>
      <w:pPr>
        <w:spacing w:line="360" w:lineRule="auto"/>
        <w:ind w:firstLine="482" w:firstLineChars="200"/>
        <w:rPr>
          <w:rFonts w:hint="eastAsia" w:ascii="宋体" w:hAnsi="宋体" w:cs="宋体"/>
          <w:sz w:val="24"/>
        </w:rPr>
      </w:pPr>
      <w:r>
        <w:rPr>
          <w:rFonts w:hint="eastAsia" w:ascii="宋体" w:hAnsi="宋体" w:cs="宋体"/>
          <w:b/>
          <w:bCs/>
          <w:sz w:val="24"/>
        </w:rPr>
        <w:t>苗种数量验收：</w:t>
      </w:r>
      <w:r>
        <w:rPr>
          <w:rFonts w:hint="eastAsia" w:ascii="宋体" w:hAnsi="宋体" w:cs="宋体"/>
          <w:sz w:val="24"/>
        </w:rPr>
        <w:t>活动开始后由监督小组现场随机抽取活水船一个舱位，在公证处监督下，由放流技术工人过磅称重，专家组计数本舱位苗种总重量，并抽取50-100尾称重，计算出单位千克尾数。</w:t>
      </w:r>
    </w:p>
    <w:p>
      <w:pPr>
        <w:spacing w:line="360" w:lineRule="auto"/>
        <w:ind w:firstLine="480" w:firstLineChars="200"/>
        <w:rPr>
          <w:rFonts w:hint="eastAsia" w:ascii="宋体" w:hAnsi="宋体" w:cs="宋体"/>
          <w:sz w:val="24"/>
        </w:rPr>
      </w:pPr>
      <w:r>
        <w:rPr>
          <w:rFonts w:hint="eastAsia" w:ascii="宋体" w:hAnsi="宋体" w:cs="宋体"/>
          <w:sz w:val="24"/>
        </w:rPr>
        <w:t>苗种总数量=单位千克位数*抽样船舱苗种重量*放流的舱位数。</w:t>
      </w:r>
    </w:p>
    <w:p>
      <w:pPr>
        <w:spacing w:line="360" w:lineRule="auto"/>
        <w:ind w:firstLine="482" w:firstLineChars="200"/>
        <w:rPr>
          <w:rFonts w:hint="eastAsia" w:ascii="宋体" w:hAnsi="宋体" w:cs="宋体"/>
          <w:sz w:val="24"/>
        </w:rPr>
      </w:pPr>
      <w:r>
        <w:rPr>
          <w:rFonts w:hint="eastAsia" w:ascii="宋体" w:hAnsi="宋体" w:cs="宋体"/>
          <w:b/>
          <w:bCs/>
          <w:sz w:val="24"/>
        </w:rPr>
        <w:t>苗种规格验收：</w:t>
      </w:r>
      <w:r>
        <w:rPr>
          <w:rFonts w:hint="eastAsia" w:ascii="宋体" w:hAnsi="宋体" w:cs="宋体"/>
          <w:sz w:val="24"/>
        </w:rPr>
        <w:t>技术专家对苗种随机抽样50-100尾，用量鱼板（并拍照留存），计算出平均规格。苗种平均规格低于5cm不接受用于本次放流。</w:t>
      </w:r>
    </w:p>
    <w:p>
      <w:pPr>
        <w:spacing w:line="360" w:lineRule="auto"/>
        <w:ind w:firstLine="482" w:firstLineChars="200"/>
        <w:rPr>
          <w:rFonts w:hint="eastAsia" w:ascii="宋体" w:hAnsi="宋体" w:cs="宋体"/>
          <w:b/>
          <w:bCs/>
          <w:sz w:val="24"/>
        </w:rPr>
      </w:pPr>
      <w:r>
        <w:rPr>
          <w:rFonts w:hint="eastAsia" w:ascii="宋体" w:hAnsi="宋体" w:cs="宋体"/>
          <w:b/>
          <w:bCs/>
          <w:sz w:val="24"/>
        </w:rPr>
        <w:t>活水车运输验收方法：</w:t>
      </w:r>
    </w:p>
    <w:p>
      <w:pPr>
        <w:spacing w:line="360" w:lineRule="auto"/>
        <w:ind w:firstLine="482" w:firstLineChars="200"/>
        <w:rPr>
          <w:rFonts w:hint="eastAsia" w:ascii="宋体" w:hAnsi="宋体" w:cs="宋体"/>
          <w:sz w:val="24"/>
        </w:rPr>
      </w:pPr>
      <w:r>
        <w:rPr>
          <w:rFonts w:hint="eastAsia" w:ascii="宋体" w:hAnsi="宋体" w:cs="宋体"/>
          <w:b/>
          <w:bCs/>
          <w:sz w:val="24"/>
        </w:rPr>
        <w:t>苗种质量和成活率验收：</w:t>
      </w:r>
      <w:r>
        <w:rPr>
          <w:rFonts w:hint="eastAsia" w:ascii="宋体" w:hAnsi="宋体" w:cs="宋体"/>
          <w:sz w:val="24"/>
        </w:rPr>
        <w:t>由专家组查验资质单位出具的本批次苗种的疫病检测报告，并对苗种成活率进行抽查，成活率低于95%的不接受用于本次放流。</w:t>
      </w:r>
    </w:p>
    <w:p>
      <w:pPr>
        <w:spacing w:line="360" w:lineRule="auto"/>
        <w:ind w:firstLine="482" w:firstLineChars="200"/>
        <w:rPr>
          <w:rFonts w:hint="eastAsia" w:ascii="宋体" w:hAnsi="宋体" w:cs="宋体"/>
          <w:sz w:val="24"/>
        </w:rPr>
      </w:pPr>
      <w:r>
        <w:rPr>
          <w:rFonts w:hint="eastAsia" w:ascii="宋体" w:hAnsi="宋体" w:cs="宋体"/>
          <w:b/>
          <w:bCs/>
          <w:sz w:val="24"/>
        </w:rPr>
        <w:t>苗种数量验收：</w:t>
      </w:r>
      <w:r>
        <w:rPr>
          <w:rFonts w:hint="eastAsia" w:ascii="宋体" w:hAnsi="宋体" w:cs="宋体"/>
          <w:sz w:val="24"/>
        </w:rPr>
        <w:t>苗种卸车过程中由技术专家及公证处现场清点本车苗种总包数，由地方渔业主管部门每车随机抽取3包，由技术专家点数，计算平均值。</w:t>
      </w:r>
    </w:p>
    <w:p>
      <w:pPr>
        <w:spacing w:line="360" w:lineRule="auto"/>
        <w:ind w:firstLine="480" w:firstLineChars="200"/>
        <w:rPr>
          <w:rFonts w:hint="eastAsia" w:ascii="宋体" w:hAnsi="宋体" w:cs="宋体"/>
          <w:sz w:val="24"/>
        </w:rPr>
      </w:pPr>
      <w:r>
        <w:rPr>
          <w:rFonts w:hint="eastAsia" w:ascii="宋体" w:hAnsi="宋体" w:cs="宋体"/>
          <w:sz w:val="24"/>
        </w:rPr>
        <w:t>单车苗种总数量=本车总包数*抽样苗种平均值</w:t>
      </w:r>
    </w:p>
    <w:p>
      <w:pPr>
        <w:spacing w:line="360" w:lineRule="auto"/>
        <w:ind w:firstLine="480" w:firstLineChars="200"/>
        <w:rPr>
          <w:rFonts w:hint="eastAsia" w:ascii="宋体" w:hAnsi="宋体" w:cs="宋体"/>
          <w:sz w:val="24"/>
        </w:rPr>
      </w:pPr>
      <w:r>
        <w:rPr>
          <w:rFonts w:hint="eastAsia" w:ascii="宋体" w:hAnsi="宋体" w:cs="宋体"/>
          <w:sz w:val="24"/>
        </w:rPr>
        <w:t>放流苗种总数量=各车苗种数量之和</w:t>
      </w:r>
    </w:p>
    <w:p>
      <w:pPr>
        <w:spacing w:line="360" w:lineRule="auto"/>
        <w:ind w:firstLine="482" w:firstLineChars="200"/>
        <w:rPr>
          <w:rFonts w:hint="eastAsia" w:ascii="宋体" w:hAnsi="宋体" w:cs="宋体"/>
          <w:sz w:val="24"/>
        </w:rPr>
      </w:pPr>
      <w:r>
        <w:rPr>
          <w:rFonts w:hint="eastAsia" w:ascii="宋体" w:hAnsi="宋体" w:cs="宋体"/>
          <w:b/>
          <w:bCs/>
          <w:sz w:val="24"/>
        </w:rPr>
        <w:t>苗种规格验收：</w:t>
      </w:r>
      <w:r>
        <w:rPr>
          <w:rFonts w:hint="eastAsia" w:ascii="宋体" w:hAnsi="宋体" w:cs="宋体"/>
          <w:sz w:val="24"/>
        </w:rPr>
        <w:t>技术专家对每车苗种随机抽样50-100尾，用量鱼板（并拍照留存），计算出平均规格。苗种平均规格低于5cm不接受用于本次放流。</w:t>
      </w:r>
    </w:p>
    <w:p>
      <w:pPr>
        <w:spacing w:line="360" w:lineRule="auto"/>
        <w:rPr>
          <w:rFonts w:hint="eastAsia" w:ascii="宋体" w:hAnsi="宋体" w:cs="宋体"/>
          <w:sz w:val="24"/>
        </w:rPr>
      </w:pPr>
      <w:r>
        <w:rPr>
          <w:rFonts w:hint="eastAsia" w:ascii="宋体" w:hAnsi="宋体" w:cs="宋体"/>
          <w:sz w:val="24"/>
        </w:rPr>
        <w:t>通州湾示范区海洋与渔业局届时将组织纪检人员或委托第三方机构对放流数量、质量进行随机抽检，抽检数量或质量不合格的单位将被禁止五年内参与通州湾示范区海洋与渔业局投标活动。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六、履约保证金：</w:t>
      </w:r>
    </w:p>
    <w:p>
      <w:pPr>
        <w:spacing w:line="360" w:lineRule="auto"/>
        <w:ind w:firstLine="480"/>
        <w:rPr>
          <w:rFonts w:hint="eastAsia" w:ascii="宋体" w:hAnsi="宋体" w:cs="宋体"/>
          <w:sz w:val="24"/>
          <w:highlight w:val="none"/>
        </w:rPr>
      </w:pPr>
      <w:r>
        <w:rPr>
          <w:rFonts w:hint="eastAsia" w:ascii="宋体" w:hAnsi="宋体" w:cs="宋体"/>
          <w:sz w:val="24"/>
          <w:highlight w:val="none"/>
        </w:rPr>
        <w:t>1、本项目成交后的履约保证金为项目成交价的10%，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pPr>
        <w:spacing w:line="360" w:lineRule="auto"/>
        <w:ind w:firstLine="480"/>
        <w:rPr>
          <w:rFonts w:hint="eastAsia" w:ascii="宋体" w:hAnsi="宋体" w:cs="宋体"/>
          <w:sz w:val="24"/>
          <w:highlight w:val="none"/>
        </w:rPr>
      </w:pPr>
      <w:r>
        <w:rPr>
          <w:rFonts w:hint="eastAsia" w:ascii="宋体" w:hAnsi="宋体" w:cs="宋体"/>
          <w:sz w:val="24"/>
          <w:highlight w:val="none"/>
        </w:rPr>
        <w:t>2、成交供应商全部履约合同义务，经采购单位验收合格无质量、进度等问题的，采购人在</w:t>
      </w:r>
      <w:r>
        <w:rPr>
          <w:rFonts w:hint="eastAsia"/>
          <w:sz w:val="24"/>
          <w:highlight w:val="none"/>
        </w:rPr>
        <w:t>全部放流结束后，甲方一个月内</w:t>
      </w:r>
      <w:r>
        <w:rPr>
          <w:rFonts w:hint="eastAsia" w:ascii="宋体" w:hAnsi="宋体" w:cs="宋体"/>
          <w:sz w:val="24"/>
          <w:highlight w:val="none"/>
        </w:rPr>
        <w:t>一次性退还履约保证金，采购人若逾期退还履约保证金的，按照逾期部分的每日0.01%支付违约金；</w:t>
      </w:r>
    </w:p>
    <w:p>
      <w:pPr>
        <w:spacing w:line="360" w:lineRule="auto"/>
        <w:ind w:firstLine="48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履约保证金的退还时间详见合同相关条款。</w:t>
      </w:r>
    </w:p>
    <w:p>
      <w:pPr>
        <w:spacing w:line="360" w:lineRule="auto"/>
        <w:ind w:firstLine="480"/>
        <w:rPr>
          <w:rFonts w:hint="eastAsia" w:ascii="宋体" w:hAnsi="宋体" w:cs="宋体"/>
          <w:sz w:val="24"/>
          <w:highlight w:val="none"/>
        </w:rPr>
      </w:pPr>
      <w:r>
        <w:rPr>
          <w:rFonts w:hint="eastAsia" w:ascii="宋体" w:hAnsi="宋体" w:cs="宋体"/>
          <w:sz w:val="24"/>
          <w:highlight w:val="none"/>
        </w:rPr>
        <w:t>3、发生以下情况的，履约保证金不予退还或部分退还：</w:t>
      </w:r>
    </w:p>
    <w:p>
      <w:pPr>
        <w:spacing w:line="360" w:lineRule="auto"/>
        <w:ind w:firstLine="480"/>
        <w:rPr>
          <w:rFonts w:hint="eastAsia" w:ascii="宋体" w:hAnsi="宋体" w:cs="宋体"/>
          <w:sz w:val="24"/>
          <w:highlight w:val="none"/>
        </w:rPr>
      </w:pPr>
      <w:r>
        <w:rPr>
          <w:rFonts w:hint="eastAsia" w:ascii="宋体" w:hAnsi="宋体" w:cs="宋体"/>
          <w:sz w:val="24"/>
          <w:highlight w:val="none"/>
        </w:rPr>
        <w:t>a.签订合同后，成交供应商不履行合同义务的，采购单位有权全额扣除履约保证金，全额不予退还，同时采购单位亦有权终止合同，中标供应商还须承担相应的法律赔偿责任。</w:t>
      </w:r>
    </w:p>
    <w:p>
      <w:pPr>
        <w:spacing w:line="360" w:lineRule="auto"/>
        <w:ind w:firstLine="480"/>
        <w:rPr>
          <w:rFonts w:eastAsia="宋体"/>
          <w:lang w:val="en-US" w:eastAsia="zh-CN"/>
        </w:rPr>
      </w:pPr>
      <w:r>
        <w:rPr>
          <w:rFonts w:hint="eastAsia" w:ascii="宋体" w:hAnsi="宋体" w:cs="宋体"/>
          <w:sz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pPr>
        <w:spacing w:line="360" w:lineRule="auto"/>
        <w:ind w:firstLine="482"/>
        <w:rPr>
          <w:rFonts w:hint="eastAsia" w:ascii="宋体" w:hAnsi="宋体" w:cs="宋体"/>
          <w:b/>
          <w:bCs/>
          <w:sz w:val="24"/>
          <w:highlight w:val="none"/>
        </w:rPr>
      </w:pPr>
      <w:r>
        <w:rPr>
          <w:rFonts w:hint="eastAsia" w:ascii="宋体" w:hAnsi="宋体" w:cs="宋体"/>
          <w:b/>
          <w:bCs/>
          <w:sz w:val="24"/>
          <w:highlight w:val="none"/>
        </w:rPr>
        <w:t>3、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集中采购的中标（成交）供应商可在南通市公共资源交易金融服务平台“履约保证保险”模块在线申请履约保证保险投保。</w:t>
      </w:r>
    </w:p>
    <w:p>
      <w:pPr>
        <w:spacing w:line="360" w:lineRule="auto"/>
        <w:rPr>
          <w:rFonts w:hint="eastAsia" w:ascii="宋体" w:hAnsi="宋体"/>
          <w:sz w:val="24"/>
          <w:highlight w:val="none"/>
        </w:rPr>
      </w:pPr>
    </w:p>
    <w:p>
      <w:pPr>
        <w:rPr>
          <w:rFonts w:hint="eastAsia" w:ascii="宋体" w:hAnsi="宋体"/>
          <w:highlight w:val="none"/>
        </w:rPr>
      </w:pPr>
    </w:p>
    <w:p>
      <w:pPr>
        <w:spacing w:after="120"/>
        <w:rPr>
          <w:rFonts w:hint="eastAsia" w:ascii="宋体" w:hAnsi="宋体"/>
          <w:highlight w:val="none"/>
        </w:rPr>
      </w:pPr>
    </w:p>
    <w:p>
      <w:pPr>
        <w:spacing w:after="120"/>
        <w:rPr>
          <w:rFonts w:ascii="宋体" w:hAnsi="宋体"/>
          <w:highlight w:val="none"/>
        </w:rPr>
        <w:sectPr>
          <w:headerReference r:id="rId5" w:type="default"/>
          <w:footerReference r:id="rId6" w:type="default"/>
          <w:pgSz w:w="11906" w:h="16838"/>
          <w:pgMar w:top="1361" w:right="1361" w:bottom="1361" w:left="1361" w:header="851" w:footer="992" w:gutter="0"/>
          <w:cols w:space="1701" w:num="1"/>
          <w:docGrid w:linePitch="360" w:charSpace="0"/>
        </w:sectPr>
      </w:pPr>
    </w:p>
    <w:bookmarkEnd w:id="1"/>
    <w:bookmarkEnd w:id="2"/>
    <w:bookmarkEnd w:id="3"/>
    <w:p>
      <w:pPr>
        <w:spacing w:before="156" w:after="156" w:line="360" w:lineRule="auto"/>
        <w:jc w:val="center"/>
        <w:outlineLvl w:val="0"/>
        <w:rPr>
          <w:rFonts w:ascii="宋体" w:hAnsi="宋体"/>
          <w:bCs/>
          <w:sz w:val="36"/>
          <w:szCs w:val="36"/>
          <w:highlight w:val="none"/>
        </w:rPr>
      </w:pPr>
      <w:r>
        <w:rPr>
          <w:rFonts w:hint="eastAsia" w:ascii="宋体" w:hAnsi="宋体"/>
          <w:bCs/>
          <w:sz w:val="36"/>
          <w:szCs w:val="36"/>
          <w:highlight w:val="none"/>
        </w:rPr>
        <w:t>第四部分  合同条款及格式</w:t>
      </w:r>
    </w:p>
    <w:p>
      <w:pPr>
        <w:spacing w:line="440" w:lineRule="exact"/>
        <w:ind w:firstLine="480" w:firstLineChars="200"/>
        <w:rPr>
          <w:rFonts w:ascii="宋体"/>
          <w:sz w:val="22"/>
          <w:szCs w:val="22"/>
        </w:rPr>
      </w:pPr>
      <w:bookmarkStart w:id="98" w:name="_Toc16938559"/>
      <w:bookmarkStart w:id="99" w:name="_Toc513029243"/>
      <w:bookmarkStart w:id="100" w:name="_Toc20823315"/>
      <w:r>
        <w:rPr>
          <w:rFonts w:hint="eastAsia" w:ascii="宋体" w:hAnsi="宋体" w:cs="宋体"/>
          <w:sz w:val="24"/>
          <w:szCs w:val="24"/>
        </w:rPr>
        <w:t>合同编号：</w:t>
      </w:r>
    </w:p>
    <w:p>
      <w:pPr>
        <w:spacing w:line="360" w:lineRule="auto"/>
        <w:jc w:val="center"/>
        <w:rPr>
          <w:rFonts w:ascii="宋体"/>
          <w:b/>
          <w:bCs/>
          <w:sz w:val="28"/>
          <w:szCs w:val="28"/>
        </w:rPr>
      </w:pPr>
    </w:p>
    <w:p>
      <w:pPr>
        <w:spacing w:line="360" w:lineRule="auto"/>
        <w:jc w:val="center"/>
        <w:rPr>
          <w:rFonts w:ascii="宋体"/>
          <w:b/>
          <w:bCs/>
          <w:sz w:val="28"/>
          <w:szCs w:val="28"/>
        </w:rPr>
      </w:pPr>
    </w:p>
    <w:p>
      <w:pPr>
        <w:spacing w:line="360" w:lineRule="auto"/>
        <w:jc w:val="center"/>
        <w:rPr>
          <w:rFonts w:ascii="宋体"/>
          <w:b/>
          <w:bCs/>
          <w:sz w:val="28"/>
          <w:szCs w:val="28"/>
        </w:rPr>
      </w:pPr>
    </w:p>
    <w:p>
      <w:pPr>
        <w:spacing w:line="360" w:lineRule="auto"/>
        <w:jc w:val="center"/>
        <w:rPr>
          <w:rFonts w:ascii="宋体"/>
          <w:b/>
          <w:bCs/>
          <w:sz w:val="44"/>
          <w:szCs w:val="44"/>
        </w:rPr>
      </w:pPr>
      <w:r>
        <w:rPr>
          <w:rFonts w:hint="eastAsia" w:ascii="宋体" w:hAnsi="宋体" w:cs="宋体"/>
          <w:b/>
          <w:bCs/>
          <w:sz w:val="44"/>
          <w:szCs w:val="44"/>
        </w:rPr>
        <w:t>采购合同</w:t>
      </w:r>
    </w:p>
    <w:p>
      <w:pPr>
        <w:pStyle w:val="192"/>
        <w:spacing w:line="360" w:lineRule="auto"/>
        <w:ind w:firstLine="0"/>
        <w:rPr>
          <w:rFonts w:hAnsi="宋体" w:cs="Times New Roman"/>
        </w:rPr>
      </w:pPr>
    </w:p>
    <w:p>
      <w:pPr>
        <w:pStyle w:val="192"/>
        <w:spacing w:line="360" w:lineRule="auto"/>
        <w:ind w:firstLine="0"/>
        <w:rPr>
          <w:rFonts w:hAnsi="宋体" w:cs="Times New Roman"/>
        </w:rPr>
      </w:pPr>
    </w:p>
    <w:p>
      <w:pPr>
        <w:pStyle w:val="192"/>
        <w:spacing w:line="360" w:lineRule="auto"/>
        <w:ind w:firstLine="0"/>
        <w:rPr>
          <w:rFonts w:hAnsi="宋体" w:cs="Times New Roman"/>
        </w:rPr>
      </w:pPr>
    </w:p>
    <w:p>
      <w:pPr>
        <w:pStyle w:val="192"/>
        <w:spacing w:line="360" w:lineRule="auto"/>
        <w:ind w:firstLine="0"/>
        <w:rPr>
          <w:rFonts w:hAnsi="宋体" w:cs="Times New Roman"/>
        </w:rPr>
      </w:pPr>
    </w:p>
    <w:p>
      <w:pPr>
        <w:pStyle w:val="192"/>
        <w:spacing w:line="360" w:lineRule="auto"/>
        <w:ind w:firstLine="0"/>
        <w:rPr>
          <w:rFonts w:hAnsi="宋体" w:cs="Times New Roman"/>
        </w:rPr>
      </w:pPr>
    </w:p>
    <w:p>
      <w:pPr>
        <w:spacing w:before="120" w:line="360" w:lineRule="auto"/>
        <w:rPr>
          <w:rFonts w:ascii="宋体"/>
          <w:sz w:val="24"/>
          <w:szCs w:val="24"/>
        </w:rPr>
      </w:pPr>
    </w:p>
    <w:p>
      <w:pPr>
        <w:spacing w:line="440" w:lineRule="exact"/>
        <w:ind w:firstLine="480" w:firstLineChars="200"/>
        <w:rPr>
          <w:rFonts w:hint="eastAsia" w:ascii="宋体"/>
          <w:sz w:val="24"/>
          <w:szCs w:val="24"/>
        </w:rPr>
      </w:pPr>
      <w:r>
        <w:rPr>
          <w:rFonts w:hint="eastAsia" w:ascii="宋体" w:hAnsi="宋体" w:cs="宋体"/>
          <w:sz w:val="24"/>
          <w:szCs w:val="24"/>
        </w:rPr>
        <w:t>项目名称：通州湾滨海新区和高新技术产业园围填海生态修复水生生物资源2024年增殖放流项目</w:t>
      </w:r>
    </w:p>
    <w:p>
      <w:pPr>
        <w:spacing w:line="440" w:lineRule="exact"/>
        <w:ind w:firstLine="480" w:firstLineChars="200"/>
        <w:rPr>
          <w:rFonts w:ascii="宋体"/>
          <w:sz w:val="24"/>
          <w:szCs w:val="24"/>
        </w:rPr>
      </w:pPr>
    </w:p>
    <w:p>
      <w:pPr>
        <w:spacing w:line="440" w:lineRule="exact"/>
        <w:ind w:firstLine="480" w:firstLineChars="200"/>
        <w:rPr>
          <w:rFonts w:hint="eastAsia" w:ascii="宋体"/>
          <w:sz w:val="24"/>
          <w:szCs w:val="24"/>
        </w:rPr>
      </w:pPr>
      <w:r>
        <w:rPr>
          <w:rFonts w:hint="eastAsia" w:ascii="宋体" w:hAnsi="宋体" w:cs="宋体"/>
          <w:sz w:val="24"/>
          <w:szCs w:val="24"/>
        </w:rPr>
        <w:t>甲方：通州湾示范区海洋与渔业局</w:t>
      </w:r>
    </w:p>
    <w:p>
      <w:pPr>
        <w:spacing w:line="440" w:lineRule="exact"/>
        <w:ind w:firstLine="480" w:firstLineChars="200"/>
        <w:rPr>
          <w:rFonts w:ascii="宋体"/>
          <w:sz w:val="24"/>
          <w:szCs w:val="24"/>
        </w:rPr>
      </w:pPr>
    </w:p>
    <w:p>
      <w:pPr>
        <w:spacing w:line="440" w:lineRule="exact"/>
        <w:ind w:firstLine="480" w:firstLineChars="200"/>
        <w:rPr>
          <w:rFonts w:ascii="宋体"/>
          <w:sz w:val="24"/>
          <w:szCs w:val="24"/>
        </w:rPr>
      </w:pPr>
      <w:r>
        <w:rPr>
          <w:rFonts w:hint="eastAsia" w:ascii="宋体" w:hAnsi="宋体" w:cs="宋体"/>
          <w:sz w:val="24"/>
          <w:szCs w:val="24"/>
        </w:rPr>
        <w:t>乙方：</w:t>
      </w:r>
    </w:p>
    <w:p>
      <w:pPr>
        <w:spacing w:line="440" w:lineRule="exact"/>
        <w:ind w:firstLine="480" w:firstLineChars="200"/>
        <w:rPr>
          <w:rFonts w:ascii="宋体"/>
          <w:sz w:val="24"/>
          <w:szCs w:val="24"/>
        </w:rPr>
      </w:pPr>
    </w:p>
    <w:p>
      <w:pPr>
        <w:spacing w:line="440" w:lineRule="exact"/>
        <w:ind w:firstLine="480" w:firstLineChars="200"/>
        <w:rPr>
          <w:rFonts w:ascii="宋体"/>
          <w:sz w:val="24"/>
          <w:szCs w:val="24"/>
        </w:rPr>
      </w:pPr>
      <w:r>
        <w:rPr>
          <w:rFonts w:hint="eastAsia" w:ascii="宋体" w:hAnsi="宋体" w:cs="宋体"/>
          <w:sz w:val="24"/>
          <w:szCs w:val="24"/>
        </w:rPr>
        <w:t>签订地：</w:t>
      </w:r>
    </w:p>
    <w:p>
      <w:pPr>
        <w:spacing w:line="440" w:lineRule="exact"/>
        <w:ind w:firstLine="480" w:firstLineChars="200"/>
        <w:rPr>
          <w:rFonts w:hint="eastAsia" w:ascii="宋体"/>
          <w:sz w:val="24"/>
          <w:szCs w:val="24"/>
        </w:rPr>
        <w:sectPr>
          <w:footerReference r:id="rId7" w:type="default"/>
          <w:pgSz w:w="11907" w:h="16840"/>
          <w:pgMar w:top="1418" w:right="1531" w:bottom="1418" w:left="1588" w:header="851" w:footer="851" w:gutter="0"/>
          <w:pgNumType w:start="26"/>
          <w:cols w:space="720" w:num="1"/>
          <w:rtlGutter w:val="1"/>
          <w:docGrid w:linePitch="462" w:charSpace="0"/>
        </w:sect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月</w:t>
      </w:r>
      <w:bookmarkEnd w:id="98"/>
      <w:bookmarkEnd w:id="99"/>
      <w:bookmarkEnd w:id="100"/>
      <w:r>
        <w:rPr>
          <w:rFonts w:ascii="宋体" w:hAnsi="宋体" w:cs="宋体"/>
          <w:sz w:val="24"/>
          <w:szCs w:val="24"/>
        </w:rPr>
        <w:t xml:space="preserve"> </w:t>
      </w:r>
      <w:r>
        <w:rPr>
          <w:rFonts w:hint="eastAsia" w:ascii="宋体" w:hAnsi="宋体" w:cs="宋体"/>
          <w:sz w:val="24"/>
          <w:szCs w:val="24"/>
        </w:rPr>
        <w:t xml:space="preserve"> 日</w:t>
      </w:r>
    </w:p>
    <w:p>
      <w:pPr>
        <w:snapToGrid w:val="0"/>
        <w:spacing w:line="360" w:lineRule="auto"/>
        <w:ind w:firstLine="3534" w:firstLineChars="1100"/>
        <w:jc w:val="both"/>
        <w:rPr>
          <w:rFonts w:hAnsi="宋体"/>
          <w:b/>
          <w:bCs/>
          <w:sz w:val="32"/>
          <w:szCs w:val="32"/>
        </w:rPr>
      </w:pPr>
      <w:bookmarkStart w:id="101" w:name="_Toc351203480"/>
      <w:bookmarkStart w:id="102" w:name="_Toc296503025"/>
      <w:bookmarkStart w:id="103" w:name="_Toc296890982"/>
      <w:r>
        <w:rPr>
          <w:rFonts w:hint="eastAsia" w:hAnsi="宋体"/>
          <w:b/>
          <w:sz w:val="32"/>
          <w:szCs w:val="32"/>
        </w:rPr>
        <w:t>合同协议</w:t>
      </w:r>
      <w:bookmarkEnd w:id="101"/>
      <w:bookmarkEnd w:id="102"/>
      <w:bookmarkEnd w:id="103"/>
      <w:r>
        <w:rPr>
          <w:rFonts w:hint="eastAsia" w:hAnsi="宋体"/>
          <w:b/>
          <w:sz w:val="32"/>
          <w:szCs w:val="32"/>
        </w:rPr>
        <w:t>书</w:t>
      </w:r>
    </w:p>
    <w:p>
      <w:pPr>
        <w:tabs>
          <w:tab w:val="left" w:pos="900"/>
        </w:tabs>
        <w:spacing w:line="560" w:lineRule="exact"/>
        <w:ind w:firstLine="477" w:firstLineChars="199"/>
        <w:rPr>
          <w:rFonts w:hint="eastAsia"/>
          <w:sz w:val="24"/>
        </w:rPr>
      </w:pPr>
      <w:r>
        <w:rPr>
          <w:rFonts w:hint="eastAsia"/>
          <w:sz w:val="24"/>
        </w:rPr>
        <w:t>为增殖渔业资源，修复通州湾滨海新区和高新技术产业园海洋生态环境，甲方委托乙方组织开展增殖放流工作，为保证项目顺利实施，双方经友好协商，达成如下合同：</w:t>
      </w:r>
    </w:p>
    <w:p>
      <w:pPr>
        <w:snapToGrid w:val="0"/>
        <w:spacing w:line="360" w:lineRule="auto"/>
        <w:ind w:firstLine="482" w:firstLineChars="200"/>
        <w:rPr>
          <w:rFonts w:hint="eastAsia" w:ascii="宋体" w:hAnsi="宋体" w:cs="宋体"/>
          <w:b/>
          <w:bCs/>
          <w:sz w:val="24"/>
        </w:rPr>
      </w:pPr>
      <w:r>
        <w:rPr>
          <w:rFonts w:hint="eastAsia" w:ascii="宋体" w:hAnsi="宋体" w:cs="宋体"/>
          <w:b/>
          <w:bCs/>
          <w:sz w:val="24"/>
        </w:rPr>
        <w:t>一、项目概况</w:t>
      </w:r>
    </w:p>
    <w:p>
      <w:pPr>
        <w:tabs>
          <w:tab w:val="left" w:pos="900"/>
        </w:tabs>
        <w:spacing w:line="560" w:lineRule="exact"/>
        <w:ind w:firstLine="477" w:firstLineChars="199"/>
        <w:rPr>
          <w:rFonts w:hint="eastAsia"/>
          <w:sz w:val="24"/>
          <w:lang w:val="zh-CN"/>
        </w:rPr>
      </w:pPr>
      <w:r>
        <w:rPr>
          <w:rFonts w:hint="eastAsia"/>
          <w:sz w:val="24"/>
          <w:lang w:val="zh-CN"/>
        </w:rPr>
        <w:t>1、项目名称：通州湾滨海新区和高新技术产业园围填海生态修复水生生物资源202</w:t>
      </w:r>
      <w:r>
        <w:rPr>
          <w:rFonts w:hint="eastAsia"/>
          <w:sz w:val="24"/>
        </w:rPr>
        <w:t>4</w:t>
      </w:r>
      <w:r>
        <w:rPr>
          <w:rFonts w:hint="eastAsia"/>
          <w:sz w:val="24"/>
          <w:lang w:val="zh-CN"/>
        </w:rPr>
        <w:t>年增殖放流项目。</w:t>
      </w:r>
    </w:p>
    <w:p>
      <w:pPr>
        <w:tabs>
          <w:tab w:val="left" w:pos="900"/>
        </w:tabs>
        <w:spacing w:line="560" w:lineRule="exact"/>
        <w:ind w:firstLine="477" w:firstLineChars="199"/>
        <w:rPr>
          <w:rFonts w:hint="eastAsia"/>
          <w:sz w:val="24"/>
          <w:lang w:val="zh-CN"/>
        </w:rPr>
      </w:pPr>
      <w:r>
        <w:rPr>
          <w:rFonts w:hint="eastAsia"/>
          <w:sz w:val="24"/>
          <w:lang w:val="zh-CN"/>
        </w:rPr>
        <w:t>2、放流时间及地点：202</w:t>
      </w:r>
      <w:r>
        <w:rPr>
          <w:rFonts w:hint="eastAsia"/>
          <w:sz w:val="24"/>
        </w:rPr>
        <w:t>4</w:t>
      </w:r>
      <w:r>
        <w:rPr>
          <w:rFonts w:hint="eastAsia"/>
          <w:sz w:val="24"/>
          <w:lang w:val="zh-CN"/>
        </w:rPr>
        <w:t>年</w:t>
      </w:r>
      <w:r>
        <w:rPr>
          <w:rFonts w:hint="eastAsia"/>
          <w:sz w:val="24"/>
        </w:rPr>
        <w:t>6</w:t>
      </w:r>
      <w:r>
        <w:rPr>
          <w:rFonts w:hint="eastAsia"/>
          <w:sz w:val="24"/>
          <w:lang w:val="zh-CN"/>
        </w:rPr>
        <w:t>月底前完成，</w:t>
      </w:r>
      <w:r>
        <w:rPr>
          <w:rFonts w:hint="eastAsia"/>
          <w:sz w:val="24"/>
        </w:rPr>
        <w:t>通州湾滨海新区和高新技术产业园</w:t>
      </w:r>
      <w:r>
        <w:rPr>
          <w:rFonts w:hint="eastAsia"/>
          <w:sz w:val="24"/>
          <w:lang w:val="zh-CN"/>
        </w:rPr>
        <w:t>海域（具体时间、地点以甲方书面通知为准）。</w:t>
      </w:r>
    </w:p>
    <w:p>
      <w:pPr>
        <w:tabs>
          <w:tab w:val="left" w:pos="900"/>
        </w:tabs>
        <w:spacing w:line="560" w:lineRule="exact"/>
        <w:ind w:firstLine="477" w:firstLineChars="199"/>
        <w:rPr>
          <w:rFonts w:hint="eastAsia"/>
          <w:sz w:val="24"/>
          <w:lang w:val="zh-CN"/>
        </w:rPr>
      </w:pPr>
      <w:r>
        <w:rPr>
          <w:rFonts w:hint="eastAsia"/>
          <w:sz w:val="24"/>
          <w:lang w:val="zh-CN"/>
        </w:rPr>
        <w:t>3、增殖放流的种类及计划：</w:t>
      </w:r>
    </w:p>
    <w:p>
      <w:pPr>
        <w:tabs>
          <w:tab w:val="left" w:pos="900"/>
        </w:tabs>
        <w:spacing w:line="560" w:lineRule="exact"/>
        <w:ind w:firstLine="477" w:firstLineChars="199"/>
        <w:rPr>
          <w:rFonts w:hint="eastAsia"/>
          <w:sz w:val="24"/>
          <w:lang w:val="zh-CN"/>
        </w:rPr>
      </w:pPr>
      <w:r>
        <w:rPr>
          <w:rFonts w:hint="eastAsia"/>
          <w:sz w:val="24"/>
          <w:lang w:val="zh-CN"/>
        </w:rPr>
        <w:t>采购人根据增殖放流原则，确定同一水域内开展多品种放流应兼顾各品种间的合理数量比例，乙方应按照甲方的要求实施放流，苗种必须是合格健康的本地品种。</w:t>
      </w:r>
    </w:p>
    <w:tbl>
      <w:tblPr>
        <w:tblStyle w:val="33"/>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90"/>
        <w:gridCol w:w="2800"/>
        <w:gridCol w:w="1155"/>
        <w:gridCol w:w="101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89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品种</w:t>
            </w:r>
          </w:p>
        </w:tc>
        <w:tc>
          <w:tcPr>
            <w:tcW w:w="280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实施内容</w:t>
            </w:r>
          </w:p>
        </w:tc>
        <w:tc>
          <w:tcPr>
            <w:tcW w:w="1155"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投资总额</w:t>
            </w:r>
          </w:p>
        </w:tc>
        <w:tc>
          <w:tcPr>
            <w:tcW w:w="1011"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最高限价</w:t>
            </w:r>
          </w:p>
        </w:tc>
        <w:tc>
          <w:tcPr>
            <w:tcW w:w="808"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放流</w:t>
            </w:r>
          </w:p>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大黄鱼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restart"/>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2024年完成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黑鲷</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菊黄东方鲀</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全长2cm以上，≥64万尾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160万元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1890" w:type="dxa"/>
            <w:noWrap/>
            <w:vAlign w:val="center"/>
          </w:tcPr>
          <w:p>
            <w:pPr>
              <w:tabs>
                <w:tab w:val="left" w:pos="3120"/>
              </w:tabs>
              <w:adjustRightInd w:val="0"/>
              <w:snapToGrid w:val="0"/>
              <w:spacing w:line="300" w:lineRule="exact"/>
              <w:jc w:val="center"/>
              <w:rPr>
                <w:rFonts w:hint="eastAsia" w:ascii="宋体" w:hAnsi="宋体" w:cs="宋体"/>
                <w:sz w:val="18"/>
                <w:szCs w:val="18"/>
                <w:highlight w:val="none"/>
              </w:rPr>
            </w:pPr>
            <w:r>
              <w:rPr>
                <w:rFonts w:hint="eastAsia" w:ascii="宋体" w:hAnsi="宋体" w:cs="宋体"/>
                <w:sz w:val="18"/>
                <w:szCs w:val="18"/>
                <w:highlight w:val="none"/>
              </w:rPr>
              <w:t>黄姑鱼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p>
        </w:tc>
        <w:tc>
          <w:tcPr>
            <w:tcW w:w="4690" w:type="dxa"/>
            <w:gridSpan w:val="2"/>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520万</w:t>
            </w:r>
          </w:p>
        </w:tc>
        <w:tc>
          <w:tcPr>
            <w:tcW w:w="1011" w:type="dxa"/>
            <w:noWrap/>
            <w:vAlign w:val="center"/>
          </w:tcPr>
          <w:p>
            <w:pPr>
              <w:tabs>
                <w:tab w:val="left" w:pos="3120"/>
              </w:tabs>
              <w:spacing w:line="300" w:lineRule="exact"/>
              <w:jc w:val="center"/>
              <w:rPr>
                <w:rFonts w:ascii="宋体" w:hAnsi="宋体" w:cs="宋体"/>
                <w:sz w:val="18"/>
                <w:szCs w:val="18"/>
                <w:highlight w:val="none"/>
              </w:rPr>
            </w:pPr>
          </w:p>
        </w:tc>
        <w:tc>
          <w:tcPr>
            <w:tcW w:w="808" w:type="dxa"/>
            <w:noWrap/>
            <w:vAlign w:val="center"/>
          </w:tcPr>
          <w:p>
            <w:pPr>
              <w:tabs>
                <w:tab w:val="left" w:pos="3120"/>
              </w:tabs>
              <w:spacing w:line="300" w:lineRule="exact"/>
              <w:jc w:val="center"/>
              <w:rPr>
                <w:rFonts w:ascii="宋体" w:hAnsi="宋体" w:cs="宋体"/>
                <w:sz w:val="18"/>
                <w:szCs w:val="18"/>
                <w:highlight w:val="none"/>
              </w:rPr>
            </w:pPr>
          </w:p>
        </w:tc>
      </w:tr>
    </w:tbl>
    <w:p>
      <w:pPr>
        <w:tabs>
          <w:tab w:val="left" w:pos="900"/>
        </w:tabs>
        <w:spacing w:line="560" w:lineRule="exact"/>
        <w:ind w:firstLine="480" w:firstLineChars="200"/>
        <w:rPr>
          <w:rFonts w:hint="eastAsia"/>
          <w:sz w:val="24"/>
        </w:rPr>
      </w:pPr>
      <w:r>
        <w:rPr>
          <w:rFonts w:hint="eastAsia"/>
          <w:sz w:val="24"/>
        </w:rPr>
        <w:t>4、放流管理办法</w:t>
      </w:r>
    </w:p>
    <w:p>
      <w:pPr>
        <w:tabs>
          <w:tab w:val="left" w:pos="900"/>
        </w:tabs>
        <w:spacing w:line="560" w:lineRule="exact"/>
        <w:ind w:firstLine="477" w:firstLineChars="199"/>
        <w:rPr>
          <w:rFonts w:hint="eastAsia"/>
          <w:sz w:val="24"/>
        </w:rPr>
      </w:pPr>
      <w:r>
        <w:rPr>
          <w:rFonts w:hint="eastAsia"/>
          <w:sz w:val="24"/>
        </w:rPr>
        <w:t>（1）管理办法</w:t>
      </w:r>
    </w:p>
    <w:p>
      <w:pPr>
        <w:pStyle w:val="14"/>
        <w:spacing w:line="360" w:lineRule="auto"/>
        <w:ind w:firstLine="480" w:firstLineChars="200"/>
        <w:rPr>
          <w:rFonts w:hint="eastAsia" w:ascii="Times New Roman" w:eastAsia="宋体"/>
          <w:kern w:val="2"/>
          <w:szCs w:val="21"/>
        </w:rPr>
      </w:pPr>
      <w:r>
        <w:rPr>
          <w:rFonts w:hint="eastAsia" w:ascii="Times New Roman" w:eastAsia="宋体"/>
          <w:kern w:val="2"/>
          <w:szCs w:val="21"/>
        </w:rPr>
        <w:t>增殖放流管理要严格遵守《农业农村部关于做好“十四五”水生生物增殖放流工作的指导意见》、《江苏省水生生物资源增殖放流工作规范》以及《水生生物增殖放流技术规范 大黄鱼》（SC/T 9413-2014），《水生生物增殖放流技术规范鲷科鱼类》（SC/T 9418-2015），《水生生物增殖放流技术规范 鲆鲽类》（SC/T 9422-2015），《水生生物增殖放流技术规范 菊黄东方鲀》（DB32/T 3774-2020）等规范进行。</w:t>
      </w:r>
    </w:p>
    <w:p>
      <w:pPr>
        <w:tabs>
          <w:tab w:val="left" w:pos="900"/>
        </w:tabs>
        <w:spacing w:line="560" w:lineRule="exact"/>
        <w:ind w:firstLine="717" w:firstLineChars="299"/>
        <w:rPr>
          <w:rFonts w:hint="eastAsia"/>
          <w:sz w:val="24"/>
        </w:rPr>
      </w:pPr>
      <w:r>
        <w:rPr>
          <w:rFonts w:hint="eastAsia"/>
          <w:sz w:val="24"/>
        </w:rPr>
        <w:t>增殖放流过程接受甲方和甲方组织的专家或监督部门进行监督、管理和指导。</w:t>
      </w:r>
    </w:p>
    <w:p>
      <w:pPr>
        <w:tabs>
          <w:tab w:val="left" w:pos="900"/>
        </w:tabs>
        <w:spacing w:line="560" w:lineRule="exact"/>
        <w:ind w:firstLine="477" w:firstLineChars="199"/>
        <w:rPr>
          <w:rFonts w:hint="eastAsia"/>
          <w:sz w:val="24"/>
        </w:rPr>
      </w:pPr>
      <w:r>
        <w:rPr>
          <w:rFonts w:hint="eastAsia"/>
          <w:sz w:val="24"/>
        </w:rPr>
        <w:t>（2）乙方负责放流苗种质量控制以及测量、计数、运输、放流。</w:t>
      </w:r>
    </w:p>
    <w:p>
      <w:pPr>
        <w:tabs>
          <w:tab w:val="left" w:pos="900"/>
        </w:tabs>
        <w:spacing w:line="560" w:lineRule="exact"/>
        <w:ind w:firstLine="477" w:firstLineChars="199"/>
        <w:rPr>
          <w:rFonts w:hint="eastAsia"/>
          <w:sz w:val="24"/>
        </w:rPr>
      </w:pPr>
      <w:r>
        <w:rPr>
          <w:rFonts w:hint="eastAsia"/>
          <w:sz w:val="24"/>
        </w:rPr>
        <w:t>① 种质检测</w:t>
      </w:r>
    </w:p>
    <w:p>
      <w:pPr>
        <w:tabs>
          <w:tab w:val="left" w:pos="900"/>
        </w:tabs>
        <w:spacing w:line="560" w:lineRule="exact"/>
        <w:ind w:firstLine="477" w:firstLineChars="199"/>
        <w:rPr>
          <w:rFonts w:hint="eastAsia"/>
          <w:sz w:val="24"/>
        </w:rPr>
      </w:pPr>
      <w:r>
        <w:rPr>
          <w:rFonts w:hint="eastAsia"/>
          <w:sz w:val="24"/>
        </w:rPr>
        <w:t>对放流种类育苗的过程、苗种的种质、疫病加强过程管理和质量控制，并提供苗种检验检疫报告及药物残留检测报告。</w:t>
      </w:r>
    </w:p>
    <w:p>
      <w:pPr>
        <w:tabs>
          <w:tab w:val="left" w:pos="900"/>
        </w:tabs>
        <w:spacing w:line="560" w:lineRule="exact"/>
        <w:ind w:firstLine="477" w:firstLineChars="199"/>
        <w:rPr>
          <w:rFonts w:hint="eastAsia"/>
          <w:sz w:val="24"/>
        </w:rPr>
      </w:pPr>
      <w:r>
        <w:rPr>
          <w:rFonts w:hint="eastAsia"/>
          <w:sz w:val="24"/>
        </w:rPr>
        <w:t>②验收方法</w:t>
      </w:r>
    </w:p>
    <w:p>
      <w:pPr>
        <w:pStyle w:val="431"/>
        <w:tabs>
          <w:tab w:val="left" w:pos="1134"/>
        </w:tabs>
        <w:spacing w:line="360" w:lineRule="auto"/>
        <w:ind w:left="482" w:firstLine="0" w:firstLineChars="0"/>
        <w:rPr>
          <w:rFonts w:ascii="Times New Roman" w:hAnsi="Times New Roman"/>
          <w:sz w:val="24"/>
          <w:szCs w:val="21"/>
        </w:rPr>
      </w:pPr>
      <w:r>
        <w:rPr>
          <w:rFonts w:hint="eastAsia" w:ascii="Times New Roman" w:hAnsi="Times New Roman"/>
          <w:sz w:val="24"/>
          <w:szCs w:val="21"/>
        </w:rPr>
        <w:t>大黄鱼、黑鲷、黄姑鱼可采用活水船运输的方式运输到通州湾指定海域。</w:t>
      </w:r>
    </w:p>
    <w:p>
      <w:pPr>
        <w:pStyle w:val="431"/>
        <w:tabs>
          <w:tab w:val="left" w:pos="1134"/>
        </w:tabs>
        <w:spacing w:line="360" w:lineRule="auto"/>
        <w:ind w:left="482" w:firstLine="0" w:firstLineChars="0"/>
        <w:rPr>
          <w:rFonts w:hint="eastAsia" w:ascii="Times New Roman" w:hAnsi="Times New Roman"/>
          <w:sz w:val="24"/>
          <w:szCs w:val="21"/>
        </w:rPr>
      </w:pPr>
      <w:r>
        <w:rPr>
          <w:rFonts w:hint="eastAsia" w:ascii="Times New Roman" w:hAnsi="Times New Roman"/>
          <w:sz w:val="24"/>
          <w:szCs w:val="21"/>
        </w:rPr>
        <w:t>菊黄东方鲀可采用活水车充氧运输的方式运输到通州湾指定海域或码头。</w:t>
      </w:r>
    </w:p>
    <w:p>
      <w:pPr>
        <w:tabs>
          <w:tab w:val="left" w:pos="900"/>
        </w:tabs>
        <w:spacing w:line="560" w:lineRule="exact"/>
        <w:ind w:firstLine="477" w:firstLineChars="199"/>
        <w:rPr>
          <w:rFonts w:hint="eastAsia"/>
          <w:sz w:val="24"/>
        </w:rPr>
      </w:pPr>
      <w:r>
        <w:rPr>
          <w:rFonts w:hint="eastAsia"/>
          <w:sz w:val="24"/>
        </w:rPr>
        <w:t>活水船运输验收方法：</w:t>
      </w:r>
    </w:p>
    <w:p>
      <w:pPr>
        <w:tabs>
          <w:tab w:val="left" w:pos="900"/>
        </w:tabs>
        <w:spacing w:line="560" w:lineRule="exact"/>
        <w:ind w:firstLine="477" w:firstLineChars="199"/>
        <w:rPr>
          <w:rFonts w:hint="eastAsia"/>
          <w:sz w:val="24"/>
        </w:rPr>
      </w:pPr>
      <w:r>
        <w:rPr>
          <w:rFonts w:hint="eastAsia"/>
          <w:sz w:val="24"/>
        </w:rPr>
        <w:t>苗种质量和成活率验收：由专家组查验资质单位出具的本批次苗种的疫病检测报告，并对苗种成活率进行抽查，成活率低于95%的不接受用于本次放流。</w:t>
      </w:r>
    </w:p>
    <w:p>
      <w:pPr>
        <w:tabs>
          <w:tab w:val="left" w:pos="900"/>
        </w:tabs>
        <w:spacing w:line="560" w:lineRule="exact"/>
        <w:ind w:firstLine="477" w:firstLineChars="199"/>
        <w:rPr>
          <w:rFonts w:hint="eastAsia"/>
          <w:sz w:val="24"/>
        </w:rPr>
      </w:pPr>
      <w:r>
        <w:rPr>
          <w:rFonts w:hint="eastAsia"/>
          <w:sz w:val="24"/>
        </w:rPr>
        <w:t>苗种数量验收：活动开始后由监督小组现场随机抽取活水船一个舱位，在公证处监督下，由放流技术工人过磅称重，专家组计数本舱位苗种总重量，并抽取50-100尾称重，计算出单位千克尾数。</w:t>
      </w:r>
    </w:p>
    <w:p>
      <w:pPr>
        <w:tabs>
          <w:tab w:val="left" w:pos="900"/>
        </w:tabs>
        <w:spacing w:line="560" w:lineRule="exact"/>
        <w:ind w:firstLine="477" w:firstLineChars="199"/>
        <w:rPr>
          <w:rFonts w:hint="eastAsia"/>
          <w:sz w:val="24"/>
        </w:rPr>
      </w:pPr>
      <w:r>
        <w:rPr>
          <w:rFonts w:hint="eastAsia"/>
          <w:sz w:val="24"/>
        </w:rPr>
        <w:t>苗种总数量=单位千克位数*抽样船舱苗种重量*放流的舱位数。</w:t>
      </w:r>
    </w:p>
    <w:p>
      <w:pPr>
        <w:tabs>
          <w:tab w:val="left" w:pos="900"/>
        </w:tabs>
        <w:spacing w:line="560" w:lineRule="exact"/>
        <w:ind w:firstLine="477" w:firstLineChars="199"/>
        <w:rPr>
          <w:rFonts w:hint="eastAsia"/>
          <w:sz w:val="24"/>
        </w:rPr>
      </w:pPr>
      <w:r>
        <w:rPr>
          <w:rFonts w:hint="eastAsia"/>
          <w:sz w:val="24"/>
        </w:rPr>
        <w:t>苗种规格验收：技术专家对苗种随机抽样50-100尾，用量鱼板（并拍照留存），计算出平均规格。苗种平均规格低于5cm不接受用于本次放流。</w:t>
      </w:r>
    </w:p>
    <w:p>
      <w:pPr>
        <w:tabs>
          <w:tab w:val="left" w:pos="900"/>
        </w:tabs>
        <w:spacing w:line="560" w:lineRule="exact"/>
        <w:ind w:firstLine="477" w:firstLineChars="199"/>
        <w:rPr>
          <w:rFonts w:hint="eastAsia"/>
          <w:sz w:val="24"/>
        </w:rPr>
      </w:pPr>
      <w:r>
        <w:rPr>
          <w:rFonts w:hint="eastAsia"/>
          <w:sz w:val="24"/>
        </w:rPr>
        <w:t>活水车充氧运输验收方法：</w:t>
      </w:r>
    </w:p>
    <w:p>
      <w:pPr>
        <w:tabs>
          <w:tab w:val="left" w:pos="900"/>
        </w:tabs>
        <w:spacing w:line="560" w:lineRule="exact"/>
        <w:ind w:firstLine="477" w:firstLineChars="199"/>
        <w:rPr>
          <w:rFonts w:hint="eastAsia"/>
          <w:sz w:val="24"/>
        </w:rPr>
      </w:pPr>
      <w:r>
        <w:rPr>
          <w:rFonts w:hint="eastAsia"/>
          <w:sz w:val="24"/>
        </w:rPr>
        <w:t>苗种质量和成活率验收：由专家组查验资质单位出具的本批次苗种的疫病检测报告，并对苗种成活率进行抽查，成活率低于95%的不接受用于本次放流。</w:t>
      </w:r>
    </w:p>
    <w:p>
      <w:pPr>
        <w:tabs>
          <w:tab w:val="left" w:pos="900"/>
        </w:tabs>
        <w:spacing w:line="560" w:lineRule="exact"/>
        <w:ind w:firstLine="477" w:firstLineChars="199"/>
        <w:rPr>
          <w:rFonts w:hint="eastAsia"/>
          <w:sz w:val="24"/>
        </w:rPr>
      </w:pPr>
      <w:r>
        <w:rPr>
          <w:rFonts w:hint="eastAsia"/>
          <w:sz w:val="24"/>
        </w:rPr>
        <w:t>苗种数量验收：苗种卸车过程中由技术专家及公证处现场清点本车苗种总包数，由地方渔业主管部门每车随机抽取3包，由技术专家点数，计算平均值。</w:t>
      </w:r>
    </w:p>
    <w:p>
      <w:pPr>
        <w:tabs>
          <w:tab w:val="left" w:pos="900"/>
        </w:tabs>
        <w:spacing w:line="560" w:lineRule="exact"/>
        <w:ind w:firstLine="477" w:firstLineChars="199"/>
        <w:rPr>
          <w:rFonts w:hint="eastAsia"/>
          <w:sz w:val="24"/>
        </w:rPr>
      </w:pPr>
      <w:r>
        <w:rPr>
          <w:rFonts w:hint="eastAsia"/>
          <w:sz w:val="24"/>
        </w:rPr>
        <w:t>单车苗种总数量=本车总包数*抽样苗种平均值</w:t>
      </w:r>
    </w:p>
    <w:p>
      <w:pPr>
        <w:tabs>
          <w:tab w:val="left" w:pos="900"/>
        </w:tabs>
        <w:spacing w:line="560" w:lineRule="exact"/>
        <w:ind w:firstLine="477" w:firstLineChars="199"/>
        <w:rPr>
          <w:rFonts w:hint="eastAsia"/>
          <w:sz w:val="24"/>
        </w:rPr>
      </w:pPr>
      <w:r>
        <w:rPr>
          <w:rFonts w:hint="eastAsia"/>
          <w:sz w:val="24"/>
        </w:rPr>
        <w:t>放流苗种总数量=各车苗种数量之和</w:t>
      </w:r>
    </w:p>
    <w:p>
      <w:pPr>
        <w:tabs>
          <w:tab w:val="left" w:pos="900"/>
        </w:tabs>
        <w:spacing w:line="560" w:lineRule="exact"/>
        <w:ind w:firstLine="477" w:firstLineChars="199"/>
        <w:rPr>
          <w:rFonts w:hint="eastAsia"/>
          <w:sz w:val="24"/>
        </w:rPr>
      </w:pPr>
      <w:r>
        <w:rPr>
          <w:rFonts w:hint="eastAsia"/>
          <w:sz w:val="24"/>
        </w:rPr>
        <w:t>苗种规格验收：技术专家对每车苗种随机抽样50-100尾，用量鱼板（并拍照留存），计算出平均规格。苗种平均规格低于5cm不接受用于本次放流。</w:t>
      </w:r>
    </w:p>
    <w:p>
      <w:pPr>
        <w:tabs>
          <w:tab w:val="left" w:pos="900"/>
        </w:tabs>
        <w:spacing w:line="560" w:lineRule="exact"/>
        <w:ind w:firstLine="477" w:firstLineChars="199"/>
        <w:rPr>
          <w:rFonts w:hint="eastAsia"/>
          <w:sz w:val="24"/>
        </w:rPr>
      </w:pPr>
      <w:r>
        <w:rPr>
          <w:rFonts w:hint="eastAsia"/>
          <w:sz w:val="24"/>
        </w:rPr>
        <w:t>3、有关技术要求：</w:t>
      </w:r>
    </w:p>
    <w:p>
      <w:pPr>
        <w:tabs>
          <w:tab w:val="left" w:pos="900"/>
        </w:tabs>
        <w:spacing w:line="560" w:lineRule="exact"/>
        <w:ind w:firstLine="477" w:firstLineChars="199"/>
        <w:rPr>
          <w:rFonts w:hint="eastAsia"/>
          <w:sz w:val="24"/>
        </w:rPr>
      </w:pPr>
      <w:r>
        <w:rPr>
          <w:rFonts w:hint="eastAsia"/>
          <w:sz w:val="24"/>
        </w:rPr>
        <w:t>①乙方必须要有繁育亲本，且亲本必须来源于原产地天然水域、水产种质资源保护区或水产原种场。亲本数量以及苗种生产设施、育苗设施规模必须满足中标苗种生产需要。</w:t>
      </w:r>
    </w:p>
    <w:p>
      <w:pPr>
        <w:tabs>
          <w:tab w:val="left" w:pos="900"/>
        </w:tabs>
        <w:spacing w:line="560" w:lineRule="exact"/>
        <w:ind w:firstLine="477" w:firstLineChars="199"/>
        <w:rPr>
          <w:rFonts w:hint="eastAsia"/>
          <w:sz w:val="24"/>
        </w:rPr>
      </w:pPr>
      <w:r>
        <w:rPr>
          <w:rFonts w:hint="eastAsia"/>
          <w:sz w:val="24"/>
        </w:rPr>
        <w:t>②乙方增殖放流苗种必须是本地种，严禁使用外来种、杂交种、选育种及其他不符合生态要求的苗种进行放流。在乙方苗种培育期间，甲方有权组织资质单位对亲本种质情况进行检查。</w:t>
      </w:r>
    </w:p>
    <w:p>
      <w:pPr>
        <w:tabs>
          <w:tab w:val="left" w:pos="900"/>
        </w:tabs>
        <w:spacing w:line="560" w:lineRule="exact"/>
        <w:ind w:firstLine="477" w:firstLineChars="199"/>
        <w:rPr>
          <w:rFonts w:hint="eastAsia"/>
          <w:sz w:val="24"/>
        </w:rPr>
      </w:pPr>
      <w:r>
        <w:rPr>
          <w:rFonts w:hint="eastAsia"/>
          <w:sz w:val="24"/>
        </w:rPr>
        <w:t>③增殖放流苗种投放前，乙方必须委托市级以上水产检验检疫单位进行疫病及药残检测，疫病检测参照农渔发[2011]6号执行，药残检验按农办渔[2009]52号执行，中标单位凭市级以上水产检验检疫单位出具的检测合格报告申请增殖放流。鉴定和检验检疫报告一切相关检测费用由乙方承担（如有最新标准按最新最严格的标准执行）</w:t>
      </w:r>
    </w:p>
    <w:p>
      <w:pPr>
        <w:tabs>
          <w:tab w:val="left" w:pos="900"/>
        </w:tabs>
        <w:spacing w:line="560" w:lineRule="exact"/>
        <w:ind w:firstLine="477" w:firstLineChars="199"/>
        <w:rPr>
          <w:rFonts w:hint="eastAsia"/>
          <w:sz w:val="24"/>
        </w:rPr>
      </w:pPr>
      <w:r>
        <w:rPr>
          <w:rFonts w:hint="eastAsia"/>
          <w:sz w:val="24"/>
        </w:rPr>
        <w:t>④禁止采用抛洒或“高空”倾倒放流方式，乙方必须采取科学合理的投放方式，且投放方式经甲方确认后方可实施。</w:t>
      </w:r>
    </w:p>
    <w:p>
      <w:pPr>
        <w:tabs>
          <w:tab w:val="left" w:pos="900"/>
        </w:tabs>
        <w:spacing w:line="560" w:lineRule="exact"/>
        <w:ind w:firstLine="477" w:firstLineChars="199"/>
        <w:rPr>
          <w:rFonts w:hint="eastAsia"/>
          <w:sz w:val="24"/>
        </w:rPr>
      </w:pPr>
      <w:r>
        <w:rPr>
          <w:rFonts w:hint="eastAsia"/>
          <w:sz w:val="24"/>
        </w:rPr>
        <w:t>⑤乙方应保证增殖放流苗种完全符合招标文件及合同规定的质量、规格、数量要求，甲方可组织专家进行现场验收，由乙方提供市级以上水产检验检疫单位出具的检测合格报告，相关验收记录作为投放任务完成情况的依据。种苗起水、运输、验收、放流过程接受甲方以及纪检等部门全程跟踪监督。原则上在放流地点进行验收，供货方必须保证种苗运抵放流地点的成活率达到规定要求。</w:t>
      </w:r>
    </w:p>
    <w:p>
      <w:pPr>
        <w:tabs>
          <w:tab w:val="left" w:pos="900"/>
        </w:tabs>
        <w:spacing w:line="560" w:lineRule="exact"/>
        <w:ind w:firstLine="477" w:firstLineChars="199"/>
        <w:rPr>
          <w:rFonts w:hint="eastAsia"/>
          <w:sz w:val="24"/>
        </w:rPr>
      </w:pPr>
      <w:r>
        <w:rPr>
          <w:rFonts w:hint="eastAsia"/>
          <w:sz w:val="24"/>
        </w:rPr>
        <w:t>放流现场由2人或2人以上负责抽样测量，测算放流总数和规格并按规定进行记录验收，全程影像记录。抽样验收接受监督小组现场监督，验收单需由甲方、种苗供应单位、监督人签字方可生效。</w:t>
      </w:r>
    </w:p>
    <w:p>
      <w:pPr>
        <w:tabs>
          <w:tab w:val="left" w:pos="900"/>
        </w:tabs>
        <w:spacing w:line="560" w:lineRule="exact"/>
        <w:ind w:firstLine="477" w:firstLineChars="199"/>
        <w:rPr>
          <w:rFonts w:hint="eastAsia"/>
          <w:sz w:val="24"/>
        </w:rPr>
      </w:pPr>
      <w:r>
        <w:rPr>
          <w:rFonts w:hint="eastAsia"/>
          <w:sz w:val="24"/>
        </w:rPr>
        <w:t>⑥乙方提供的放流苗种未达到放流标准，采购人有权按约定标准督促中标人履约，无法履约的，终止经费拨付，并追究违约责任。</w:t>
      </w:r>
    </w:p>
    <w:p>
      <w:pPr>
        <w:ind w:firstLine="482" w:firstLineChars="200"/>
        <w:rPr>
          <w:rFonts w:hint="eastAsia" w:ascii="宋体" w:hAnsi="宋体" w:cs="宋体"/>
          <w:b/>
          <w:bCs/>
          <w:sz w:val="24"/>
        </w:rPr>
      </w:pPr>
      <w:r>
        <w:rPr>
          <w:rFonts w:hint="eastAsia" w:ascii="宋体" w:hAnsi="宋体" w:cs="宋体"/>
          <w:b/>
          <w:bCs/>
          <w:sz w:val="24"/>
        </w:rPr>
        <w:t>二、合同价款</w:t>
      </w:r>
    </w:p>
    <w:p>
      <w:pPr>
        <w:tabs>
          <w:tab w:val="left" w:pos="900"/>
        </w:tabs>
        <w:ind w:firstLine="477" w:firstLineChars="199"/>
        <w:rPr>
          <w:rFonts w:hint="eastAsia"/>
          <w:sz w:val="24"/>
        </w:rPr>
      </w:pPr>
      <w:r>
        <w:rPr>
          <w:rFonts w:hint="eastAsia"/>
          <w:sz w:val="24"/>
        </w:rPr>
        <w:t>本项目签约合同总价为人民币</w:t>
      </w:r>
      <w:r>
        <w:rPr>
          <w:rFonts w:hint="eastAsia"/>
          <w:sz w:val="24"/>
          <w:u w:val="single"/>
        </w:rPr>
        <w:t xml:space="preserve">             </w:t>
      </w:r>
      <w:r>
        <w:rPr>
          <w:rFonts w:hint="eastAsia"/>
          <w:sz w:val="24"/>
        </w:rPr>
        <w:t>元（￥</w:t>
      </w:r>
      <w:r>
        <w:rPr>
          <w:rFonts w:hint="eastAsia"/>
          <w:sz w:val="24"/>
          <w:u w:val="single"/>
        </w:rPr>
        <w:t xml:space="preserve">              </w:t>
      </w:r>
      <w:r>
        <w:rPr>
          <w:rFonts w:hint="eastAsia"/>
          <w:sz w:val="24"/>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595"/>
        <w:gridCol w:w="224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8" w:type="dxa"/>
            <w:noWrap w:val="0"/>
            <w:vAlign w:val="center"/>
          </w:tcPr>
          <w:p>
            <w:pPr>
              <w:tabs>
                <w:tab w:val="left" w:pos="3120"/>
              </w:tabs>
              <w:spacing w:line="280" w:lineRule="exact"/>
              <w:jc w:val="center"/>
              <w:rPr>
                <w:rFonts w:hint="eastAsia" w:ascii="宋体" w:hAnsi="宋体" w:cs="宋体"/>
                <w:sz w:val="18"/>
                <w:szCs w:val="18"/>
              </w:rPr>
            </w:pPr>
            <w:r>
              <w:rPr>
                <w:rFonts w:hint="eastAsia" w:ascii="宋体" w:hAnsi="宋体" w:cs="宋体"/>
                <w:sz w:val="18"/>
                <w:szCs w:val="18"/>
              </w:rPr>
              <w:t>序号</w:t>
            </w:r>
          </w:p>
        </w:tc>
        <w:tc>
          <w:tcPr>
            <w:tcW w:w="2595" w:type="dxa"/>
            <w:noWrap w:val="0"/>
            <w:vAlign w:val="center"/>
          </w:tcPr>
          <w:p>
            <w:pPr>
              <w:tabs>
                <w:tab w:val="left" w:pos="3120"/>
              </w:tabs>
              <w:spacing w:line="280" w:lineRule="exact"/>
              <w:jc w:val="center"/>
              <w:rPr>
                <w:rFonts w:hint="eastAsia" w:ascii="宋体" w:hAnsi="宋体" w:cs="宋体"/>
                <w:sz w:val="18"/>
                <w:szCs w:val="18"/>
              </w:rPr>
            </w:pPr>
            <w:r>
              <w:rPr>
                <w:rFonts w:hint="eastAsia" w:ascii="宋体" w:hAnsi="宋体" w:cs="宋体"/>
                <w:sz w:val="18"/>
                <w:szCs w:val="18"/>
              </w:rPr>
              <w:t>投放品种</w:t>
            </w:r>
          </w:p>
        </w:tc>
        <w:tc>
          <w:tcPr>
            <w:tcW w:w="2241" w:type="dxa"/>
            <w:noWrap w:val="0"/>
            <w:vAlign w:val="center"/>
          </w:tcPr>
          <w:p>
            <w:pPr>
              <w:tabs>
                <w:tab w:val="left" w:pos="3120"/>
              </w:tabs>
              <w:spacing w:line="280" w:lineRule="exact"/>
              <w:jc w:val="center"/>
              <w:rPr>
                <w:rFonts w:hint="eastAsia" w:ascii="宋体" w:hAnsi="宋体" w:cs="宋体"/>
                <w:sz w:val="18"/>
                <w:szCs w:val="18"/>
              </w:rPr>
            </w:pPr>
            <w:r>
              <w:rPr>
                <w:rFonts w:hint="eastAsia" w:ascii="宋体" w:hAnsi="宋体" w:cs="宋体"/>
                <w:sz w:val="18"/>
                <w:szCs w:val="18"/>
              </w:rPr>
              <w:t>投放数量</w:t>
            </w:r>
          </w:p>
        </w:tc>
        <w:tc>
          <w:tcPr>
            <w:tcW w:w="1873" w:type="dxa"/>
            <w:noWrap w:val="0"/>
            <w:vAlign w:val="center"/>
          </w:tcPr>
          <w:p>
            <w:pPr>
              <w:tabs>
                <w:tab w:val="left" w:pos="3120"/>
              </w:tabs>
              <w:spacing w:line="280" w:lineRule="exact"/>
              <w:jc w:val="center"/>
              <w:rPr>
                <w:rFonts w:hint="eastAsia" w:ascii="宋体" w:hAnsi="宋体" w:cs="宋体"/>
                <w:sz w:val="18"/>
                <w:szCs w:val="18"/>
              </w:rPr>
            </w:pPr>
            <w:r>
              <w:rPr>
                <w:rFonts w:hint="eastAsia" w:ascii="宋体" w:hAnsi="宋体" w:cs="宋体"/>
                <w:sz w:val="18"/>
                <w:szCs w:val="18"/>
              </w:rPr>
              <w:t>投资总额</w:t>
            </w:r>
          </w:p>
          <w:p>
            <w:pPr>
              <w:tabs>
                <w:tab w:val="left" w:pos="3120"/>
              </w:tabs>
              <w:spacing w:line="280" w:lineRule="exact"/>
              <w:jc w:val="center"/>
              <w:rPr>
                <w:rFonts w:hint="eastAsia" w:ascii="宋体" w:hAnsi="宋体" w:cs="宋体"/>
                <w:sz w:val="18"/>
                <w:szCs w:val="18"/>
              </w:rPr>
            </w:pPr>
            <w:r>
              <w:rPr>
                <w:rFonts w:hint="eastAsia" w:ascii="宋体" w:hAnsi="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8" w:type="dxa"/>
            <w:noWrap w:val="0"/>
            <w:vAlign w:val="center"/>
          </w:tcPr>
          <w:p>
            <w:pPr>
              <w:tabs>
                <w:tab w:val="left" w:pos="3120"/>
              </w:tabs>
              <w:adjustRightInd w:val="0"/>
              <w:snapToGrid w:val="0"/>
              <w:spacing w:line="300" w:lineRule="exact"/>
              <w:jc w:val="center"/>
              <w:rPr>
                <w:rFonts w:hint="eastAsia" w:ascii="宋体" w:hAnsi="宋体" w:cs="宋体"/>
                <w:sz w:val="18"/>
                <w:szCs w:val="18"/>
              </w:rPr>
            </w:pPr>
            <w:r>
              <w:rPr>
                <w:rFonts w:hint="eastAsia" w:ascii="宋体" w:hAnsi="宋体" w:cs="宋体"/>
                <w:sz w:val="18"/>
                <w:szCs w:val="18"/>
              </w:rPr>
              <w:t>1</w:t>
            </w:r>
          </w:p>
        </w:tc>
        <w:tc>
          <w:tcPr>
            <w:tcW w:w="2595"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2241" w:type="dxa"/>
            <w:noWrap w:val="0"/>
            <w:vAlign w:val="center"/>
          </w:tcPr>
          <w:p>
            <w:pPr>
              <w:tabs>
                <w:tab w:val="left" w:pos="3120"/>
              </w:tabs>
              <w:adjustRightInd w:val="0"/>
              <w:snapToGrid w:val="0"/>
              <w:spacing w:line="300" w:lineRule="exact"/>
              <w:jc w:val="center"/>
              <w:rPr>
                <w:rFonts w:ascii="宋体" w:hAnsi="宋体" w:cs="宋体"/>
                <w:sz w:val="18"/>
                <w:szCs w:val="18"/>
              </w:rPr>
            </w:pPr>
          </w:p>
        </w:tc>
        <w:tc>
          <w:tcPr>
            <w:tcW w:w="1873"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 w:type="dxa"/>
            <w:noWrap w:val="0"/>
            <w:vAlign w:val="center"/>
          </w:tcPr>
          <w:p>
            <w:pPr>
              <w:tabs>
                <w:tab w:val="left" w:pos="3120"/>
              </w:tabs>
              <w:adjustRightInd w:val="0"/>
              <w:snapToGrid w:val="0"/>
              <w:spacing w:line="300" w:lineRule="exact"/>
              <w:jc w:val="center"/>
              <w:rPr>
                <w:rFonts w:hint="eastAsia" w:ascii="宋体" w:hAnsi="宋体" w:cs="宋体"/>
                <w:sz w:val="18"/>
                <w:szCs w:val="18"/>
              </w:rPr>
            </w:pPr>
            <w:r>
              <w:rPr>
                <w:rFonts w:hint="eastAsia" w:ascii="宋体" w:hAnsi="宋体" w:cs="宋体"/>
                <w:sz w:val="18"/>
                <w:szCs w:val="18"/>
              </w:rPr>
              <w:t>2</w:t>
            </w:r>
          </w:p>
        </w:tc>
        <w:tc>
          <w:tcPr>
            <w:tcW w:w="2595"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2241" w:type="dxa"/>
            <w:noWrap w:val="0"/>
            <w:vAlign w:val="center"/>
          </w:tcPr>
          <w:p>
            <w:pPr>
              <w:tabs>
                <w:tab w:val="left" w:pos="3120"/>
              </w:tabs>
              <w:adjustRightInd w:val="0"/>
              <w:snapToGrid w:val="0"/>
              <w:spacing w:line="300" w:lineRule="exact"/>
              <w:jc w:val="center"/>
              <w:rPr>
                <w:rFonts w:ascii="宋体" w:hAnsi="宋体" w:cs="宋体"/>
                <w:sz w:val="18"/>
                <w:szCs w:val="18"/>
              </w:rPr>
            </w:pPr>
          </w:p>
        </w:tc>
        <w:tc>
          <w:tcPr>
            <w:tcW w:w="1873"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 w:type="dxa"/>
            <w:noWrap w:val="0"/>
            <w:vAlign w:val="center"/>
          </w:tcPr>
          <w:p>
            <w:pPr>
              <w:tabs>
                <w:tab w:val="left" w:pos="3120"/>
              </w:tabs>
              <w:adjustRightInd w:val="0"/>
              <w:snapToGrid w:val="0"/>
              <w:spacing w:line="300" w:lineRule="exact"/>
              <w:jc w:val="center"/>
              <w:rPr>
                <w:rFonts w:hint="eastAsia" w:ascii="宋体" w:hAnsi="宋体" w:cs="宋体"/>
                <w:sz w:val="18"/>
                <w:szCs w:val="18"/>
              </w:rPr>
            </w:pPr>
            <w:r>
              <w:rPr>
                <w:rFonts w:hint="eastAsia" w:ascii="宋体" w:hAnsi="宋体" w:cs="宋体"/>
                <w:sz w:val="18"/>
                <w:szCs w:val="18"/>
              </w:rPr>
              <w:t>……</w:t>
            </w:r>
          </w:p>
        </w:tc>
        <w:tc>
          <w:tcPr>
            <w:tcW w:w="2595"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2241"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1873"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2595"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2241"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c>
          <w:tcPr>
            <w:tcW w:w="1873" w:type="dxa"/>
            <w:noWrap w:val="0"/>
            <w:vAlign w:val="center"/>
          </w:tcPr>
          <w:p>
            <w:pPr>
              <w:tabs>
                <w:tab w:val="left" w:pos="3120"/>
              </w:tabs>
              <w:adjustRightInd w:val="0"/>
              <w:snapToGrid w:val="0"/>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3" w:type="dxa"/>
            <w:gridSpan w:val="2"/>
            <w:noWrap w:val="0"/>
            <w:vAlign w:val="center"/>
          </w:tcPr>
          <w:p>
            <w:pPr>
              <w:tabs>
                <w:tab w:val="left" w:pos="3120"/>
              </w:tabs>
              <w:adjustRightInd w:val="0"/>
              <w:snapToGrid w:val="0"/>
              <w:spacing w:line="300" w:lineRule="exact"/>
              <w:jc w:val="center"/>
              <w:rPr>
                <w:rFonts w:hint="eastAsia" w:ascii="宋体" w:hAnsi="宋体" w:cs="宋体"/>
                <w:sz w:val="18"/>
                <w:szCs w:val="18"/>
              </w:rPr>
            </w:pPr>
            <w:r>
              <w:rPr>
                <w:rFonts w:hint="eastAsia" w:ascii="宋体" w:hAnsi="宋体" w:cs="宋体"/>
                <w:sz w:val="18"/>
                <w:szCs w:val="18"/>
              </w:rPr>
              <w:t>合计</w:t>
            </w:r>
          </w:p>
        </w:tc>
        <w:tc>
          <w:tcPr>
            <w:tcW w:w="4114" w:type="dxa"/>
            <w:gridSpan w:val="2"/>
            <w:noWrap w:val="0"/>
            <w:vAlign w:val="center"/>
          </w:tcPr>
          <w:p>
            <w:pPr>
              <w:tabs>
                <w:tab w:val="left" w:pos="3120"/>
              </w:tabs>
              <w:adjustRightInd w:val="0"/>
              <w:snapToGrid w:val="0"/>
              <w:spacing w:line="300" w:lineRule="exact"/>
              <w:jc w:val="center"/>
              <w:rPr>
                <w:rFonts w:hint="eastAsia" w:ascii="宋体" w:hAnsi="宋体" w:cs="宋体"/>
                <w:sz w:val="18"/>
                <w:szCs w:val="18"/>
              </w:rPr>
            </w:pPr>
          </w:p>
        </w:tc>
      </w:tr>
    </w:tbl>
    <w:p>
      <w:pPr>
        <w:tabs>
          <w:tab w:val="left" w:pos="900"/>
        </w:tabs>
        <w:spacing w:line="560" w:lineRule="exact"/>
        <w:ind w:firstLine="477" w:firstLineChars="199"/>
        <w:rPr>
          <w:rFonts w:hint="eastAsia"/>
          <w:sz w:val="24"/>
        </w:rPr>
      </w:pPr>
      <w:r>
        <w:rPr>
          <w:rFonts w:hint="eastAsia"/>
          <w:sz w:val="24"/>
        </w:rPr>
        <w:t>合同价中已包括为完成本项目的成本、利润、税金、宣传费用、检验检疫费、专家评审费、交通运输费用、放流仪式费用、放流实施（包含租船费，吊机费等）费用及多批次放流涉及到的上述相关费用、风险等有可能发生的各项费用（增殖放流苗种的购置费占比90％，其他费用为合同总价的10%），乙方根据甲方确定的放流仪式方案做好现场的实施准备工作。乙方超额完成放流任务的视为对甲方的优惠，甲方对乙方超额完成放流任务的价款不予支付。合同中价格合同实施期间不因市场价格波动和各种风险因素的发生而变动。</w:t>
      </w:r>
    </w:p>
    <w:p>
      <w:pPr>
        <w:spacing w:line="360" w:lineRule="auto"/>
        <w:ind w:firstLine="482" w:firstLineChars="200"/>
        <w:rPr>
          <w:rFonts w:hint="eastAsia" w:ascii="宋体" w:hAnsi="宋体" w:cs="宋体"/>
          <w:b/>
          <w:bCs/>
          <w:sz w:val="24"/>
        </w:rPr>
      </w:pPr>
      <w:r>
        <w:rPr>
          <w:rFonts w:hint="eastAsia" w:ascii="宋体" w:hAnsi="宋体" w:cs="宋体"/>
          <w:b/>
          <w:bCs/>
          <w:sz w:val="24"/>
        </w:rPr>
        <w:t>三、联系人：</w:t>
      </w:r>
    </w:p>
    <w:p>
      <w:pPr>
        <w:tabs>
          <w:tab w:val="left" w:pos="900"/>
        </w:tabs>
        <w:spacing w:line="560" w:lineRule="exact"/>
        <w:ind w:firstLine="477" w:firstLineChars="199"/>
        <w:rPr>
          <w:rFonts w:hint="eastAsia"/>
          <w:sz w:val="24"/>
        </w:rPr>
      </w:pPr>
      <w:r>
        <w:rPr>
          <w:rFonts w:hint="eastAsia"/>
          <w:sz w:val="24"/>
        </w:rPr>
        <w:t>甲方负责人姓名：</w:t>
      </w:r>
      <w:r>
        <w:rPr>
          <w:rFonts w:hint="eastAsia"/>
          <w:sz w:val="24"/>
          <w:u w:val="single"/>
        </w:rPr>
        <w:t xml:space="preserve">             </w:t>
      </w:r>
      <w:r>
        <w:rPr>
          <w:rFonts w:hint="eastAsia"/>
          <w:sz w:val="24"/>
        </w:rPr>
        <w:t xml:space="preserve">  联系电话：</w:t>
      </w:r>
      <w:r>
        <w:rPr>
          <w:rFonts w:hint="eastAsia"/>
          <w:sz w:val="24"/>
          <w:u w:val="single"/>
        </w:rPr>
        <w:t xml:space="preserve">            </w:t>
      </w:r>
      <w:r>
        <w:rPr>
          <w:rFonts w:hint="eastAsia"/>
          <w:sz w:val="24"/>
        </w:rPr>
        <w:t xml:space="preserve">               </w:t>
      </w:r>
    </w:p>
    <w:p>
      <w:pPr>
        <w:tabs>
          <w:tab w:val="left" w:pos="900"/>
        </w:tabs>
        <w:spacing w:line="560" w:lineRule="exact"/>
        <w:ind w:firstLine="477" w:firstLineChars="199"/>
        <w:rPr>
          <w:rFonts w:hint="eastAsia"/>
          <w:sz w:val="24"/>
        </w:rPr>
      </w:pPr>
      <w:r>
        <w:rPr>
          <w:rFonts w:hint="eastAsia"/>
          <w:sz w:val="24"/>
        </w:rPr>
        <w:t>职责：代表采购人行使本合同约定的采购人的权力，管理乙方，协调、配合乙方的工作。</w:t>
      </w:r>
    </w:p>
    <w:p>
      <w:pPr>
        <w:tabs>
          <w:tab w:val="left" w:pos="900"/>
        </w:tabs>
        <w:spacing w:line="560" w:lineRule="exact"/>
        <w:ind w:firstLine="477" w:firstLineChars="199"/>
        <w:rPr>
          <w:rFonts w:hint="eastAsia"/>
          <w:sz w:val="24"/>
        </w:rPr>
      </w:pPr>
      <w:r>
        <w:rPr>
          <w:rFonts w:hint="eastAsia"/>
          <w:sz w:val="24"/>
        </w:rPr>
        <w:t>乙方负责人姓名：</w:t>
      </w:r>
      <w:r>
        <w:rPr>
          <w:rFonts w:hint="eastAsia"/>
          <w:sz w:val="24"/>
          <w:u w:val="single"/>
        </w:rPr>
        <w:t xml:space="preserve">              </w:t>
      </w:r>
      <w:r>
        <w:rPr>
          <w:rFonts w:hint="eastAsia"/>
          <w:sz w:val="24"/>
        </w:rPr>
        <w:t xml:space="preserve"> 联系电话：</w:t>
      </w:r>
      <w:r>
        <w:rPr>
          <w:rFonts w:hint="eastAsia"/>
          <w:sz w:val="24"/>
          <w:u w:val="single"/>
        </w:rPr>
        <w:t xml:space="preserve">            </w:t>
      </w:r>
      <w:r>
        <w:rPr>
          <w:rFonts w:hint="eastAsia"/>
          <w:sz w:val="24"/>
        </w:rPr>
        <w:t xml:space="preserve">               </w:t>
      </w:r>
    </w:p>
    <w:p>
      <w:pPr>
        <w:tabs>
          <w:tab w:val="left" w:pos="900"/>
        </w:tabs>
        <w:spacing w:line="560" w:lineRule="exact"/>
        <w:ind w:firstLine="477" w:firstLineChars="199"/>
        <w:rPr>
          <w:rFonts w:hint="eastAsia"/>
          <w:sz w:val="24"/>
        </w:rPr>
      </w:pPr>
      <w:r>
        <w:rPr>
          <w:rFonts w:hint="eastAsia"/>
          <w:sz w:val="24"/>
        </w:rPr>
        <w:t>职责：全面履行本合同实施期间的流放工作及管理职责，做好甲乙双方间的沟通、协调工作，向甲方直接负责，听从甲方的指挥。</w:t>
      </w:r>
    </w:p>
    <w:p>
      <w:pPr>
        <w:tabs>
          <w:tab w:val="left" w:pos="900"/>
        </w:tabs>
        <w:spacing w:line="560" w:lineRule="exact"/>
        <w:ind w:firstLine="477" w:firstLineChars="199"/>
        <w:rPr>
          <w:rFonts w:hint="eastAsia"/>
          <w:sz w:val="24"/>
        </w:rPr>
      </w:pPr>
      <w:r>
        <w:rPr>
          <w:rFonts w:hint="eastAsia"/>
          <w:sz w:val="24"/>
        </w:rPr>
        <w:t>（乙方备用紧急联系人姓名：</w:t>
      </w:r>
      <w:r>
        <w:rPr>
          <w:rFonts w:hint="eastAsia"/>
          <w:sz w:val="24"/>
          <w:u w:val="single"/>
        </w:rPr>
        <w:t xml:space="preserve">            </w:t>
      </w:r>
      <w:r>
        <w:rPr>
          <w:rFonts w:hint="eastAsia"/>
          <w:sz w:val="24"/>
        </w:rPr>
        <w:t xml:space="preserve">  联系电话：</w:t>
      </w:r>
      <w:r>
        <w:rPr>
          <w:rFonts w:hint="eastAsia"/>
          <w:sz w:val="24"/>
          <w:u w:val="single"/>
        </w:rPr>
        <w:t xml:space="preserve">            </w:t>
      </w:r>
      <w:r>
        <w:rPr>
          <w:rFonts w:hint="eastAsia"/>
          <w:sz w:val="24"/>
        </w:rPr>
        <w:t>）</w:t>
      </w:r>
    </w:p>
    <w:p>
      <w:pPr>
        <w:snapToGrid w:val="0"/>
        <w:spacing w:line="360" w:lineRule="auto"/>
        <w:ind w:firstLine="482" w:firstLineChars="200"/>
        <w:rPr>
          <w:rFonts w:hint="eastAsia" w:ascii="宋体" w:hAnsi="宋体" w:cs="宋体"/>
          <w:b/>
          <w:bCs/>
          <w:sz w:val="24"/>
        </w:rPr>
      </w:pPr>
      <w:r>
        <w:rPr>
          <w:rFonts w:hint="eastAsia" w:ascii="宋体" w:hAnsi="宋体" w:cs="宋体"/>
          <w:b/>
          <w:bCs/>
          <w:sz w:val="24"/>
        </w:rPr>
        <w:t>四、双方的权利与义务</w:t>
      </w:r>
    </w:p>
    <w:p>
      <w:pPr>
        <w:tabs>
          <w:tab w:val="left" w:pos="900"/>
        </w:tabs>
        <w:spacing w:line="560" w:lineRule="exact"/>
        <w:ind w:firstLine="477" w:firstLineChars="199"/>
        <w:rPr>
          <w:rFonts w:hint="eastAsia"/>
          <w:sz w:val="24"/>
        </w:rPr>
      </w:pPr>
      <w:r>
        <w:rPr>
          <w:rFonts w:hint="eastAsia"/>
          <w:sz w:val="24"/>
        </w:rPr>
        <w:t xml:space="preserve">1、甲方有权派遣工作人员、监督人员、技术专家、实地考察乙方育苗基地、查看育苗设施、亲本情况和苗种生产能力。 </w:t>
      </w:r>
    </w:p>
    <w:p>
      <w:pPr>
        <w:tabs>
          <w:tab w:val="left" w:pos="900"/>
        </w:tabs>
        <w:spacing w:line="560" w:lineRule="exact"/>
        <w:ind w:firstLine="477" w:firstLineChars="199"/>
        <w:rPr>
          <w:rFonts w:hint="eastAsia"/>
          <w:sz w:val="24"/>
        </w:rPr>
      </w:pPr>
      <w:r>
        <w:rPr>
          <w:rFonts w:hint="eastAsia"/>
          <w:sz w:val="24"/>
        </w:rPr>
        <w:t>2、苗种培育期间，甲方有权组织资质单位对乙方亲本种质情况和鱼苗生产情况进行检查，检查不合格的乙方应及时落实整改。</w:t>
      </w:r>
    </w:p>
    <w:p>
      <w:pPr>
        <w:tabs>
          <w:tab w:val="left" w:pos="900"/>
        </w:tabs>
        <w:spacing w:line="560" w:lineRule="exact"/>
        <w:ind w:firstLine="477" w:firstLineChars="199"/>
        <w:rPr>
          <w:rFonts w:hint="eastAsia"/>
          <w:sz w:val="24"/>
        </w:rPr>
      </w:pPr>
      <w:r>
        <w:rPr>
          <w:rFonts w:hint="eastAsia"/>
          <w:sz w:val="24"/>
        </w:rPr>
        <w:t>3、增殖放流苗种投放前，乙方必须委托市级以上水产检验检疫单位进行疫病及药残检测，疫病检测参照农渔发[2011]6号执行，药残检验按农办渔[2009]52号执行，乙方凭市级以上水产检验检疫单位出具的检测合格报告申请增殖放流。鉴定和检验检疫报告一切相关检测费用由乙方承担（如有最新标准按最新最严格的标准执行）</w:t>
      </w:r>
    </w:p>
    <w:p>
      <w:pPr>
        <w:tabs>
          <w:tab w:val="left" w:pos="900"/>
        </w:tabs>
        <w:spacing w:line="560" w:lineRule="exact"/>
        <w:ind w:firstLine="477" w:firstLineChars="199"/>
        <w:rPr>
          <w:rFonts w:hint="eastAsia"/>
          <w:sz w:val="24"/>
        </w:rPr>
      </w:pPr>
      <w:r>
        <w:rPr>
          <w:rFonts w:hint="eastAsia"/>
          <w:sz w:val="24"/>
        </w:rPr>
        <w:t>4、甲方接到乙方增殖放流的书面申请后，有权组织人员赴乙方育苗场所对进行预验收，组织专家现场验收放流苗种的质量、规格和数量等，确保苗种质量、规格等符合投放要求。根据预验收情况、天气情况，甲乙双方共同确定增殖放流时间。</w:t>
      </w:r>
    </w:p>
    <w:p>
      <w:pPr>
        <w:tabs>
          <w:tab w:val="left" w:pos="900"/>
        </w:tabs>
        <w:spacing w:line="560" w:lineRule="exact"/>
        <w:ind w:firstLine="477" w:firstLineChars="199"/>
        <w:rPr>
          <w:rFonts w:hint="eastAsia"/>
          <w:sz w:val="24"/>
        </w:rPr>
      </w:pPr>
      <w:r>
        <w:rPr>
          <w:rFonts w:hint="eastAsia"/>
          <w:sz w:val="24"/>
        </w:rPr>
        <w:t xml:space="preserve">5、乙方将待放流苗种运至甲方指定地点，甲方有权组织专家对苗种质量、规格、数量等情况进行验收，相关验收记录作为投放任务完成情况的依据。 </w:t>
      </w:r>
    </w:p>
    <w:p>
      <w:pPr>
        <w:tabs>
          <w:tab w:val="left" w:pos="900"/>
        </w:tabs>
        <w:spacing w:line="560" w:lineRule="exact"/>
        <w:ind w:firstLine="477" w:firstLineChars="199"/>
        <w:rPr>
          <w:rFonts w:hint="eastAsia"/>
          <w:sz w:val="24"/>
        </w:rPr>
      </w:pPr>
      <w:r>
        <w:rPr>
          <w:rFonts w:hint="eastAsia"/>
          <w:sz w:val="24"/>
        </w:rPr>
        <w:t>6、通过预验收后乙方应严格按照增殖放流实施方案确定的包装、运输等要求，组织投放苗种。</w:t>
      </w:r>
    </w:p>
    <w:p>
      <w:pPr>
        <w:tabs>
          <w:tab w:val="left" w:pos="900"/>
        </w:tabs>
        <w:spacing w:line="560" w:lineRule="exact"/>
        <w:ind w:firstLine="477" w:firstLineChars="199"/>
        <w:rPr>
          <w:rFonts w:hint="eastAsia"/>
          <w:sz w:val="24"/>
        </w:rPr>
      </w:pPr>
      <w:r>
        <w:rPr>
          <w:rFonts w:hint="eastAsia"/>
          <w:sz w:val="24"/>
        </w:rPr>
        <w:t xml:space="preserve">7、乙方将待放流苗种运至甲方指定地点，按照甲方要求科学组织苗种投放，禁止采用抛洒或“高空”倾倒放流方式，且投放方式经甲方确认后方可实施。 </w:t>
      </w:r>
    </w:p>
    <w:p>
      <w:pPr>
        <w:tabs>
          <w:tab w:val="left" w:pos="900"/>
        </w:tabs>
        <w:spacing w:line="560" w:lineRule="exact"/>
        <w:ind w:firstLine="477" w:firstLineChars="199"/>
        <w:rPr>
          <w:rFonts w:hint="eastAsia"/>
          <w:sz w:val="24"/>
        </w:rPr>
      </w:pPr>
      <w:r>
        <w:rPr>
          <w:rFonts w:hint="eastAsia"/>
          <w:sz w:val="24"/>
        </w:rPr>
        <w:t>8、增殖放流苗种的运输、投放安全由乙方全权负责，乙方承担的全部增殖放流任务。</w:t>
      </w:r>
    </w:p>
    <w:p>
      <w:pPr>
        <w:tabs>
          <w:tab w:val="left" w:pos="900"/>
        </w:tabs>
        <w:spacing w:line="560" w:lineRule="exact"/>
        <w:ind w:firstLine="477" w:firstLineChars="199"/>
        <w:rPr>
          <w:rFonts w:hint="eastAsia"/>
          <w:sz w:val="24"/>
        </w:rPr>
      </w:pPr>
      <w:r>
        <w:rPr>
          <w:rFonts w:hint="eastAsia"/>
          <w:sz w:val="24"/>
        </w:rPr>
        <w:t>9、甲方可对乙方提供的放流的苗种及相关技术方案进行必要的检查，确保放流苗种安全性。</w:t>
      </w:r>
    </w:p>
    <w:p>
      <w:pPr>
        <w:tabs>
          <w:tab w:val="left" w:pos="900"/>
        </w:tabs>
        <w:spacing w:line="560" w:lineRule="exact"/>
        <w:ind w:firstLine="477" w:firstLineChars="199"/>
        <w:rPr>
          <w:rFonts w:hint="eastAsia"/>
          <w:sz w:val="24"/>
        </w:rPr>
      </w:pPr>
      <w:r>
        <w:rPr>
          <w:rFonts w:hint="eastAsia"/>
          <w:sz w:val="24"/>
        </w:rPr>
        <w:t xml:space="preserve">10、乙方提供的放流苗种未达到本合同要求，甲方有权督促乙方履约，无法履约合同要求的，追究其违约责任。 </w:t>
      </w:r>
    </w:p>
    <w:p>
      <w:pPr>
        <w:tabs>
          <w:tab w:val="left" w:pos="900"/>
        </w:tabs>
        <w:spacing w:line="560" w:lineRule="exact"/>
        <w:ind w:firstLine="477" w:firstLineChars="199"/>
        <w:rPr>
          <w:rFonts w:hint="eastAsia"/>
          <w:sz w:val="24"/>
        </w:rPr>
      </w:pPr>
      <w:r>
        <w:rPr>
          <w:rFonts w:hint="eastAsia"/>
          <w:sz w:val="24"/>
        </w:rPr>
        <w:t>11、放流结束后，乙方提交四份(一正三副本)装订成册的放流报告，放流报告内容包括：招标文件、中标通知书、合同、申请放流报告、检验检疫报告、药残报告等；并提交摄像资料刻成的光盘二份。</w:t>
      </w:r>
    </w:p>
    <w:p>
      <w:pPr>
        <w:snapToGrid w:val="0"/>
        <w:spacing w:line="360" w:lineRule="auto"/>
        <w:ind w:firstLine="482" w:firstLineChars="200"/>
        <w:rPr>
          <w:rFonts w:hint="eastAsia" w:ascii="宋体" w:hAnsi="宋体" w:cs="宋体"/>
          <w:b/>
          <w:bCs/>
          <w:sz w:val="24"/>
        </w:rPr>
      </w:pPr>
      <w:r>
        <w:rPr>
          <w:rFonts w:hint="eastAsia" w:ascii="宋体" w:hAnsi="宋体" w:cs="宋体"/>
          <w:b/>
          <w:bCs/>
          <w:sz w:val="24"/>
        </w:rPr>
        <w:t>五、付款方式</w:t>
      </w:r>
    </w:p>
    <w:p>
      <w:pPr>
        <w:tabs>
          <w:tab w:val="left" w:pos="900"/>
        </w:tabs>
        <w:spacing w:line="560" w:lineRule="exact"/>
        <w:ind w:firstLine="477" w:firstLineChars="199"/>
        <w:rPr>
          <w:rFonts w:hint="eastAsia"/>
          <w:sz w:val="24"/>
        </w:rPr>
      </w:pPr>
      <w:r>
        <w:rPr>
          <w:rFonts w:hint="eastAsia"/>
          <w:sz w:val="24"/>
        </w:rPr>
        <w:t>1、款项由</w:t>
      </w:r>
      <w:r>
        <w:rPr>
          <w:rFonts w:hint="eastAsia"/>
          <w:sz w:val="24"/>
          <w:u w:val="single"/>
        </w:rPr>
        <w:t xml:space="preserve">                         </w:t>
      </w:r>
      <w:r>
        <w:rPr>
          <w:rFonts w:hint="eastAsia"/>
          <w:sz w:val="24"/>
        </w:rPr>
        <w:t>支付。</w:t>
      </w:r>
    </w:p>
    <w:p>
      <w:pPr>
        <w:tabs>
          <w:tab w:val="left" w:pos="900"/>
        </w:tabs>
        <w:spacing w:line="560" w:lineRule="exact"/>
        <w:ind w:firstLine="477" w:firstLineChars="199"/>
        <w:rPr>
          <w:rFonts w:hint="eastAsia"/>
          <w:sz w:val="24"/>
        </w:rPr>
      </w:pPr>
      <w:r>
        <w:rPr>
          <w:rFonts w:hint="eastAsia"/>
          <w:sz w:val="24"/>
        </w:rPr>
        <w:t>2、合同签订后，</w:t>
      </w:r>
      <w:bookmarkStart w:id="104" w:name="_Hlk34761605"/>
      <w:r>
        <w:rPr>
          <w:rFonts w:hint="eastAsia"/>
          <w:sz w:val="24"/>
        </w:rPr>
        <w:t>甲方通知乙方首次放流前7个工作日内，预付合同价的30%；根据按次在增殖放流验收合格后，</w:t>
      </w:r>
      <w:bookmarkEnd w:id="104"/>
      <w:r>
        <w:rPr>
          <w:rFonts w:hint="eastAsia"/>
          <w:sz w:val="24"/>
        </w:rPr>
        <w:t>支付实际供货价款的65%（在开具有效票据后），余款在完成所有增值放流任务且验收合格一年后（即最后一批次放流验收合格一年后）付清。</w:t>
      </w:r>
    </w:p>
    <w:p>
      <w:pPr>
        <w:tabs>
          <w:tab w:val="left" w:pos="900"/>
        </w:tabs>
        <w:spacing w:line="560" w:lineRule="exact"/>
        <w:ind w:firstLine="477" w:firstLineChars="199"/>
        <w:rPr>
          <w:rFonts w:hint="eastAsia"/>
          <w:sz w:val="24"/>
        </w:rPr>
      </w:pPr>
      <w:r>
        <w:rPr>
          <w:rFonts w:hint="eastAsia"/>
          <w:sz w:val="24"/>
        </w:rPr>
        <w:t>3、根据增值税暂行条例第三十五条，水产业免税项目，乙方申请支付时提供等额的增值税专用发票。</w:t>
      </w:r>
    </w:p>
    <w:p>
      <w:pPr>
        <w:tabs>
          <w:tab w:val="left" w:pos="900"/>
        </w:tabs>
        <w:spacing w:line="560" w:lineRule="exact"/>
        <w:ind w:firstLine="477" w:firstLineChars="199"/>
        <w:rPr>
          <w:rFonts w:hint="eastAsia"/>
          <w:sz w:val="24"/>
        </w:rPr>
      </w:pPr>
      <w:r>
        <w:rPr>
          <w:rFonts w:hint="eastAsia"/>
          <w:sz w:val="24"/>
        </w:rPr>
        <w:t>4、全部放流结束后，甲方一个月内退还履约保证金（无息）。</w:t>
      </w:r>
    </w:p>
    <w:p>
      <w:pPr>
        <w:snapToGrid w:val="0"/>
        <w:spacing w:line="360" w:lineRule="auto"/>
        <w:ind w:firstLine="482" w:firstLineChars="200"/>
        <w:rPr>
          <w:rFonts w:hint="eastAsia" w:ascii="宋体" w:hAnsi="宋体" w:cs="宋体"/>
          <w:b/>
          <w:bCs/>
          <w:sz w:val="24"/>
        </w:rPr>
      </w:pPr>
      <w:r>
        <w:rPr>
          <w:rFonts w:hint="eastAsia" w:ascii="宋体" w:hAnsi="宋体" w:cs="宋体"/>
          <w:b/>
          <w:bCs/>
          <w:sz w:val="24"/>
        </w:rPr>
        <w:t>六、违约责任</w:t>
      </w:r>
    </w:p>
    <w:p>
      <w:pPr>
        <w:tabs>
          <w:tab w:val="left" w:pos="900"/>
        </w:tabs>
        <w:spacing w:line="560" w:lineRule="exact"/>
        <w:ind w:firstLine="477" w:firstLineChars="199"/>
        <w:rPr>
          <w:rFonts w:hint="eastAsia"/>
          <w:sz w:val="24"/>
        </w:rPr>
      </w:pPr>
      <w:r>
        <w:rPr>
          <w:rFonts w:hint="eastAsia"/>
          <w:sz w:val="24"/>
        </w:rPr>
        <w:fldChar w:fldCharType="begin"/>
      </w:r>
      <w:r>
        <w:rPr>
          <w:rFonts w:hint="eastAsia"/>
          <w:sz w:val="24"/>
        </w:rPr>
        <w:instrText xml:space="preserve"> = 1 \* Arabic </w:instrText>
      </w:r>
      <w:r>
        <w:rPr>
          <w:rFonts w:hint="eastAsia"/>
          <w:sz w:val="24"/>
        </w:rPr>
        <w:fldChar w:fldCharType="separate"/>
      </w:r>
      <w:r>
        <w:rPr>
          <w:rFonts w:hint="eastAsia"/>
          <w:sz w:val="24"/>
        </w:rPr>
        <w:t>1</w:t>
      </w:r>
      <w:r>
        <w:rPr>
          <w:rFonts w:hint="eastAsia"/>
          <w:sz w:val="24"/>
        </w:rPr>
        <w:fldChar w:fldCharType="end"/>
      </w:r>
      <w:r>
        <w:rPr>
          <w:rFonts w:hint="eastAsia"/>
          <w:sz w:val="24"/>
        </w:rPr>
        <w:t>、若乙方提供增殖放流苗种质量未能达到甲方要求的，甲方可拒绝放流该苗种，并视情节严重与否，处以20000-100000元/次罚款，且甲方有权终止合同。</w:t>
      </w:r>
    </w:p>
    <w:p>
      <w:pPr>
        <w:tabs>
          <w:tab w:val="left" w:pos="900"/>
        </w:tabs>
        <w:spacing w:line="560" w:lineRule="exact"/>
        <w:ind w:firstLine="477" w:firstLineChars="199"/>
        <w:rPr>
          <w:rFonts w:hint="eastAsia"/>
          <w:sz w:val="24"/>
        </w:rPr>
      </w:pPr>
      <w:r>
        <w:rPr>
          <w:rFonts w:hint="eastAsia"/>
          <w:sz w:val="24"/>
        </w:rPr>
        <w:t>2、放流前，经检测苗种计数或成活率验收不合格的，甲方可拒绝放流该苗种，并视情节严重与否，甲方均有权处以20000-100000元/次罚款，且甲方有权终止合同。</w:t>
      </w:r>
    </w:p>
    <w:p>
      <w:pPr>
        <w:tabs>
          <w:tab w:val="left" w:pos="900"/>
        </w:tabs>
        <w:spacing w:line="560" w:lineRule="exact"/>
        <w:ind w:firstLine="477" w:firstLineChars="199"/>
        <w:rPr>
          <w:rFonts w:hint="eastAsia"/>
          <w:sz w:val="24"/>
        </w:rPr>
      </w:pPr>
      <w:r>
        <w:rPr>
          <w:rFonts w:hint="eastAsia"/>
          <w:sz w:val="24"/>
        </w:rPr>
        <w:t>3、乙方未按约定放流时间提供增殖放流用种苗，逾期超过约定放流时间一个月的，则增加10%的苗种投放量，同时应向甲方赔偿因乙方违约而造成的其他损失，同时甲方可视具体情况，处以20000-100000元/次罚款；逾期超过约定放流时间二个月的，则取消终止放流合同，并没收履约保证金，同时应向甲方赔偿因乙方违约而造成的其他损失。</w:t>
      </w:r>
    </w:p>
    <w:p>
      <w:pPr>
        <w:tabs>
          <w:tab w:val="left" w:pos="900"/>
        </w:tabs>
        <w:spacing w:line="560" w:lineRule="exact"/>
        <w:ind w:firstLine="477" w:firstLineChars="199"/>
        <w:rPr>
          <w:rFonts w:hint="eastAsia"/>
          <w:sz w:val="24"/>
        </w:rPr>
      </w:pPr>
      <w:r>
        <w:rPr>
          <w:rFonts w:hint="eastAsia"/>
          <w:sz w:val="24"/>
        </w:rPr>
        <w:t>4、除甲方事先书面同意外，乙方不得将自己应履行的全部或部分合同义务转让给他人。</w:t>
      </w:r>
    </w:p>
    <w:p>
      <w:pPr>
        <w:snapToGrid w:val="0"/>
        <w:spacing w:line="360" w:lineRule="auto"/>
        <w:ind w:firstLine="482" w:firstLineChars="200"/>
        <w:rPr>
          <w:rFonts w:hint="eastAsia" w:ascii="宋体" w:hAnsi="宋体" w:cs="宋体"/>
          <w:b/>
          <w:bCs/>
          <w:sz w:val="24"/>
        </w:rPr>
      </w:pPr>
      <w:r>
        <w:rPr>
          <w:rFonts w:hint="eastAsia" w:ascii="宋体" w:hAnsi="宋体" w:cs="宋体"/>
          <w:b/>
          <w:bCs/>
          <w:sz w:val="24"/>
        </w:rPr>
        <w:t>七、其它</w:t>
      </w:r>
    </w:p>
    <w:p>
      <w:pPr>
        <w:tabs>
          <w:tab w:val="left" w:pos="900"/>
        </w:tabs>
        <w:spacing w:line="560" w:lineRule="exact"/>
        <w:ind w:firstLine="477" w:firstLineChars="199"/>
        <w:rPr>
          <w:rFonts w:hint="eastAsia"/>
          <w:sz w:val="24"/>
        </w:rPr>
      </w:pPr>
      <w:r>
        <w:rPr>
          <w:rFonts w:hint="eastAsia"/>
          <w:sz w:val="24"/>
        </w:rPr>
        <w:fldChar w:fldCharType="begin"/>
      </w:r>
      <w:r>
        <w:rPr>
          <w:rFonts w:hint="eastAsia"/>
          <w:sz w:val="24"/>
        </w:rPr>
        <w:instrText xml:space="preserve"> = 1 \* Arabic </w:instrText>
      </w:r>
      <w:r>
        <w:rPr>
          <w:rFonts w:hint="eastAsia"/>
          <w:sz w:val="24"/>
        </w:rPr>
        <w:fldChar w:fldCharType="separate"/>
      </w:r>
      <w:r>
        <w:rPr>
          <w:rFonts w:hint="eastAsia"/>
          <w:sz w:val="24"/>
        </w:rPr>
        <w:t>1</w:t>
      </w:r>
      <w:r>
        <w:rPr>
          <w:rFonts w:hint="eastAsia"/>
          <w:sz w:val="24"/>
        </w:rPr>
        <w:fldChar w:fldCharType="end"/>
      </w:r>
      <w:r>
        <w:rPr>
          <w:rFonts w:hint="eastAsia"/>
          <w:sz w:val="24"/>
        </w:rPr>
        <w:t>、如果双方中任何一方由于战争、地震、洪涝、火灾等不能预见、不能避免的，并不能克服的不可抗力事件影响合同履行时，履行合同的期限应予以延长，延长的期限应相当于事故所影响的时间；如不可抗力事件导致整个全部或部分合同无法履行时，受事件影响的一方可部分或全部免除责任。若遇到不可抗力，乙方未能如期供货，须及时书面通知甲方，由甲方另行决定供货时间。</w:t>
      </w:r>
    </w:p>
    <w:p>
      <w:pPr>
        <w:tabs>
          <w:tab w:val="left" w:pos="900"/>
        </w:tabs>
        <w:spacing w:line="560" w:lineRule="exact"/>
        <w:ind w:firstLine="477" w:firstLineChars="199"/>
        <w:rPr>
          <w:rFonts w:hint="eastAsia"/>
          <w:sz w:val="24"/>
        </w:rPr>
      </w:pPr>
      <w:r>
        <w:rPr>
          <w:rFonts w:hint="eastAsia"/>
          <w:sz w:val="24"/>
        </w:rPr>
        <w:t>2、在合同实施期间，买卖双方可就合同的未尽事宜签订补充协议，但不得签订背离原合同实质内容的协议。</w:t>
      </w:r>
    </w:p>
    <w:p>
      <w:pPr>
        <w:tabs>
          <w:tab w:val="left" w:pos="900"/>
        </w:tabs>
        <w:spacing w:line="560" w:lineRule="exact"/>
        <w:ind w:firstLine="477" w:firstLineChars="199"/>
        <w:rPr>
          <w:rFonts w:hint="eastAsia"/>
          <w:sz w:val="24"/>
        </w:rPr>
      </w:pPr>
      <w:r>
        <w:rPr>
          <w:rFonts w:hint="eastAsia"/>
          <w:sz w:val="24"/>
        </w:rPr>
        <w:t>3、在本合同执行中所发生的一切争端，买卖双方应通过友好协商的办法加以解决。如从协商开始30天内仍得不到解决，双方应将争端提交有关部门寻求解决的办法。如仍得不到解决，则应申请仲裁。</w:t>
      </w:r>
    </w:p>
    <w:p>
      <w:pPr>
        <w:tabs>
          <w:tab w:val="left" w:pos="900"/>
        </w:tabs>
        <w:spacing w:line="560" w:lineRule="exact"/>
        <w:ind w:firstLine="477" w:firstLineChars="199"/>
        <w:rPr>
          <w:rFonts w:hint="eastAsia"/>
          <w:sz w:val="24"/>
        </w:rPr>
      </w:pPr>
      <w:r>
        <w:rPr>
          <w:rFonts w:hint="eastAsia"/>
          <w:sz w:val="24"/>
        </w:rPr>
        <w:t>4、仲裁应根据《中华人民共和国仲裁法》的规定，向项目属地有管辖权的仲裁机构申请仲裁。仲裁裁决为终局裁决，对双方均有约束力。</w:t>
      </w:r>
    </w:p>
    <w:p>
      <w:pPr>
        <w:tabs>
          <w:tab w:val="left" w:pos="900"/>
        </w:tabs>
        <w:spacing w:line="560" w:lineRule="exact"/>
        <w:ind w:firstLine="477" w:firstLineChars="199"/>
        <w:rPr>
          <w:rFonts w:hint="eastAsia"/>
          <w:sz w:val="24"/>
        </w:rPr>
      </w:pPr>
      <w:r>
        <w:rPr>
          <w:rFonts w:hint="eastAsia"/>
          <w:sz w:val="24"/>
        </w:rPr>
        <w:t>5、本协议</w:t>
      </w:r>
      <w:r>
        <w:rPr>
          <w:rFonts w:hint="eastAsia"/>
          <w:sz w:val="24"/>
          <w:u w:val="single"/>
        </w:rPr>
        <w:t xml:space="preserve">    </w:t>
      </w:r>
      <w:r>
        <w:rPr>
          <w:rFonts w:hint="eastAsia"/>
          <w:sz w:val="24"/>
        </w:rPr>
        <w:t>份，甲乙方双方各执</w:t>
      </w:r>
      <w:r>
        <w:rPr>
          <w:rFonts w:hint="eastAsia"/>
          <w:sz w:val="24"/>
          <w:u w:val="single"/>
        </w:rPr>
        <w:t xml:space="preserve">    </w:t>
      </w:r>
      <w:r>
        <w:rPr>
          <w:rFonts w:hint="eastAsia"/>
          <w:sz w:val="24"/>
        </w:rPr>
        <w:t>份，经双方签字盖章后生效，具有同等法律效力。</w:t>
      </w:r>
    </w:p>
    <w:p>
      <w:pPr>
        <w:pStyle w:val="198"/>
        <w:rPr>
          <w:rFonts w:hint="eastAsia"/>
        </w:rPr>
      </w:pP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甲  方（盖章）：                    乙  方（盖章）：               </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代  表（签字）：                    代  表（签字）：              </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开户行：                            开户行：                      </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账  号：                            帐  号：                       </w:t>
      </w:r>
    </w:p>
    <w:p>
      <w:pPr>
        <w:widowControl/>
        <w:spacing w:line="560" w:lineRule="exact"/>
        <w:ind w:firstLine="480" w:firstLineChars="200"/>
        <w:rPr>
          <w:rFonts w:hint="eastAsia" w:ascii="宋体" w:hAnsi="宋体" w:cs="宋体"/>
          <w:sz w:val="24"/>
        </w:rPr>
      </w:pPr>
      <w:r>
        <w:rPr>
          <w:rFonts w:hint="eastAsia" w:ascii="宋体" w:hAnsi="宋体" w:cs="宋体"/>
          <w:sz w:val="24"/>
        </w:rPr>
        <w:t xml:space="preserve">日  期：                            日  期：         </w:t>
      </w:r>
    </w:p>
    <w:p>
      <w:pPr>
        <w:rPr>
          <w:rFonts w:hint="eastAsia"/>
        </w:rPr>
      </w:pPr>
    </w:p>
    <w:p>
      <w:pPr>
        <w:spacing w:before="156" w:after="156" w:line="360" w:lineRule="auto"/>
        <w:jc w:val="center"/>
        <w:rPr>
          <w:rFonts w:hint="eastAsia" w:ascii="宋体" w:hAnsi="宋体"/>
          <w:bCs/>
          <w:sz w:val="36"/>
          <w:szCs w:val="36"/>
          <w:highlight w:val="none"/>
        </w:rPr>
      </w:pPr>
      <w:r>
        <w:rPr>
          <w:rFonts w:hint="eastAsia" w:ascii="宋体" w:hAnsi="宋体"/>
          <w:bCs/>
          <w:sz w:val="36"/>
          <w:szCs w:val="36"/>
          <w:highlight w:val="none"/>
        </w:rPr>
        <w:t>第五部分  开标和评标</w:t>
      </w:r>
    </w:p>
    <w:p>
      <w:pPr>
        <w:pStyle w:val="314"/>
        <w:spacing w:before="0" w:after="0"/>
        <w:ind w:left="0" w:right="0" w:firstLine="482"/>
        <w:jc w:val="left"/>
        <w:rPr>
          <w:rFonts w:ascii="宋体" w:hAnsi="宋体"/>
          <w:b/>
          <w:highlight w:val="none"/>
        </w:rPr>
      </w:pPr>
      <w:r>
        <w:rPr>
          <w:rFonts w:ascii="宋体" w:hAnsi="宋体"/>
          <w:b/>
          <w:highlight w:val="none"/>
        </w:rPr>
        <w:t>一、开标</w:t>
      </w:r>
    </w:p>
    <w:p>
      <w:pPr>
        <w:tabs>
          <w:tab w:val="left" w:pos="3585"/>
        </w:tabs>
        <w:spacing w:line="360" w:lineRule="auto"/>
        <w:ind w:firstLine="480"/>
        <w:jc w:val="left"/>
        <w:rPr>
          <w:rFonts w:ascii="宋体" w:hAnsi="宋体"/>
          <w:sz w:val="24"/>
          <w:highlight w:val="none"/>
        </w:rPr>
      </w:pPr>
      <w:r>
        <w:rPr>
          <w:rFonts w:hint="eastAsia" w:ascii="宋体" w:hAnsi="宋体"/>
          <w:sz w:val="24"/>
          <w:highlight w:val="none"/>
        </w:rPr>
        <w:t>本项目采用不见面远程开标模式：投标人在各自地点通过苏采云系统及时登录不见面开标大厅，参加开标会。</w:t>
      </w:r>
    </w:p>
    <w:p>
      <w:pPr>
        <w:pStyle w:val="314"/>
        <w:spacing w:before="0" w:after="0"/>
        <w:ind w:left="0" w:right="0" w:firstLine="482"/>
        <w:jc w:val="left"/>
        <w:rPr>
          <w:rFonts w:ascii="宋体" w:hAnsi="宋体"/>
          <w:b/>
          <w:highlight w:val="none"/>
        </w:rPr>
      </w:pPr>
      <w:r>
        <w:rPr>
          <w:rFonts w:ascii="宋体" w:hAnsi="宋体"/>
          <w:b/>
          <w:highlight w:val="none"/>
        </w:rPr>
        <w:t>二、评标流程和评标标准</w:t>
      </w:r>
    </w:p>
    <w:p>
      <w:pPr>
        <w:spacing w:line="360" w:lineRule="auto"/>
        <w:ind w:firstLine="480"/>
        <w:jc w:val="left"/>
        <w:rPr>
          <w:rFonts w:ascii="宋体" w:hAnsi="宋体"/>
          <w:sz w:val="24"/>
          <w:highlight w:val="none"/>
        </w:rPr>
      </w:pPr>
      <w:r>
        <w:rPr>
          <w:rFonts w:ascii="宋体" w:hAnsi="宋体"/>
          <w:sz w:val="24"/>
          <w:highlight w:val="none"/>
        </w:rPr>
        <w:t>采用综合评分法</w:t>
      </w:r>
      <w:r>
        <w:rPr>
          <w:rFonts w:hint="eastAsia" w:ascii="宋体" w:hAnsi="宋体"/>
          <w:sz w:val="24"/>
          <w:highlight w:val="none"/>
        </w:rPr>
        <w:t>，总分值为100分</w:t>
      </w:r>
      <w:r>
        <w:rPr>
          <w:rFonts w:ascii="宋体" w:hAnsi="宋体"/>
          <w:sz w:val="24"/>
          <w:highlight w:val="none"/>
        </w:rPr>
        <w:t>。</w:t>
      </w:r>
    </w:p>
    <w:p>
      <w:pPr>
        <w:spacing w:line="360" w:lineRule="auto"/>
        <w:ind w:firstLine="480"/>
        <w:jc w:val="left"/>
        <w:rPr>
          <w:rFonts w:ascii="宋体" w:hAnsi="宋体"/>
          <w:sz w:val="24"/>
          <w:highlight w:val="none"/>
        </w:rPr>
      </w:pPr>
      <w:r>
        <w:rPr>
          <w:rFonts w:ascii="宋体" w:hAnsi="宋体"/>
          <w:sz w:val="24"/>
          <w:highlight w:val="none"/>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pPr>
        <w:spacing w:line="360" w:lineRule="auto"/>
        <w:ind w:firstLine="480"/>
        <w:jc w:val="left"/>
        <w:rPr>
          <w:rFonts w:ascii="宋体" w:hAnsi="宋体"/>
          <w:sz w:val="24"/>
          <w:highlight w:val="none"/>
        </w:rPr>
      </w:pPr>
      <w:r>
        <w:rPr>
          <w:rFonts w:ascii="宋体" w:hAnsi="宋体"/>
          <w:sz w:val="24"/>
          <w:highlight w:val="none"/>
        </w:rPr>
        <w:t>评标结果按评审后</w:t>
      </w:r>
      <w:r>
        <w:rPr>
          <w:rFonts w:hint="eastAsia" w:ascii="宋体" w:hAnsi="宋体"/>
          <w:sz w:val="24"/>
          <w:highlight w:val="none"/>
        </w:rPr>
        <w:t>总</w:t>
      </w:r>
      <w:r>
        <w:rPr>
          <w:rFonts w:ascii="宋体" w:hAnsi="宋体"/>
          <w:sz w:val="24"/>
          <w:highlight w:val="none"/>
        </w:rPr>
        <w:t>得分由高到低顺序排列</w:t>
      </w:r>
      <w:r>
        <w:rPr>
          <w:rFonts w:hint="eastAsia" w:ascii="宋体" w:hAnsi="宋体"/>
          <w:sz w:val="24"/>
          <w:highlight w:val="none"/>
        </w:rPr>
        <w:t>，确定中标候选人名单并按顺序确定中标人</w:t>
      </w:r>
      <w:r>
        <w:rPr>
          <w:rFonts w:ascii="宋体" w:hAnsi="宋体"/>
          <w:sz w:val="24"/>
          <w:highlight w:val="none"/>
        </w:rPr>
        <w:t>。得分相同的，按投标报价由低到高顺序排列。得分且投标报价相同的并列。投标文件满足招标文件全部实质性要求，</w:t>
      </w:r>
      <w:r>
        <w:rPr>
          <w:rFonts w:hint="eastAsia" w:ascii="宋体" w:hAnsi="宋体"/>
          <w:sz w:val="24"/>
          <w:highlight w:val="none"/>
        </w:rPr>
        <w:t>且按照评审因素的量化指标评审得分最高的投标人为排名第一的中标候选人。</w:t>
      </w:r>
    </w:p>
    <w:p>
      <w:pPr>
        <w:spacing w:line="360" w:lineRule="auto"/>
        <w:ind w:firstLine="480"/>
        <w:jc w:val="left"/>
        <w:rPr>
          <w:rFonts w:ascii="宋体" w:hAnsi="宋体"/>
          <w:sz w:val="24"/>
          <w:highlight w:val="none"/>
        </w:rPr>
      </w:pPr>
      <w:r>
        <w:rPr>
          <w:rFonts w:ascii="宋体" w:hAnsi="宋体"/>
          <w:sz w:val="24"/>
          <w:highlight w:val="none"/>
        </w:rPr>
        <w:t>评委在认真审阅投标文件的基础上，根据各投标文件的响应程度独立评判，不得统一打分。</w:t>
      </w:r>
    </w:p>
    <w:p>
      <w:pPr>
        <w:spacing w:line="360" w:lineRule="auto"/>
        <w:ind w:firstLine="482"/>
        <w:jc w:val="left"/>
        <w:rPr>
          <w:rFonts w:ascii="宋体" w:hAnsi="宋体"/>
          <w:b/>
          <w:sz w:val="24"/>
          <w:highlight w:val="none"/>
        </w:rPr>
      </w:pPr>
      <w:r>
        <w:rPr>
          <w:rFonts w:ascii="宋体" w:hAnsi="宋体"/>
          <w:b/>
          <w:sz w:val="24"/>
          <w:highlight w:val="none"/>
        </w:rPr>
        <w:t>（一）采购人（代表）对投标人资格进行审查。</w:t>
      </w:r>
    </w:p>
    <w:p>
      <w:pPr>
        <w:pStyle w:val="311"/>
        <w:spacing w:line="360" w:lineRule="auto"/>
        <w:ind w:firstLine="480"/>
        <w:jc w:val="left"/>
        <w:rPr>
          <w:rFonts w:ascii="宋体" w:eastAsia="宋体"/>
          <w:sz w:val="24"/>
          <w:szCs w:val="24"/>
          <w:highlight w:val="none"/>
        </w:rPr>
      </w:pPr>
      <w:r>
        <w:rPr>
          <w:rFonts w:ascii="宋体" w:eastAsia="宋体"/>
          <w:sz w:val="24"/>
          <w:szCs w:val="24"/>
          <w:highlight w:val="none"/>
        </w:rPr>
        <w:t>投标人资格不合格的，其投标文件判定为无效投标文件。</w:t>
      </w:r>
    </w:p>
    <w:p>
      <w:pPr>
        <w:spacing w:line="360" w:lineRule="auto"/>
        <w:ind w:firstLine="482"/>
        <w:jc w:val="left"/>
        <w:rPr>
          <w:rFonts w:ascii="宋体" w:hAnsi="宋体"/>
          <w:b/>
          <w:sz w:val="24"/>
          <w:highlight w:val="none"/>
        </w:rPr>
      </w:pPr>
      <w:r>
        <w:rPr>
          <w:rFonts w:ascii="宋体" w:hAnsi="宋体"/>
          <w:b/>
          <w:sz w:val="24"/>
          <w:highlight w:val="none"/>
        </w:rPr>
        <w:t>（二）评标委员会对符合资格投标人的投标文件进行符合性审查。</w:t>
      </w:r>
    </w:p>
    <w:p>
      <w:pPr>
        <w:pStyle w:val="311"/>
        <w:spacing w:line="360" w:lineRule="auto"/>
        <w:ind w:firstLine="480"/>
        <w:jc w:val="left"/>
        <w:rPr>
          <w:rFonts w:ascii="宋体" w:eastAsia="宋体"/>
          <w:sz w:val="24"/>
          <w:szCs w:val="24"/>
          <w:highlight w:val="none"/>
        </w:rPr>
      </w:pPr>
      <w:r>
        <w:rPr>
          <w:rFonts w:ascii="宋体" w:eastAsia="宋体"/>
          <w:sz w:val="24"/>
          <w:szCs w:val="24"/>
          <w:highlight w:val="none"/>
        </w:rPr>
        <w:t xml:space="preserve">未通过符合性审查的投标文件，将被判为不满足招标文件实质性要求。 </w:t>
      </w:r>
    </w:p>
    <w:p>
      <w:pPr>
        <w:tabs>
          <w:tab w:val="left" w:pos="900"/>
        </w:tabs>
        <w:spacing w:line="360" w:lineRule="auto"/>
        <w:ind w:firstLine="482"/>
        <w:jc w:val="left"/>
        <w:rPr>
          <w:rFonts w:hint="eastAsia" w:ascii="宋体" w:hAnsi="宋体"/>
          <w:bCs/>
          <w:sz w:val="24"/>
          <w:highlight w:val="none"/>
        </w:rPr>
      </w:pPr>
      <w:r>
        <w:rPr>
          <w:rFonts w:ascii="宋体" w:hAnsi="宋体"/>
          <w:b/>
          <w:sz w:val="24"/>
          <w:highlight w:val="none"/>
        </w:rPr>
        <w:t>（</w:t>
      </w:r>
      <w:r>
        <w:rPr>
          <w:rFonts w:ascii="宋体" w:hAnsi="宋体"/>
          <w:b/>
          <w:sz w:val="24"/>
          <w:highlight w:val="none"/>
          <w:lang w:val="zh-CN"/>
        </w:rPr>
        <w:t>三</w:t>
      </w:r>
      <w:r>
        <w:rPr>
          <w:rFonts w:ascii="宋体" w:hAnsi="宋体"/>
          <w:b/>
          <w:sz w:val="24"/>
          <w:highlight w:val="none"/>
        </w:rPr>
        <w:t>）</w:t>
      </w:r>
      <w:r>
        <w:rPr>
          <w:rFonts w:ascii="宋体" w:hAnsi="宋体"/>
          <w:b/>
          <w:sz w:val="24"/>
          <w:highlight w:val="none"/>
          <w:lang w:val="zh-CN"/>
        </w:rPr>
        <w:t>商务技术分</w:t>
      </w:r>
      <w:r>
        <w:rPr>
          <w:rFonts w:ascii="宋体" w:hAnsi="宋体"/>
          <w:sz w:val="24"/>
          <w:highlight w:val="none"/>
          <w:lang w:val="zh-CN"/>
        </w:rPr>
        <w:t>：</w:t>
      </w:r>
      <w:r>
        <w:rPr>
          <w:rFonts w:hint="eastAsia" w:ascii="宋体" w:hAnsi="宋体"/>
          <w:sz w:val="24"/>
          <w:highlight w:val="none"/>
          <w:lang w:val="en-US" w:eastAsia="zh-CN"/>
        </w:rPr>
        <w:t>3</w:t>
      </w:r>
      <w:r>
        <w:rPr>
          <w:rFonts w:hint="eastAsia" w:ascii="宋体" w:hAnsi="宋体"/>
          <w:b/>
          <w:bCs/>
          <w:sz w:val="24"/>
          <w:highlight w:val="none"/>
        </w:rPr>
        <w:t>0</w:t>
      </w:r>
      <w:r>
        <w:rPr>
          <w:rFonts w:ascii="宋体" w:hAnsi="宋体"/>
          <w:b/>
          <w:bCs/>
          <w:sz w:val="24"/>
          <w:highlight w:val="none"/>
          <w:lang w:val="zh-CN"/>
        </w:rPr>
        <w:t>分</w:t>
      </w:r>
    </w:p>
    <w:p>
      <w:pPr>
        <w:spacing w:line="360" w:lineRule="auto"/>
        <w:ind w:firstLine="480"/>
        <w:jc w:val="left"/>
        <w:rPr>
          <w:rFonts w:hint="eastAsia" w:ascii="宋体" w:hAnsi="宋体"/>
          <w:sz w:val="24"/>
          <w:highlight w:val="none"/>
        </w:rPr>
      </w:pPr>
      <w:r>
        <w:rPr>
          <w:rFonts w:hint="eastAsia" w:ascii="宋体" w:hAnsi="宋体"/>
          <w:sz w:val="24"/>
          <w:highlight w:val="none"/>
        </w:rPr>
        <w:t>各投标人得分为评委会成员评分的算术平均分，分值四舍五入保留两位小数。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37"/>
        <w:gridCol w:w="703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7" w:type="dxa"/>
            <w:shd w:val="clear" w:color="auto" w:fill="FFFFFF"/>
            <w:noWrap w:val="0"/>
            <w:vAlign w:val="center"/>
          </w:tcPr>
          <w:p>
            <w:pPr>
              <w:adjustRightInd w:val="0"/>
              <w:snapToGrid w:val="0"/>
              <w:spacing w:line="320" w:lineRule="exact"/>
              <w:jc w:val="center"/>
              <w:rPr>
                <w:rFonts w:ascii="宋体" w:hAnsi="宋体"/>
                <w:b/>
                <w:bCs/>
              </w:rPr>
            </w:pPr>
            <w:r>
              <w:rPr>
                <w:rFonts w:hint="eastAsia" w:ascii="宋体" w:hAnsi="宋体"/>
                <w:b/>
                <w:bCs/>
              </w:rPr>
              <w:t>序号</w:t>
            </w:r>
          </w:p>
        </w:tc>
        <w:tc>
          <w:tcPr>
            <w:tcW w:w="1337" w:type="dxa"/>
            <w:shd w:val="clear" w:color="auto" w:fill="FFFFFF"/>
            <w:noWrap w:val="0"/>
            <w:vAlign w:val="center"/>
          </w:tcPr>
          <w:p>
            <w:pPr>
              <w:adjustRightInd w:val="0"/>
              <w:snapToGrid w:val="0"/>
              <w:spacing w:line="320" w:lineRule="exact"/>
              <w:jc w:val="center"/>
              <w:rPr>
                <w:rFonts w:ascii="宋体" w:hAnsi="宋体"/>
                <w:b/>
                <w:bCs/>
              </w:rPr>
            </w:pPr>
            <w:r>
              <w:rPr>
                <w:rFonts w:hint="eastAsia" w:ascii="宋体" w:hAnsi="宋体"/>
                <w:b/>
                <w:bCs/>
              </w:rPr>
              <w:t>评分项目</w:t>
            </w:r>
          </w:p>
        </w:tc>
        <w:tc>
          <w:tcPr>
            <w:tcW w:w="7035" w:type="dxa"/>
            <w:shd w:val="clear" w:color="auto" w:fill="FFFFFF"/>
            <w:noWrap w:val="0"/>
            <w:vAlign w:val="center"/>
          </w:tcPr>
          <w:p>
            <w:pPr>
              <w:adjustRightInd w:val="0"/>
              <w:snapToGrid w:val="0"/>
              <w:spacing w:line="320" w:lineRule="exact"/>
              <w:jc w:val="center"/>
              <w:rPr>
                <w:rFonts w:ascii="宋体" w:hAnsi="宋体"/>
                <w:b/>
                <w:bCs/>
              </w:rPr>
            </w:pPr>
            <w:r>
              <w:rPr>
                <w:rFonts w:hint="eastAsia" w:ascii="宋体" w:hAnsi="宋体"/>
                <w:b/>
                <w:bCs/>
              </w:rPr>
              <w:t>评分标准</w:t>
            </w:r>
          </w:p>
        </w:tc>
        <w:tc>
          <w:tcPr>
            <w:tcW w:w="870" w:type="dxa"/>
            <w:shd w:val="clear" w:color="auto" w:fill="FFFFFF"/>
            <w:noWrap w:val="0"/>
            <w:vAlign w:val="center"/>
          </w:tcPr>
          <w:p>
            <w:pPr>
              <w:adjustRightInd w:val="0"/>
              <w:snapToGrid w:val="0"/>
              <w:spacing w:line="320" w:lineRule="exact"/>
              <w:jc w:val="center"/>
              <w:rPr>
                <w:rFonts w:ascii="宋体" w:hAnsi="宋体"/>
                <w:b/>
                <w:bCs/>
              </w:rPr>
            </w:pPr>
            <w:r>
              <w:rPr>
                <w:rFonts w:hint="eastAsia" w:ascii="宋体" w:hAnsi="宋体"/>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7" w:type="dxa"/>
            <w:shd w:val="clear" w:color="auto" w:fill="FFFFFF"/>
            <w:noWrap w:val="0"/>
            <w:vAlign w:val="center"/>
          </w:tcPr>
          <w:p>
            <w:pPr>
              <w:adjustRightInd w:val="0"/>
              <w:snapToGrid w:val="0"/>
              <w:spacing w:line="320" w:lineRule="exact"/>
              <w:jc w:val="center"/>
              <w:rPr>
                <w:rFonts w:ascii="宋体" w:hAnsi="宋体"/>
              </w:rPr>
            </w:pPr>
            <w:r>
              <w:rPr>
                <w:rFonts w:hint="eastAsia" w:ascii="宋体" w:hAnsi="宋体"/>
              </w:rPr>
              <w:t>一</w:t>
            </w:r>
          </w:p>
        </w:tc>
        <w:tc>
          <w:tcPr>
            <w:tcW w:w="1337" w:type="dxa"/>
            <w:shd w:val="clear" w:color="auto" w:fill="FFFFFF"/>
            <w:noWrap w:val="0"/>
            <w:vAlign w:val="center"/>
          </w:tcPr>
          <w:p>
            <w:pPr>
              <w:adjustRightInd w:val="0"/>
              <w:snapToGrid w:val="0"/>
              <w:spacing w:line="320" w:lineRule="exact"/>
              <w:jc w:val="center"/>
              <w:rPr>
                <w:rFonts w:ascii="宋体" w:hAnsi="宋体"/>
              </w:rPr>
            </w:pPr>
            <w:r>
              <w:rPr>
                <w:rFonts w:hint="eastAsia" w:ascii="宋体" w:hAnsi="宋体"/>
              </w:rPr>
              <w:t>资质情况</w:t>
            </w:r>
          </w:p>
        </w:tc>
        <w:tc>
          <w:tcPr>
            <w:tcW w:w="7035" w:type="dxa"/>
            <w:shd w:val="clear" w:color="auto" w:fill="FFFFFF"/>
            <w:noWrap w:val="0"/>
            <w:vAlign w:val="center"/>
          </w:tcPr>
          <w:p>
            <w:pPr>
              <w:adjustRightInd w:val="0"/>
              <w:snapToGrid w:val="0"/>
              <w:spacing w:line="320" w:lineRule="exact"/>
              <w:jc w:val="left"/>
              <w:rPr>
                <w:rFonts w:hint="eastAsia" w:ascii="宋体" w:hAnsi="宋体" w:cs="仿宋_GB2312"/>
              </w:rPr>
            </w:pPr>
            <w:r>
              <w:rPr>
                <w:rFonts w:hint="eastAsia" w:ascii="宋体" w:hAnsi="宋体" w:cs="仿宋_GB2312"/>
              </w:rPr>
              <w:t>所投品种具有省级及以上水产原(良)种（繁育）场(基地)得7分，市级得5分。</w:t>
            </w:r>
          </w:p>
        </w:tc>
        <w:tc>
          <w:tcPr>
            <w:tcW w:w="870" w:type="dxa"/>
            <w:shd w:val="clear" w:color="auto" w:fill="FFFFFF"/>
            <w:noWrap w:val="0"/>
            <w:vAlign w:val="center"/>
          </w:tcPr>
          <w:p>
            <w:pPr>
              <w:adjustRightInd w:val="0"/>
              <w:snapToGrid w:val="0"/>
              <w:spacing w:line="320" w:lineRule="exact"/>
              <w:jc w:val="center"/>
              <w:rPr>
                <w:rFonts w:hint="eastAsia" w:ascii="宋体" w:hAnsi="宋体" w:cs="仿宋_GB2312"/>
              </w:rPr>
            </w:pPr>
            <w:r>
              <w:rPr>
                <w:rFonts w:hint="eastAsia" w:ascii="宋体" w:hAnsi="宋体" w:cs="仿宋_GB231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7" w:type="dxa"/>
            <w:vMerge w:val="restart"/>
            <w:shd w:val="clear" w:color="auto" w:fill="FFFFFF"/>
            <w:noWrap w:val="0"/>
            <w:vAlign w:val="center"/>
          </w:tcPr>
          <w:p>
            <w:pPr>
              <w:adjustRightInd w:val="0"/>
              <w:snapToGrid w:val="0"/>
              <w:spacing w:line="320" w:lineRule="exact"/>
              <w:jc w:val="center"/>
              <w:rPr>
                <w:rFonts w:ascii="宋体" w:hAnsi="宋体"/>
              </w:rPr>
            </w:pPr>
            <w:r>
              <w:rPr>
                <w:rFonts w:hint="eastAsia" w:ascii="宋体" w:hAnsi="宋体"/>
              </w:rPr>
              <w:t>二</w:t>
            </w:r>
          </w:p>
        </w:tc>
        <w:tc>
          <w:tcPr>
            <w:tcW w:w="1337" w:type="dxa"/>
            <w:vMerge w:val="restart"/>
            <w:shd w:val="clear" w:color="auto" w:fill="FFFFFF"/>
            <w:noWrap w:val="0"/>
            <w:vAlign w:val="center"/>
          </w:tcPr>
          <w:p>
            <w:pPr>
              <w:adjustRightInd w:val="0"/>
              <w:snapToGrid w:val="0"/>
              <w:spacing w:line="320" w:lineRule="exact"/>
              <w:rPr>
                <w:rFonts w:ascii="宋体" w:hAnsi="宋体" w:cs="仿宋_GB2312"/>
              </w:rPr>
            </w:pPr>
            <w:r>
              <w:rPr>
                <w:rFonts w:hint="eastAsia" w:ascii="宋体" w:hAnsi="宋体" w:cs="仿宋_GB2312"/>
              </w:rPr>
              <w:t>综合实力评审</w:t>
            </w:r>
          </w:p>
        </w:tc>
        <w:tc>
          <w:tcPr>
            <w:tcW w:w="7035" w:type="dxa"/>
            <w:shd w:val="clear" w:color="auto" w:fill="FFFFFF"/>
            <w:noWrap w:val="0"/>
            <w:vAlign w:val="center"/>
          </w:tcPr>
          <w:p>
            <w:pPr>
              <w:adjustRightInd w:val="0"/>
              <w:snapToGrid w:val="0"/>
              <w:spacing w:line="320" w:lineRule="exact"/>
              <w:jc w:val="left"/>
              <w:rPr>
                <w:rFonts w:hint="eastAsia"/>
              </w:rPr>
            </w:pPr>
            <w:r>
              <w:rPr>
                <w:rFonts w:hint="eastAsia"/>
                <w:b/>
                <w:bCs/>
              </w:rPr>
              <w:t>（1）亲本情况</w:t>
            </w:r>
            <w:r>
              <w:rPr>
                <w:rFonts w:hint="eastAsia"/>
              </w:rPr>
              <w:t>（2分）</w:t>
            </w:r>
          </w:p>
          <w:p>
            <w:pPr>
              <w:pStyle w:val="14"/>
              <w:spacing w:line="320" w:lineRule="exact"/>
              <w:jc w:val="left"/>
              <w:rPr>
                <w:rFonts w:hint="eastAsia" w:ascii="Calibri" w:hAnsi="Calibri" w:eastAsia="宋体"/>
                <w:sz w:val="21"/>
                <w:szCs w:val="21"/>
              </w:rPr>
            </w:pPr>
            <w:r>
              <w:rPr>
                <w:rFonts w:hint="eastAsia" w:ascii="Calibri" w:hAnsi="Calibri" w:eastAsia="宋体"/>
                <w:sz w:val="21"/>
                <w:szCs w:val="21"/>
              </w:rPr>
              <w:t>提供证明材料，强得2分、较强得1.5分、一般得1分；</w:t>
            </w:r>
          </w:p>
        </w:tc>
        <w:tc>
          <w:tcPr>
            <w:tcW w:w="870" w:type="dxa"/>
            <w:shd w:val="clear" w:color="auto" w:fill="FFFFFF"/>
            <w:noWrap w:val="0"/>
            <w:vAlign w:val="center"/>
          </w:tcPr>
          <w:p>
            <w:pPr>
              <w:adjustRightInd w:val="0"/>
              <w:snapToGrid w:val="0"/>
              <w:spacing w:line="320" w:lineRule="exact"/>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87" w:type="dxa"/>
            <w:vMerge w:val="continue"/>
            <w:shd w:val="clear" w:color="auto" w:fill="FFFFFF"/>
            <w:noWrap w:val="0"/>
            <w:vAlign w:val="center"/>
          </w:tcPr>
          <w:p>
            <w:pPr>
              <w:adjustRightInd w:val="0"/>
              <w:snapToGrid w:val="0"/>
              <w:spacing w:line="320" w:lineRule="exact"/>
              <w:jc w:val="center"/>
              <w:rPr>
                <w:rFonts w:ascii="宋体" w:hAnsi="宋体"/>
              </w:rPr>
            </w:pPr>
          </w:p>
        </w:tc>
        <w:tc>
          <w:tcPr>
            <w:tcW w:w="1337" w:type="dxa"/>
            <w:vMerge w:val="continue"/>
            <w:shd w:val="clear" w:color="auto" w:fill="FFFFFF"/>
            <w:noWrap w:val="0"/>
            <w:vAlign w:val="center"/>
          </w:tcPr>
          <w:p>
            <w:pPr>
              <w:adjustRightInd w:val="0"/>
              <w:snapToGrid w:val="0"/>
              <w:spacing w:line="320" w:lineRule="exact"/>
              <w:rPr>
                <w:rFonts w:ascii="宋体" w:hAnsi="宋体" w:cs="仿宋_GB2312"/>
              </w:rPr>
            </w:pPr>
          </w:p>
        </w:tc>
        <w:tc>
          <w:tcPr>
            <w:tcW w:w="7035" w:type="dxa"/>
            <w:shd w:val="clear" w:color="auto" w:fill="FFFFFF"/>
            <w:noWrap w:val="0"/>
            <w:vAlign w:val="center"/>
          </w:tcPr>
          <w:p>
            <w:pPr>
              <w:adjustRightInd w:val="0"/>
              <w:snapToGrid w:val="0"/>
              <w:spacing w:line="320" w:lineRule="exact"/>
              <w:jc w:val="left"/>
              <w:rPr>
                <w:rFonts w:hint="eastAsia"/>
              </w:rPr>
            </w:pPr>
            <w:r>
              <w:rPr>
                <w:rFonts w:hint="eastAsia"/>
                <w:b/>
                <w:bCs/>
              </w:rPr>
              <w:t>（2）育苗能力</w:t>
            </w:r>
            <w:r>
              <w:rPr>
                <w:rFonts w:hint="eastAsia"/>
              </w:rPr>
              <w:t>（3分）</w:t>
            </w:r>
          </w:p>
          <w:p>
            <w:pPr>
              <w:pStyle w:val="14"/>
              <w:spacing w:line="320" w:lineRule="exact"/>
              <w:jc w:val="left"/>
              <w:rPr>
                <w:rFonts w:hint="eastAsia"/>
              </w:rPr>
            </w:pPr>
            <w:r>
              <w:rPr>
                <w:rFonts w:hint="eastAsia" w:ascii="Calibri" w:hAnsi="Calibri" w:eastAsia="宋体"/>
                <w:sz w:val="21"/>
                <w:szCs w:val="21"/>
              </w:rPr>
              <w:t>提供证明材料，强得3分、较强得2分、一般得1分；</w:t>
            </w:r>
          </w:p>
        </w:tc>
        <w:tc>
          <w:tcPr>
            <w:tcW w:w="870" w:type="dxa"/>
            <w:shd w:val="clear" w:color="auto" w:fill="FFFFFF"/>
            <w:noWrap w:val="0"/>
            <w:vAlign w:val="center"/>
          </w:tcPr>
          <w:p>
            <w:pPr>
              <w:adjustRightInd w:val="0"/>
              <w:snapToGrid w:val="0"/>
              <w:spacing w:line="320" w:lineRule="exact"/>
              <w:jc w:val="center"/>
              <w:rPr>
                <w:rFonts w:hint="eastAsia"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7" w:type="dxa"/>
            <w:vMerge w:val="continue"/>
            <w:shd w:val="clear" w:color="auto" w:fill="FFFFFF"/>
            <w:noWrap w:val="0"/>
            <w:vAlign w:val="center"/>
          </w:tcPr>
          <w:p>
            <w:pPr>
              <w:adjustRightInd w:val="0"/>
              <w:snapToGrid w:val="0"/>
              <w:spacing w:line="320" w:lineRule="exact"/>
              <w:jc w:val="center"/>
              <w:rPr>
                <w:rFonts w:hint="eastAsia" w:ascii="宋体" w:hAnsi="宋体"/>
              </w:rPr>
            </w:pPr>
          </w:p>
        </w:tc>
        <w:tc>
          <w:tcPr>
            <w:tcW w:w="1337" w:type="dxa"/>
            <w:vMerge w:val="continue"/>
            <w:shd w:val="clear" w:color="auto" w:fill="FFFFFF"/>
            <w:noWrap w:val="0"/>
            <w:vAlign w:val="center"/>
          </w:tcPr>
          <w:p>
            <w:pPr>
              <w:adjustRightInd w:val="0"/>
              <w:snapToGrid w:val="0"/>
              <w:spacing w:line="320" w:lineRule="exact"/>
              <w:rPr>
                <w:rFonts w:hint="eastAsia" w:ascii="宋体" w:hAnsi="宋体" w:cs="仿宋_GB2312"/>
              </w:rPr>
            </w:pPr>
          </w:p>
        </w:tc>
        <w:tc>
          <w:tcPr>
            <w:tcW w:w="7035" w:type="dxa"/>
            <w:shd w:val="clear" w:color="auto" w:fill="FFFFFF"/>
            <w:noWrap w:val="0"/>
            <w:vAlign w:val="center"/>
          </w:tcPr>
          <w:p>
            <w:pPr>
              <w:adjustRightInd w:val="0"/>
              <w:snapToGrid w:val="0"/>
              <w:spacing w:line="320" w:lineRule="exact"/>
              <w:jc w:val="left"/>
              <w:rPr>
                <w:rFonts w:hint="eastAsia"/>
              </w:rPr>
            </w:pPr>
            <w:r>
              <w:rPr>
                <w:rFonts w:hint="eastAsia"/>
                <w:b/>
                <w:bCs/>
              </w:rPr>
              <w:t>（3）设施条件</w:t>
            </w:r>
            <w:r>
              <w:rPr>
                <w:rFonts w:hint="eastAsia"/>
              </w:rPr>
              <w:t>（3分）</w:t>
            </w:r>
          </w:p>
          <w:p>
            <w:pPr>
              <w:pStyle w:val="14"/>
              <w:spacing w:line="320" w:lineRule="exact"/>
              <w:jc w:val="left"/>
              <w:rPr>
                <w:rFonts w:hint="eastAsia"/>
              </w:rPr>
            </w:pPr>
            <w:r>
              <w:rPr>
                <w:rFonts w:hint="eastAsia" w:ascii="Calibri" w:hAnsi="Calibri" w:eastAsia="宋体"/>
                <w:sz w:val="21"/>
                <w:szCs w:val="21"/>
              </w:rPr>
              <w:t>必须提供能体现设施条件的现场照片，其余证明材料自行提供，优得3分、良得2分、一般得1分；</w:t>
            </w:r>
          </w:p>
        </w:tc>
        <w:tc>
          <w:tcPr>
            <w:tcW w:w="870" w:type="dxa"/>
            <w:shd w:val="clear" w:color="auto" w:fill="FFFFFF"/>
            <w:noWrap w:val="0"/>
            <w:vAlign w:val="center"/>
          </w:tcPr>
          <w:p>
            <w:pPr>
              <w:adjustRightInd w:val="0"/>
              <w:snapToGrid w:val="0"/>
              <w:spacing w:line="320" w:lineRule="exact"/>
              <w:jc w:val="center"/>
              <w:rPr>
                <w:rFonts w:hint="eastAsia"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687" w:type="dxa"/>
            <w:vMerge w:val="continue"/>
            <w:shd w:val="clear" w:color="auto" w:fill="FFFFFF"/>
            <w:noWrap w:val="0"/>
            <w:vAlign w:val="center"/>
          </w:tcPr>
          <w:p>
            <w:pPr>
              <w:adjustRightInd w:val="0"/>
              <w:snapToGrid w:val="0"/>
              <w:spacing w:line="320" w:lineRule="exact"/>
              <w:jc w:val="center"/>
              <w:rPr>
                <w:rFonts w:ascii="宋体" w:hAnsi="宋体" w:cs="仿宋_GB2312"/>
              </w:rPr>
            </w:pPr>
          </w:p>
        </w:tc>
        <w:tc>
          <w:tcPr>
            <w:tcW w:w="1337" w:type="dxa"/>
            <w:vMerge w:val="continue"/>
            <w:shd w:val="clear" w:color="auto" w:fill="FFFFFF"/>
            <w:noWrap w:val="0"/>
            <w:vAlign w:val="center"/>
          </w:tcPr>
          <w:p>
            <w:pPr>
              <w:adjustRightInd w:val="0"/>
              <w:snapToGrid w:val="0"/>
              <w:spacing w:line="320" w:lineRule="exact"/>
              <w:rPr>
                <w:rFonts w:ascii="宋体" w:hAnsi="宋体" w:cs="仿宋_GB2312"/>
              </w:rPr>
            </w:pPr>
          </w:p>
        </w:tc>
        <w:tc>
          <w:tcPr>
            <w:tcW w:w="7035" w:type="dxa"/>
            <w:shd w:val="clear" w:color="auto" w:fill="FFFFFF"/>
            <w:noWrap w:val="0"/>
            <w:vAlign w:val="center"/>
          </w:tcPr>
          <w:p>
            <w:pPr>
              <w:adjustRightInd w:val="0"/>
              <w:snapToGrid w:val="0"/>
              <w:spacing w:line="320" w:lineRule="exact"/>
              <w:jc w:val="left"/>
              <w:rPr>
                <w:rFonts w:hint="eastAsia"/>
              </w:rPr>
            </w:pPr>
            <w:r>
              <w:rPr>
                <w:rFonts w:hint="eastAsia"/>
                <w:b/>
                <w:bCs/>
              </w:rPr>
              <w:t>（4）技术力量</w:t>
            </w:r>
            <w:r>
              <w:rPr>
                <w:rFonts w:hint="eastAsia"/>
              </w:rPr>
              <w:t>（3分）</w:t>
            </w:r>
          </w:p>
          <w:p>
            <w:pPr>
              <w:pStyle w:val="14"/>
              <w:spacing w:line="320" w:lineRule="exact"/>
              <w:jc w:val="left"/>
              <w:rPr>
                <w:rFonts w:hint="eastAsia" w:ascii="Calibri" w:hAnsi="Calibri" w:eastAsia="宋体"/>
                <w:sz w:val="21"/>
                <w:szCs w:val="21"/>
              </w:rPr>
            </w:pPr>
            <w:r>
              <w:rPr>
                <w:rFonts w:hint="eastAsia" w:ascii="Calibri" w:hAnsi="Calibri" w:eastAsia="宋体"/>
                <w:sz w:val="21"/>
                <w:szCs w:val="21"/>
              </w:rPr>
              <w:t>本单位（以联合体形式的则以联合体牵头人为准）具有技术专家高级及以上职称证书1人（含）以上，每超过1人得1.5分，最高3分；</w:t>
            </w:r>
          </w:p>
          <w:p>
            <w:pPr>
              <w:pStyle w:val="14"/>
              <w:spacing w:line="320" w:lineRule="exact"/>
              <w:jc w:val="left"/>
              <w:rPr>
                <w:rFonts w:hint="eastAsia"/>
              </w:rPr>
            </w:pPr>
            <w:r>
              <w:rPr>
                <w:rFonts w:hint="eastAsia" w:ascii="Calibri" w:hAnsi="Calibri" w:eastAsia="宋体"/>
                <w:sz w:val="21"/>
                <w:szCs w:val="21"/>
              </w:rPr>
              <w:t>备注：外聘专家也予以加分。若为自有专家，提供有效的职称证书及劳动合同或社保证明材料；若为外聘，提供有效的职称证书及聘用证明材料。未提供或提供不全的不得分。</w:t>
            </w:r>
          </w:p>
        </w:tc>
        <w:tc>
          <w:tcPr>
            <w:tcW w:w="870" w:type="dxa"/>
            <w:shd w:val="clear" w:color="auto" w:fill="FFFFFF"/>
            <w:noWrap w:val="0"/>
            <w:vAlign w:val="center"/>
          </w:tcPr>
          <w:p>
            <w:pPr>
              <w:adjustRightInd w:val="0"/>
              <w:snapToGrid w:val="0"/>
              <w:spacing w:line="320" w:lineRule="exact"/>
              <w:jc w:val="center"/>
              <w:rPr>
                <w:rFonts w:ascii="宋体" w:hAnsi="宋体" w:cs="仿宋_GB2312"/>
              </w:rPr>
            </w:pPr>
            <w:r>
              <w:rPr>
                <w:rFonts w:hint="eastAsia" w:ascii="宋体" w:hAnsi="宋体" w:cs="仿宋_GB23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7" w:type="dxa"/>
            <w:vMerge w:val="continue"/>
            <w:shd w:val="clear" w:color="auto" w:fill="FFFFFF"/>
            <w:noWrap w:val="0"/>
            <w:vAlign w:val="center"/>
          </w:tcPr>
          <w:p>
            <w:pPr>
              <w:adjustRightInd w:val="0"/>
              <w:snapToGrid w:val="0"/>
              <w:spacing w:line="320" w:lineRule="exact"/>
              <w:jc w:val="center"/>
              <w:rPr>
                <w:rFonts w:hint="eastAsia" w:ascii="宋体" w:hAnsi="宋体" w:cs="仿宋_GB2312"/>
              </w:rPr>
            </w:pPr>
          </w:p>
        </w:tc>
        <w:tc>
          <w:tcPr>
            <w:tcW w:w="1337" w:type="dxa"/>
            <w:vMerge w:val="continue"/>
            <w:shd w:val="clear" w:color="auto" w:fill="FFFFFF"/>
            <w:noWrap w:val="0"/>
            <w:vAlign w:val="center"/>
          </w:tcPr>
          <w:p>
            <w:pPr>
              <w:adjustRightInd w:val="0"/>
              <w:snapToGrid w:val="0"/>
              <w:spacing w:line="320" w:lineRule="exact"/>
              <w:rPr>
                <w:rFonts w:ascii="宋体" w:hAnsi="宋体" w:cs="仿宋_GB2312"/>
              </w:rPr>
            </w:pPr>
          </w:p>
        </w:tc>
        <w:tc>
          <w:tcPr>
            <w:tcW w:w="7035" w:type="dxa"/>
            <w:shd w:val="clear" w:color="auto" w:fill="FFFFFF"/>
            <w:noWrap w:val="0"/>
            <w:vAlign w:val="center"/>
          </w:tcPr>
          <w:p>
            <w:pPr>
              <w:adjustRightInd w:val="0"/>
              <w:snapToGrid w:val="0"/>
              <w:spacing w:line="320" w:lineRule="exact"/>
              <w:jc w:val="left"/>
              <w:rPr>
                <w:rFonts w:hint="eastAsia"/>
              </w:rPr>
            </w:pPr>
            <w:r>
              <w:rPr>
                <w:rFonts w:hint="eastAsia"/>
                <w:b/>
                <w:bCs/>
              </w:rPr>
              <w:t>（5）科技成果</w:t>
            </w:r>
            <w:r>
              <w:rPr>
                <w:rFonts w:hint="eastAsia"/>
              </w:rPr>
              <w:t>（2分）</w:t>
            </w:r>
          </w:p>
          <w:p>
            <w:pPr>
              <w:pStyle w:val="14"/>
              <w:spacing w:line="320" w:lineRule="exact"/>
              <w:jc w:val="left"/>
            </w:pPr>
            <w:r>
              <w:rPr>
                <w:rFonts w:hint="eastAsia" w:ascii="Calibri" w:hAnsi="Calibri" w:eastAsia="宋体"/>
                <w:sz w:val="21"/>
                <w:szCs w:val="21"/>
              </w:rPr>
              <w:t>提供投标人（以联合体形式的则以联合体牵头人为准）与本标段增殖放流品种相关的奖项、研究文章、专利等，每提供一项加1分，本项最高2分。</w:t>
            </w:r>
          </w:p>
        </w:tc>
        <w:tc>
          <w:tcPr>
            <w:tcW w:w="870" w:type="dxa"/>
            <w:shd w:val="clear" w:color="auto" w:fill="FFFFFF"/>
            <w:noWrap w:val="0"/>
            <w:vAlign w:val="center"/>
          </w:tcPr>
          <w:p>
            <w:pPr>
              <w:adjustRightInd w:val="0"/>
              <w:snapToGrid w:val="0"/>
              <w:spacing w:line="320" w:lineRule="exact"/>
              <w:jc w:val="center"/>
              <w:rPr>
                <w:rFonts w:ascii="宋体" w:hAnsi="宋体" w:cs="仿宋_GB2312"/>
              </w:rPr>
            </w:pPr>
            <w:r>
              <w:rPr>
                <w:rFonts w:hint="eastAsia" w:ascii="宋体" w:hAnsi="宋体" w:cs="仿宋_GB231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87" w:type="dxa"/>
            <w:vMerge w:val="continue"/>
            <w:shd w:val="clear" w:color="auto" w:fill="FFFFFF"/>
            <w:noWrap w:val="0"/>
            <w:vAlign w:val="center"/>
          </w:tcPr>
          <w:p>
            <w:pPr>
              <w:adjustRightInd w:val="0"/>
              <w:snapToGrid w:val="0"/>
              <w:spacing w:line="320" w:lineRule="exact"/>
              <w:jc w:val="center"/>
              <w:rPr>
                <w:rFonts w:hint="eastAsia" w:ascii="宋体" w:hAnsi="宋体" w:cs="仿宋_GB2312"/>
              </w:rPr>
            </w:pPr>
          </w:p>
        </w:tc>
        <w:tc>
          <w:tcPr>
            <w:tcW w:w="1337" w:type="dxa"/>
            <w:vMerge w:val="continue"/>
            <w:shd w:val="clear" w:color="auto" w:fill="FFFFFF"/>
            <w:noWrap w:val="0"/>
            <w:vAlign w:val="center"/>
          </w:tcPr>
          <w:p>
            <w:pPr>
              <w:adjustRightInd w:val="0"/>
              <w:snapToGrid w:val="0"/>
              <w:spacing w:line="320" w:lineRule="exact"/>
              <w:jc w:val="center"/>
              <w:rPr>
                <w:rFonts w:hint="eastAsia" w:ascii="宋体" w:hAnsi="宋体" w:cs="仿宋_GB2312"/>
              </w:rPr>
            </w:pPr>
          </w:p>
        </w:tc>
        <w:tc>
          <w:tcPr>
            <w:tcW w:w="7035" w:type="dxa"/>
            <w:shd w:val="clear" w:color="auto" w:fill="FFFFFF"/>
            <w:noWrap w:val="0"/>
            <w:vAlign w:val="center"/>
          </w:tcPr>
          <w:p>
            <w:pPr>
              <w:pStyle w:val="20"/>
              <w:numPr>
                <w:ilvl w:val="0"/>
                <w:numId w:val="3"/>
              </w:numPr>
              <w:tabs>
                <w:tab w:val="left" w:pos="2340"/>
                <w:tab w:val="left" w:pos="3240"/>
                <w:tab w:val="left" w:pos="4860"/>
              </w:tabs>
              <w:spacing w:line="320" w:lineRule="exact"/>
              <w:ind w:firstLine="0" w:firstLineChars="0"/>
              <w:jc w:val="left"/>
              <w:rPr>
                <w:rFonts w:hint="eastAsia" w:ascii="Calibri" w:hAnsi="Calibri"/>
                <w:b/>
                <w:bCs/>
                <w:sz w:val="21"/>
                <w:highlight w:val="none"/>
              </w:rPr>
            </w:pPr>
            <w:r>
              <w:rPr>
                <w:rFonts w:hint="eastAsia" w:ascii="Calibri" w:hAnsi="Calibri"/>
                <w:b/>
                <w:bCs/>
                <w:sz w:val="21"/>
                <w:highlight w:val="none"/>
              </w:rPr>
              <w:t>增殖放流工作方案（4分）</w:t>
            </w:r>
          </w:p>
          <w:p>
            <w:pPr>
              <w:pStyle w:val="20"/>
              <w:tabs>
                <w:tab w:val="left" w:pos="2340"/>
                <w:tab w:val="left" w:pos="3240"/>
                <w:tab w:val="left" w:pos="4860"/>
              </w:tabs>
              <w:spacing w:line="320" w:lineRule="exact"/>
              <w:ind w:firstLine="0" w:firstLineChars="0"/>
              <w:jc w:val="left"/>
              <w:rPr>
                <w:rFonts w:hint="eastAsia"/>
              </w:rPr>
            </w:pPr>
            <w:r>
              <w:rPr>
                <w:rFonts w:hint="eastAsia" w:ascii="Calibri" w:hAnsi="Calibri"/>
                <w:sz w:val="21"/>
              </w:rPr>
              <w:t>项目组织实施方案及质量控制方案包含且不限于种苗质量、起水、运输、验收、放流实施等关键环节控制点及放流时间等保证措施等，优得</w:t>
            </w:r>
            <w:r>
              <w:rPr>
                <w:rFonts w:hint="eastAsia" w:ascii="Calibri" w:hAnsi="Calibri"/>
                <w:sz w:val="21"/>
                <w:lang w:val="en-US" w:eastAsia="zh-CN"/>
              </w:rPr>
              <w:t>4</w:t>
            </w:r>
            <w:r>
              <w:rPr>
                <w:rFonts w:hint="eastAsia" w:ascii="Calibri" w:hAnsi="Calibri"/>
                <w:sz w:val="21"/>
              </w:rPr>
              <w:t>分，良好得</w:t>
            </w:r>
            <w:r>
              <w:rPr>
                <w:rFonts w:hint="eastAsia" w:ascii="Calibri" w:hAnsi="Calibri"/>
                <w:sz w:val="21"/>
                <w:lang w:val="en-US" w:eastAsia="zh-CN"/>
              </w:rPr>
              <w:t>2</w:t>
            </w:r>
            <w:r>
              <w:rPr>
                <w:rFonts w:hint="eastAsia" w:ascii="Calibri" w:hAnsi="Calibri"/>
                <w:sz w:val="21"/>
              </w:rPr>
              <w:t>分，一般得</w:t>
            </w:r>
            <w:r>
              <w:rPr>
                <w:rFonts w:hint="eastAsia" w:ascii="Calibri" w:hAnsi="Calibri"/>
                <w:sz w:val="21"/>
                <w:lang w:val="en-US" w:eastAsia="zh-CN"/>
              </w:rPr>
              <w:t>1</w:t>
            </w:r>
            <w:r>
              <w:rPr>
                <w:rFonts w:hint="eastAsia" w:ascii="Calibri" w:hAnsi="Calibri"/>
                <w:sz w:val="21"/>
              </w:rPr>
              <w:t>分</w:t>
            </w:r>
            <w:bookmarkStart w:id="113" w:name="_GoBack"/>
            <w:bookmarkEnd w:id="113"/>
            <w:r>
              <w:rPr>
                <w:rFonts w:hint="eastAsia" w:ascii="Calibri" w:hAnsi="Calibri"/>
                <w:sz w:val="21"/>
              </w:rPr>
              <w:t>。</w:t>
            </w:r>
          </w:p>
        </w:tc>
        <w:tc>
          <w:tcPr>
            <w:tcW w:w="870" w:type="dxa"/>
            <w:shd w:val="clear" w:color="auto" w:fill="FFFFFF"/>
            <w:noWrap w:val="0"/>
            <w:vAlign w:val="center"/>
          </w:tcPr>
          <w:p>
            <w:pPr>
              <w:adjustRightInd w:val="0"/>
              <w:snapToGrid w:val="0"/>
              <w:spacing w:line="320" w:lineRule="exact"/>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7" w:type="dxa"/>
            <w:vMerge w:val="continue"/>
            <w:shd w:val="clear" w:color="auto" w:fill="FFFFFF"/>
            <w:noWrap w:val="0"/>
            <w:vAlign w:val="center"/>
          </w:tcPr>
          <w:p>
            <w:pPr>
              <w:adjustRightInd w:val="0"/>
              <w:snapToGrid w:val="0"/>
              <w:spacing w:line="320" w:lineRule="exact"/>
              <w:jc w:val="center"/>
              <w:rPr>
                <w:rFonts w:hint="eastAsia" w:ascii="宋体" w:hAnsi="宋体" w:cs="仿宋_GB2312"/>
              </w:rPr>
            </w:pPr>
          </w:p>
        </w:tc>
        <w:tc>
          <w:tcPr>
            <w:tcW w:w="1337" w:type="dxa"/>
            <w:vMerge w:val="continue"/>
            <w:shd w:val="clear" w:color="auto" w:fill="FFFFFF"/>
            <w:noWrap w:val="0"/>
            <w:vAlign w:val="center"/>
          </w:tcPr>
          <w:p>
            <w:pPr>
              <w:adjustRightInd w:val="0"/>
              <w:snapToGrid w:val="0"/>
              <w:spacing w:line="320" w:lineRule="exact"/>
              <w:jc w:val="center"/>
              <w:rPr>
                <w:rFonts w:hint="eastAsia" w:ascii="宋体" w:hAnsi="宋体" w:cs="仿宋_GB2312"/>
              </w:rPr>
            </w:pPr>
          </w:p>
        </w:tc>
        <w:tc>
          <w:tcPr>
            <w:tcW w:w="7035" w:type="dxa"/>
            <w:shd w:val="clear" w:color="auto" w:fill="FFFFFF"/>
            <w:noWrap w:val="0"/>
            <w:vAlign w:val="center"/>
          </w:tcPr>
          <w:p>
            <w:pPr>
              <w:spacing w:line="320" w:lineRule="exact"/>
              <w:jc w:val="left"/>
              <w:rPr>
                <w:rFonts w:hint="eastAsia"/>
                <w:b/>
                <w:bCs/>
              </w:rPr>
            </w:pPr>
            <w:r>
              <w:rPr>
                <w:rFonts w:hint="eastAsia"/>
                <w:b/>
                <w:bCs/>
              </w:rPr>
              <w:t>（7）放流业绩评审（6分）</w:t>
            </w:r>
          </w:p>
          <w:p>
            <w:pPr>
              <w:spacing w:line="320" w:lineRule="exact"/>
              <w:jc w:val="left"/>
              <w:rPr>
                <w:rFonts w:ascii="宋体" w:hAnsi="宋体" w:cs="宋体"/>
              </w:rPr>
            </w:pPr>
            <w:r>
              <w:rPr>
                <w:rFonts w:hint="eastAsia" w:ascii="宋体" w:hAnsi="宋体" w:cs="宋体"/>
              </w:rPr>
              <w:t>投标人（若采用联合体形式的，以联合体牵头人单位的业绩为准）2019年1月至今承担过类似业绩的（类似业绩指承接过的单项合同中包含一种或多种与所参与标段内放流品种一致的放流业绩），每有1个类似业绩得1分，本项最多6分。</w:t>
            </w:r>
          </w:p>
          <w:p>
            <w:pPr>
              <w:spacing w:line="320" w:lineRule="exact"/>
              <w:ind w:firstLine="422" w:firstLineChars="200"/>
              <w:jc w:val="left"/>
              <w:rPr>
                <w:rFonts w:hint="eastAsia"/>
              </w:rPr>
            </w:pPr>
            <w:r>
              <w:rPr>
                <w:rFonts w:hint="eastAsia" w:ascii="宋体" w:hAnsi="宋体" w:cs="宋体"/>
                <w:b/>
                <w:bCs/>
              </w:rPr>
              <w:t>备注：提供双方签订的放流业绩合同（时间以合同签订时间为准，同一合同仅计算一次），不提供不得分。</w:t>
            </w:r>
          </w:p>
        </w:tc>
        <w:tc>
          <w:tcPr>
            <w:tcW w:w="870" w:type="dxa"/>
            <w:shd w:val="clear" w:color="auto" w:fill="FFFFFF"/>
            <w:noWrap w:val="0"/>
            <w:vAlign w:val="center"/>
          </w:tcPr>
          <w:p>
            <w:pPr>
              <w:adjustRightInd w:val="0"/>
              <w:snapToGrid w:val="0"/>
              <w:spacing w:line="320" w:lineRule="exact"/>
              <w:jc w:val="center"/>
              <w:rPr>
                <w:rFonts w:ascii="宋体" w:hAnsi="宋体" w:cs="仿宋_GB2312"/>
              </w:rPr>
            </w:pPr>
            <w:r>
              <w:rPr>
                <w:rFonts w:hint="eastAsia" w:ascii="宋体" w:hAnsi="宋体" w:cs="仿宋_GB2312"/>
              </w:rPr>
              <w:t>6</w:t>
            </w:r>
          </w:p>
        </w:tc>
      </w:tr>
    </w:tbl>
    <w:p>
      <w:pPr>
        <w:spacing w:line="360" w:lineRule="auto"/>
        <w:ind w:firstLine="482" w:firstLineChars="200"/>
        <w:jc w:val="left"/>
        <w:rPr>
          <w:rFonts w:hint="eastAsia" w:ascii="宋体" w:hAnsi="宋体" w:cs="宋体"/>
          <w:szCs w:val="21"/>
          <w:highlight w:val="none"/>
        </w:rPr>
      </w:pPr>
      <w:r>
        <w:rPr>
          <w:rFonts w:ascii="宋体" w:hAnsi="宋体"/>
          <w:b/>
          <w:bCs/>
          <w:sz w:val="24"/>
          <w:highlight w:val="none"/>
        </w:rPr>
        <w:t>（四）</w:t>
      </w:r>
      <w:r>
        <w:rPr>
          <w:rFonts w:hint="eastAsia" w:ascii="宋体" w:hAnsi="宋体"/>
          <w:b/>
          <w:bCs/>
          <w:sz w:val="24"/>
          <w:highlight w:val="none"/>
        </w:rPr>
        <w:t>价格分：</w:t>
      </w:r>
      <w:r>
        <w:rPr>
          <w:rFonts w:hint="eastAsia" w:ascii="宋体" w:hAnsi="宋体"/>
          <w:b/>
          <w:bCs/>
          <w:sz w:val="24"/>
          <w:highlight w:val="none"/>
          <w:lang w:val="en-US" w:eastAsia="zh-CN"/>
        </w:rPr>
        <w:t>7</w:t>
      </w:r>
      <w:r>
        <w:rPr>
          <w:rFonts w:hint="eastAsia" w:ascii="宋体" w:hAnsi="宋体"/>
          <w:b/>
          <w:bCs/>
          <w:sz w:val="24"/>
          <w:highlight w:val="none"/>
        </w:rPr>
        <w:t>0</w:t>
      </w:r>
      <w:r>
        <w:rPr>
          <w:rFonts w:hint="eastAsia" w:ascii="宋体" w:hAnsi="宋体"/>
          <w:b/>
          <w:bCs/>
          <w:sz w:val="24"/>
          <w:highlight w:val="none"/>
          <w:lang w:val="zh-CN"/>
        </w:rPr>
        <w:t>分</w:t>
      </w:r>
    </w:p>
    <w:p>
      <w:pPr>
        <w:spacing w:line="360" w:lineRule="auto"/>
        <w:ind w:firstLine="480" w:firstLineChars="200"/>
        <w:jc w:val="left"/>
        <w:rPr>
          <w:rFonts w:hint="eastAsia" w:ascii="宋体" w:hAnsi="宋体"/>
          <w:sz w:val="24"/>
        </w:rPr>
      </w:pPr>
      <w:r>
        <w:rPr>
          <w:rFonts w:hint="eastAsia" w:ascii="宋体" w:hAnsi="宋体"/>
          <w:sz w:val="24"/>
        </w:rPr>
        <w:t>1、本项目的招标固定总价为：</w:t>
      </w:r>
    </w:p>
    <w:p>
      <w:pPr>
        <w:spacing w:line="360" w:lineRule="auto"/>
        <w:ind w:firstLine="480" w:firstLineChars="200"/>
        <w:jc w:val="left"/>
        <w:rPr>
          <w:rFonts w:hint="eastAsia" w:ascii="宋体" w:hAnsi="宋体"/>
          <w:sz w:val="24"/>
        </w:rPr>
      </w:pPr>
      <w:r>
        <w:rPr>
          <w:rFonts w:hint="eastAsia" w:ascii="宋体" w:hAnsi="宋体"/>
          <w:sz w:val="24"/>
        </w:rPr>
        <w:t>固定总价伍佰贰拾万（</w:t>
      </w:r>
      <w:r>
        <w:rPr>
          <w:rFonts w:hint="eastAsia"/>
          <w:sz w:val="24"/>
        </w:rPr>
        <w:t>520</w:t>
      </w:r>
      <w:r>
        <w:rPr>
          <w:sz w:val="24"/>
        </w:rPr>
        <w:t>万元</w:t>
      </w:r>
      <w:r>
        <w:rPr>
          <w:rFonts w:hint="eastAsia" w:ascii="宋体" w:hAnsi="宋体"/>
          <w:sz w:val="24"/>
        </w:rPr>
        <w:t>）；</w:t>
      </w:r>
    </w:p>
    <w:tbl>
      <w:tblPr>
        <w:tblStyle w:val="33"/>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90"/>
        <w:gridCol w:w="2800"/>
        <w:gridCol w:w="1155"/>
        <w:gridCol w:w="101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89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品种</w:t>
            </w:r>
          </w:p>
        </w:tc>
        <w:tc>
          <w:tcPr>
            <w:tcW w:w="2800"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实施内容</w:t>
            </w:r>
          </w:p>
        </w:tc>
        <w:tc>
          <w:tcPr>
            <w:tcW w:w="1155"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投资总额</w:t>
            </w:r>
          </w:p>
        </w:tc>
        <w:tc>
          <w:tcPr>
            <w:tcW w:w="1011"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最高限价</w:t>
            </w:r>
          </w:p>
        </w:tc>
        <w:tc>
          <w:tcPr>
            <w:tcW w:w="808" w:type="dxa"/>
            <w:noWrap/>
            <w:vAlign w:val="center"/>
          </w:tcPr>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放流</w:t>
            </w:r>
          </w:p>
          <w:p>
            <w:pPr>
              <w:tabs>
                <w:tab w:val="left" w:pos="3120"/>
              </w:tabs>
              <w:spacing w:line="280" w:lineRule="exact"/>
              <w:jc w:val="center"/>
              <w:rPr>
                <w:rFonts w:ascii="宋体" w:hAnsi="宋体" w:cs="宋体"/>
                <w:sz w:val="18"/>
                <w:szCs w:val="18"/>
                <w:highlight w:val="none"/>
              </w:rPr>
            </w:pPr>
            <w:r>
              <w:rPr>
                <w:rFonts w:hint="eastAsia" w:ascii="宋体" w:hAnsi="宋体" w:cs="宋体"/>
                <w:sz w:val="18"/>
                <w:szCs w:val="1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大黄鱼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restart"/>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2024年完成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黑鲷</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189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菊黄东方鲀</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全长2cm以上，≥64万尾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160万元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2.5元/尾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1890" w:type="dxa"/>
            <w:noWrap/>
            <w:vAlign w:val="center"/>
          </w:tcPr>
          <w:p>
            <w:pPr>
              <w:tabs>
                <w:tab w:val="left" w:pos="3120"/>
              </w:tabs>
              <w:adjustRightInd w:val="0"/>
              <w:snapToGrid w:val="0"/>
              <w:spacing w:line="300" w:lineRule="exact"/>
              <w:jc w:val="center"/>
              <w:rPr>
                <w:rFonts w:hint="eastAsia" w:ascii="宋体" w:hAnsi="宋体" w:cs="宋体"/>
                <w:sz w:val="18"/>
                <w:szCs w:val="18"/>
                <w:highlight w:val="none"/>
              </w:rPr>
            </w:pPr>
            <w:r>
              <w:rPr>
                <w:rFonts w:hint="eastAsia" w:ascii="宋体" w:hAnsi="宋体" w:cs="宋体"/>
                <w:sz w:val="18"/>
                <w:szCs w:val="18"/>
                <w:highlight w:val="none"/>
              </w:rPr>
              <w:t>黄姑鱼</w:t>
            </w:r>
          </w:p>
        </w:tc>
        <w:tc>
          <w:tcPr>
            <w:tcW w:w="2800"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全长5cm以上，≥240万尾</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120万元</w:t>
            </w:r>
          </w:p>
        </w:tc>
        <w:tc>
          <w:tcPr>
            <w:tcW w:w="1011" w:type="dxa"/>
            <w:noWrap/>
            <w:vAlign w:val="center"/>
          </w:tcPr>
          <w:p>
            <w:pPr>
              <w:tabs>
                <w:tab w:val="left" w:pos="3120"/>
              </w:tabs>
              <w:spacing w:line="300" w:lineRule="exact"/>
              <w:jc w:val="center"/>
              <w:rPr>
                <w:rFonts w:ascii="宋体" w:hAnsi="宋体" w:cs="宋体"/>
                <w:sz w:val="18"/>
                <w:szCs w:val="18"/>
                <w:highlight w:val="none"/>
              </w:rPr>
            </w:pPr>
            <w:r>
              <w:rPr>
                <w:rFonts w:hint="eastAsia" w:ascii="宋体" w:hAnsi="宋体" w:cs="宋体"/>
                <w:sz w:val="18"/>
                <w:szCs w:val="18"/>
                <w:highlight w:val="none"/>
              </w:rPr>
              <w:t>0.5元/尾</w:t>
            </w:r>
          </w:p>
        </w:tc>
        <w:tc>
          <w:tcPr>
            <w:tcW w:w="808" w:type="dxa"/>
            <w:vMerge w:val="continue"/>
            <w:noWrap/>
            <w:vAlign w:val="center"/>
          </w:tcPr>
          <w:p>
            <w:pPr>
              <w:tabs>
                <w:tab w:val="left" w:pos="3120"/>
              </w:tabs>
              <w:spacing w:line="30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18"/>
                <w:szCs w:val="18"/>
                <w:highlight w:val="none"/>
              </w:rPr>
            </w:pPr>
          </w:p>
        </w:tc>
        <w:tc>
          <w:tcPr>
            <w:tcW w:w="4690" w:type="dxa"/>
            <w:gridSpan w:val="2"/>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155" w:type="dxa"/>
            <w:noWrap/>
            <w:vAlign w:val="center"/>
          </w:tcPr>
          <w:p>
            <w:pPr>
              <w:tabs>
                <w:tab w:val="left" w:pos="3120"/>
              </w:tabs>
              <w:adjustRightInd w:val="0"/>
              <w:snapToGrid w:val="0"/>
              <w:spacing w:line="300" w:lineRule="exact"/>
              <w:jc w:val="center"/>
              <w:rPr>
                <w:rFonts w:ascii="宋体" w:hAnsi="宋体" w:cs="宋体"/>
                <w:sz w:val="18"/>
                <w:szCs w:val="18"/>
                <w:highlight w:val="none"/>
              </w:rPr>
            </w:pPr>
            <w:r>
              <w:rPr>
                <w:rFonts w:hint="eastAsia" w:ascii="宋体" w:hAnsi="宋体" w:cs="宋体"/>
                <w:sz w:val="18"/>
                <w:szCs w:val="18"/>
                <w:highlight w:val="none"/>
              </w:rPr>
              <w:t>520万</w:t>
            </w:r>
          </w:p>
        </w:tc>
        <w:tc>
          <w:tcPr>
            <w:tcW w:w="1011" w:type="dxa"/>
            <w:noWrap/>
            <w:vAlign w:val="center"/>
          </w:tcPr>
          <w:p>
            <w:pPr>
              <w:tabs>
                <w:tab w:val="left" w:pos="3120"/>
              </w:tabs>
              <w:spacing w:line="300" w:lineRule="exact"/>
              <w:jc w:val="center"/>
              <w:rPr>
                <w:rFonts w:ascii="宋体" w:hAnsi="宋体" w:cs="宋体"/>
                <w:sz w:val="18"/>
                <w:szCs w:val="18"/>
                <w:highlight w:val="none"/>
              </w:rPr>
            </w:pPr>
          </w:p>
        </w:tc>
        <w:tc>
          <w:tcPr>
            <w:tcW w:w="808" w:type="dxa"/>
            <w:noWrap/>
            <w:vAlign w:val="center"/>
          </w:tcPr>
          <w:p>
            <w:pPr>
              <w:tabs>
                <w:tab w:val="left" w:pos="3120"/>
              </w:tabs>
              <w:spacing w:line="300" w:lineRule="exact"/>
              <w:jc w:val="center"/>
              <w:rPr>
                <w:rFonts w:ascii="宋体" w:hAnsi="宋体" w:cs="宋体"/>
                <w:sz w:val="18"/>
                <w:szCs w:val="18"/>
                <w:highlight w:val="none"/>
              </w:rPr>
            </w:pPr>
          </w:p>
        </w:tc>
      </w:tr>
    </w:tbl>
    <w:p>
      <w:pPr>
        <w:spacing w:line="360" w:lineRule="auto"/>
        <w:ind w:firstLine="480"/>
        <w:jc w:val="left"/>
        <w:rPr>
          <w:rFonts w:hint="eastAsia" w:ascii="宋体" w:hAnsi="宋体"/>
          <w:bCs/>
          <w:sz w:val="24"/>
          <w:highlight w:val="none"/>
        </w:rPr>
      </w:pPr>
      <w:r>
        <w:rPr>
          <w:rFonts w:hint="eastAsia" w:ascii="宋体" w:hAnsi="宋体"/>
          <w:bCs/>
          <w:sz w:val="24"/>
          <w:highlight w:val="none"/>
        </w:rPr>
        <w:t>确定有效报价：有效报价是指有效投标供应商各苗种投标单价低于或等于采购人设定的招标最高限价（单价），投标单价高于相应苗种招标最高限价（单价）的为无效报价，作废标处理。如投标供应商的投标报价明显低于其企业成本价的，经评标委员会评审，可认定为废标处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(2)计算投标报价得分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一）本项目招标为固定总价方式，评标价格以各投标苗种单价得分为计算标准。满足招标文件要求且各苗种投标单价最低的有效报价为评标基准价，其价格分为该分项满分。其他供应商的价格分统一按照下列公式计算：</w:t>
      </w:r>
    </w:p>
    <w:p>
      <w:pPr>
        <w:spacing w:line="360" w:lineRule="auto"/>
        <w:ind w:firstLine="480"/>
        <w:jc w:val="left"/>
        <w:rPr>
          <w:rFonts w:hint="eastAsia" w:ascii="宋体" w:hAnsi="宋体"/>
          <w:bCs/>
          <w:sz w:val="24"/>
          <w:highlight w:val="none"/>
        </w:rPr>
      </w:pPr>
      <w:r>
        <w:rPr>
          <w:rFonts w:hint="eastAsia" w:ascii="宋体" w:hAnsi="宋体"/>
          <w:bCs/>
          <w:sz w:val="24"/>
          <w:highlight w:val="none"/>
        </w:rPr>
        <w:t>各苗种投标报价得分=（评标基准价/投标单价）×70×得分占比（得分四舍五入保留两位小数）</w:t>
      </w:r>
    </w:p>
    <w:p>
      <w:pPr>
        <w:spacing w:line="360" w:lineRule="auto"/>
        <w:ind w:firstLine="480"/>
        <w:jc w:val="left"/>
        <w:rPr>
          <w:rFonts w:hint="eastAsia" w:ascii="宋体" w:hAnsi="宋体"/>
          <w:bCs/>
          <w:sz w:val="24"/>
          <w:highlight w:val="none"/>
        </w:rPr>
      </w:pPr>
      <w:r>
        <w:rPr>
          <w:rFonts w:hint="eastAsia" w:ascii="宋体" w:hAnsi="宋体"/>
          <w:bCs/>
          <w:sz w:val="24"/>
          <w:highlight w:val="none"/>
        </w:rPr>
        <w:t>评标价格得分=各苗种投标报价得分之和（共4个苗种）</w:t>
      </w:r>
    </w:p>
    <w:p>
      <w:pPr>
        <w:spacing w:line="360" w:lineRule="auto"/>
        <w:ind w:firstLine="480"/>
        <w:jc w:val="left"/>
        <w:rPr>
          <w:rFonts w:hint="eastAsia" w:ascii="宋体" w:hAnsi="宋体"/>
          <w:bCs/>
          <w:sz w:val="24"/>
          <w:highlight w:val="none"/>
        </w:rPr>
      </w:pPr>
      <w:r>
        <w:rPr>
          <w:rFonts w:hint="eastAsia" w:ascii="宋体" w:hAnsi="宋体"/>
          <w:bCs/>
          <w:sz w:val="24"/>
          <w:highlight w:val="none"/>
        </w:rPr>
        <w:t>(二）各苗种分项得分按照各苗种固定价格所占比例进行打分，比例如下：</w:t>
      </w:r>
    </w:p>
    <w:tbl>
      <w:tblPr>
        <w:tblStyle w:val="33"/>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187"/>
        <w:gridCol w:w="1740"/>
        <w:gridCol w:w="1843"/>
        <w:gridCol w:w="2028"/>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noWrap/>
            <w:vAlign w:val="center"/>
          </w:tcPr>
          <w:p>
            <w:pPr>
              <w:spacing w:line="360" w:lineRule="auto"/>
              <w:jc w:val="left"/>
              <w:rPr>
                <w:rFonts w:hint="eastAsia" w:ascii="宋体" w:hAnsi="宋体" w:eastAsia="宋体"/>
                <w:bCs/>
                <w:sz w:val="21"/>
                <w:szCs w:val="21"/>
                <w:highlight w:val="none"/>
                <w:lang w:val="en-US" w:eastAsia="zh-CN"/>
              </w:rPr>
            </w:pPr>
            <w:r>
              <w:rPr>
                <w:rFonts w:hint="eastAsia" w:ascii="宋体" w:hAnsi="宋体"/>
                <w:bCs/>
                <w:sz w:val="21"/>
                <w:szCs w:val="21"/>
                <w:highlight w:val="none"/>
                <w:lang w:val="en-US" w:eastAsia="zh-CN"/>
              </w:rPr>
              <w:t>序号</w:t>
            </w:r>
          </w:p>
        </w:tc>
        <w:tc>
          <w:tcPr>
            <w:tcW w:w="1187" w:type="dxa"/>
            <w:noWrap/>
            <w:vAlign w:val="center"/>
          </w:tcPr>
          <w:p>
            <w:pPr>
              <w:spacing w:line="360" w:lineRule="auto"/>
              <w:jc w:val="center"/>
              <w:rPr>
                <w:rFonts w:ascii="宋体" w:hAnsi="宋体"/>
                <w:bCs/>
                <w:sz w:val="21"/>
                <w:szCs w:val="21"/>
                <w:highlight w:val="none"/>
              </w:rPr>
            </w:pPr>
            <w:r>
              <w:rPr>
                <w:rFonts w:hint="eastAsia" w:ascii="宋体" w:hAnsi="宋体"/>
                <w:bCs/>
                <w:sz w:val="21"/>
                <w:szCs w:val="21"/>
                <w:highlight w:val="none"/>
              </w:rPr>
              <w:t>品种</w:t>
            </w:r>
          </w:p>
        </w:tc>
        <w:tc>
          <w:tcPr>
            <w:tcW w:w="1740" w:type="dxa"/>
            <w:noWrap/>
            <w:vAlign w:val="center"/>
          </w:tcPr>
          <w:p>
            <w:pPr>
              <w:spacing w:line="360" w:lineRule="auto"/>
              <w:jc w:val="center"/>
              <w:rPr>
                <w:rFonts w:ascii="宋体" w:hAnsi="宋体"/>
                <w:bCs/>
                <w:sz w:val="21"/>
                <w:szCs w:val="21"/>
                <w:highlight w:val="none"/>
              </w:rPr>
            </w:pPr>
            <w:r>
              <w:rPr>
                <w:rFonts w:hint="eastAsia" w:ascii="宋体" w:hAnsi="宋体"/>
                <w:bCs/>
                <w:sz w:val="21"/>
                <w:szCs w:val="21"/>
                <w:highlight w:val="none"/>
              </w:rPr>
              <w:t>实施内容</w:t>
            </w:r>
          </w:p>
        </w:tc>
        <w:tc>
          <w:tcPr>
            <w:tcW w:w="1843" w:type="dxa"/>
            <w:noWrap/>
            <w:vAlign w:val="center"/>
          </w:tcPr>
          <w:p>
            <w:pPr>
              <w:spacing w:line="360" w:lineRule="auto"/>
              <w:jc w:val="center"/>
              <w:rPr>
                <w:rFonts w:hint="eastAsia" w:ascii="宋体" w:hAnsi="宋体"/>
                <w:bCs/>
                <w:sz w:val="21"/>
                <w:szCs w:val="21"/>
                <w:highlight w:val="none"/>
              </w:rPr>
            </w:pPr>
            <w:r>
              <w:rPr>
                <w:rFonts w:hint="eastAsia" w:ascii="宋体" w:hAnsi="宋体"/>
                <w:bCs/>
                <w:sz w:val="21"/>
                <w:szCs w:val="21"/>
                <w:highlight w:val="none"/>
              </w:rPr>
              <w:t>招标控制数量</w:t>
            </w:r>
          </w:p>
        </w:tc>
        <w:tc>
          <w:tcPr>
            <w:tcW w:w="2028" w:type="dxa"/>
            <w:noWrap/>
            <w:vAlign w:val="center"/>
          </w:tcPr>
          <w:p>
            <w:pPr>
              <w:spacing w:line="360" w:lineRule="auto"/>
              <w:jc w:val="center"/>
              <w:rPr>
                <w:rFonts w:ascii="宋体" w:hAnsi="宋体"/>
                <w:bCs/>
                <w:sz w:val="21"/>
                <w:szCs w:val="21"/>
                <w:highlight w:val="none"/>
              </w:rPr>
            </w:pPr>
            <w:r>
              <w:rPr>
                <w:rFonts w:hint="eastAsia" w:ascii="宋体" w:hAnsi="宋体"/>
                <w:bCs/>
                <w:sz w:val="21"/>
                <w:szCs w:val="21"/>
                <w:highlight w:val="none"/>
              </w:rPr>
              <w:t>投资总额（固定不变）</w:t>
            </w:r>
          </w:p>
        </w:tc>
        <w:tc>
          <w:tcPr>
            <w:tcW w:w="1041" w:type="dxa"/>
            <w:noWrap/>
            <w:vAlign w:val="center"/>
          </w:tcPr>
          <w:p>
            <w:pPr>
              <w:spacing w:line="360" w:lineRule="auto"/>
              <w:jc w:val="center"/>
              <w:rPr>
                <w:rFonts w:hint="eastAsia" w:ascii="宋体" w:hAnsi="宋体"/>
                <w:bCs/>
                <w:sz w:val="21"/>
                <w:szCs w:val="21"/>
                <w:highlight w:val="none"/>
              </w:rPr>
            </w:pPr>
            <w:r>
              <w:rPr>
                <w:rFonts w:hint="eastAsia" w:ascii="宋体" w:hAnsi="宋体"/>
                <w:bCs/>
                <w:sz w:val="21"/>
                <w:szCs w:val="21"/>
                <w:highlight w:val="none"/>
              </w:rPr>
              <w:t>得分占比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6"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1</w:t>
            </w:r>
          </w:p>
        </w:tc>
        <w:tc>
          <w:tcPr>
            <w:tcW w:w="1187"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大黄鱼</w:t>
            </w:r>
          </w:p>
        </w:tc>
        <w:tc>
          <w:tcPr>
            <w:tcW w:w="1740"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全长5cm以上</w:t>
            </w:r>
          </w:p>
        </w:tc>
        <w:tc>
          <w:tcPr>
            <w:tcW w:w="1843" w:type="dxa"/>
            <w:noWrap/>
            <w:vAlign w:val="center"/>
          </w:tcPr>
          <w:p>
            <w:pPr>
              <w:spacing w:line="360" w:lineRule="auto"/>
              <w:ind w:firstLine="480"/>
              <w:jc w:val="left"/>
              <w:rPr>
                <w:rFonts w:hint="eastAsia" w:ascii="宋体" w:hAnsi="宋体"/>
                <w:bCs/>
                <w:sz w:val="21"/>
                <w:szCs w:val="21"/>
                <w:highlight w:val="none"/>
              </w:rPr>
            </w:pPr>
            <w:r>
              <w:rPr>
                <w:rFonts w:hint="eastAsia" w:ascii="宋体" w:hAnsi="宋体"/>
                <w:bCs/>
                <w:sz w:val="21"/>
                <w:szCs w:val="21"/>
                <w:highlight w:val="none"/>
              </w:rPr>
              <w:t>≥240万尾</w:t>
            </w:r>
          </w:p>
        </w:tc>
        <w:tc>
          <w:tcPr>
            <w:tcW w:w="2028"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120万元</w:t>
            </w:r>
          </w:p>
        </w:tc>
        <w:tc>
          <w:tcPr>
            <w:tcW w:w="1041"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120/520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2</w:t>
            </w:r>
          </w:p>
        </w:tc>
        <w:tc>
          <w:tcPr>
            <w:tcW w:w="1187"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黑鲷</w:t>
            </w:r>
          </w:p>
        </w:tc>
        <w:tc>
          <w:tcPr>
            <w:tcW w:w="1740"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全长5cm以上</w:t>
            </w:r>
          </w:p>
        </w:tc>
        <w:tc>
          <w:tcPr>
            <w:tcW w:w="1843" w:type="dxa"/>
            <w:noWrap/>
            <w:vAlign w:val="center"/>
          </w:tcPr>
          <w:p>
            <w:pPr>
              <w:spacing w:line="360" w:lineRule="auto"/>
              <w:ind w:firstLine="480"/>
              <w:jc w:val="left"/>
              <w:rPr>
                <w:rFonts w:hint="eastAsia" w:ascii="宋体" w:hAnsi="宋体"/>
                <w:bCs/>
                <w:sz w:val="21"/>
                <w:szCs w:val="21"/>
                <w:highlight w:val="none"/>
              </w:rPr>
            </w:pPr>
            <w:r>
              <w:rPr>
                <w:rFonts w:hint="eastAsia" w:ascii="宋体" w:hAnsi="宋体"/>
                <w:bCs/>
                <w:sz w:val="21"/>
                <w:szCs w:val="21"/>
                <w:highlight w:val="none"/>
              </w:rPr>
              <w:t>≥240万尾</w:t>
            </w:r>
          </w:p>
        </w:tc>
        <w:tc>
          <w:tcPr>
            <w:tcW w:w="2028"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120万元</w:t>
            </w:r>
          </w:p>
        </w:tc>
        <w:tc>
          <w:tcPr>
            <w:tcW w:w="1041"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120/520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3</w:t>
            </w:r>
          </w:p>
        </w:tc>
        <w:tc>
          <w:tcPr>
            <w:tcW w:w="1187"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菊黄东方鲀</w:t>
            </w:r>
          </w:p>
        </w:tc>
        <w:tc>
          <w:tcPr>
            <w:tcW w:w="1740"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全长2cm以上</w:t>
            </w:r>
          </w:p>
        </w:tc>
        <w:tc>
          <w:tcPr>
            <w:tcW w:w="1843" w:type="dxa"/>
            <w:noWrap/>
            <w:vAlign w:val="center"/>
          </w:tcPr>
          <w:p>
            <w:pPr>
              <w:spacing w:line="360" w:lineRule="auto"/>
              <w:ind w:firstLine="480"/>
              <w:jc w:val="left"/>
              <w:rPr>
                <w:rFonts w:hint="eastAsia" w:ascii="宋体" w:hAnsi="宋体"/>
                <w:bCs/>
                <w:sz w:val="21"/>
                <w:szCs w:val="21"/>
                <w:highlight w:val="none"/>
              </w:rPr>
            </w:pPr>
            <w:r>
              <w:rPr>
                <w:rFonts w:hint="eastAsia" w:ascii="宋体" w:hAnsi="宋体"/>
                <w:bCs/>
                <w:sz w:val="21"/>
                <w:szCs w:val="21"/>
                <w:highlight w:val="none"/>
              </w:rPr>
              <w:t>≥64万尾</w:t>
            </w:r>
          </w:p>
        </w:tc>
        <w:tc>
          <w:tcPr>
            <w:tcW w:w="2028"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160万元</w:t>
            </w:r>
          </w:p>
        </w:tc>
        <w:tc>
          <w:tcPr>
            <w:tcW w:w="1041"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160/520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4</w:t>
            </w:r>
          </w:p>
        </w:tc>
        <w:tc>
          <w:tcPr>
            <w:tcW w:w="1187" w:type="dxa"/>
            <w:noWrap/>
            <w:vAlign w:val="center"/>
          </w:tcPr>
          <w:p>
            <w:pPr>
              <w:spacing w:line="360" w:lineRule="auto"/>
              <w:jc w:val="left"/>
              <w:rPr>
                <w:rFonts w:hint="eastAsia" w:ascii="宋体" w:hAnsi="宋体"/>
                <w:bCs/>
                <w:sz w:val="21"/>
                <w:szCs w:val="21"/>
                <w:highlight w:val="none"/>
              </w:rPr>
            </w:pPr>
            <w:r>
              <w:rPr>
                <w:rFonts w:hint="eastAsia" w:ascii="宋体" w:hAnsi="宋体"/>
                <w:bCs/>
                <w:sz w:val="21"/>
                <w:szCs w:val="21"/>
                <w:highlight w:val="none"/>
              </w:rPr>
              <w:t>黄姑鱼</w:t>
            </w:r>
          </w:p>
        </w:tc>
        <w:tc>
          <w:tcPr>
            <w:tcW w:w="1740"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全长5cm以上</w:t>
            </w:r>
          </w:p>
        </w:tc>
        <w:tc>
          <w:tcPr>
            <w:tcW w:w="1843" w:type="dxa"/>
            <w:noWrap/>
            <w:vAlign w:val="center"/>
          </w:tcPr>
          <w:p>
            <w:pPr>
              <w:spacing w:line="360" w:lineRule="auto"/>
              <w:ind w:firstLine="480"/>
              <w:jc w:val="left"/>
              <w:rPr>
                <w:rFonts w:hint="eastAsia" w:ascii="宋体" w:hAnsi="宋体"/>
                <w:bCs/>
                <w:sz w:val="21"/>
                <w:szCs w:val="21"/>
                <w:highlight w:val="none"/>
              </w:rPr>
            </w:pPr>
            <w:r>
              <w:rPr>
                <w:rFonts w:hint="eastAsia" w:ascii="宋体" w:hAnsi="宋体"/>
                <w:bCs/>
                <w:sz w:val="21"/>
                <w:szCs w:val="21"/>
                <w:highlight w:val="none"/>
              </w:rPr>
              <w:t>≥240万尾</w:t>
            </w:r>
          </w:p>
        </w:tc>
        <w:tc>
          <w:tcPr>
            <w:tcW w:w="2028" w:type="dxa"/>
            <w:noWrap/>
            <w:vAlign w:val="center"/>
          </w:tcPr>
          <w:p>
            <w:pPr>
              <w:spacing w:line="360" w:lineRule="auto"/>
              <w:ind w:firstLine="480"/>
              <w:jc w:val="left"/>
              <w:rPr>
                <w:rFonts w:ascii="宋体" w:hAnsi="宋体"/>
                <w:bCs/>
                <w:sz w:val="21"/>
                <w:szCs w:val="21"/>
                <w:highlight w:val="none"/>
              </w:rPr>
            </w:pPr>
            <w:r>
              <w:rPr>
                <w:rFonts w:hint="eastAsia" w:ascii="宋体" w:hAnsi="宋体"/>
                <w:bCs/>
                <w:sz w:val="21"/>
                <w:szCs w:val="21"/>
                <w:highlight w:val="none"/>
              </w:rPr>
              <w:t>120万元</w:t>
            </w:r>
          </w:p>
        </w:tc>
        <w:tc>
          <w:tcPr>
            <w:tcW w:w="1041" w:type="dxa"/>
            <w:noWrap/>
            <w:vAlign w:val="center"/>
          </w:tcPr>
          <w:p>
            <w:pPr>
              <w:spacing w:line="360" w:lineRule="auto"/>
              <w:jc w:val="left"/>
              <w:rPr>
                <w:rFonts w:ascii="宋体" w:hAnsi="宋体"/>
                <w:bCs/>
                <w:sz w:val="21"/>
                <w:szCs w:val="21"/>
                <w:highlight w:val="none"/>
              </w:rPr>
            </w:pPr>
            <w:r>
              <w:rPr>
                <w:rFonts w:hint="eastAsia" w:ascii="宋体" w:hAnsi="宋体"/>
                <w:bCs/>
                <w:sz w:val="21"/>
                <w:szCs w:val="21"/>
                <w:highlight w:val="none"/>
              </w:rPr>
              <w:t>120/520</w:t>
            </w:r>
          </w:p>
        </w:tc>
      </w:tr>
    </w:tbl>
    <w:p>
      <w:pPr>
        <w:spacing w:line="360" w:lineRule="auto"/>
        <w:ind w:firstLine="480"/>
        <w:jc w:val="left"/>
        <w:rPr>
          <w:rFonts w:hint="eastAsia" w:ascii="宋体" w:hAnsi="宋体"/>
          <w:bCs/>
          <w:sz w:val="24"/>
          <w:highlight w:val="none"/>
        </w:rPr>
      </w:pPr>
      <w:r>
        <w:rPr>
          <w:rFonts w:hint="eastAsia" w:ascii="宋体" w:hAnsi="宋体"/>
          <w:bCs/>
          <w:sz w:val="24"/>
          <w:highlight w:val="none"/>
        </w:rPr>
        <w:t>（得分四舍五入保留两位小数）</w:t>
      </w:r>
    </w:p>
    <w:p>
      <w:pPr>
        <w:spacing w:line="360" w:lineRule="auto"/>
        <w:ind w:firstLine="480"/>
        <w:jc w:val="left"/>
        <w:rPr>
          <w:rFonts w:hint="eastAsia" w:ascii="宋体" w:hAnsi="宋体"/>
          <w:bCs/>
          <w:sz w:val="24"/>
          <w:highlight w:val="none"/>
        </w:rPr>
      </w:pPr>
      <w:r>
        <w:rPr>
          <w:rFonts w:hint="eastAsia" w:ascii="宋体" w:hAnsi="宋体"/>
          <w:bCs/>
          <w:sz w:val="24"/>
          <w:highlight w:val="none"/>
        </w:rPr>
        <w:t>评标委员会在评标报告上签字后，上述方法的评标基准价不因招投标当事人质疑、投诉、复议以及其他任何情形而改变</w:t>
      </w:r>
      <w:r>
        <w:rPr>
          <w:rFonts w:ascii="宋体" w:hAnsi="宋体"/>
          <w:bCs/>
          <w:sz w:val="24"/>
          <w:highlight w:val="none"/>
        </w:rPr>
        <w:t>(</w:t>
      </w:r>
      <w:r>
        <w:rPr>
          <w:rFonts w:hint="eastAsia" w:ascii="宋体" w:hAnsi="宋体"/>
          <w:bCs/>
          <w:sz w:val="24"/>
          <w:highlight w:val="none"/>
        </w:rPr>
        <w:t>评标过程中的计算错误可作调整</w:t>
      </w:r>
      <w:r>
        <w:rPr>
          <w:rFonts w:ascii="宋体" w:hAnsi="宋体"/>
          <w:bCs/>
          <w:sz w:val="24"/>
          <w:highlight w:val="none"/>
        </w:rPr>
        <w:t>)</w:t>
      </w:r>
      <w:r>
        <w:rPr>
          <w:rFonts w:hint="eastAsia" w:ascii="宋体" w:hAnsi="宋体"/>
          <w:bCs/>
          <w:sz w:val="24"/>
          <w:highlight w:val="none"/>
        </w:rPr>
        <w:t>。</w:t>
      </w:r>
    </w:p>
    <w:p>
      <w:pPr>
        <w:spacing w:line="360" w:lineRule="auto"/>
        <w:ind w:firstLine="480"/>
        <w:jc w:val="left"/>
        <w:rPr>
          <w:rFonts w:hint="eastAsia" w:ascii="宋体" w:hAnsi="宋体"/>
          <w:bCs/>
          <w:sz w:val="24"/>
          <w:highlight w:val="none"/>
        </w:rPr>
      </w:pPr>
      <w:r>
        <w:rPr>
          <w:rFonts w:hint="eastAsia" w:ascii="宋体" w:hAnsi="宋体"/>
          <w:bCs/>
          <w:sz w:val="24"/>
          <w:highlight w:val="none"/>
        </w:rPr>
        <w:t>（三）评标时评委对评标细则若有争议，由评标委员会评委集体讨论确定，并对未尽情况有最终解释权。</w:t>
      </w:r>
    </w:p>
    <w:p>
      <w:pPr>
        <w:spacing w:line="360" w:lineRule="auto"/>
        <w:ind w:firstLine="480"/>
        <w:jc w:val="left"/>
        <w:rPr>
          <w:rFonts w:hint="eastAsia" w:ascii="宋体" w:hAnsi="宋体"/>
          <w:bCs/>
          <w:sz w:val="24"/>
          <w:highlight w:val="none"/>
        </w:rPr>
      </w:pPr>
      <w:r>
        <w:rPr>
          <w:rFonts w:hint="eastAsia" w:ascii="宋体" w:hAnsi="宋体"/>
          <w:bCs/>
          <w:sz w:val="24"/>
          <w:highlight w:val="none"/>
        </w:rPr>
        <w:t>评标过程中出现本评标办法未尽事宜，由评标委员会根据有关法律、法规讨论决定。</w:t>
      </w:r>
    </w:p>
    <w:p>
      <w:pPr>
        <w:spacing w:line="360" w:lineRule="auto"/>
        <w:ind w:firstLine="480"/>
        <w:jc w:val="left"/>
        <w:rPr>
          <w:rFonts w:hint="eastAsia" w:ascii="宋体" w:hAnsi="宋体"/>
          <w:bCs/>
          <w:sz w:val="24"/>
          <w:highlight w:val="none"/>
        </w:rPr>
      </w:pPr>
      <w:r>
        <w:rPr>
          <w:rFonts w:hint="eastAsia" w:ascii="宋体" w:hAnsi="宋体"/>
          <w:bCs/>
          <w:sz w:val="24"/>
          <w:highlight w:val="none"/>
        </w:rPr>
        <w:t>开标结束后，采购单位有权对中标候选人进行实地核查，对其投标响应文件中提供的设施条件、育苗能力、科技成果、业绩等各方面的情况进行核实，如有虚假将取消该单位中标资格。</w:t>
      </w:r>
    </w:p>
    <w:p>
      <w:pPr>
        <w:spacing w:line="360" w:lineRule="auto"/>
        <w:ind w:firstLine="480"/>
        <w:jc w:val="left"/>
        <w:rPr>
          <w:rFonts w:ascii="宋体" w:hAnsi="宋体"/>
          <w:bCs/>
          <w:sz w:val="24"/>
          <w:highlight w:val="none"/>
        </w:rPr>
      </w:pPr>
      <w:r>
        <w:rPr>
          <w:rFonts w:hint="eastAsia" w:ascii="宋体" w:hAnsi="宋体"/>
          <w:bCs/>
          <w:sz w:val="24"/>
          <w:highlight w:val="none"/>
        </w:rPr>
        <w:t>若中标人毁标或在中标结果公示期间被查证确实存在影响中标结果的违法违规行为或经核实存在不符合等情形，对不符合中标条件的，采购人可以按照评标委员会提出的中标候选人名单排序依次确定其他中标候选人为中标人，也可依法重新招标。</w:t>
      </w:r>
    </w:p>
    <w:p>
      <w:pPr>
        <w:spacing w:line="360" w:lineRule="auto"/>
        <w:ind w:firstLine="482"/>
        <w:jc w:val="left"/>
        <w:rPr>
          <w:rFonts w:ascii="宋体" w:hAnsi="宋体"/>
          <w:b/>
          <w:bCs/>
          <w:sz w:val="24"/>
          <w:highlight w:val="none"/>
        </w:rPr>
      </w:pPr>
      <w:r>
        <w:rPr>
          <w:rFonts w:ascii="宋体" w:hAnsi="宋体"/>
          <w:b/>
          <w:sz w:val="24"/>
          <w:highlight w:val="none"/>
        </w:rPr>
        <w:t>（</w:t>
      </w:r>
      <w:r>
        <w:rPr>
          <w:rFonts w:ascii="宋体" w:hAnsi="宋体"/>
          <w:b/>
          <w:bCs/>
          <w:sz w:val="24"/>
          <w:highlight w:val="none"/>
        </w:rPr>
        <w:t>五</w:t>
      </w:r>
      <w:r>
        <w:rPr>
          <w:rFonts w:ascii="宋体" w:hAnsi="宋体"/>
          <w:b/>
          <w:sz w:val="24"/>
          <w:highlight w:val="none"/>
        </w:rPr>
        <w:t>）</w:t>
      </w:r>
      <w:r>
        <w:rPr>
          <w:rFonts w:ascii="宋体" w:hAnsi="宋体"/>
          <w:b/>
          <w:bCs/>
          <w:sz w:val="24"/>
          <w:highlight w:val="none"/>
        </w:rPr>
        <w:t>政府采购政策功能落实</w:t>
      </w:r>
    </w:p>
    <w:p>
      <w:pPr>
        <w:spacing w:line="360" w:lineRule="auto"/>
        <w:ind w:firstLine="480"/>
        <w:jc w:val="left"/>
        <w:rPr>
          <w:rFonts w:ascii="宋体" w:hAnsi="宋体"/>
          <w:bCs/>
          <w:sz w:val="24"/>
          <w:highlight w:val="none"/>
        </w:rPr>
      </w:pPr>
      <w:r>
        <w:rPr>
          <w:rFonts w:ascii="宋体" w:hAnsi="宋体"/>
          <w:bCs/>
          <w:sz w:val="24"/>
          <w:highlight w:val="none"/>
        </w:rPr>
        <w:t>1、小微型企业价格扣除</w:t>
      </w:r>
      <w:r>
        <w:rPr>
          <w:rFonts w:hint="eastAsia" w:ascii="宋体" w:hAnsi="宋体"/>
          <w:bCs/>
          <w:sz w:val="24"/>
          <w:highlight w:val="none"/>
        </w:rPr>
        <w:t>（</w:t>
      </w:r>
      <w:r>
        <w:rPr>
          <w:rFonts w:hint="eastAsia" w:ascii="宋体" w:hAnsi="宋体"/>
          <w:b/>
          <w:sz w:val="24"/>
          <w:highlight w:val="none"/>
        </w:rPr>
        <w:t>项目类型：服务类，所属行业：其他未列明行业</w:t>
      </w:r>
      <w:r>
        <w:rPr>
          <w:rFonts w:hint="eastAsia" w:ascii="宋体" w:hAnsi="宋体"/>
          <w:bCs/>
          <w:sz w:val="24"/>
          <w:highlight w:val="none"/>
        </w:rPr>
        <w:t>）</w:t>
      </w:r>
    </w:p>
    <w:p>
      <w:pPr>
        <w:spacing w:line="360" w:lineRule="auto"/>
        <w:ind w:firstLine="480"/>
        <w:jc w:val="left"/>
        <w:rPr>
          <w:rFonts w:ascii="宋体" w:hAnsi="宋体"/>
          <w:bCs/>
          <w:sz w:val="24"/>
          <w:highlight w:val="none"/>
        </w:rPr>
      </w:pPr>
      <w:r>
        <w:rPr>
          <w:rFonts w:ascii="宋体" w:hAnsi="宋体"/>
          <w:bCs/>
          <w:sz w:val="24"/>
          <w:highlight w:val="none"/>
        </w:rPr>
        <w:t>（1）本项目对小型和微型企业产品给予</w:t>
      </w:r>
      <w:r>
        <w:rPr>
          <w:rFonts w:hint="eastAsia" w:ascii="宋体" w:hAnsi="宋体"/>
          <w:b/>
          <w:sz w:val="24"/>
          <w:highlight w:val="none"/>
        </w:rPr>
        <w:t>10</w:t>
      </w:r>
      <w:r>
        <w:rPr>
          <w:rFonts w:ascii="宋体" w:hAnsi="宋体"/>
          <w:b/>
          <w:sz w:val="24"/>
          <w:highlight w:val="none"/>
        </w:rPr>
        <w:t>%</w:t>
      </w:r>
      <w:r>
        <w:rPr>
          <w:rFonts w:ascii="宋体" w:hAnsi="宋体"/>
          <w:bCs/>
          <w:sz w:val="24"/>
          <w:highlight w:val="none"/>
        </w:rPr>
        <w:t>的扣除价格，用扣除后的价格参与评审。</w:t>
      </w:r>
    </w:p>
    <w:p>
      <w:pPr>
        <w:spacing w:line="360" w:lineRule="auto"/>
        <w:ind w:firstLine="480"/>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投标人</w:t>
      </w:r>
      <w:r>
        <w:rPr>
          <w:rFonts w:ascii="宋体" w:hAnsi="宋体"/>
          <w:bCs/>
          <w:sz w:val="24"/>
          <w:highlight w:val="none"/>
        </w:rPr>
        <w:t>需按照</w:t>
      </w:r>
      <w:r>
        <w:rPr>
          <w:rFonts w:hint="eastAsia" w:ascii="宋体" w:hAnsi="宋体"/>
          <w:bCs/>
          <w:sz w:val="24"/>
          <w:highlight w:val="none"/>
        </w:rPr>
        <w:t>招标文件的要求</w:t>
      </w:r>
      <w:r>
        <w:rPr>
          <w:rFonts w:ascii="宋体" w:hAnsi="宋体"/>
          <w:bCs/>
          <w:sz w:val="24"/>
          <w:highlight w:val="none"/>
        </w:rPr>
        <w:t>提供相应的《中小企业声明函》。</w:t>
      </w:r>
    </w:p>
    <w:p>
      <w:pPr>
        <w:spacing w:line="360" w:lineRule="auto"/>
        <w:ind w:firstLine="480"/>
        <w:jc w:val="left"/>
        <w:rPr>
          <w:rFonts w:ascii="宋体" w:hAnsi="宋体"/>
          <w:bCs/>
          <w:sz w:val="24"/>
          <w:highlight w:val="none"/>
        </w:rPr>
      </w:pPr>
      <w:r>
        <w:rPr>
          <w:rFonts w:ascii="宋体" w:hAnsi="宋体"/>
          <w:bCs/>
          <w:sz w:val="24"/>
          <w:highlight w:val="none"/>
        </w:rPr>
        <w:t>（3）企业标准请参照《关于印发中小企业划型标准规定的通知》（工信部联企业[2011]300号）文件规定自行填写。</w:t>
      </w:r>
    </w:p>
    <w:p>
      <w:pPr>
        <w:spacing w:line="360" w:lineRule="auto"/>
        <w:ind w:firstLine="480"/>
        <w:jc w:val="left"/>
        <w:rPr>
          <w:rFonts w:ascii="宋体" w:hAnsi="宋体"/>
          <w:bCs/>
          <w:sz w:val="24"/>
          <w:highlight w:val="none"/>
        </w:rPr>
      </w:pPr>
      <w:r>
        <w:rPr>
          <w:rFonts w:ascii="宋体" w:hAnsi="宋体"/>
          <w:bCs/>
          <w:sz w:val="24"/>
          <w:highlight w:val="none"/>
        </w:rPr>
        <w:t>2、残疾人福利单位价格扣除</w:t>
      </w:r>
    </w:p>
    <w:p>
      <w:pPr>
        <w:spacing w:line="360" w:lineRule="auto"/>
        <w:ind w:firstLine="480"/>
        <w:jc w:val="left"/>
        <w:rPr>
          <w:rFonts w:ascii="宋体" w:hAnsi="宋体"/>
          <w:bCs/>
          <w:sz w:val="24"/>
          <w:highlight w:val="none"/>
        </w:rPr>
      </w:pPr>
      <w:r>
        <w:rPr>
          <w:rFonts w:ascii="宋体" w:hAnsi="宋体"/>
          <w:bCs/>
          <w:sz w:val="24"/>
          <w:highlight w:val="none"/>
        </w:rPr>
        <w:t>（1）</w:t>
      </w:r>
      <w:r>
        <w:rPr>
          <w:rFonts w:hint="eastAsia" w:ascii="宋体" w:hAnsi="宋体"/>
          <w:bCs/>
          <w:sz w:val="24"/>
          <w:highlight w:val="none"/>
        </w:rPr>
        <w:t>本项目对残疾人福利性单位视同小型、微型企业</w:t>
      </w:r>
      <w:r>
        <w:rPr>
          <w:rFonts w:ascii="宋体" w:hAnsi="宋体"/>
          <w:bCs/>
          <w:sz w:val="24"/>
          <w:highlight w:val="none"/>
        </w:rPr>
        <w:t>，给予</w:t>
      </w:r>
      <w:r>
        <w:rPr>
          <w:rFonts w:hint="eastAsia" w:ascii="宋体" w:hAnsi="宋体"/>
          <w:b/>
          <w:sz w:val="24"/>
          <w:highlight w:val="none"/>
        </w:rPr>
        <w:t>10</w:t>
      </w:r>
      <w:r>
        <w:rPr>
          <w:rFonts w:ascii="宋体" w:hAnsi="宋体"/>
          <w:b/>
          <w:sz w:val="24"/>
          <w:highlight w:val="none"/>
        </w:rPr>
        <w:t>%</w:t>
      </w:r>
      <w:r>
        <w:rPr>
          <w:rFonts w:ascii="宋体" w:hAnsi="宋体"/>
          <w:bCs/>
          <w:sz w:val="24"/>
          <w:highlight w:val="none"/>
        </w:rPr>
        <w:t>的价格扣除，用扣除后的价格参与评审。</w:t>
      </w:r>
    </w:p>
    <w:p>
      <w:pPr>
        <w:spacing w:line="360" w:lineRule="auto"/>
        <w:ind w:firstLine="480"/>
        <w:jc w:val="left"/>
        <w:rPr>
          <w:rFonts w:ascii="宋体" w:hAnsi="宋体"/>
          <w:bCs/>
          <w:sz w:val="24"/>
          <w:highlight w:val="none"/>
        </w:rPr>
      </w:pPr>
      <w:r>
        <w:rPr>
          <w:rFonts w:ascii="宋体" w:hAnsi="宋体"/>
          <w:bCs/>
          <w:sz w:val="24"/>
          <w:highlight w:val="none"/>
        </w:rPr>
        <w:t>（2）残疾人福利单位需按照</w:t>
      </w:r>
      <w:r>
        <w:rPr>
          <w:rFonts w:hint="eastAsia" w:ascii="宋体" w:hAnsi="宋体"/>
          <w:bCs/>
          <w:sz w:val="24"/>
          <w:highlight w:val="none"/>
        </w:rPr>
        <w:t>招标</w:t>
      </w:r>
      <w:r>
        <w:rPr>
          <w:rFonts w:ascii="宋体" w:hAnsi="宋体"/>
          <w:bCs/>
          <w:sz w:val="24"/>
          <w:highlight w:val="none"/>
        </w:rPr>
        <w:t>文件的要求提供《残疾人福利性单位声明函》。</w:t>
      </w:r>
    </w:p>
    <w:p>
      <w:pPr>
        <w:spacing w:line="360" w:lineRule="auto"/>
        <w:ind w:firstLine="480"/>
        <w:jc w:val="left"/>
        <w:rPr>
          <w:rFonts w:ascii="宋体" w:hAnsi="宋体"/>
          <w:bCs/>
          <w:sz w:val="24"/>
          <w:highlight w:val="none"/>
        </w:rPr>
      </w:pPr>
      <w:r>
        <w:rPr>
          <w:rFonts w:ascii="宋体" w:hAnsi="宋体"/>
          <w:bCs/>
          <w:sz w:val="24"/>
          <w:highlight w:val="none"/>
        </w:rPr>
        <w:t>（3）残疾人福利单位标准请参照《关于促进残疾人就业政府采购政策的通知》（财库〔2017〕141号）。</w:t>
      </w:r>
    </w:p>
    <w:p>
      <w:pPr>
        <w:spacing w:line="360" w:lineRule="auto"/>
        <w:ind w:firstLine="480"/>
        <w:jc w:val="left"/>
        <w:rPr>
          <w:rFonts w:ascii="宋体" w:hAnsi="宋体"/>
          <w:bCs/>
          <w:sz w:val="24"/>
          <w:highlight w:val="none"/>
        </w:rPr>
      </w:pPr>
      <w:r>
        <w:rPr>
          <w:rFonts w:ascii="宋体" w:hAnsi="宋体"/>
          <w:bCs/>
          <w:sz w:val="24"/>
          <w:highlight w:val="none"/>
        </w:rPr>
        <w:t>3、监狱和戒毒企业价格扣除</w:t>
      </w:r>
    </w:p>
    <w:p>
      <w:pPr>
        <w:spacing w:line="360" w:lineRule="auto"/>
        <w:ind w:firstLine="480"/>
        <w:jc w:val="left"/>
        <w:rPr>
          <w:rFonts w:ascii="宋体" w:hAnsi="宋体"/>
          <w:bCs/>
          <w:sz w:val="24"/>
          <w:highlight w:val="none"/>
        </w:rPr>
      </w:pPr>
      <w:r>
        <w:rPr>
          <w:rFonts w:ascii="宋体" w:hAnsi="宋体"/>
          <w:bCs/>
          <w:sz w:val="24"/>
          <w:highlight w:val="none"/>
        </w:rPr>
        <w:t>（1）本项目对监狱和戒毒企业（简称监狱企业）</w:t>
      </w:r>
      <w:r>
        <w:rPr>
          <w:rFonts w:hint="eastAsia" w:ascii="宋体" w:hAnsi="宋体"/>
          <w:bCs/>
          <w:sz w:val="24"/>
          <w:highlight w:val="none"/>
        </w:rPr>
        <w:t>视同小型、微型企业，</w:t>
      </w:r>
      <w:r>
        <w:rPr>
          <w:rFonts w:ascii="宋体" w:hAnsi="宋体"/>
          <w:bCs/>
          <w:sz w:val="24"/>
          <w:highlight w:val="none"/>
        </w:rPr>
        <w:t>给予</w:t>
      </w:r>
      <w:r>
        <w:rPr>
          <w:rFonts w:hint="eastAsia" w:ascii="宋体" w:hAnsi="宋体"/>
          <w:b/>
          <w:sz w:val="24"/>
          <w:highlight w:val="none"/>
        </w:rPr>
        <w:t>10</w:t>
      </w:r>
      <w:r>
        <w:rPr>
          <w:rFonts w:ascii="宋体" w:hAnsi="宋体"/>
          <w:b/>
          <w:sz w:val="24"/>
          <w:highlight w:val="none"/>
        </w:rPr>
        <w:t>%</w:t>
      </w:r>
      <w:r>
        <w:rPr>
          <w:rFonts w:ascii="宋体" w:hAnsi="宋体"/>
          <w:bCs/>
          <w:sz w:val="24"/>
          <w:highlight w:val="none"/>
        </w:rPr>
        <w:t>的价格扣除，用扣除后的价格参与评审。</w:t>
      </w:r>
    </w:p>
    <w:p>
      <w:pPr>
        <w:spacing w:line="360" w:lineRule="auto"/>
        <w:ind w:firstLine="480"/>
        <w:jc w:val="left"/>
        <w:rPr>
          <w:rFonts w:ascii="宋体" w:hAnsi="宋体"/>
          <w:bCs/>
          <w:sz w:val="24"/>
          <w:highlight w:val="none"/>
        </w:rPr>
      </w:pPr>
      <w:r>
        <w:rPr>
          <w:rFonts w:ascii="宋体" w:hAnsi="宋体"/>
          <w:bCs/>
          <w:sz w:val="24"/>
          <w:highlight w:val="none"/>
        </w:rPr>
        <w:t>（2）监狱企业参加政府采购活动时，需提供由省级以上监狱管理局、戒毒管理局(含新疆生产建设兵团)出具的属于监狱企业的证明文件。</w:t>
      </w:r>
      <w:r>
        <w:rPr>
          <w:rFonts w:hint="eastAsia" w:ascii="宋体" w:hAnsi="宋体"/>
          <w:bCs/>
          <w:sz w:val="24"/>
          <w:highlight w:val="none"/>
        </w:rPr>
        <w:t>投标人</w:t>
      </w:r>
      <w:r>
        <w:rPr>
          <w:rFonts w:ascii="宋体" w:hAnsi="宋体"/>
          <w:bCs/>
          <w:sz w:val="24"/>
          <w:highlight w:val="none"/>
        </w:rPr>
        <w:t>如不提供上述证明文件，价格将不做相应扣除。</w:t>
      </w:r>
    </w:p>
    <w:p>
      <w:pPr>
        <w:spacing w:line="360" w:lineRule="auto"/>
        <w:ind w:firstLine="480"/>
        <w:jc w:val="left"/>
        <w:rPr>
          <w:rFonts w:ascii="宋体" w:hAnsi="宋体"/>
          <w:bCs/>
          <w:sz w:val="24"/>
          <w:highlight w:val="none"/>
        </w:rPr>
      </w:pPr>
      <w:r>
        <w:rPr>
          <w:rFonts w:ascii="宋体" w:hAnsi="宋体"/>
          <w:bCs/>
          <w:sz w:val="24"/>
          <w:highlight w:val="none"/>
        </w:rPr>
        <w:t>（3）监狱企业标准请参照《关于政府采购支持监狱企业发展有关问题的通知》（财库[2014]68号）。</w:t>
      </w:r>
    </w:p>
    <w:p>
      <w:pPr>
        <w:spacing w:line="360" w:lineRule="auto"/>
        <w:ind w:firstLine="480"/>
        <w:jc w:val="left"/>
        <w:rPr>
          <w:rFonts w:ascii="宋体" w:hAnsi="宋体"/>
          <w:bCs/>
          <w:sz w:val="24"/>
          <w:highlight w:val="none"/>
        </w:rPr>
      </w:pPr>
      <w:r>
        <w:rPr>
          <w:rFonts w:ascii="宋体" w:hAnsi="宋体"/>
          <w:bCs/>
          <w:sz w:val="24"/>
          <w:highlight w:val="none"/>
        </w:rPr>
        <w:t>4、残疾人福利单位、监狱企业属于小型、微型企业的，不重复享受政策。</w:t>
      </w:r>
    </w:p>
    <w:p>
      <w:pPr>
        <w:spacing w:line="360" w:lineRule="auto"/>
        <w:ind w:firstLine="480"/>
        <w:jc w:val="left"/>
        <w:rPr>
          <w:rFonts w:hint="eastAsia" w:ascii="宋体" w:hAnsi="宋体"/>
          <w:bCs/>
          <w:sz w:val="24"/>
          <w:highlight w:val="none"/>
        </w:rPr>
      </w:pPr>
      <w:r>
        <w:rPr>
          <w:rFonts w:hint="eastAsia" w:ascii="宋体" w:hAnsi="宋体"/>
          <w:bCs/>
          <w:sz w:val="24"/>
          <w:highlight w:val="none"/>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pPr>
        <w:spacing w:line="360" w:lineRule="auto"/>
        <w:ind w:firstLine="480"/>
        <w:jc w:val="left"/>
        <w:rPr>
          <w:rFonts w:hint="eastAsia" w:ascii="宋体" w:hAnsi="宋体"/>
          <w:bCs/>
          <w:sz w:val="24"/>
          <w:highlight w:val="none"/>
        </w:rPr>
      </w:pPr>
      <w:r>
        <w:rPr>
          <w:rFonts w:ascii="宋体" w:hAnsi="宋体"/>
          <w:bCs/>
          <w:sz w:val="24"/>
          <w:highlight w:val="none"/>
        </w:rPr>
        <w:t>6、联合体各方均为小型、微型企业（残疾人福利单位、监狱企业）的，联合体享受</w:t>
      </w:r>
      <w:r>
        <w:rPr>
          <w:rFonts w:hint="eastAsia" w:ascii="宋体" w:hAnsi="宋体"/>
          <w:b/>
          <w:sz w:val="24"/>
          <w:highlight w:val="none"/>
        </w:rPr>
        <w:t>10</w:t>
      </w:r>
      <w:r>
        <w:rPr>
          <w:rFonts w:ascii="宋体" w:hAnsi="宋体"/>
          <w:b/>
          <w:sz w:val="24"/>
          <w:highlight w:val="none"/>
        </w:rPr>
        <w:t>%</w:t>
      </w:r>
      <w:r>
        <w:rPr>
          <w:rFonts w:ascii="宋体" w:hAnsi="宋体"/>
          <w:bCs/>
          <w:sz w:val="24"/>
          <w:highlight w:val="none"/>
        </w:rPr>
        <w:t>价格扣除，用扣除后的价格参与评审。</w:t>
      </w:r>
    </w:p>
    <w:p>
      <w:pPr>
        <w:spacing w:line="360" w:lineRule="auto"/>
        <w:ind w:firstLine="480"/>
        <w:jc w:val="left"/>
        <w:rPr>
          <w:rFonts w:ascii="宋体" w:hAnsi="宋体"/>
          <w:bCs/>
          <w:sz w:val="24"/>
          <w:highlight w:val="none"/>
        </w:rPr>
      </w:pPr>
      <w:r>
        <w:rPr>
          <w:rFonts w:hint="eastAsia" w:ascii="宋体" w:hAnsi="宋体"/>
          <w:bCs/>
          <w:sz w:val="24"/>
          <w:highlight w:val="none"/>
        </w:rPr>
        <w:t>7</w:t>
      </w:r>
      <w:r>
        <w:rPr>
          <w:rFonts w:ascii="宋体" w:hAnsi="宋体"/>
          <w:bCs/>
          <w:sz w:val="24"/>
          <w:highlight w:val="none"/>
        </w:rPr>
        <w:t>、根据《江苏省政府采购信用管理暂行办法》的规定，</w:t>
      </w:r>
      <w:r>
        <w:rPr>
          <w:rFonts w:hint="eastAsia" w:ascii="宋体" w:hAnsi="宋体"/>
          <w:bCs/>
          <w:sz w:val="24"/>
          <w:highlight w:val="none"/>
        </w:rPr>
        <w:t>投标人</w:t>
      </w:r>
      <w:r>
        <w:rPr>
          <w:rFonts w:ascii="宋体" w:hAnsi="宋体"/>
          <w:bCs/>
          <w:sz w:val="24"/>
          <w:highlight w:val="none"/>
        </w:rPr>
        <w:t>信用评价结果为三星的扣2分，评价结果为二星的扣3分，评价结果为一星的扣4分。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8、专门面向中小企业采购的项目或者采购包，不再执行价格评审优惠的扶持政策。</w:t>
      </w:r>
    </w:p>
    <w:p>
      <w:pPr>
        <w:spacing w:line="360" w:lineRule="auto"/>
        <w:ind w:firstLine="482"/>
        <w:jc w:val="left"/>
        <w:rPr>
          <w:rFonts w:ascii="宋体" w:hAnsi="宋体"/>
          <w:bCs/>
          <w:sz w:val="24"/>
          <w:highlight w:val="none"/>
        </w:rPr>
      </w:pPr>
      <w:r>
        <w:rPr>
          <w:rFonts w:ascii="宋体" w:hAnsi="宋体"/>
          <w:b/>
          <w:sz w:val="24"/>
          <w:highlight w:val="none"/>
        </w:rPr>
        <w:t>（六）中标人的确定</w:t>
      </w:r>
    </w:p>
    <w:p>
      <w:pPr>
        <w:spacing w:line="360" w:lineRule="auto"/>
        <w:ind w:firstLine="480"/>
        <w:jc w:val="left"/>
        <w:rPr>
          <w:rFonts w:ascii="宋体" w:hAnsi="宋体"/>
          <w:sz w:val="24"/>
          <w:highlight w:val="none"/>
        </w:rPr>
      </w:pPr>
      <w:r>
        <w:rPr>
          <w:rFonts w:ascii="宋体" w:hAnsi="宋体"/>
          <w:sz w:val="24"/>
          <w:highlight w:val="none"/>
        </w:rPr>
        <w:t>评委会汇总各评委评分后，按照</w:t>
      </w:r>
      <w:r>
        <w:rPr>
          <w:rFonts w:hint="eastAsia" w:ascii="宋体" w:hAnsi="宋体"/>
          <w:sz w:val="24"/>
          <w:highlight w:val="none"/>
        </w:rPr>
        <w:t>总</w:t>
      </w:r>
      <w:r>
        <w:rPr>
          <w:rFonts w:ascii="宋体" w:hAnsi="宋体"/>
          <w:sz w:val="24"/>
          <w:highlight w:val="none"/>
        </w:rPr>
        <w:t>得分从高到低的顺序推荐三名中标候选人，并编写评标报告。</w:t>
      </w:r>
    </w:p>
    <w:p>
      <w:pPr>
        <w:spacing w:line="360" w:lineRule="auto"/>
        <w:ind w:firstLine="480"/>
        <w:jc w:val="left"/>
        <w:rPr>
          <w:rFonts w:ascii="宋体" w:hAnsi="宋体"/>
          <w:sz w:val="24"/>
          <w:highlight w:val="none"/>
        </w:rPr>
      </w:pPr>
      <w:r>
        <w:rPr>
          <w:rFonts w:ascii="宋体" w:hAnsi="宋体"/>
          <w:sz w:val="24"/>
          <w:highlight w:val="none"/>
        </w:rPr>
        <w:t>采购人委托评标委员会直接确定</w:t>
      </w:r>
      <w:r>
        <w:rPr>
          <w:rFonts w:hint="eastAsia" w:ascii="宋体" w:hAnsi="宋体"/>
          <w:sz w:val="24"/>
          <w:highlight w:val="none"/>
        </w:rPr>
        <w:t>中标人。</w:t>
      </w:r>
      <w:r>
        <w:rPr>
          <w:rFonts w:ascii="宋体" w:hAnsi="宋体"/>
          <w:sz w:val="24"/>
          <w:highlight w:val="none"/>
        </w:rPr>
        <w:t xml:space="preserve"> </w:t>
      </w:r>
    </w:p>
    <w:p>
      <w:pPr>
        <w:spacing w:line="360" w:lineRule="auto"/>
        <w:ind w:firstLine="482"/>
        <w:jc w:val="left"/>
        <w:rPr>
          <w:rFonts w:ascii="宋体" w:hAnsi="宋体"/>
          <w:b/>
          <w:sz w:val="24"/>
          <w:highlight w:val="none"/>
        </w:rPr>
      </w:pPr>
      <w:r>
        <w:rPr>
          <w:rFonts w:ascii="宋体" w:hAnsi="宋体"/>
          <w:b/>
          <w:sz w:val="24"/>
          <w:highlight w:val="none"/>
        </w:rPr>
        <w:t>（</w:t>
      </w:r>
      <w:r>
        <w:rPr>
          <w:rFonts w:hint="eastAsia" w:ascii="宋体" w:hAnsi="宋体"/>
          <w:b/>
          <w:sz w:val="24"/>
          <w:highlight w:val="none"/>
        </w:rPr>
        <w:t>七</w:t>
      </w:r>
      <w:r>
        <w:rPr>
          <w:rFonts w:ascii="宋体" w:hAnsi="宋体"/>
          <w:b/>
          <w:sz w:val="24"/>
          <w:highlight w:val="none"/>
        </w:rPr>
        <w:t>）公告中标结果</w:t>
      </w:r>
    </w:p>
    <w:p>
      <w:pPr>
        <w:spacing w:line="360" w:lineRule="auto"/>
        <w:ind w:firstLine="480"/>
        <w:jc w:val="left"/>
        <w:rPr>
          <w:rFonts w:ascii="宋体" w:hAnsi="宋体"/>
          <w:sz w:val="24"/>
          <w:highlight w:val="none"/>
        </w:rPr>
      </w:pPr>
      <w:r>
        <w:rPr>
          <w:rFonts w:ascii="宋体" w:hAnsi="宋体"/>
          <w:sz w:val="24"/>
          <w:highlight w:val="none"/>
        </w:rPr>
        <w:t>自确定中标人之日起2个工作日内，在江苏政府采购网公告中标结果，公告期限为1个工作日。</w:t>
      </w:r>
    </w:p>
    <w:p>
      <w:pPr>
        <w:spacing w:line="360" w:lineRule="auto"/>
        <w:ind w:firstLine="482"/>
        <w:jc w:val="left"/>
        <w:rPr>
          <w:rFonts w:ascii="宋体" w:hAnsi="宋体"/>
          <w:b/>
          <w:bCs/>
          <w:sz w:val="24"/>
          <w:highlight w:val="none"/>
        </w:rPr>
      </w:pPr>
      <w:r>
        <w:rPr>
          <w:rFonts w:ascii="宋体" w:hAnsi="宋体"/>
          <w:b/>
          <w:sz w:val="24"/>
          <w:highlight w:val="none"/>
        </w:rPr>
        <w:t>（</w:t>
      </w:r>
      <w:r>
        <w:rPr>
          <w:rFonts w:hint="eastAsia" w:ascii="宋体" w:hAnsi="宋体"/>
          <w:b/>
          <w:bCs/>
          <w:sz w:val="24"/>
          <w:highlight w:val="none"/>
        </w:rPr>
        <w:t>八</w:t>
      </w:r>
      <w:r>
        <w:rPr>
          <w:rFonts w:ascii="宋体" w:hAnsi="宋体"/>
          <w:b/>
          <w:sz w:val="24"/>
          <w:highlight w:val="none"/>
        </w:rPr>
        <w:t>）</w:t>
      </w:r>
      <w:r>
        <w:rPr>
          <w:rFonts w:ascii="宋体" w:hAnsi="宋体"/>
          <w:b/>
          <w:bCs/>
          <w:sz w:val="24"/>
          <w:highlight w:val="none"/>
        </w:rPr>
        <w:t>发放中标通知书</w:t>
      </w:r>
    </w:p>
    <w:p>
      <w:pPr>
        <w:spacing w:line="360" w:lineRule="auto"/>
        <w:ind w:firstLine="480"/>
        <w:jc w:val="left"/>
        <w:rPr>
          <w:rFonts w:ascii="宋体" w:hAnsi="宋体"/>
          <w:bCs/>
          <w:sz w:val="24"/>
          <w:highlight w:val="none"/>
        </w:rPr>
      </w:pPr>
      <w:r>
        <w:rPr>
          <w:rFonts w:ascii="宋体" w:hAnsi="宋体"/>
          <w:sz w:val="24"/>
          <w:highlight w:val="none"/>
        </w:rPr>
        <w:t>公告中标结果的同时，</w:t>
      </w:r>
      <w:r>
        <w:rPr>
          <w:rFonts w:hint="eastAsia" w:ascii="宋体" w:hAnsi="宋体" w:cs="宋体"/>
          <w:sz w:val="24"/>
          <w:highlight w:val="none"/>
        </w:rPr>
        <w:t>采购人或采购代理机构</w:t>
      </w:r>
      <w:r>
        <w:rPr>
          <w:rFonts w:ascii="宋体" w:hAnsi="宋体"/>
          <w:bCs/>
          <w:sz w:val="24"/>
          <w:highlight w:val="none"/>
        </w:rPr>
        <w:t>向中标</w:t>
      </w:r>
      <w:r>
        <w:rPr>
          <w:rFonts w:hint="eastAsia" w:ascii="宋体" w:hAnsi="宋体"/>
          <w:bCs/>
          <w:sz w:val="24"/>
          <w:highlight w:val="none"/>
        </w:rPr>
        <w:t>人</w:t>
      </w:r>
      <w:r>
        <w:rPr>
          <w:rFonts w:ascii="宋体" w:hAnsi="宋体"/>
          <w:bCs/>
          <w:sz w:val="24"/>
          <w:highlight w:val="none"/>
        </w:rPr>
        <w:t>发放中标通知书。</w:t>
      </w:r>
    </w:p>
    <w:p>
      <w:pPr>
        <w:spacing w:line="360" w:lineRule="auto"/>
        <w:jc w:val="left"/>
        <w:rPr>
          <w:rFonts w:hint="eastAsia" w:ascii="宋体" w:hAnsi="宋体" w:cs="宋体"/>
          <w:sz w:val="24"/>
          <w:highlight w:val="none"/>
        </w:rPr>
      </w:pPr>
      <w:r>
        <w:rPr>
          <w:rFonts w:hint="eastAsia" w:ascii="宋体" w:hAnsi="宋体" w:cs="宋体"/>
          <w:sz w:val="24"/>
          <w:highlight w:val="none"/>
        </w:rPr>
        <w:t>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pPr>
        <w:spacing w:line="360" w:lineRule="auto"/>
        <w:ind w:firstLine="480"/>
        <w:jc w:val="left"/>
        <w:rPr>
          <w:rFonts w:ascii="宋体" w:hAnsi="宋体"/>
          <w:sz w:val="28"/>
          <w:szCs w:val="28"/>
          <w:highlight w:val="none"/>
        </w:rPr>
      </w:pPr>
      <w:r>
        <w:rPr>
          <w:rFonts w:ascii="宋体" w:hAnsi="宋体"/>
          <w:sz w:val="24"/>
          <w:highlight w:val="none"/>
        </w:rPr>
        <w:t>中标通知书发出后，采购人不得违法改变中标结果，中标</w:t>
      </w:r>
      <w:r>
        <w:rPr>
          <w:rFonts w:hint="eastAsia" w:ascii="宋体" w:hAnsi="宋体"/>
          <w:sz w:val="24"/>
          <w:highlight w:val="none"/>
        </w:rPr>
        <w:t>人</w:t>
      </w:r>
      <w:r>
        <w:rPr>
          <w:rFonts w:ascii="宋体" w:hAnsi="宋体"/>
          <w:sz w:val="24"/>
          <w:highlight w:val="none"/>
        </w:rPr>
        <w:t>无正当理由不得放弃中标。</w:t>
      </w:r>
    </w:p>
    <w:p>
      <w:pPr>
        <w:numPr>
          <w:ilvl w:val="0"/>
          <w:numId w:val="4"/>
        </w:numPr>
        <w:spacing w:before="156" w:after="156" w:line="360" w:lineRule="auto"/>
        <w:jc w:val="center"/>
        <w:outlineLvl w:val="0"/>
        <w:rPr>
          <w:rFonts w:hint="eastAsia" w:ascii="宋体" w:hAnsi="宋体"/>
          <w:bCs/>
          <w:sz w:val="36"/>
          <w:szCs w:val="36"/>
          <w:highlight w:val="none"/>
        </w:rPr>
      </w:pPr>
      <w:r>
        <w:rPr>
          <w:rFonts w:hint="eastAsia" w:ascii="宋体" w:hAnsi="宋体"/>
          <w:b/>
          <w:sz w:val="36"/>
          <w:szCs w:val="36"/>
          <w:highlight w:val="none"/>
        </w:rPr>
        <w:br w:type="page" w:clear="all"/>
      </w:r>
      <w:r>
        <w:rPr>
          <w:rFonts w:hint="eastAsia" w:ascii="宋体" w:hAnsi="宋体"/>
          <w:bCs/>
          <w:sz w:val="36"/>
          <w:szCs w:val="36"/>
          <w:highlight w:val="none"/>
        </w:rPr>
        <w:t xml:space="preserve"> 投标文件格式</w:t>
      </w:r>
    </w:p>
    <w:p>
      <w:pPr>
        <w:spacing w:line="360" w:lineRule="auto"/>
        <w:ind w:firstLine="555"/>
        <w:jc w:val="left"/>
        <w:rPr>
          <w:rFonts w:ascii="宋体" w:hAnsi="宋体"/>
          <w:b/>
          <w:color w:val="000000"/>
          <w:sz w:val="24"/>
          <w:highlight w:val="none"/>
        </w:rPr>
      </w:pPr>
      <w:r>
        <w:rPr>
          <w:rFonts w:ascii="宋体" w:hAnsi="宋体"/>
          <w:b/>
          <w:color w:val="000000"/>
          <w:sz w:val="24"/>
          <w:highlight w:val="none"/>
        </w:rPr>
        <w:t>响应文件由资格审查证明材料、商务技术文件、价格文件</w:t>
      </w:r>
      <w:r>
        <w:rPr>
          <w:rFonts w:hint="eastAsia" w:ascii="宋体" w:hAnsi="宋体"/>
          <w:b/>
          <w:color w:val="000000"/>
          <w:sz w:val="24"/>
          <w:highlight w:val="none"/>
        </w:rPr>
        <w:t>三</w:t>
      </w:r>
      <w:r>
        <w:rPr>
          <w:rFonts w:ascii="宋体" w:hAnsi="宋体"/>
          <w:b/>
          <w:color w:val="000000"/>
          <w:sz w:val="24"/>
          <w:highlight w:val="none"/>
        </w:rPr>
        <w:t>部分组成。</w:t>
      </w:r>
    </w:p>
    <w:p>
      <w:pPr>
        <w:spacing w:line="360" w:lineRule="auto"/>
        <w:ind w:firstLine="482"/>
      </w:pPr>
      <w:r>
        <w:rPr>
          <w:rFonts w:ascii="宋体" w:hAnsi="宋体"/>
          <w:b/>
          <w:bCs/>
          <w:color w:val="000000"/>
          <w:sz w:val="24"/>
          <w:highlight w:val="none"/>
          <w:lang w:val="zh-CN"/>
        </w:rPr>
        <w:t>一、资格审查证明材料（不能出现商务技术文件、价格文件）</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1.</w:t>
      </w:r>
      <w:r>
        <w:rPr>
          <w:rFonts w:hint="eastAsia" w:ascii="宋体" w:hAnsi="宋体" w:cs="宋体"/>
          <w:bCs/>
          <w:sz w:val="24"/>
          <w:highlight w:val="none"/>
        </w:rPr>
        <w:t>投标人符合《政府采购法》第二十二条规定条件的声明函</w:t>
      </w:r>
      <w:r>
        <w:rPr>
          <w:rFonts w:hint="eastAsia" w:ascii="宋体" w:hAnsi="宋体" w:cs="宋体"/>
          <w:bCs/>
          <w:sz w:val="24"/>
          <w:highlight w:val="none"/>
          <w:lang w:val="zh-CN"/>
        </w:rPr>
        <w:t>（格式见附件1）；</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2.法定代表人身份证明，法定代表人的身份证复印件并加盖单位公章（格式见附件2）；</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3.法定代表人授权委托书，代理人(被授权人)身份证复印件</w:t>
      </w:r>
      <w:r>
        <w:rPr>
          <w:rFonts w:hint="eastAsia" w:ascii="宋体" w:hAnsi="宋体" w:cs="宋体"/>
          <w:bCs/>
          <w:sz w:val="24"/>
          <w:highlight w:val="none"/>
        </w:rPr>
        <w:t>并加盖单位</w:t>
      </w:r>
      <w:r>
        <w:rPr>
          <w:rFonts w:hint="eastAsia" w:ascii="宋体" w:hAnsi="宋体" w:cs="宋体"/>
          <w:bCs/>
          <w:sz w:val="24"/>
          <w:highlight w:val="none"/>
          <w:lang w:val="zh-CN"/>
        </w:rPr>
        <w:t>公章（格式见附件3，法定代表人参加的，无需提供授权委托书）；</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4.供应商信用承诺书（格式见附件</w:t>
      </w:r>
      <w:r>
        <w:rPr>
          <w:rFonts w:hint="eastAsia" w:ascii="宋体" w:hAnsi="宋体" w:cs="宋体"/>
          <w:bCs/>
          <w:sz w:val="24"/>
          <w:highlight w:val="none"/>
        </w:rPr>
        <w:t>4</w:t>
      </w:r>
      <w:r>
        <w:rPr>
          <w:rFonts w:hint="eastAsia" w:ascii="宋体" w:hAnsi="宋体" w:cs="宋体"/>
          <w:bCs/>
          <w:sz w:val="24"/>
          <w:highlight w:val="none"/>
          <w:lang w:val="zh-CN"/>
        </w:rPr>
        <w:t>）；</w:t>
      </w:r>
    </w:p>
    <w:p>
      <w:pPr>
        <w:spacing w:line="360" w:lineRule="auto"/>
        <w:ind w:firstLine="480" w:firstLineChars="200"/>
        <w:jc w:val="left"/>
        <w:rPr>
          <w:rFonts w:hint="eastAsia" w:ascii="宋体" w:hAnsi="宋体" w:cs="宋体"/>
          <w:bCs/>
          <w:sz w:val="24"/>
          <w:highlight w:val="none"/>
          <w:lang w:val="zh-CN"/>
        </w:rPr>
      </w:pPr>
      <w:r>
        <w:rPr>
          <w:rFonts w:hint="eastAsia" w:ascii="宋体" w:hAnsi="宋体" w:cs="宋体"/>
          <w:bCs/>
          <w:sz w:val="24"/>
          <w:highlight w:val="none"/>
          <w:lang w:val="en-US" w:eastAsia="zh-CN"/>
        </w:rPr>
        <w:t>5.</w:t>
      </w:r>
      <w:r>
        <w:rPr>
          <w:rFonts w:hint="eastAsia" w:ascii="宋体" w:hAnsi="宋体" w:cs="宋体"/>
          <w:bCs/>
          <w:sz w:val="24"/>
          <w:highlight w:val="none"/>
          <w:lang w:val="zh-CN"/>
        </w:rPr>
        <w:t>法人或者其他组织的营业执照等证明文件；</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6.</w:t>
      </w:r>
      <w:r>
        <w:rPr>
          <w:rFonts w:hint="eastAsia" w:ascii="宋体" w:hAnsi="宋体" w:cs="宋体"/>
          <w:bCs/>
          <w:sz w:val="24"/>
          <w:highlight w:val="none"/>
          <w:lang w:val="zh-CN"/>
        </w:rPr>
        <w:t>上一年度的财务状况报告复印件（成立不满一年无需提供）；</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7.</w:t>
      </w:r>
      <w:r>
        <w:rPr>
          <w:rFonts w:hint="eastAsia" w:ascii="宋体" w:hAnsi="宋体" w:cs="宋体"/>
          <w:bCs/>
          <w:sz w:val="24"/>
          <w:highlight w:val="none"/>
          <w:lang w:val="zh-CN"/>
        </w:rPr>
        <w:t>依法缴纳税收和社会保障资金的相关材料（提供提交响应文件截止时间前一年内至少一个月依法缴纳税收及缴纳社会保障资金的证明材料。供应商依法享受缓缴、免缴税收、社会保障资金的提供相应证明材料。）</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8.</w:t>
      </w:r>
      <w:r>
        <w:rPr>
          <w:rFonts w:hint="eastAsia" w:ascii="宋体" w:hAnsi="宋体" w:cs="宋体"/>
          <w:bCs/>
          <w:sz w:val="24"/>
          <w:highlight w:val="none"/>
          <w:lang w:val="zh-CN"/>
        </w:rPr>
        <w:t>具备履行合同所必需的设备和专业技术能力的书面声明（详见投标文件格式）；</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9.</w:t>
      </w:r>
      <w:r>
        <w:rPr>
          <w:rFonts w:hint="eastAsia" w:ascii="宋体" w:hAnsi="宋体" w:cs="宋体"/>
          <w:bCs/>
          <w:sz w:val="24"/>
          <w:highlight w:val="none"/>
          <w:lang w:val="zh-CN"/>
        </w:rPr>
        <w:t>参加政府采购活动前 3 年内在经营活动中没有重大违法记录的书面声明（详见投标文件格式）；</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10.</w:t>
      </w:r>
      <w:r>
        <w:rPr>
          <w:rFonts w:hint="eastAsia" w:ascii="宋体" w:hAnsi="宋体" w:cs="宋体"/>
          <w:bCs/>
          <w:sz w:val="24"/>
          <w:highlight w:val="none"/>
          <w:lang w:val="zh-CN"/>
        </w:rPr>
        <w:t>供应商未列入失信被执行人或重大税收违法案件当事人名单或政府采购严重失信行为记录名单的证明材料；（供应商需提供企业信用查询结果（企业信用可以从“国家企业信用信息公示系统http://www.gsxt.gov.cn/index.html”或“信用中国（https://www.creditchina.gov.cn/”进入查询自行打印)，查询结果有效期须在自本项目公告发布之日起至本项目投标截止日内有效。提供以上网页的投标单位企业信用的截图，未提供截图或失信的供应商资格审查均不予通过。）</w:t>
      </w:r>
    </w:p>
    <w:p>
      <w:pPr>
        <w:spacing w:line="360" w:lineRule="auto"/>
        <w:ind w:firstLine="480"/>
        <w:jc w:val="left"/>
        <w:rPr>
          <w:rFonts w:hint="eastAsia" w:ascii="宋体" w:hAnsi="宋体" w:cs="宋体"/>
          <w:bCs/>
          <w:sz w:val="24"/>
          <w:highlight w:val="none"/>
          <w:lang w:val="zh-CN" w:eastAsia="zh-CN"/>
        </w:rPr>
      </w:pPr>
      <w:r>
        <w:rPr>
          <w:rFonts w:hint="eastAsia" w:ascii="宋体" w:hAnsi="宋体" w:cs="宋体"/>
          <w:bCs/>
          <w:sz w:val="24"/>
          <w:highlight w:val="none"/>
          <w:lang w:val="en-US" w:eastAsia="zh-CN"/>
        </w:rPr>
        <w:t>11.</w:t>
      </w:r>
      <w:r>
        <w:rPr>
          <w:rFonts w:hint="eastAsia" w:ascii="宋体" w:hAnsi="宋体" w:cs="宋体"/>
          <w:bCs/>
          <w:sz w:val="24"/>
          <w:highlight w:val="none"/>
          <w:lang w:val="zh-CN" w:eastAsia="zh-CN"/>
        </w:rPr>
        <w:t>投标人须持有相应苗种的《水产苗种生产许可证》（提供证书复印件加盖公章）。</w:t>
      </w:r>
    </w:p>
    <w:p>
      <w:pPr>
        <w:spacing w:line="360" w:lineRule="auto"/>
        <w:ind w:firstLine="480"/>
        <w:jc w:val="left"/>
        <w:rPr>
          <w:rFonts w:hint="eastAsia" w:ascii="宋体" w:hAnsi="宋体" w:cs="宋体"/>
          <w:bCs/>
          <w:sz w:val="24"/>
          <w:highlight w:val="none"/>
          <w:lang w:val="zh-CN" w:eastAsia="zh-CN"/>
        </w:rPr>
      </w:pPr>
      <w:r>
        <w:rPr>
          <w:rFonts w:hint="eastAsia" w:ascii="宋体" w:hAnsi="宋体" w:cs="宋体"/>
          <w:bCs/>
          <w:sz w:val="24"/>
          <w:highlight w:val="none"/>
          <w:lang w:val="en-US" w:eastAsia="zh-CN"/>
        </w:rPr>
        <w:t>12.</w:t>
      </w:r>
      <w:r>
        <w:rPr>
          <w:rFonts w:hint="eastAsia" w:ascii="宋体" w:hAnsi="宋体" w:cs="宋体"/>
          <w:bCs/>
          <w:sz w:val="24"/>
          <w:highlight w:val="none"/>
          <w:lang w:val="zh-CN" w:eastAsia="zh-CN"/>
        </w:rPr>
        <w:t>苗种供应单位需根据农业农村部（农渔发【2022】1号）文中要求供苗单位和项目所在地为同一海区（提供相应证明材料）。</w:t>
      </w:r>
    </w:p>
    <w:p>
      <w:pPr>
        <w:spacing w:line="360" w:lineRule="auto"/>
        <w:ind w:firstLine="480"/>
        <w:jc w:val="left"/>
        <w:rPr>
          <w:rFonts w:hint="eastAsia" w:ascii="宋体" w:hAnsi="宋体" w:cs="宋体"/>
          <w:bCs/>
          <w:sz w:val="24"/>
          <w:highlight w:val="none"/>
          <w:lang w:val="zh-CN" w:eastAsia="zh-CN"/>
        </w:rPr>
      </w:pPr>
      <w:r>
        <w:rPr>
          <w:rFonts w:hint="eastAsia" w:ascii="宋体" w:hAnsi="宋体" w:cs="宋体"/>
          <w:bCs/>
          <w:sz w:val="24"/>
          <w:highlight w:val="none"/>
          <w:lang w:val="en-US" w:eastAsia="zh-CN"/>
        </w:rPr>
        <w:t>13.</w:t>
      </w:r>
      <w:r>
        <w:rPr>
          <w:rFonts w:hint="eastAsia" w:ascii="宋体" w:hAnsi="宋体" w:cs="宋体"/>
          <w:bCs/>
          <w:sz w:val="24"/>
          <w:highlight w:val="none"/>
          <w:lang w:val="zh-CN" w:eastAsia="zh-CN"/>
        </w:rPr>
        <w:t>投标供应商具有设区市级及以上水产原（良）种（繁育）场（基地）资质或审查合格证明（提供证书复印件加盖公章）。</w:t>
      </w:r>
    </w:p>
    <w:p>
      <w:pPr>
        <w:spacing w:line="360" w:lineRule="auto"/>
        <w:ind w:firstLine="48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14.联合体协议书（如有，格式见附件）</w:t>
      </w:r>
    </w:p>
    <w:p>
      <w:pPr>
        <w:spacing w:line="360" w:lineRule="auto"/>
        <w:ind w:firstLine="480"/>
        <w:jc w:val="left"/>
        <w:rPr>
          <w:rFonts w:hint="eastAsia" w:ascii="宋体" w:hAnsi="宋体" w:cs="宋体"/>
          <w:bCs/>
          <w:sz w:val="24"/>
          <w:highlight w:val="none"/>
          <w:lang w:val="zh-CN" w:eastAsia="zh-CN"/>
        </w:rPr>
      </w:pPr>
      <w:r>
        <w:rPr>
          <w:rFonts w:hint="eastAsia" w:ascii="宋体" w:hAnsi="宋体" w:cs="宋体"/>
          <w:bCs/>
          <w:sz w:val="24"/>
          <w:highlight w:val="none"/>
          <w:lang w:val="en-US" w:eastAsia="zh-CN"/>
        </w:rPr>
        <w:t>15</w:t>
      </w:r>
      <w:r>
        <w:rPr>
          <w:rFonts w:hint="eastAsia" w:ascii="宋体" w:hAnsi="宋体" w:cs="宋体"/>
          <w:bCs/>
          <w:sz w:val="24"/>
          <w:highlight w:val="none"/>
          <w:lang w:val="zh-CN" w:eastAsia="zh-CN"/>
        </w:rPr>
        <w:t>.其它需要提交的资格审查证明材料。</w:t>
      </w:r>
    </w:p>
    <w:p>
      <w:pPr>
        <w:spacing w:line="360" w:lineRule="auto"/>
        <w:ind w:firstLine="482"/>
        <w:rPr>
          <w:rFonts w:ascii="宋体" w:hAnsi="宋体"/>
          <w:b/>
          <w:bCs/>
          <w:color w:val="000000"/>
          <w:sz w:val="24"/>
          <w:highlight w:val="none"/>
          <w:lang w:val="zh-CN"/>
        </w:rPr>
      </w:pPr>
      <w:r>
        <w:rPr>
          <w:rFonts w:ascii="宋体" w:hAnsi="宋体"/>
          <w:b/>
          <w:bCs/>
          <w:color w:val="000000"/>
          <w:sz w:val="24"/>
          <w:highlight w:val="none"/>
          <w:lang w:val="zh-CN"/>
        </w:rPr>
        <w:t>二、商务技术文件（不能出现价格文件）</w:t>
      </w:r>
    </w:p>
    <w:p>
      <w:pPr>
        <w:spacing w:line="360" w:lineRule="auto"/>
        <w:ind w:firstLine="480"/>
        <w:rPr>
          <w:rFonts w:hint="default" w:eastAsia="宋体"/>
          <w:lang w:val="en-US" w:eastAsia="zh-CN"/>
        </w:rPr>
      </w:pPr>
      <w:r>
        <w:rPr>
          <w:rFonts w:hint="eastAsia" w:ascii="宋体" w:hAnsi="宋体"/>
          <w:bCs/>
          <w:color w:val="000000"/>
          <w:sz w:val="24"/>
          <w:highlight w:val="none"/>
          <w:lang w:val="zh-CN"/>
        </w:rPr>
        <w:t>1.供应商情况一览表；（格式见附件）</w:t>
      </w:r>
    </w:p>
    <w:p>
      <w:pPr>
        <w:spacing w:line="360" w:lineRule="auto"/>
        <w:ind w:firstLine="480"/>
        <w:jc w:val="left"/>
        <w:rPr>
          <w:rFonts w:ascii="宋体" w:hAnsi="宋体" w:cs="宋体"/>
          <w:bCs/>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bCs/>
          <w:sz w:val="24"/>
          <w:highlight w:val="none"/>
          <w:lang w:val="zh-CN"/>
        </w:rPr>
        <w:t>商务部分正负偏离表（格式见附件）；</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rPr>
        <w:t>.</w:t>
      </w:r>
      <w:r>
        <w:rPr>
          <w:rFonts w:hint="eastAsia" w:ascii="宋体" w:hAnsi="宋体" w:cs="宋体"/>
          <w:bCs/>
          <w:sz w:val="24"/>
          <w:highlight w:val="none"/>
          <w:lang w:val="zh-CN"/>
        </w:rPr>
        <w:t>技术部分正负偏离表（格式见附件）；</w:t>
      </w:r>
    </w:p>
    <w:p>
      <w:pPr>
        <w:spacing w:line="360" w:lineRule="auto"/>
        <w:ind w:firstLine="480"/>
        <w:rPr>
          <w:rFonts w:hint="eastAsia" w:ascii="宋体" w:hAnsi="宋体"/>
          <w:bCs/>
          <w:color w:val="000000"/>
          <w:sz w:val="24"/>
          <w:highlight w:val="none"/>
          <w:lang w:val="zh-CN"/>
        </w:rPr>
      </w:pPr>
      <w:r>
        <w:rPr>
          <w:rFonts w:hint="eastAsia" w:ascii="宋体" w:hAnsi="宋体"/>
          <w:bCs/>
          <w:color w:val="000000"/>
          <w:sz w:val="24"/>
          <w:highlight w:val="none"/>
          <w:lang w:val="en-US" w:eastAsia="zh-CN"/>
        </w:rPr>
        <w:t>4</w:t>
      </w:r>
      <w:r>
        <w:rPr>
          <w:rFonts w:hint="eastAsia" w:ascii="宋体" w:hAnsi="宋体"/>
          <w:bCs/>
          <w:color w:val="000000"/>
          <w:sz w:val="24"/>
          <w:highlight w:val="none"/>
          <w:lang w:val="zh-CN"/>
        </w:rPr>
        <w:t>.商务技术评分标准中须提供的相关得分佐证材料；</w:t>
      </w:r>
    </w:p>
    <w:p>
      <w:pPr>
        <w:spacing w:line="360" w:lineRule="auto"/>
        <w:ind w:firstLine="480"/>
        <w:rPr>
          <w:rFonts w:hint="eastAsia" w:ascii="宋体" w:hAnsi="宋体"/>
          <w:bCs/>
          <w:color w:val="000000"/>
          <w:sz w:val="24"/>
          <w:highlight w:val="none"/>
          <w:lang w:val="zh-CN"/>
        </w:rPr>
      </w:pPr>
      <w:r>
        <w:rPr>
          <w:rFonts w:hint="eastAsia" w:ascii="宋体" w:hAnsi="宋体"/>
          <w:bCs/>
          <w:color w:val="000000"/>
          <w:sz w:val="24"/>
          <w:highlight w:val="none"/>
          <w:lang w:val="en-US" w:eastAsia="zh-CN"/>
        </w:rPr>
        <w:t>5</w:t>
      </w:r>
      <w:r>
        <w:rPr>
          <w:rFonts w:hint="eastAsia" w:ascii="宋体" w:hAnsi="宋体"/>
          <w:bCs/>
          <w:color w:val="000000"/>
          <w:sz w:val="24"/>
          <w:highlight w:val="none"/>
          <w:lang w:val="zh-CN"/>
        </w:rPr>
        <w:t>.供应商认为需要提交的其他商务技术材料。</w:t>
      </w:r>
    </w:p>
    <w:p>
      <w:pPr>
        <w:spacing w:line="360" w:lineRule="auto"/>
        <w:ind w:firstLine="480"/>
        <w:rPr>
          <w:rFonts w:ascii="宋体" w:hAnsi="宋体"/>
          <w:b/>
          <w:bCs/>
          <w:color w:val="000000"/>
          <w:sz w:val="24"/>
          <w:highlight w:val="none"/>
          <w:lang w:val="zh-CN"/>
        </w:rPr>
      </w:pPr>
      <w:r>
        <w:rPr>
          <w:rFonts w:ascii="宋体" w:hAnsi="宋体"/>
          <w:b/>
          <w:bCs/>
          <w:color w:val="000000"/>
          <w:sz w:val="24"/>
          <w:highlight w:val="none"/>
          <w:lang w:val="zh-CN"/>
        </w:rPr>
        <w:t>三、价格文件</w:t>
      </w:r>
    </w:p>
    <w:p>
      <w:pPr>
        <w:spacing w:line="360" w:lineRule="auto"/>
        <w:ind w:firstLine="480"/>
        <w:jc w:val="left"/>
        <w:rPr>
          <w:rFonts w:hint="eastAsia"/>
        </w:rPr>
      </w:pPr>
      <w:r>
        <w:rPr>
          <w:rFonts w:hint="eastAsia" w:ascii="宋体" w:hAnsi="宋体" w:cs="宋体"/>
          <w:bCs/>
          <w:sz w:val="24"/>
          <w:highlight w:val="none"/>
          <w:lang w:val="en-US" w:eastAsia="zh-CN"/>
        </w:rPr>
        <w:t>1</w:t>
      </w:r>
      <w:r>
        <w:rPr>
          <w:rFonts w:hint="eastAsia" w:ascii="宋体" w:hAnsi="宋体" w:cs="宋体"/>
          <w:bCs/>
          <w:sz w:val="24"/>
          <w:highlight w:val="none"/>
        </w:rPr>
        <w:t>.投标函</w:t>
      </w:r>
      <w:r>
        <w:rPr>
          <w:rFonts w:hint="eastAsia" w:ascii="宋体" w:hAnsi="宋体" w:cs="宋体"/>
          <w:bCs/>
          <w:sz w:val="24"/>
          <w:highlight w:val="none"/>
          <w:lang w:val="zh-CN"/>
        </w:rPr>
        <w:t>（格式见附件</w:t>
      </w:r>
      <w:r>
        <w:rPr>
          <w:rFonts w:hint="eastAsia" w:ascii="宋体" w:hAnsi="宋体" w:cs="宋体"/>
          <w:bCs/>
          <w:sz w:val="24"/>
          <w:highlight w:val="none"/>
        </w:rPr>
        <w:t>5</w:t>
      </w:r>
      <w:r>
        <w:rPr>
          <w:rFonts w:hint="eastAsia" w:ascii="宋体" w:hAnsi="宋体" w:cs="宋体"/>
          <w:bCs/>
          <w:sz w:val="24"/>
          <w:highlight w:val="none"/>
          <w:lang w:val="zh-CN"/>
        </w:rPr>
        <w:t>）；</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bCs/>
          <w:sz w:val="24"/>
          <w:highlight w:val="none"/>
          <w:lang w:val="zh-CN"/>
        </w:rPr>
        <w:t>开标一览表（格式见苏采云系统内电子投标(响应)文件中表式）；</w:t>
      </w:r>
    </w:p>
    <w:p>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rPr>
        <w:t>.小型、微型企业声明函（如有，格式见附件）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lang w:val="zh-CN"/>
        </w:rPr>
        <w:t>.</w:t>
      </w:r>
      <w:r>
        <w:rPr>
          <w:rFonts w:hint="eastAsia" w:ascii="宋体" w:hAnsi="宋体" w:cs="宋体"/>
          <w:bCs/>
          <w:sz w:val="24"/>
          <w:highlight w:val="none"/>
        </w:rPr>
        <w:t>残疾人福利性单位声明函（如有，格式见附件）</w:t>
      </w:r>
    </w:p>
    <w:p>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.监狱和戒毒企业证明材料（如有，格式见附件）</w:t>
      </w:r>
    </w:p>
    <w:p>
      <w:pPr>
        <w:spacing w:line="400" w:lineRule="exact"/>
        <w:contextualSpacing/>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p>
    <w:p>
      <w:pPr>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r>
        <w:rPr>
          <w:rFonts w:ascii="宋体" w:hAnsi="宋体"/>
          <w:sz w:val="32"/>
          <w:szCs w:val="32"/>
          <w:highlight w:val="none"/>
          <w:lang w:val="zh-CN"/>
        </w:rPr>
        <w:t>附件1</w:t>
      </w:r>
    </w:p>
    <w:p>
      <w:pPr>
        <w:jc w:val="center"/>
        <w:rPr>
          <w:rFonts w:hint="eastAsia" w:ascii="宋体" w:hAnsi="宋体"/>
          <w:b/>
          <w:sz w:val="30"/>
          <w:szCs w:val="30"/>
          <w:highlight w:val="none"/>
        </w:rPr>
      </w:pPr>
      <w:r>
        <w:rPr>
          <w:rFonts w:hint="eastAsia" w:ascii="宋体" w:hAnsi="宋体"/>
          <w:b/>
          <w:sz w:val="30"/>
          <w:szCs w:val="30"/>
          <w:highlight w:val="none"/>
          <w:lang w:val="en-US" w:eastAsia="zh-CN"/>
        </w:rPr>
        <w:t xml:space="preserve"> </w:t>
      </w:r>
      <w:r>
        <w:rPr>
          <w:rFonts w:hint="eastAsia" w:ascii="宋体" w:hAnsi="宋体"/>
          <w:b/>
          <w:sz w:val="30"/>
          <w:szCs w:val="30"/>
          <w:highlight w:val="none"/>
        </w:rPr>
        <w:t>投标人符合《政府采购法》第二十二条规定条件的声明函</w:t>
      </w:r>
    </w:p>
    <w:p>
      <w:pPr>
        <w:spacing w:line="460" w:lineRule="exact"/>
        <w:rPr>
          <w:rFonts w:hint="eastAsia" w:ascii="宋体" w:hAnsi="宋体"/>
          <w:b/>
          <w:bCs/>
          <w:sz w:val="44"/>
          <w:szCs w:val="44"/>
          <w:highlight w:val="none"/>
        </w:rPr>
      </w:pPr>
      <w:r>
        <w:rPr>
          <w:rFonts w:hint="eastAsia" w:ascii="宋体" w:hAnsi="宋体"/>
          <w:b/>
          <w:bCs/>
          <w:sz w:val="24"/>
          <w:szCs w:val="21"/>
          <w:highlight w:val="none"/>
        </w:rPr>
        <w:t xml:space="preserve">                       </w:t>
      </w:r>
      <w:r>
        <w:rPr>
          <w:rFonts w:hint="eastAsia" w:ascii="宋体" w:hAnsi="宋体"/>
          <w:b/>
          <w:bCs/>
          <w:sz w:val="44"/>
          <w:szCs w:val="44"/>
          <w:highlight w:val="none"/>
        </w:rPr>
        <w:t xml:space="preserve">   </w:t>
      </w:r>
    </w:p>
    <w:p>
      <w:pPr>
        <w:spacing w:line="520" w:lineRule="exact"/>
        <w:ind w:firstLine="480"/>
        <w:rPr>
          <w:rFonts w:hint="eastAsia" w:ascii="宋体" w:hAnsi="宋体"/>
          <w:b/>
          <w:bCs/>
          <w:sz w:val="24"/>
          <w:highlight w:val="none"/>
        </w:rPr>
      </w:pPr>
      <w:r>
        <w:rPr>
          <w:rFonts w:hint="eastAsia" w:ascii="宋体" w:hAnsi="宋体"/>
          <w:bCs/>
          <w:sz w:val="24"/>
          <w:highlight w:val="none"/>
        </w:rPr>
        <w:t>我单位参加________________</w:t>
      </w:r>
      <w:r>
        <w:rPr>
          <w:rFonts w:hint="eastAsia" w:ascii="宋体" w:hAnsi="宋体"/>
          <w:bCs/>
          <w:sz w:val="24"/>
          <w:szCs w:val="21"/>
          <w:highlight w:val="none"/>
        </w:rPr>
        <w:t>（项目名称），</w:t>
      </w:r>
      <w:r>
        <w:rPr>
          <w:rFonts w:hint="eastAsia" w:ascii="宋体" w:hAnsi="宋体"/>
          <w:bCs/>
          <w:sz w:val="24"/>
          <w:highlight w:val="none"/>
        </w:rPr>
        <w:t>________________</w:t>
      </w:r>
      <w:r>
        <w:rPr>
          <w:rFonts w:hint="eastAsia" w:ascii="宋体" w:hAnsi="宋体"/>
          <w:bCs/>
          <w:sz w:val="24"/>
          <w:szCs w:val="21"/>
          <w:highlight w:val="none"/>
        </w:rPr>
        <w:t>（项目编号）投标活动。针对《中华人民共和国政府采购法》第二十二条规定做出如下声明：</w:t>
      </w:r>
    </w:p>
    <w:p>
      <w:pPr>
        <w:spacing w:line="520" w:lineRule="exact"/>
        <w:ind w:firstLine="482"/>
        <w:rPr>
          <w:rFonts w:hint="eastAsia" w:ascii="宋体" w:hAnsi="宋体"/>
          <w:sz w:val="24"/>
          <w:highlight w:val="none"/>
        </w:rPr>
      </w:pPr>
      <w:r>
        <w:rPr>
          <w:rFonts w:hint="eastAsia" w:ascii="宋体" w:hAnsi="宋体"/>
          <w:bCs/>
          <w:sz w:val="24"/>
          <w:szCs w:val="21"/>
          <w:highlight w:val="none"/>
        </w:rPr>
        <w:t>1.我单位具有独立承担民事责任的能力；</w:t>
      </w:r>
    </w:p>
    <w:p>
      <w:pPr>
        <w:spacing w:line="520" w:lineRule="exact"/>
        <w:ind w:firstLine="482"/>
        <w:rPr>
          <w:rFonts w:hint="eastAsia" w:ascii="宋体" w:hAnsi="宋体"/>
          <w:sz w:val="24"/>
          <w:highlight w:val="none"/>
        </w:rPr>
      </w:pPr>
      <w:r>
        <w:rPr>
          <w:rFonts w:hint="eastAsia" w:ascii="宋体" w:hAnsi="宋体"/>
          <w:sz w:val="24"/>
          <w:highlight w:val="none"/>
        </w:rPr>
        <w:t>2.我单位具有良好的商业信誉和健全的财务会计制度；</w:t>
      </w:r>
    </w:p>
    <w:p>
      <w:pPr>
        <w:spacing w:line="520" w:lineRule="exact"/>
        <w:ind w:firstLine="482"/>
        <w:rPr>
          <w:rFonts w:hint="eastAsia" w:ascii="宋体" w:hAnsi="宋体"/>
          <w:sz w:val="24"/>
          <w:highlight w:val="none"/>
        </w:rPr>
      </w:pPr>
      <w:r>
        <w:rPr>
          <w:rFonts w:hint="eastAsia" w:ascii="宋体" w:hAnsi="宋体"/>
          <w:sz w:val="24"/>
          <w:highlight w:val="none"/>
        </w:rPr>
        <w:t>3.我单位具有履行合同所必需的设备和专业技术能力；</w:t>
      </w:r>
    </w:p>
    <w:p>
      <w:pPr>
        <w:spacing w:line="520" w:lineRule="exact"/>
        <w:ind w:firstLine="482"/>
        <w:rPr>
          <w:rFonts w:hint="eastAsia" w:ascii="宋体" w:hAnsi="宋体"/>
          <w:sz w:val="24"/>
          <w:highlight w:val="none"/>
        </w:rPr>
      </w:pPr>
      <w:r>
        <w:rPr>
          <w:rFonts w:hint="eastAsia" w:ascii="宋体" w:hAnsi="宋体"/>
          <w:sz w:val="24"/>
          <w:highlight w:val="none"/>
        </w:rPr>
        <w:t>4.我单位有依法缴纳税收和社会保障资金的良好记录；</w:t>
      </w:r>
    </w:p>
    <w:p>
      <w:pPr>
        <w:spacing w:line="520" w:lineRule="exact"/>
        <w:ind w:firstLine="482"/>
        <w:rPr>
          <w:rFonts w:hint="eastAsia" w:ascii="宋体" w:hAnsi="宋体"/>
          <w:sz w:val="24"/>
          <w:highlight w:val="none"/>
        </w:rPr>
      </w:pPr>
      <w:r>
        <w:rPr>
          <w:rFonts w:hint="eastAsia" w:ascii="宋体" w:hAnsi="宋体"/>
          <w:sz w:val="24"/>
          <w:highlight w:val="none"/>
        </w:rPr>
        <w:t>5.我单位参加政府采购活动前三年内，在经营活动中没有重大违法记录；</w:t>
      </w:r>
    </w:p>
    <w:p>
      <w:pPr>
        <w:spacing w:line="520" w:lineRule="exact"/>
        <w:rPr>
          <w:rFonts w:hint="eastAsia" w:ascii="宋体" w:hAnsi="宋体"/>
          <w:sz w:val="24"/>
          <w:highlight w:val="none"/>
        </w:rPr>
      </w:pPr>
      <w:r>
        <w:rPr>
          <w:rFonts w:hint="eastAsia" w:ascii="宋体" w:hAnsi="宋体"/>
          <w:sz w:val="24"/>
          <w:highlight w:val="none"/>
        </w:rPr>
        <w:t>（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sz w:val="24"/>
          <w:highlight w:val="none"/>
        </w:rPr>
      </w:pPr>
      <w:r>
        <w:rPr>
          <w:rFonts w:hint="eastAsia" w:ascii="宋体" w:hAnsi="宋体"/>
          <w:sz w:val="24"/>
          <w:highlight w:val="none"/>
        </w:rPr>
        <w:t>6.我单位满足法律、行政法规规定的其他条件。</w:t>
      </w:r>
    </w:p>
    <w:p>
      <w:pPr>
        <w:spacing w:line="500" w:lineRule="exact"/>
        <w:ind w:firstLine="482"/>
        <w:rPr>
          <w:rFonts w:hint="eastAsia" w:ascii="宋体" w:hAnsi="宋体"/>
          <w:sz w:val="24"/>
          <w:highlight w:val="none"/>
        </w:rPr>
      </w:pPr>
    </w:p>
    <w:p>
      <w:pPr>
        <w:spacing w:line="500" w:lineRule="exact"/>
        <w:rPr>
          <w:rFonts w:hint="eastAsia" w:ascii="宋体" w:hAnsi="宋体"/>
          <w:sz w:val="24"/>
          <w:highlight w:val="none"/>
        </w:rPr>
      </w:pPr>
    </w:p>
    <w:p>
      <w:pPr>
        <w:spacing w:line="500" w:lineRule="exact"/>
        <w:rPr>
          <w:rFonts w:hint="eastAsia" w:ascii="宋体" w:hAnsi="宋体"/>
          <w:bCs/>
          <w:sz w:val="24"/>
          <w:szCs w:val="21"/>
          <w:highlight w:val="none"/>
        </w:rPr>
      </w:pPr>
    </w:p>
    <w:p>
      <w:pPr>
        <w:spacing w:line="500" w:lineRule="exact"/>
        <w:rPr>
          <w:rFonts w:hint="eastAsia" w:ascii="宋体" w:hAnsi="宋体"/>
          <w:bCs/>
          <w:sz w:val="24"/>
          <w:szCs w:val="21"/>
          <w:highlight w:val="none"/>
        </w:rPr>
      </w:pPr>
    </w:p>
    <w:p>
      <w:pPr>
        <w:spacing w:line="500" w:lineRule="exact"/>
        <w:rPr>
          <w:rFonts w:hint="eastAsia" w:ascii="宋体" w:hAnsi="宋体"/>
          <w:bCs/>
          <w:sz w:val="24"/>
          <w:szCs w:val="21"/>
          <w:highlight w:val="none"/>
        </w:rPr>
      </w:pPr>
    </w:p>
    <w:p>
      <w:pPr>
        <w:spacing w:line="460" w:lineRule="exact"/>
        <w:jc w:val="center"/>
        <w:rPr>
          <w:rFonts w:hint="eastAsia" w:ascii="宋体" w:hAnsi="宋体"/>
          <w:bCs/>
          <w:sz w:val="24"/>
          <w:szCs w:val="21"/>
          <w:highlight w:val="none"/>
        </w:rPr>
      </w:pPr>
      <w:r>
        <w:rPr>
          <w:rFonts w:hint="eastAsia" w:ascii="宋体" w:hAnsi="宋体"/>
          <w:bCs/>
          <w:sz w:val="24"/>
          <w:szCs w:val="21"/>
          <w:highlight w:val="none"/>
        </w:rPr>
        <w:t xml:space="preserve">                                             承诺人名称（公章）：</w:t>
      </w:r>
    </w:p>
    <w:p>
      <w:pPr>
        <w:spacing w:line="460" w:lineRule="exact"/>
        <w:jc w:val="right"/>
        <w:rPr>
          <w:rFonts w:hint="eastAsia" w:ascii="宋体" w:hAnsi="宋体"/>
          <w:bCs/>
          <w:sz w:val="24"/>
          <w:szCs w:val="21"/>
          <w:highlight w:val="none"/>
        </w:rPr>
      </w:pPr>
      <w:r>
        <w:rPr>
          <w:rFonts w:hint="eastAsia" w:ascii="宋体" w:hAnsi="宋体"/>
          <w:bCs/>
          <w:sz w:val="24"/>
          <w:szCs w:val="21"/>
          <w:highlight w:val="none"/>
        </w:rPr>
        <w:t xml:space="preserve">    </w:t>
      </w:r>
    </w:p>
    <w:p>
      <w:pPr>
        <w:spacing w:line="460" w:lineRule="exact"/>
        <w:jc w:val="right"/>
        <w:rPr>
          <w:rFonts w:hint="eastAsia" w:ascii="宋体" w:hAnsi="宋体"/>
          <w:bCs/>
          <w:sz w:val="24"/>
          <w:szCs w:val="21"/>
          <w:highlight w:val="none"/>
        </w:rPr>
      </w:pPr>
      <w:r>
        <w:rPr>
          <w:rFonts w:hint="eastAsia" w:ascii="宋体" w:hAnsi="宋体"/>
          <w:bCs/>
          <w:sz w:val="24"/>
          <w:szCs w:val="21"/>
          <w:highlight w:val="none"/>
        </w:rPr>
        <w:t xml:space="preserve">                                 日期：</w:t>
      </w:r>
      <w:r>
        <w:rPr>
          <w:rFonts w:hint="eastAsia" w:ascii="宋体" w:hAnsi="宋体"/>
          <w:bCs/>
          <w:sz w:val="24"/>
          <w:szCs w:val="21"/>
          <w:highlight w:val="none"/>
          <w:u w:val="single"/>
        </w:rPr>
        <w:t xml:space="preserve">    </w:t>
      </w:r>
      <w:r>
        <w:rPr>
          <w:rFonts w:hint="eastAsia" w:ascii="宋体" w:hAnsi="宋体"/>
          <w:bCs/>
          <w:sz w:val="24"/>
          <w:szCs w:val="21"/>
          <w:highlight w:val="none"/>
        </w:rPr>
        <w:t>年</w:t>
      </w:r>
      <w:r>
        <w:rPr>
          <w:rFonts w:hint="eastAsia" w:ascii="宋体" w:hAnsi="宋体"/>
          <w:bCs/>
          <w:sz w:val="24"/>
          <w:szCs w:val="21"/>
          <w:highlight w:val="none"/>
          <w:u w:val="single"/>
        </w:rPr>
        <w:t xml:space="preserve">    </w:t>
      </w:r>
      <w:r>
        <w:rPr>
          <w:rFonts w:hint="eastAsia" w:ascii="宋体" w:hAnsi="宋体"/>
          <w:bCs/>
          <w:sz w:val="24"/>
          <w:szCs w:val="21"/>
          <w:highlight w:val="none"/>
        </w:rPr>
        <w:t>月</w:t>
      </w:r>
      <w:r>
        <w:rPr>
          <w:rFonts w:hint="eastAsia" w:ascii="宋体" w:hAnsi="宋体"/>
          <w:bCs/>
          <w:sz w:val="24"/>
          <w:szCs w:val="21"/>
          <w:highlight w:val="none"/>
          <w:u w:val="single"/>
        </w:rPr>
        <w:t xml:space="preserve">    </w:t>
      </w:r>
      <w:r>
        <w:rPr>
          <w:rFonts w:hint="eastAsia" w:ascii="宋体" w:hAnsi="宋体"/>
          <w:bCs/>
          <w:sz w:val="24"/>
          <w:szCs w:val="21"/>
          <w:highlight w:val="none"/>
        </w:rPr>
        <w:t>日</w:t>
      </w:r>
    </w:p>
    <w:p>
      <w:pPr>
        <w:rPr>
          <w:rFonts w:ascii="宋体" w:hAnsi="宋体"/>
          <w:szCs w:val="21"/>
          <w:highlight w:val="none"/>
        </w:rPr>
      </w:pPr>
    </w:p>
    <w:p>
      <w:pPr>
        <w:spacing w:line="400" w:lineRule="exact"/>
        <w:contextualSpacing/>
        <w:rPr>
          <w:rFonts w:hint="eastAsia" w:ascii="宋体" w:hAnsi="宋体" w:cs="宋体"/>
          <w:b/>
          <w:sz w:val="28"/>
          <w:szCs w:val="28"/>
          <w:highlight w:val="none"/>
          <w:lang w:val="zh-CN"/>
        </w:rPr>
      </w:pPr>
    </w:p>
    <w:p>
      <w:pPr>
        <w:spacing w:line="400" w:lineRule="exact"/>
        <w:contextualSpacing/>
        <w:rPr>
          <w:rFonts w:hint="eastAsia" w:ascii="宋体" w:hAnsi="宋体" w:cs="宋体"/>
          <w:b/>
          <w:sz w:val="28"/>
          <w:szCs w:val="28"/>
          <w:highlight w:val="none"/>
          <w:lang w:val="zh-CN"/>
        </w:rPr>
      </w:pPr>
    </w:p>
    <w:p>
      <w:pPr>
        <w:spacing w:line="400" w:lineRule="exact"/>
        <w:contextualSpacing/>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p>
    <w:p>
      <w:pPr>
        <w:spacing w:line="400" w:lineRule="exact"/>
        <w:contextualSpacing/>
        <w:rPr>
          <w:rFonts w:ascii="宋体" w:hAnsi="宋体"/>
          <w:sz w:val="32"/>
          <w:szCs w:val="32"/>
          <w:highlight w:val="none"/>
          <w:lang w:val="zh-CN"/>
        </w:rPr>
      </w:pPr>
      <w:r>
        <w:rPr>
          <w:rFonts w:ascii="宋体" w:hAnsi="宋体"/>
          <w:sz w:val="32"/>
          <w:szCs w:val="32"/>
          <w:highlight w:val="none"/>
          <w:lang w:val="zh-CN"/>
        </w:rPr>
        <w:t>附件2</w:t>
      </w:r>
    </w:p>
    <w:p>
      <w:pPr>
        <w:pStyle w:val="409"/>
        <w:spacing w:line="560" w:lineRule="exact"/>
        <w:jc w:val="center"/>
        <w:rPr>
          <w:rFonts w:ascii="宋体" w:hAnsi="宋体"/>
          <w:b/>
          <w:bCs/>
          <w:sz w:val="32"/>
          <w:szCs w:val="32"/>
          <w:highlight w:val="none"/>
        </w:rPr>
      </w:pPr>
      <w:r>
        <w:rPr>
          <w:rFonts w:hint="eastAsia" w:ascii="宋体" w:hAnsi="宋体"/>
          <w:b/>
          <w:bCs/>
          <w:sz w:val="32"/>
          <w:szCs w:val="32"/>
          <w:highlight w:val="none"/>
        </w:rPr>
        <w:t>法定代表人身份证明</w:t>
      </w:r>
    </w:p>
    <w:p>
      <w:pPr>
        <w:spacing w:line="480" w:lineRule="exact"/>
        <w:rPr>
          <w:rFonts w:ascii="宋体" w:hAnsi="宋体"/>
          <w:sz w:val="24"/>
          <w:highlight w:val="none"/>
        </w:rPr>
      </w:pPr>
    </w:p>
    <w:p>
      <w:pPr>
        <w:spacing w:line="480" w:lineRule="exact"/>
        <w:ind w:firstLine="48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pPr>
        <w:spacing w:line="480" w:lineRule="exact"/>
        <w:jc w:val="left"/>
        <w:rPr>
          <w:rFonts w:hint="eastAsia" w:ascii="宋体" w:hAnsi="宋体"/>
          <w:sz w:val="24"/>
          <w:highlight w:val="none"/>
        </w:rPr>
      </w:pPr>
    </w:p>
    <w:p>
      <w:pPr>
        <w:spacing w:before="156" w:after="156" w:line="480" w:lineRule="exact"/>
        <w:jc w:val="center"/>
        <w:rPr>
          <w:rFonts w:hint="eastAsia" w:ascii="宋体" w:hAnsi="宋体"/>
          <w:bCs/>
          <w:sz w:val="24"/>
          <w:szCs w:val="21"/>
          <w:highlight w:val="none"/>
        </w:rPr>
      </w:pPr>
      <w:r>
        <w:rPr>
          <w:rFonts w:hint="eastAsia" w:ascii="宋体" w:hAnsi="宋体"/>
          <w:sz w:val="24"/>
          <w:highlight w:val="none"/>
        </w:rPr>
        <w:t xml:space="preserve">                        投标人名称（盖公章）:</w:t>
      </w:r>
      <w:r>
        <w:rPr>
          <w:rFonts w:hint="eastAsia" w:ascii="宋体" w:hAnsi="宋体"/>
          <w:sz w:val="24"/>
          <w:highlight w:val="none"/>
          <w:u w:val="single"/>
        </w:rPr>
        <w:t xml:space="preserve">               </w:t>
      </w:r>
      <w:r>
        <w:rPr>
          <w:rFonts w:hint="eastAsia" w:ascii="宋体" w:hAnsi="宋体"/>
          <w:sz w:val="24"/>
          <w:highlight w:val="none"/>
        </w:rPr>
        <w:t xml:space="preserve">  </w:t>
      </w:r>
      <w:r>
        <w:rPr>
          <w:rFonts w:hint="eastAsia" w:ascii="宋体" w:hAnsi="宋体"/>
          <w:bCs/>
          <w:sz w:val="24"/>
          <w:szCs w:val="21"/>
          <w:highlight w:val="none"/>
        </w:rPr>
        <w:t xml:space="preserve">                </w:t>
      </w:r>
    </w:p>
    <w:p>
      <w:pPr>
        <w:spacing w:before="156" w:after="156" w:line="480" w:lineRule="exact"/>
        <w:jc w:val="center"/>
        <w:rPr>
          <w:rFonts w:ascii="宋体" w:hAnsi="宋体"/>
          <w:sz w:val="24"/>
          <w:highlight w:val="none"/>
        </w:rPr>
      </w:pPr>
      <w:r>
        <w:rPr>
          <w:rFonts w:hint="eastAsia" w:ascii="宋体" w:hAnsi="宋体"/>
          <w:bCs/>
          <w:sz w:val="24"/>
          <w:szCs w:val="21"/>
          <w:highlight w:val="none"/>
        </w:rPr>
        <w:t xml:space="preserve">                             日期：</w:t>
      </w:r>
      <w:r>
        <w:rPr>
          <w:rFonts w:hint="eastAsia" w:ascii="宋体" w:hAnsi="宋体"/>
          <w:bCs/>
          <w:sz w:val="24"/>
          <w:szCs w:val="21"/>
          <w:highlight w:val="none"/>
          <w:u w:val="single"/>
        </w:rPr>
        <w:t xml:space="preserve">    </w:t>
      </w:r>
      <w:r>
        <w:rPr>
          <w:rFonts w:hint="eastAsia" w:ascii="宋体" w:hAnsi="宋体"/>
          <w:bCs/>
          <w:sz w:val="24"/>
          <w:szCs w:val="21"/>
          <w:highlight w:val="none"/>
        </w:rPr>
        <w:t>年</w:t>
      </w:r>
      <w:r>
        <w:rPr>
          <w:rFonts w:hint="eastAsia" w:ascii="宋体" w:hAnsi="宋体"/>
          <w:bCs/>
          <w:sz w:val="24"/>
          <w:szCs w:val="21"/>
          <w:highlight w:val="none"/>
          <w:u w:val="single"/>
        </w:rPr>
        <w:t xml:space="preserve">    </w:t>
      </w:r>
      <w:r>
        <w:rPr>
          <w:rFonts w:hint="eastAsia" w:ascii="宋体" w:hAnsi="宋体"/>
          <w:bCs/>
          <w:sz w:val="24"/>
          <w:szCs w:val="21"/>
          <w:highlight w:val="none"/>
        </w:rPr>
        <w:t>月</w:t>
      </w:r>
      <w:r>
        <w:rPr>
          <w:rFonts w:hint="eastAsia" w:ascii="宋体" w:hAnsi="宋体"/>
          <w:bCs/>
          <w:sz w:val="24"/>
          <w:szCs w:val="21"/>
          <w:highlight w:val="none"/>
          <w:u w:val="single"/>
        </w:rPr>
        <w:t xml:space="preserve">    </w:t>
      </w:r>
      <w:r>
        <w:rPr>
          <w:rFonts w:hint="eastAsia" w:ascii="宋体" w:hAnsi="宋体"/>
          <w:bCs/>
          <w:sz w:val="24"/>
          <w:szCs w:val="21"/>
          <w:highlight w:val="none"/>
        </w:rPr>
        <w:t>日</w:t>
      </w:r>
      <w:r>
        <w:rPr>
          <w:rFonts w:hint="eastAsia" w:ascii="宋体" w:hAnsi="宋体"/>
          <w:sz w:val="24"/>
          <w:highlight w:val="none"/>
        </w:rPr>
        <w:t xml:space="preserve">  </w:t>
      </w:r>
    </w:p>
    <w:p>
      <w:pPr>
        <w:rPr>
          <w:highlight w:val="none"/>
          <w:u w:val="single"/>
        </w:rPr>
      </w:pPr>
      <w:r>
        <w:rPr>
          <w:rFonts w:hint="eastAsia"/>
          <w:highlight w:val="none"/>
        </w:rPr>
        <w:t xml:space="preserve">        </w:t>
      </w:r>
    </w:p>
    <w:p>
      <w:pPr>
        <w:pStyle w:val="462"/>
        <w:spacing w:line="600" w:lineRule="exact"/>
        <w:rPr>
          <w:rFonts w:ascii="宋体" w:hAnsi="宋体"/>
          <w:b/>
          <w:sz w:val="24"/>
          <w:highlight w:val="none"/>
        </w:rPr>
      </w:pPr>
      <w:r>
        <w:rPr>
          <w:rFonts w:hint="eastAsia" w:ascii="宋体" w:hAnsi="宋体"/>
          <w:b/>
          <w:sz w:val="24"/>
          <w:highlight w:val="none"/>
        </w:rPr>
        <w:t>附：提供法定代表人的身份证复印件并加盖单位公章</w:t>
      </w:r>
    </w:p>
    <w:p>
      <w:pPr>
        <w:spacing w:line="480" w:lineRule="exact"/>
        <w:ind w:firstLine="480"/>
        <w:rPr>
          <w:rFonts w:ascii="宋体" w:hAnsi="宋体"/>
          <w:sz w:val="24"/>
          <w:highlight w:val="none"/>
        </w:rPr>
      </w:pPr>
    </w:p>
    <w:p>
      <w:pPr>
        <w:rPr>
          <w:rFonts w:ascii="宋体" w:hAnsi="宋体"/>
          <w:highlight w:val="none"/>
        </w:rPr>
      </w:pPr>
      <w:r>
        <w:rPr>
          <w:rFonts w:hint="eastAsia" w:ascii="宋体" w:hAnsi="宋体"/>
          <w:highlight w:val="none"/>
        </w:rPr>
        <w:t xml:space="preserve">     </w:t>
      </w: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ind w:firstLine="540"/>
        <w:contextualSpacing/>
        <w:rPr>
          <w:rFonts w:hint="eastAsia" w:ascii="宋体" w:hAnsi="宋体" w:cs="宋体"/>
          <w:b/>
          <w:sz w:val="28"/>
          <w:szCs w:val="28"/>
          <w:highlight w:val="none"/>
          <w:lang w:val="zh-CN"/>
        </w:rPr>
      </w:pPr>
    </w:p>
    <w:p>
      <w:pPr>
        <w:spacing w:line="400" w:lineRule="exact"/>
        <w:contextualSpacing/>
        <w:rPr>
          <w:rFonts w:ascii="宋体" w:hAnsi="宋体"/>
          <w:sz w:val="32"/>
          <w:szCs w:val="32"/>
          <w:highlight w:val="none"/>
          <w:lang w:val="zh-CN"/>
        </w:rPr>
      </w:pPr>
      <w:r>
        <w:rPr>
          <w:rFonts w:ascii="宋体" w:hAnsi="宋体"/>
          <w:sz w:val="32"/>
          <w:szCs w:val="32"/>
          <w:highlight w:val="none"/>
          <w:lang w:val="zh-CN"/>
        </w:rPr>
        <w:t>附件3</w:t>
      </w:r>
    </w:p>
    <w:p>
      <w:pPr>
        <w:jc w:val="center"/>
        <w:rPr>
          <w:rFonts w:ascii="宋体" w:hAnsi="宋体"/>
          <w:sz w:val="32"/>
          <w:szCs w:val="32"/>
          <w:highlight w:val="none"/>
        </w:rPr>
      </w:pPr>
      <w:r>
        <w:rPr>
          <w:rFonts w:hint="eastAsia" w:ascii="宋体" w:hAnsi="宋体"/>
          <w:sz w:val="32"/>
          <w:szCs w:val="32"/>
          <w:highlight w:val="none"/>
        </w:rPr>
        <w:t>法定代表人授权委托书</w:t>
      </w:r>
    </w:p>
    <w:p>
      <w:pPr>
        <w:rPr>
          <w:rFonts w:ascii="宋体" w:hAnsi="宋体"/>
          <w:sz w:val="32"/>
          <w:szCs w:val="32"/>
          <w:highlight w:val="none"/>
        </w:rPr>
      </w:pPr>
    </w:p>
    <w:p>
      <w:pPr>
        <w:ind w:firstLine="560"/>
        <w:rPr>
          <w:rFonts w:ascii="宋体" w:hAnsi="宋体"/>
          <w:sz w:val="24"/>
          <w:szCs w:val="24"/>
          <w:highlight w:val="none"/>
        </w:rPr>
      </w:pPr>
      <w:r>
        <w:rPr>
          <w:rFonts w:hint="eastAsia" w:ascii="宋体" w:hAnsi="宋体"/>
          <w:sz w:val="24"/>
          <w:szCs w:val="24"/>
          <w:highlight w:val="none"/>
        </w:rPr>
        <w:t>本人</w:t>
      </w:r>
      <w:r>
        <w:rPr>
          <w:rFonts w:hint="eastAsia" w:ascii="宋体" w:hAnsi="宋体"/>
          <w:sz w:val="24"/>
          <w:szCs w:val="24"/>
          <w:highlight w:val="none"/>
          <w:u w:val="single"/>
        </w:rPr>
        <w:t xml:space="preserve">     </w:t>
      </w:r>
      <w:r>
        <w:rPr>
          <w:rFonts w:hint="eastAsia" w:ascii="宋体" w:hAnsi="宋体"/>
          <w:sz w:val="24"/>
          <w:szCs w:val="24"/>
          <w:highlight w:val="none"/>
        </w:rPr>
        <w:t>（姓名）系</w:t>
      </w:r>
      <w:r>
        <w:rPr>
          <w:rFonts w:hint="eastAsia" w:ascii="宋体" w:hAnsi="宋体"/>
          <w:sz w:val="24"/>
          <w:szCs w:val="24"/>
          <w:highlight w:val="none"/>
          <w:u w:val="single"/>
        </w:rPr>
        <w:t xml:space="preserve">     </w:t>
      </w:r>
      <w:r>
        <w:rPr>
          <w:rFonts w:hint="eastAsia" w:ascii="宋体" w:hAnsi="宋体"/>
          <w:sz w:val="24"/>
          <w:szCs w:val="24"/>
          <w:highlight w:val="none"/>
        </w:rPr>
        <w:t>（授权单位名称）的法定代表人，现委托</w:t>
      </w:r>
      <w:r>
        <w:rPr>
          <w:rFonts w:hint="eastAsia" w:ascii="宋体" w:hAnsi="宋体"/>
          <w:sz w:val="24"/>
          <w:szCs w:val="24"/>
          <w:highlight w:val="none"/>
          <w:u w:val="single"/>
        </w:rPr>
        <w:t xml:space="preserve">     </w:t>
      </w:r>
      <w:r>
        <w:rPr>
          <w:rFonts w:hint="eastAsia" w:ascii="宋体" w:hAnsi="宋体"/>
          <w:sz w:val="24"/>
          <w:szCs w:val="24"/>
          <w:highlight w:val="none"/>
        </w:rPr>
        <w:t>（姓名）（身份证号</w:t>
      </w:r>
      <w:r>
        <w:rPr>
          <w:rFonts w:hint="eastAsia" w:ascii="宋体" w:hAnsi="宋体"/>
          <w:sz w:val="24"/>
          <w:szCs w:val="24"/>
          <w:highlight w:val="none"/>
          <w:u w:val="single"/>
        </w:rPr>
        <w:t xml:space="preserve">     </w:t>
      </w:r>
      <w:r>
        <w:rPr>
          <w:rFonts w:hint="eastAsia" w:ascii="宋体" w:hAnsi="宋体"/>
          <w:sz w:val="24"/>
          <w:szCs w:val="24"/>
          <w:highlight w:val="none"/>
        </w:rPr>
        <w:t>）为我方代理人，以我方名义全权处理与</w:t>
      </w:r>
      <w:r>
        <w:rPr>
          <w:rFonts w:hint="eastAsia" w:ascii="宋体" w:hAnsi="宋体"/>
          <w:sz w:val="24"/>
          <w:szCs w:val="24"/>
          <w:highlight w:val="none"/>
          <w:u w:val="single"/>
        </w:rPr>
        <w:t xml:space="preserve">     </w:t>
      </w:r>
      <w:r>
        <w:rPr>
          <w:rFonts w:hint="eastAsia" w:ascii="宋体" w:hAnsi="宋体"/>
          <w:sz w:val="24"/>
          <w:szCs w:val="24"/>
          <w:highlight w:val="none"/>
        </w:rPr>
        <w:t>采购项目（项目编号：</w:t>
      </w:r>
      <w:r>
        <w:rPr>
          <w:rFonts w:hint="eastAsia" w:ascii="宋体" w:hAnsi="宋体"/>
          <w:sz w:val="24"/>
          <w:szCs w:val="24"/>
          <w:highlight w:val="none"/>
          <w:u w:val="single"/>
        </w:rPr>
        <w:t xml:space="preserve">     </w:t>
      </w:r>
      <w:r>
        <w:rPr>
          <w:rFonts w:hint="eastAsia" w:ascii="宋体" w:hAnsi="宋体"/>
          <w:sz w:val="24"/>
          <w:szCs w:val="24"/>
          <w:highlight w:val="none"/>
        </w:rPr>
        <w:t>）有关的一切事务，其法律后果由我方承担。</w:t>
      </w:r>
    </w:p>
    <w:p>
      <w:pPr>
        <w:ind w:firstLine="560"/>
        <w:rPr>
          <w:rFonts w:ascii="宋体" w:hAnsi="宋体"/>
          <w:sz w:val="24"/>
          <w:szCs w:val="24"/>
          <w:highlight w:val="none"/>
        </w:rPr>
      </w:pPr>
      <w:r>
        <w:rPr>
          <w:rFonts w:hint="eastAsia" w:ascii="宋体" w:hAnsi="宋体"/>
          <w:sz w:val="24"/>
          <w:szCs w:val="24"/>
          <w:highlight w:val="none"/>
        </w:rPr>
        <w:t>本授权书于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日起生效。代理人无转委托权。</w:t>
      </w:r>
    </w:p>
    <w:p>
      <w:pPr>
        <w:ind w:firstLine="420"/>
        <w:rPr>
          <w:rFonts w:ascii="宋体" w:hAnsi="宋体"/>
          <w:sz w:val="24"/>
          <w:szCs w:val="24"/>
          <w:highlight w:val="none"/>
        </w:rPr>
      </w:pPr>
      <w:r>
        <w:rPr>
          <w:rFonts w:hint="eastAsia" w:ascii="宋体" w:hAnsi="宋体"/>
          <w:sz w:val="24"/>
          <w:szCs w:val="24"/>
          <w:highlight w:val="none"/>
        </w:rPr>
        <w:t>代理人(被授权人):</w:t>
      </w:r>
      <w:r>
        <w:rPr>
          <w:rFonts w:hint="eastAsia" w:ascii="宋体" w:hAnsi="宋体"/>
          <w:sz w:val="24"/>
          <w:szCs w:val="24"/>
          <w:highlight w:val="none"/>
          <w:u w:val="single"/>
        </w:rPr>
        <w:t xml:space="preserve">     </w:t>
      </w:r>
    </w:p>
    <w:p>
      <w:pPr>
        <w:ind w:firstLine="420"/>
        <w:rPr>
          <w:rFonts w:ascii="宋体" w:hAnsi="宋体"/>
          <w:sz w:val="24"/>
          <w:szCs w:val="24"/>
          <w:highlight w:val="none"/>
        </w:rPr>
      </w:pPr>
      <w:r>
        <w:rPr>
          <w:rFonts w:hint="eastAsia" w:ascii="宋体" w:hAnsi="宋体"/>
          <w:sz w:val="24"/>
          <w:szCs w:val="24"/>
          <w:highlight w:val="none"/>
        </w:rPr>
        <w:t>授权单位名称（盖章）：</w:t>
      </w:r>
      <w:r>
        <w:rPr>
          <w:rFonts w:hint="eastAsia" w:ascii="宋体" w:hAnsi="宋体"/>
          <w:sz w:val="24"/>
          <w:szCs w:val="24"/>
          <w:highlight w:val="none"/>
          <w:u w:val="single"/>
        </w:rPr>
        <w:t xml:space="preserve">     </w:t>
      </w:r>
    </w:p>
    <w:p>
      <w:pPr>
        <w:ind w:firstLine="420"/>
        <w:rPr>
          <w:rFonts w:ascii="宋体" w:hAnsi="宋体"/>
          <w:sz w:val="24"/>
          <w:szCs w:val="24"/>
          <w:highlight w:val="none"/>
        </w:rPr>
      </w:pPr>
      <w:r>
        <w:rPr>
          <w:rFonts w:hint="eastAsia" w:ascii="宋体" w:hAnsi="宋体"/>
          <w:sz w:val="24"/>
          <w:szCs w:val="24"/>
          <w:highlight w:val="none"/>
        </w:rPr>
        <w:t>授权单位法定代表人（签字或盖章）：</w:t>
      </w:r>
      <w:r>
        <w:rPr>
          <w:rFonts w:hint="eastAsia" w:ascii="宋体" w:hAnsi="宋体"/>
          <w:sz w:val="24"/>
          <w:szCs w:val="24"/>
          <w:highlight w:val="none"/>
          <w:u w:val="single"/>
        </w:rPr>
        <w:t xml:space="preserve">     </w:t>
      </w:r>
    </w:p>
    <w:p>
      <w:pPr>
        <w:jc w:val="right"/>
        <w:rPr>
          <w:rFonts w:ascii="宋体" w:hAnsi="宋体"/>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XXXX年XX月XX日</w:t>
      </w: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r>
        <w:rPr>
          <w:rFonts w:hint="eastAsia" w:ascii="宋体" w:hAnsi="宋体" w:cs="宋体"/>
          <w:b/>
          <w:sz w:val="24"/>
          <w:szCs w:val="24"/>
          <w:highlight w:val="none"/>
        </w:rPr>
        <w:t>附：提供代理人(被授权人)身份证复印件盖公章</w:t>
      </w: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4"/>
          <w:szCs w:val="24"/>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pStyle w:val="2"/>
        <w:rPr>
          <w:rFonts w:hint="eastAsia" w:ascii="宋体" w:hAnsi="宋体" w:cs="宋体"/>
          <w:b/>
          <w:sz w:val="28"/>
          <w:szCs w:val="28"/>
          <w:highlight w:val="none"/>
        </w:rPr>
      </w:pPr>
    </w:p>
    <w:p>
      <w:pPr>
        <w:rPr>
          <w:rFonts w:hint="eastAsia" w:ascii="宋体" w:hAnsi="宋体" w:cs="宋体"/>
          <w:b/>
          <w:sz w:val="28"/>
          <w:szCs w:val="28"/>
          <w:highlight w:val="none"/>
        </w:rPr>
      </w:pPr>
    </w:p>
    <w:p>
      <w:pPr>
        <w:spacing w:line="400" w:lineRule="exact"/>
        <w:contextualSpacing/>
        <w:rPr>
          <w:rFonts w:hint="eastAsia" w:ascii="宋体" w:hAnsi="宋体" w:cs="宋体"/>
          <w:b/>
          <w:sz w:val="28"/>
          <w:szCs w:val="28"/>
          <w:highlight w:val="none"/>
        </w:rPr>
      </w:pPr>
    </w:p>
    <w:p>
      <w:pPr>
        <w:spacing w:line="400" w:lineRule="exact"/>
        <w:contextualSpacing/>
        <w:rPr>
          <w:rFonts w:ascii="宋体" w:hAnsi="宋体"/>
          <w:sz w:val="32"/>
          <w:szCs w:val="32"/>
          <w:highlight w:val="none"/>
        </w:rPr>
      </w:pPr>
    </w:p>
    <w:p>
      <w:pPr>
        <w:spacing w:line="400" w:lineRule="exact"/>
        <w:contextualSpacing/>
        <w:rPr>
          <w:rFonts w:ascii="宋体" w:hAnsi="宋体"/>
          <w:sz w:val="32"/>
          <w:szCs w:val="32"/>
          <w:highlight w:val="none"/>
        </w:rPr>
      </w:pPr>
      <w:r>
        <w:rPr>
          <w:rFonts w:ascii="宋体" w:hAnsi="宋体"/>
          <w:sz w:val="32"/>
          <w:szCs w:val="32"/>
          <w:highlight w:val="none"/>
        </w:rPr>
        <w:t>附件4</w:t>
      </w:r>
    </w:p>
    <w:p>
      <w:pPr>
        <w:spacing w:before="240" w:line="312" w:lineRule="auto"/>
        <w:jc w:val="center"/>
        <w:rPr>
          <w:rFonts w:ascii="宋体" w:hAnsi="宋体" w:cs="宋体"/>
          <w:b/>
          <w:sz w:val="32"/>
          <w:szCs w:val="32"/>
          <w:highlight w:val="none"/>
          <w:lang w:bidi="ar"/>
        </w:rPr>
      </w:pPr>
      <w:r>
        <w:rPr>
          <w:rFonts w:hint="eastAsia" w:ascii="宋体" w:hAnsi="宋体" w:cs="宋体"/>
          <w:b/>
          <w:sz w:val="32"/>
          <w:szCs w:val="32"/>
          <w:highlight w:val="none"/>
          <w:lang w:bidi="ar"/>
        </w:rPr>
        <w:t>供应商信用承诺书</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为营造公开、公平、公正的公共资源交易环境，树立诚信守法的投标人形象，本人代表本单位作出以下承诺：</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二、严格依照国家和省、市、县关于政府采购等方面的法律、法规、规章、规范性文件，参加公共资源交易招标投标活动；积极履行社会责任，促进廉政建设；</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三、严格遵守即时信息公示规定，及时更新公共资源交易中心主体信息库中信息；</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六、自觉接受政府部门、行业组织、社会公众、新闻舆论等监督；</w:t>
      </w:r>
    </w:p>
    <w:p>
      <w:pPr>
        <w:spacing w:line="360" w:lineRule="auto"/>
        <w:ind w:firstLine="480"/>
        <w:rPr>
          <w:rFonts w:ascii="宋体" w:hAnsi="宋体" w:cs="宋体"/>
          <w:sz w:val="24"/>
          <w:highlight w:val="none"/>
          <w:lang w:val="zh-CN"/>
        </w:rPr>
      </w:pPr>
      <w:r>
        <w:rPr>
          <w:rFonts w:hint="eastAsia" w:ascii="宋体" w:hAnsi="宋体" w:cs="宋体"/>
          <w:sz w:val="24"/>
          <w:highlight w:val="none"/>
          <w:lang w:val="zh-CN" w:bidi="ar"/>
        </w:rPr>
        <w:t>七、上述承诺已向本单位员工作了宣传教育；</w:t>
      </w:r>
    </w:p>
    <w:p>
      <w:pPr>
        <w:spacing w:line="360" w:lineRule="auto"/>
        <w:ind w:firstLine="482"/>
        <w:rPr>
          <w:rFonts w:ascii="宋体" w:hAnsi="宋体" w:cs="宋体"/>
          <w:b/>
          <w:sz w:val="24"/>
          <w:highlight w:val="none"/>
          <w:lang w:val="zh-CN"/>
        </w:rPr>
      </w:pPr>
      <w:r>
        <w:rPr>
          <w:rFonts w:hint="eastAsia" w:ascii="宋体" w:hAnsi="宋体" w:cs="宋体"/>
          <w:b/>
          <w:sz w:val="24"/>
          <w:highlight w:val="none"/>
          <w:lang w:val="zh-CN" w:bidi="ar"/>
        </w:rPr>
        <w:t>如有违反上述承诺的不良行为，本单位同意将其予以上网公示。</w:t>
      </w:r>
    </w:p>
    <w:p>
      <w:pPr>
        <w:spacing w:line="360" w:lineRule="auto"/>
        <w:ind w:firstLine="4560"/>
        <w:rPr>
          <w:rFonts w:ascii="宋体" w:hAnsi="宋体" w:cs="宋体"/>
          <w:sz w:val="24"/>
          <w:highlight w:val="none"/>
          <w:lang w:val="zh-CN"/>
        </w:rPr>
      </w:pPr>
    </w:p>
    <w:p>
      <w:pPr>
        <w:spacing w:line="360" w:lineRule="auto"/>
        <w:ind w:firstLine="2640"/>
        <w:jc w:val="center"/>
        <w:rPr>
          <w:rFonts w:ascii="宋体" w:hAnsi="宋体" w:cs="宋体"/>
          <w:sz w:val="24"/>
          <w:highlight w:val="none"/>
          <w:u w:val="single"/>
          <w:lang w:val="zh-CN"/>
        </w:rPr>
      </w:pPr>
      <w:r>
        <w:rPr>
          <w:rFonts w:hint="eastAsia" w:ascii="宋体" w:hAnsi="宋体" w:cs="宋体"/>
          <w:sz w:val="24"/>
          <w:highlight w:val="none"/>
          <w:lang w:bidi="ar"/>
        </w:rPr>
        <w:t xml:space="preserve"> </w:t>
      </w:r>
      <w:r>
        <w:rPr>
          <w:rFonts w:hint="eastAsia" w:ascii="宋体" w:hAnsi="宋体" w:cs="宋体"/>
          <w:sz w:val="24"/>
          <w:highlight w:val="none"/>
          <w:lang w:val="zh-CN" w:bidi="ar"/>
        </w:rPr>
        <w:t>投标供应商全称(盖公章)：</w:t>
      </w:r>
    </w:p>
    <w:p>
      <w:pPr>
        <w:spacing w:line="360" w:lineRule="auto"/>
        <w:ind w:firstLine="4560"/>
        <w:rPr>
          <w:rFonts w:ascii="宋体" w:hAnsi="宋体" w:cs="宋体"/>
          <w:sz w:val="24"/>
          <w:highlight w:val="none"/>
          <w:u w:val="single"/>
          <w:lang w:val="zh-CN"/>
        </w:rPr>
      </w:pPr>
      <w:r>
        <w:rPr>
          <w:rFonts w:hint="eastAsia" w:ascii="宋体" w:hAnsi="宋体" w:cs="宋体"/>
          <w:sz w:val="24"/>
          <w:highlight w:val="none"/>
          <w:lang w:val="zh-CN" w:bidi="ar"/>
        </w:rPr>
        <w:t>法定代表人（签字或盖章）：</w:t>
      </w:r>
    </w:p>
    <w:p>
      <w:pPr>
        <w:spacing w:line="360" w:lineRule="auto"/>
        <w:ind w:firstLine="4560"/>
        <w:rPr>
          <w:rFonts w:ascii="宋体" w:hAnsi="宋体" w:cs="宋体"/>
          <w:sz w:val="24"/>
          <w:highlight w:val="none"/>
          <w:lang w:val="zh-CN"/>
        </w:rPr>
      </w:pPr>
      <w:r>
        <w:rPr>
          <w:rFonts w:hint="eastAsia" w:ascii="宋体" w:hAnsi="宋体" w:cs="宋体"/>
          <w:sz w:val="24"/>
          <w:highlight w:val="none"/>
          <w:lang w:val="zh-CN" w:bidi="ar"/>
        </w:rPr>
        <w:t>时间：  年  月   日</w:t>
      </w:r>
    </w:p>
    <w:p>
      <w:pPr>
        <w:spacing w:line="300" w:lineRule="auto"/>
        <w:contextualSpacing/>
        <w:rPr>
          <w:rFonts w:hint="eastAsia" w:ascii="宋体" w:hAnsi="宋体"/>
          <w:sz w:val="28"/>
          <w:szCs w:val="28"/>
          <w:highlight w:val="none"/>
        </w:rPr>
      </w:pPr>
    </w:p>
    <w:p>
      <w:pPr>
        <w:spacing w:line="400" w:lineRule="exact"/>
        <w:contextualSpacing/>
        <w:rPr>
          <w:rFonts w:ascii="宋体" w:hAnsi="宋体"/>
          <w:sz w:val="32"/>
          <w:szCs w:val="32"/>
          <w:highlight w:val="none"/>
        </w:rPr>
      </w:pPr>
      <w:r>
        <w:rPr>
          <w:rFonts w:ascii="宋体" w:hAnsi="宋体"/>
          <w:sz w:val="32"/>
          <w:szCs w:val="32"/>
          <w:highlight w:val="none"/>
        </w:rPr>
        <w:t>附件5</w:t>
      </w:r>
    </w:p>
    <w:p>
      <w:pPr>
        <w:keepNext/>
        <w:keepLines/>
        <w:spacing w:before="260" w:after="260" w:line="416" w:lineRule="auto"/>
        <w:jc w:val="center"/>
        <w:outlineLvl w:val="1"/>
        <w:rPr>
          <w:rFonts w:hint="eastAsia" w:ascii="宋体" w:hAnsi="宋体" w:cs="宋体"/>
          <w:b/>
          <w:sz w:val="32"/>
          <w:szCs w:val="32"/>
          <w:highlight w:val="none"/>
          <w:lang w:bidi="ar"/>
        </w:rPr>
      </w:pPr>
      <w:r>
        <w:rPr>
          <w:rFonts w:hint="eastAsia" w:ascii="宋体" w:hAnsi="宋体" w:cs="宋体"/>
          <w:b/>
          <w:sz w:val="32"/>
          <w:szCs w:val="32"/>
          <w:highlight w:val="none"/>
          <w:lang w:bidi="ar"/>
        </w:rPr>
        <w:t>投标函</w:t>
      </w:r>
    </w:p>
    <w:p>
      <w:pPr>
        <w:adjustRightInd w:val="0"/>
        <w:spacing w:line="420" w:lineRule="exact"/>
        <w:jc w:val="left"/>
        <w:textAlignment w:val="baseline"/>
        <w:rPr>
          <w:rFonts w:ascii="宋体"/>
          <w:sz w:val="24"/>
          <w:szCs w:val="24"/>
        </w:rPr>
      </w:pPr>
      <w:r>
        <w:rPr>
          <w:rFonts w:hint="eastAsia" w:ascii="宋体" w:hAnsi="宋体" w:cs="宋体"/>
          <w:sz w:val="24"/>
          <w:szCs w:val="24"/>
        </w:rPr>
        <w:t>致：（采购人）</w:t>
      </w:r>
    </w:p>
    <w:p>
      <w:pPr>
        <w:spacing w:line="360" w:lineRule="auto"/>
        <w:ind w:firstLine="480" w:firstLineChars="200"/>
        <w:rPr>
          <w:rFonts w:ascii="宋体"/>
          <w:sz w:val="24"/>
          <w:szCs w:val="24"/>
        </w:rPr>
      </w:pPr>
      <w:bookmarkStart w:id="105" w:name="_Hlt26955064"/>
      <w:bookmarkEnd w:id="105"/>
      <w:bookmarkStart w:id="106" w:name="_Hlt26609391"/>
      <w:bookmarkEnd w:id="106"/>
      <w:bookmarkStart w:id="107" w:name="_Hlt26671343"/>
      <w:bookmarkEnd w:id="107"/>
      <w:bookmarkStart w:id="108" w:name="_Hlt24879081"/>
      <w:bookmarkEnd w:id="108"/>
      <w:bookmarkStart w:id="109" w:name="_Hlt26671372"/>
      <w:bookmarkEnd w:id="109"/>
      <w:bookmarkStart w:id="110" w:name="_Hlt26955056"/>
      <w:bookmarkEnd w:id="110"/>
      <w:bookmarkStart w:id="111" w:name="_Hlt26782999"/>
      <w:bookmarkEnd w:id="111"/>
      <w:bookmarkStart w:id="112" w:name="_Hlt26580838"/>
      <w:bookmarkEnd w:id="112"/>
      <w:r>
        <w:rPr>
          <w:rFonts w:hint="eastAsia" w:ascii="宋体" w:hAnsi="宋体" w:cs="宋体"/>
          <w:sz w:val="24"/>
          <w:szCs w:val="24"/>
        </w:rPr>
        <w:t>依据贵单位</w:t>
      </w:r>
      <w:r>
        <w:rPr>
          <w:rFonts w:ascii="宋体" w:hAnsi="宋体" w:cs="宋体"/>
          <w:kern w:val="0"/>
          <w:sz w:val="24"/>
          <w:szCs w:val="24"/>
          <w:u w:val="single"/>
        </w:rPr>
        <w:t xml:space="preserve">        </w:t>
      </w:r>
      <w:r>
        <w:rPr>
          <w:rFonts w:hint="eastAsia" w:ascii="宋体" w:hAnsi="宋体" w:cs="宋体"/>
          <w:sz w:val="24"/>
          <w:szCs w:val="24"/>
        </w:rPr>
        <w:t>项目公开招标的采购文件，我方授权</w:t>
      </w:r>
      <w:r>
        <w:rPr>
          <w:rFonts w:hint="eastAsia" w:ascii="宋体" w:hAnsi="宋体" w:cs="宋体"/>
          <w:sz w:val="24"/>
          <w:szCs w:val="24"/>
          <w:u w:val="single"/>
        </w:rPr>
        <w:t>（姓名）（职务）</w:t>
      </w:r>
      <w:r>
        <w:rPr>
          <w:rFonts w:hint="eastAsia" w:ascii="宋体" w:hAnsi="宋体" w:cs="宋体"/>
          <w:sz w:val="24"/>
          <w:szCs w:val="24"/>
        </w:rPr>
        <w:t>为全权代表参加该项目的投标，全权处理本次投标的有关事宜。同时，我公司声明如下：</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、我单位经考察现场和研究招标文件后，我方愿意以总价人民币（大写）</w:t>
      </w:r>
      <w:r>
        <w:rPr>
          <w:rFonts w:hint="eastAsia" w:ascii="宋体" w:hAnsi="宋体" w:cs="宋体"/>
          <w:sz w:val="24"/>
          <w:szCs w:val="24"/>
          <w:u w:val="single"/>
        </w:rPr>
        <w:t>伍佰贰拾万</w:t>
      </w:r>
      <w:r>
        <w:rPr>
          <w:rFonts w:hint="eastAsia" w:ascii="宋体" w:hAnsi="宋体" w:cs="宋体"/>
          <w:sz w:val="24"/>
          <w:szCs w:val="24"/>
        </w:rPr>
        <w:t>元整（￥：5200000.00元）的价格承担本项目内所有内容。</w:t>
      </w:r>
    </w:p>
    <w:p>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、同意并接受招标文件的各项要求，遵守招标文件中的各项规定，按招标文件的要求提供报价。</w:t>
      </w:r>
    </w:p>
    <w:p>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、我公司已毫无保留地向贵方提供一切所需的证明材料。</w:t>
      </w:r>
    </w:p>
    <w:p>
      <w:pPr>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、我公司承诺在本次招标响应中提供的一切文件，无论是原件还是复印件均真实有效，绝无任何虚假、伪造和夸大的成份。否则，愿承担相应的后果和法律责任。</w:t>
      </w:r>
    </w:p>
    <w:p>
      <w:pPr>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、一旦我方中标</w:t>
      </w:r>
      <w:r>
        <w:rPr>
          <w:rFonts w:ascii="宋体" w:cs="宋体"/>
          <w:sz w:val="24"/>
          <w:szCs w:val="24"/>
        </w:rPr>
        <w:t>,</w:t>
      </w:r>
      <w:r>
        <w:rPr>
          <w:rFonts w:hint="eastAsia" w:ascii="宋体" w:hAnsi="宋体" w:cs="宋体"/>
          <w:sz w:val="24"/>
          <w:szCs w:val="24"/>
        </w:rPr>
        <w:t>我方将根据招标文件的要求和投标响应文件的承诺签订合同，严格履行合同的责任和义务</w:t>
      </w:r>
      <w:r>
        <w:rPr>
          <w:rFonts w:ascii="宋体" w:cs="宋体"/>
          <w:sz w:val="24"/>
          <w:szCs w:val="24"/>
        </w:rPr>
        <w:t>,</w:t>
      </w:r>
      <w:r>
        <w:rPr>
          <w:rFonts w:hint="eastAsia" w:ascii="宋体" w:hAnsi="宋体" w:cs="宋体"/>
          <w:sz w:val="24"/>
          <w:szCs w:val="24"/>
        </w:rPr>
        <w:t>并保证在采购文件规定的时间完成任务，交付采购人合格成果。</w:t>
      </w:r>
    </w:p>
    <w:p>
      <w:pPr>
        <w:spacing w:line="460" w:lineRule="exact"/>
        <w:ind w:firstLine="1920" w:firstLineChars="800"/>
        <w:rPr>
          <w:rFonts w:ascii="宋体" w:cs="宋体"/>
          <w:sz w:val="24"/>
          <w:szCs w:val="24"/>
        </w:rPr>
      </w:pPr>
    </w:p>
    <w:p>
      <w:pPr>
        <w:spacing w:line="460" w:lineRule="exact"/>
        <w:ind w:firstLine="1920" w:firstLineChars="800"/>
        <w:rPr>
          <w:rFonts w:ascii="宋体" w:cs="宋体"/>
          <w:sz w:val="24"/>
          <w:szCs w:val="24"/>
        </w:rPr>
      </w:pPr>
    </w:p>
    <w:p>
      <w:pPr>
        <w:spacing w:line="460" w:lineRule="exact"/>
        <w:ind w:firstLine="1920" w:firstLineChars="800"/>
        <w:rPr>
          <w:rFonts w:ascii="宋体"/>
          <w:sz w:val="24"/>
          <w:szCs w:val="24"/>
        </w:rPr>
      </w:pPr>
      <w:r>
        <w:rPr>
          <w:rFonts w:hint="eastAsia" w:ascii="宋体" w:hAnsi="宋体" w:cs="宋体"/>
          <w:sz w:val="24"/>
          <w:szCs w:val="24"/>
        </w:rPr>
        <w:t>供应商：（加盖公章）</w:t>
      </w:r>
    </w:p>
    <w:p>
      <w:pPr>
        <w:spacing w:line="460" w:lineRule="exact"/>
        <w:ind w:firstLine="1920" w:firstLineChars="800"/>
        <w:rPr>
          <w:rFonts w:ascii="宋体"/>
          <w:sz w:val="24"/>
          <w:szCs w:val="24"/>
        </w:rPr>
      </w:pPr>
      <w:r>
        <w:rPr>
          <w:rFonts w:hint="eastAsia" w:ascii="宋体" w:hAnsi="宋体" w:cs="宋体"/>
          <w:sz w:val="24"/>
          <w:szCs w:val="24"/>
        </w:rPr>
        <w:t>法定代表人或其授权人：（签字或盖章）</w:t>
      </w:r>
    </w:p>
    <w:p>
      <w:pPr>
        <w:spacing w:line="460" w:lineRule="exact"/>
        <w:ind w:firstLine="5040" w:firstLineChars="2100"/>
        <w:rPr>
          <w:rFonts w:hint="eastAsia"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sz w:val="30"/>
          <w:szCs w:val="30"/>
        </w:rPr>
      </w:pPr>
      <w:r>
        <w:rPr>
          <w:rFonts w:hint="eastAsia" w:ascii="宋体" w:hAnsi="宋体" w:cs="宋体"/>
          <w:b/>
          <w:bCs/>
          <w:sz w:val="30"/>
          <w:szCs w:val="30"/>
        </w:rPr>
        <w:t>报价明细表</w:t>
      </w:r>
    </w:p>
    <w:tbl>
      <w:tblPr>
        <w:tblStyle w:val="3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97"/>
        <w:gridCol w:w="2813"/>
        <w:gridCol w:w="1435"/>
        <w:gridCol w:w="1155"/>
        <w:gridCol w:w="115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noWrap/>
            <w:vAlign w:val="center"/>
          </w:tcPr>
          <w:p>
            <w:pPr>
              <w:tabs>
                <w:tab w:val="left" w:pos="3120"/>
              </w:tabs>
              <w:spacing w:line="28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1597" w:type="dxa"/>
            <w:noWrap/>
            <w:vAlign w:val="center"/>
          </w:tcPr>
          <w:p>
            <w:pPr>
              <w:tabs>
                <w:tab w:val="left" w:pos="3120"/>
              </w:tabs>
              <w:spacing w:line="280" w:lineRule="exact"/>
              <w:jc w:val="center"/>
              <w:rPr>
                <w:rFonts w:ascii="宋体" w:hAnsi="宋体" w:cs="宋体"/>
                <w:sz w:val="21"/>
                <w:szCs w:val="21"/>
                <w:highlight w:val="none"/>
              </w:rPr>
            </w:pPr>
            <w:r>
              <w:rPr>
                <w:rFonts w:hint="eastAsia" w:ascii="宋体" w:hAnsi="宋体" w:cs="宋体"/>
                <w:sz w:val="21"/>
                <w:szCs w:val="21"/>
                <w:highlight w:val="none"/>
              </w:rPr>
              <w:t>品种</w:t>
            </w:r>
          </w:p>
        </w:tc>
        <w:tc>
          <w:tcPr>
            <w:tcW w:w="2813" w:type="dxa"/>
            <w:noWrap/>
            <w:vAlign w:val="center"/>
          </w:tcPr>
          <w:p>
            <w:pPr>
              <w:tabs>
                <w:tab w:val="left" w:pos="3120"/>
              </w:tabs>
              <w:spacing w:line="280" w:lineRule="exact"/>
              <w:jc w:val="center"/>
              <w:rPr>
                <w:rFonts w:ascii="宋体" w:hAnsi="宋体" w:cs="宋体"/>
                <w:sz w:val="21"/>
                <w:szCs w:val="21"/>
                <w:highlight w:val="none"/>
              </w:rPr>
            </w:pPr>
            <w:r>
              <w:rPr>
                <w:rFonts w:hint="eastAsia" w:ascii="宋体" w:hAnsi="宋体" w:cs="宋体"/>
                <w:sz w:val="21"/>
                <w:szCs w:val="21"/>
                <w:highlight w:val="none"/>
              </w:rPr>
              <w:t>实施内容</w:t>
            </w:r>
          </w:p>
        </w:tc>
        <w:tc>
          <w:tcPr>
            <w:tcW w:w="1435" w:type="dxa"/>
            <w:noWrap/>
            <w:vAlign w:val="center"/>
          </w:tcPr>
          <w:p>
            <w:pPr>
              <w:tabs>
                <w:tab w:val="left" w:pos="3120"/>
              </w:tabs>
              <w:spacing w:line="280" w:lineRule="exact"/>
              <w:jc w:val="center"/>
              <w:rPr>
                <w:rFonts w:hint="eastAsia" w:ascii="宋体" w:hAnsi="宋体" w:cs="宋体"/>
                <w:sz w:val="21"/>
                <w:szCs w:val="21"/>
                <w:highlight w:val="none"/>
              </w:rPr>
            </w:pPr>
            <w:r>
              <w:rPr>
                <w:rFonts w:hint="eastAsia" w:ascii="宋体" w:hAnsi="宋体" w:cs="宋体"/>
                <w:sz w:val="21"/>
                <w:szCs w:val="21"/>
                <w:highlight w:val="none"/>
              </w:rPr>
              <w:t>投标单价</w:t>
            </w:r>
          </w:p>
          <w:p>
            <w:pPr>
              <w:tabs>
                <w:tab w:val="left" w:pos="3120"/>
              </w:tabs>
              <w:spacing w:line="280" w:lineRule="exact"/>
              <w:jc w:val="center"/>
              <w:rPr>
                <w:rFonts w:hint="eastAsia"/>
                <w:sz w:val="21"/>
                <w:szCs w:val="21"/>
                <w:highlight w:val="none"/>
              </w:rPr>
            </w:pPr>
            <w:r>
              <w:rPr>
                <w:rFonts w:hint="eastAsia" w:ascii="宋体" w:hAnsi="宋体" w:cs="宋体"/>
                <w:sz w:val="21"/>
                <w:szCs w:val="21"/>
                <w:highlight w:val="none"/>
              </w:rPr>
              <w:t>（元/尾）</w:t>
            </w:r>
          </w:p>
        </w:tc>
        <w:tc>
          <w:tcPr>
            <w:tcW w:w="1155" w:type="dxa"/>
            <w:noWrap/>
            <w:vAlign w:val="center"/>
          </w:tcPr>
          <w:p>
            <w:pPr>
              <w:tabs>
                <w:tab w:val="left" w:pos="3120"/>
              </w:tabs>
              <w:spacing w:line="280" w:lineRule="exact"/>
              <w:jc w:val="center"/>
              <w:rPr>
                <w:rFonts w:hint="eastAsia" w:ascii="宋体" w:hAnsi="宋体" w:cs="宋体"/>
                <w:sz w:val="21"/>
                <w:szCs w:val="21"/>
                <w:highlight w:val="none"/>
              </w:rPr>
            </w:pPr>
            <w:r>
              <w:rPr>
                <w:rFonts w:hint="eastAsia" w:ascii="宋体" w:hAnsi="宋体" w:cs="宋体"/>
                <w:sz w:val="21"/>
                <w:szCs w:val="21"/>
                <w:highlight w:val="none"/>
              </w:rPr>
              <w:t>投标数量（万尾）</w:t>
            </w:r>
          </w:p>
        </w:tc>
        <w:tc>
          <w:tcPr>
            <w:tcW w:w="1155" w:type="dxa"/>
            <w:noWrap/>
            <w:vAlign w:val="center"/>
          </w:tcPr>
          <w:p>
            <w:pPr>
              <w:tabs>
                <w:tab w:val="left" w:pos="3120"/>
              </w:tabs>
              <w:spacing w:line="280" w:lineRule="exact"/>
              <w:jc w:val="center"/>
              <w:rPr>
                <w:rFonts w:hint="eastAsia" w:ascii="宋体" w:hAnsi="宋体" w:cs="宋体"/>
                <w:sz w:val="21"/>
                <w:szCs w:val="21"/>
                <w:highlight w:val="none"/>
              </w:rPr>
            </w:pPr>
            <w:r>
              <w:rPr>
                <w:rFonts w:hint="eastAsia" w:ascii="宋体" w:hAnsi="宋体" w:cs="宋体"/>
                <w:sz w:val="21"/>
                <w:szCs w:val="21"/>
                <w:highlight w:val="none"/>
              </w:rPr>
              <w:t>投标总价</w:t>
            </w:r>
          </w:p>
          <w:p>
            <w:pPr>
              <w:tabs>
                <w:tab w:val="left" w:pos="3120"/>
              </w:tabs>
              <w:spacing w:line="280" w:lineRule="exact"/>
              <w:jc w:val="center"/>
              <w:rPr>
                <w:rFonts w:hint="eastAsia" w:ascii="宋体" w:hAnsi="宋体" w:cs="宋体"/>
                <w:sz w:val="21"/>
                <w:szCs w:val="21"/>
                <w:highlight w:val="none"/>
              </w:rPr>
            </w:pPr>
            <w:r>
              <w:rPr>
                <w:rFonts w:hint="eastAsia" w:ascii="宋体" w:hAnsi="宋体" w:cs="宋体"/>
                <w:sz w:val="21"/>
                <w:szCs w:val="21"/>
                <w:highlight w:val="none"/>
              </w:rPr>
              <w:t>（万元）</w:t>
            </w:r>
          </w:p>
        </w:tc>
        <w:tc>
          <w:tcPr>
            <w:tcW w:w="1011" w:type="dxa"/>
            <w:noWrap/>
            <w:vAlign w:val="center"/>
          </w:tcPr>
          <w:p>
            <w:pPr>
              <w:tabs>
                <w:tab w:val="left" w:pos="3120"/>
              </w:tabs>
              <w:spacing w:line="280" w:lineRule="exact"/>
              <w:jc w:val="center"/>
              <w:rPr>
                <w:rFonts w:hint="eastAsia" w:ascii="宋体" w:hAnsi="宋体" w:cs="宋体"/>
                <w:sz w:val="21"/>
                <w:szCs w:val="21"/>
                <w:highlight w:val="none"/>
              </w:rPr>
            </w:pPr>
            <w:r>
              <w:rPr>
                <w:rFonts w:hint="eastAsia" w:ascii="宋体" w:hAnsi="宋体" w:cs="宋体"/>
                <w:sz w:val="21"/>
                <w:szCs w:val="21"/>
                <w:highlight w:val="none"/>
              </w:rPr>
              <w:t>放流区域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1597"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大黄鱼</w:t>
            </w:r>
          </w:p>
        </w:tc>
        <w:tc>
          <w:tcPr>
            <w:tcW w:w="2813"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全长5cm以上，≥240万尾</w:t>
            </w:r>
          </w:p>
        </w:tc>
        <w:tc>
          <w:tcPr>
            <w:tcW w:w="1435"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 xml:space="preserve"> </w:t>
            </w: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120</w:t>
            </w:r>
          </w:p>
        </w:tc>
        <w:tc>
          <w:tcPr>
            <w:tcW w:w="1011" w:type="dxa"/>
            <w:vMerge w:val="restart"/>
            <w:noWrap/>
            <w:vAlign w:val="center"/>
          </w:tcPr>
          <w:p>
            <w:pPr>
              <w:tabs>
                <w:tab w:val="left" w:pos="3120"/>
              </w:tabs>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通州湾海域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1597"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黑鲷</w:t>
            </w:r>
          </w:p>
        </w:tc>
        <w:tc>
          <w:tcPr>
            <w:tcW w:w="2813"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全长5cm以上，≥240万尾</w:t>
            </w:r>
          </w:p>
        </w:tc>
        <w:tc>
          <w:tcPr>
            <w:tcW w:w="1435"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 xml:space="preserve"> </w:t>
            </w: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120</w:t>
            </w:r>
          </w:p>
        </w:tc>
        <w:tc>
          <w:tcPr>
            <w:tcW w:w="1011" w:type="dxa"/>
            <w:vMerge w:val="continue"/>
            <w:noWrap/>
            <w:vAlign w:val="center"/>
          </w:tcPr>
          <w:p>
            <w:pPr>
              <w:tabs>
                <w:tab w:val="left" w:pos="3120"/>
              </w:tabs>
              <w:spacing w:line="30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1597"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菊黄东方鲀</w:t>
            </w:r>
          </w:p>
        </w:tc>
        <w:tc>
          <w:tcPr>
            <w:tcW w:w="2813"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全长2cm以上，≥64万尾</w:t>
            </w:r>
          </w:p>
        </w:tc>
        <w:tc>
          <w:tcPr>
            <w:tcW w:w="1435"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 xml:space="preserve"> </w:t>
            </w: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160</w:t>
            </w:r>
          </w:p>
        </w:tc>
        <w:tc>
          <w:tcPr>
            <w:tcW w:w="1011" w:type="dxa"/>
            <w:vMerge w:val="continue"/>
            <w:noWrap/>
            <w:vAlign w:val="center"/>
          </w:tcPr>
          <w:p>
            <w:pPr>
              <w:tabs>
                <w:tab w:val="left" w:pos="3120"/>
              </w:tabs>
              <w:spacing w:line="30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4</w:t>
            </w:r>
          </w:p>
        </w:tc>
        <w:tc>
          <w:tcPr>
            <w:tcW w:w="1597"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黄姑鱼</w:t>
            </w:r>
          </w:p>
        </w:tc>
        <w:tc>
          <w:tcPr>
            <w:tcW w:w="2813"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全长5cm以上，≥240万尾</w:t>
            </w:r>
          </w:p>
        </w:tc>
        <w:tc>
          <w:tcPr>
            <w:tcW w:w="1435"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 xml:space="preserve"> </w:t>
            </w: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p>
        </w:tc>
        <w:tc>
          <w:tcPr>
            <w:tcW w:w="1155" w:type="dxa"/>
            <w:noWrap/>
            <w:vAlign w:val="center"/>
          </w:tcPr>
          <w:p>
            <w:pPr>
              <w:tabs>
                <w:tab w:val="left" w:pos="3120"/>
              </w:tabs>
              <w:adjustRightInd w:val="0"/>
              <w:snapToGrid w:val="0"/>
              <w:spacing w:line="300" w:lineRule="exact"/>
              <w:jc w:val="center"/>
              <w:rPr>
                <w:rFonts w:ascii="宋体" w:hAnsi="宋体" w:cs="宋体"/>
                <w:sz w:val="21"/>
                <w:szCs w:val="21"/>
                <w:highlight w:val="none"/>
              </w:rPr>
            </w:pPr>
            <w:r>
              <w:rPr>
                <w:rFonts w:hint="eastAsia" w:ascii="宋体" w:hAnsi="宋体" w:cs="宋体"/>
                <w:sz w:val="21"/>
                <w:szCs w:val="21"/>
                <w:highlight w:val="none"/>
              </w:rPr>
              <w:t>120</w:t>
            </w:r>
          </w:p>
        </w:tc>
        <w:tc>
          <w:tcPr>
            <w:tcW w:w="1011" w:type="dxa"/>
            <w:vMerge w:val="continue"/>
            <w:noWrap/>
            <w:vAlign w:val="center"/>
          </w:tcPr>
          <w:p>
            <w:pPr>
              <w:tabs>
                <w:tab w:val="left" w:pos="3120"/>
              </w:tabs>
              <w:spacing w:line="300" w:lineRule="exact"/>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pPr>
              <w:tabs>
                <w:tab w:val="left" w:pos="3120"/>
              </w:tabs>
              <w:adjustRightInd w:val="0"/>
              <w:snapToGrid w:val="0"/>
              <w:spacing w:line="300" w:lineRule="exact"/>
              <w:jc w:val="center"/>
              <w:rPr>
                <w:rFonts w:hint="eastAsia" w:ascii="宋体" w:hAnsi="宋体" w:cs="宋体"/>
                <w:sz w:val="21"/>
                <w:szCs w:val="21"/>
                <w:highlight w:val="none"/>
              </w:rPr>
            </w:pPr>
            <w:r>
              <w:rPr>
                <w:rFonts w:hint="eastAsia" w:ascii="宋体" w:hAnsi="宋体" w:cs="宋体"/>
                <w:sz w:val="21"/>
                <w:szCs w:val="21"/>
                <w:highlight w:val="none"/>
              </w:rPr>
              <w:t>5</w:t>
            </w:r>
          </w:p>
        </w:tc>
        <w:tc>
          <w:tcPr>
            <w:tcW w:w="8155" w:type="dxa"/>
            <w:gridSpan w:val="5"/>
            <w:noWrap/>
            <w:vAlign w:val="center"/>
          </w:tcPr>
          <w:p>
            <w:pPr>
              <w:tabs>
                <w:tab w:val="left" w:pos="3120"/>
              </w:tabs>
              <w:adjustRightInd w:val="0"/>
              <w:snapToGrid w:val="0"/>
              <w:spacing w:line="300" w:lineRule="exact"/>
              <w:jc w:val="left"/>
              <w:rPr>
                <w:rFonts w:ascii="宋体" w:hAnsi="宋体" w:cs="宋体"/>
                <w:sz w:val="21"/>
                <w:szCs w:val="21"/>
                <w:highlight w:val="none"/>
                <w:u w:val="single"/>
              </w:rPr>
            </w:pPr>
            <w:r>
              <w:rPr>
                <w:rFonts w:hint="eastAsia" w:ascii="宋体" w:hAnsi="宋体" w:cs="宋体"/>
                <w:sz w:val="21"/>
                <w:szCs w:val="21"/>
                <w:highlight w:val="none"/>
              </w:rPr>
              <w:t>投标报价总价合计为：人民币：（大写）</w:t>
            </w:r>
            <w:r>
              <w:rPr>
                <w:rFonts w:hint="eastAsia" w:ascii="宋体" w:hAnsi="宋体" w:cs="宋体"/>
                <w:sz w:val="21"/>
                <w:szCs w:val="21"/>
                <w:highlight w:val="none"/>
                <w:u w:val="single"/>
              </w:rPr>
              <w:t>伍佰贰拾万元整</w:t>
            </w:r>
            <w:r>
              <w:rPr>
                <w:rFonts w:hint="eastAsia" w:ascii="宋体" w:hAnsi="宋体" w:cs="宋体"/>
                <w:sz w:val="21"/>
                <w:szCs w:val="21"/>
                <w:highlight w:val="none"/>
              </w:rPr>
              <w:t>（￥5200000.00元 ）</w:t>
            </w:r>
          </w:p>
        </w:tc>
        <w:tc>
          <w:tcPr>
            <w:tcW w:w="1011" w:type="dxa"/>
            <w:vMerge w:val="continue"/>
            <w:noWrap/>
            <w:vAlign w:val="center"/>
          </w:tcPr>
          <w:p>
            <w:pPr>
              <w:tabs>
                <w:tab w:val="left" w:pos="3120"/>
              </w:tabs>
              <w:spacing w:line="300" w:lineRule="exact"/>
              <w:jc w:val="center"/>
              <w:rPr>
                <w:rFonts w:ascii="宋体" w:hAnsi="宋体" w:cs="宋体"/>
                <w:sz w:val="21"/>
                <w:szCs w:val="21"/>
                <w:highlight w:val="none"/>
              </w:rPr>
            </w:pPr>
          </w:p>
        </w:tc>
      </w:tr>
    </w:tbl>
    <w:p>
      <w:pPr>
        <w:spacing w:line="460" w:lineRule="exact"/>
        <w:rPr>
          <w:rFonts w:hint="eastAsia" w:ascii="宋体" w:cs="宋体"/>
          <w:sz w:val="24"/>
          <w:szCs w:val="24"/>
        </w:rPr>
      </w:pPr>
      <w:r>
        <w:rPr>
          <w:rFonts w:hint="eastAsia" w:ascii="宋体" w:cs="宋体"/>
          <w:sz w:val="24"/>
          <w:szCs w:val="24"/>
        </w:rPr>
        <w:t>注：1、以上单项报价不得超过本项目单项最高限价（</w:t>
      </w:r>
      <w:r>
        <w:rPr>
          <w:rFonts w:hint="eastAsia" w:ascii="宋体" w:hAnsi="宋体" w:cs="宋体"/>
          <w:sz w:val="24"/>
          <w:szCs w:val="24"/>
        </w:rPr>
        <w:t>其中大黄鱼0.5元/尾、黑鲷0.5元/尾、菊黄东方鲀2.5元/尾、黄姑鱼0.5元/尾</w:t>
      </w:r>
      <w:r>
        <w:rPr>
          <w:rFonts w:hint="eastAsia" w:ascii="宋体" w:cs="宋体"/>
          <w:sz w:val="24"/>
          <w:szCs w:val="24"/>
        </w:rPr>
        <w:t>），否则视为无效投标，按废标处理。</w:t>
      </w:r>
    </w:p>
    <w:p>
      <w:pPr>
        <w:numPr>
          <w:ilvl w:val="0"/>
          <w:numId w:val="5"/>
        </w:numPr>
        <w:spacing w:line="460" w:lineRule="exact"/>
        <w:ind w:firstLine="480" w:firstLineChars="200"/>
        <w:rPr>
          <w:rFonts w:hint="eastAsia" w:ascii="宋体" w:cs="宋体"/>
          <w:sz w:val="24"/>
          <w:szCs w:val="24"/>
        </w:rPr>
      </w:pPr>
      <w:r>
        <w:rPr>
          <w:rFonts w:hint="eastAsia" w:ascii="宋体" w:cs="宋体"/>
          <w:sz w:val="24"/>
          <w:szCs w:val="24"/>
        </w:rPr>
        <w:t>以上单项数量不得少于最低标准，否则视为未实质性响应，按废标处理。</w:t>
      </w:r>
    </w:p>
    <w:p>
      <w:pPr>
        <w:numPr>
          <w:ilvl w:val="0"/>
          <w:numId w:val="5"/>
        </w:numPr>
        <w:spacing w:line="460" w:lineRule="exact"/>
        <w:ind w:firstLine="480" w:firstLineChars="200"/>
        <w:rPr>
          <w:rFonts w:hint="eastAsia" w:ascii="宋体" w:cs="宋体"/>
          <w:sz w:val="24"/>
          <w:szCs w:val="24"/>
        </w:rPr>
      </w:pPr>
      <w:r>
        <w:rPr>
          <w:rFonts w:hint="eastAsia" w:ascii="宋体" w:cs="宋体"/>
          <w:sz w:val="24"/>
          <w:szCs w:val="24"/>
        </w:rPr>
        <w:t>该费用已包括为完成本项目的成本、利润、税金、宣传费用、检验检疫费、专家评审费、交通运输费用、放流仪式费用、方案编制和放流实施（包含租船费，吊机费等）费用及多批次放流涉及到的上述相关费用、风险等有可能发生的各项费用（增殖放流苗种的购置费占比90％，其他费用为合同总价的10%）。成交投标供应商超额完成放流任务的视为对采购人的优惠，采购人对成交供应商超额完成放流任务的价款不予支付。合同中苗种投标价格在合同实施期间不因市场价格波动和各种风险因素的发生而变动。</w:t>
      </w:r>
    </w:p>
    <w:p>
      <w:pPr>
        <w:snapToGrid w:val="0"/>
        <w:spacing w:line="480" w:lineRule="exact"/>
        <w:ind w:firstLine="480" w:firstLineChars="200"/>
        <w:rPr>
          <w:rFonts w:ascii="宋体" w:hAnsi="宋体" w:cs="宋体"/>
          <w:sz w:val="24"/>
          <w:szCs w:val="24"/>
        </w:rPr>
      </w:pPr>
    </w:p>
    <w:p>
      <w:pPr>
        <w:pStyle w:val="198"/>
        <w:ind w:firstLine="0"/>
        <w:rPr>
          <w:sz w:val="24"/>
          <w:szCs w:val="24"/>
        </w:rPr>
      </w:pPr>
    </w:p>
    <w:p>
      <w:pPr>
        <w:spacing w:line="460" w:lineRule="exact"/>
        <w:ind w:firstLine="1920" w:firstLineChars="800"/>
        <w:rPr>
          <w:rFonts w:ascii="宋体" w:cs="宋体"/>
          <w:sz w:val="24"/>
          <w:szCs w:val="24"/>
        </w:rPr>
      </w:pPr>
    </w:p>
    <w:p>
      <w:pPr>
        <w:spacing w:line="460" w:lineRule="exact"/>
        <w:ind w:firstLine="1920" w:firstLineChars="800"/>
        <w:rPr>
          <w:rFonts w:ascii="宋体"/>
          <w:sz w:val="24"/>
          <w:szCs w:val="24"/>
        </w:rPr>
      </w:pPr>
      <w:r>
        <w:rPr>
          <w:rFonts w:hint="eastAsia" w:ascii="宋体" w:hAnsi="宋体" w:cs="宋体"/>
          <w:sz w:val="24"/>
          <w:szCs w:val="24"/>
        </w:rPr>
        <w:t>供应商：（加盖公章）</w:t>
      </w:r>
    </w:p>
    <w:p>
      <w:pPr>
        <w:spacing w:line="460" w:lineRule="exact"/>
        <w:ind w:firstLine="1920" w:firstLineChars="800"/>
        <w:rPr>
          <w:rFonts w:ascii="宋体"/>
          <w:sz w:val="24"/>
          <w:szCs w:val="24"/>
        </w:rPr>
      </w:pPr>
      <w:r>
        <w:rPr>
          <w:rFonts w:hint="eastAsia" w:ascii="宋体" w:hAnsi="宋体" w:cs="宋体"/>
          <w:sz w:val="24"/>
          <w:szCs w:val="24"/>
        </w:rPr>
        <w:t>法定代表人或其授权人：（签字或盖章）</w:t>
      </w:r>
    </w:p>
    <w:p>
      <w:pPr>
        <w:spacing w:line="460" w:lineRule="exact"/>
        <w:ind w:firstLine="5040" w:firstLineChars="2100"/>
        <w:rPr>
          <w:rFonts w:hint="eastAsia" w:ascii="宋体" w:eastAsia="宋体"/>
          <w:sz w:val="24"/>
          <w:szCs w:val="24"/>
          <w:lang w:val="en-US" w:eastAsia="zh-CN"/>
        </w:rPr>
        <w:sectPr>
          <w:footerReference r:id="rId10" w:type="first"/>
          <w:headerReference r:id="rId8" w:type="default"/>
          <w:footerReference r:id="rId9" w:type="default"/>
          <w:pgSz w:w="11906" w:h="16838"/>
          <w:pgMar w:top="1418" w:right="1588" w:bottom="1418" w:left="1365" w:header="851" w:footer="907" w:gutter="0"/>
          <w:pgNumType w:fmt="decimal" w:start="27"/>
          <w:cols w:space="720" w:num="1"/>
          <w:titlePg/>
          <w:docGrid w:type="lines" w:linePitch="290" w:charSpace="0"/>
        </w:sect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lang w:eastAsia="zh-CN"/>
        </w:rPr>
        <w:t>日</w:t>
      </w:r>
    </w:p>
    <w:p>
      <w:pPr>
        <w:spacing w:line="300" w:lineRule="auto"/>
        <w:contextualSpacing/>
        <w:jc w:val="left"/>
        <w:rPr>
          <w:rFonts w:hint="eastAsia" w:ascii="宋体" w:hAnsi="宋体"/>
          <w:b/>
          <w:sz w:val="32"/>
          <w:szCs w:val="32"/>
          <w:highlight w:val="none"/>
        </w:rPr>
      </w:pPr>
      <w:r>
        <w:rPr>
          <w:rFonts w:ascii="宋体" w:hAnsi="宋体"/>
          <w:sz w:val="32"/>
          <w:szCs w:val="32"/>
          <w:highlight w:val="none"/>
        </w:rPr>
        <w:t>附件</w:t>
      </w:r>
      <w:r>
        <w:rPr>
          <w:rFonts w:hint="eastAsia" w:ascii="宋体" w:hAnsi="宋体"/>
          <w:sz w:val="32"/>
          <w:szCs w:val="32"/>
          <w:highlight w:val="none"/>
        </w:rPr>
        <w:t>6</w:t>
      </w:r>
    </w:p>
    <w:p>
      <w:pPr>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商务部分正负偏离表</w:t>
      </w:r>
    </w:p>
    <w:p>
      <w:pPr>
        <w:ind w:firstLine="560"/>
        <w:jc w:val="center"/>
        <w:rPr>
          <w:rFonts w:ascii="宋体" w:hAnsi="宋体"/>
          <w:sz w:val="28"/>
          <w:szCs w:val="28"/>
          <w:highlight w:val="none"/>
        </w:rPr>
      </w:pPr>
      <w:r>
        <w:rPr>
          <w:rFonts w:hint="eastAsia" w:ascii="宋体" w:hAnsi="宋体"/>
          <w:sz w:val="28"/>
          <w:szCs w:val="28"/>
          <w:highlight w:val="none"/>
        </w:rPr>
        <w:t>（由投标人据实填写，表格不够自行添加）</w:t>
      </w:r>
    </w:p>
    <w:tbl>
      <w:tblPr>
        <w:tblStyle w:val="33"/>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22"/>
        <w:gridCol w:w="2683"/>
        <w:gridCol w:w="3457"/>
        <w:gridCol w:w="19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noWrap w:val="0"/>
            <w:vAlign w:val="center"/>
          </w:tcPr>
          <w:p>
            <w:pPr>
              <w:spacing w:line="340" w:lineRule="exact"/>
              <w:jc w:val="center"/>
              <w:rPr>
                <w:rFonts w:ascii="宋体" w:hAnsi="宋体"/>
                <w:sz w:val="24"/>
                <w:highlight w:val="none"/>
              </w:rPr>
            </w:pPr>
            <w:r>
              <w:rPr>
                <w:rFonts w:hint="eastAsia" w:ascii="宋体" w:hAnsi="宋体"/>
                <w:sz w:val="24"/>
                <w:highlight w:val="none"/>
              </w:rPr>
              <w:t>序号</w:t>
            </w:r>
          </w:p>
        </w:tc>
        <w:tc>
          <w:tcPr>
            <w:tcW w:w="1463" w:type="dxa"/>
            <w:noWrap w:val="0"/>
            <w:vAlign w:val="center"/>
          </w:tcPr>
          <w:p>
            <w:pPr>
              <w:spacing w:line="340" w:lineRule="exact"/>
              <w:jc w:val="center"/>
              <w:rPr>
                <w:rFonts w:hint="eastAsia" w:ascii="宋体" w:hAnsi="宋体"/>
                <w:sz w:val="24"/>
                <w:highlight w:val="none"/>
              </w:rPr>
            </w:pPr>
            <w:r>
              <w:rPr>
                <w:rFonts w:hint="eastAsia" w:ascii="宋体" w:hAnsi="宋体"/>
                <w:sz w:val="24"/>
                <w:highlight w:val="none"/>
              </w:rPr>
              <w:t>商务要求</w:t>
            </w:r>
          </w:p>
        </w:tc>
        <w:tc>
          <w:tcPr>
            <w:tcW w:w="1885" w:type="dxa"/>
            <w:noWrap w:val="0"/>
            <w:vAlign w:val="center"/>
          </w:tcPr>
          <w:p>
            <w:pPr>
              <w:spacing w:line="340" w:lineRule="exact"/>
              <w:jc w:val="center"/>
              <w:rPr>
                <w:rFonts w:ascii="宋体" w:hAnsi="宋体"/>
                <w:sz w:val="24"/>
                <w:highlight w:val="none"/>
              </w:rPr>
            </w:pPr>
            <w:r>
              <w:rPr>
                <w:rFonts w:hint="eastAsia" w:ascii="宋体" w:hAnsi="宋体"/>
                <w:sz w:val="24"/>
                <w:highlight w:val="none"/>
              </w:rPr>
              <w:t>投标文件响应情况</w:t>
            </w:r>
          </w:p>
        </w:tc>
        <w:tc>
          <w:tcPr>
            <w:tcW w:w="1040" w:type="dxa"/>
            <w:noWrap w:val="0"/>
            <w:vAlign w:val="top"/>
          </w:tcPr>
          <w:p>
            <w:pPr>
              <w:spacing w:line="340" w:lineRule="exact"/>
              <w:jc w:val="center"/>
              <w:rPr>
                <w:rFonts w:ascii="宋体" w:hAnsi="宋体"/>
                <w:sz w:val="24"/>
                <w:highlight w:val="none"/>
              </w:rPr>
            </w:pPr>
          </w:p>
          <w:p>
            <w:pPr>
              <w:spacing w:line="340" w:lineRule="exact"/>
              <w:jc w:val="center"/>
              <w:rPr>
                <w:rFonts w:ascii="宋体" w:hAnsi="宋体"/>
                <w:sz w:val="24"/>
                <w:highlight w:val="none"/>
              </w:rPr>
            </w:pPr>
            <w:r>
              <w:rPr>
                <w:rFonts w:hint="eastAsia" w:ascii="宋体" w:hAnsi="宋体"/>
                <w:sz w:val="24"/>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1</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2</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3</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4</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bl>
    <w:p>
      <w:pPr>
        <w:spacing w:line="300" w:lineRule="auto"/>
        <w:contextualSpacing/>
        <w:rPr>
          <w:rFonts w:hint="eastAsia" w:ascii="宋体" w:hAnsi="宋体"/>
          <w:b/>
          <w:sz w:val="24"/>
          <w:highlight w:val="none"/>
        </w:rPr>
      </w:pPr>
      <w:r>
        <w:rPr>
          <w:rFonts w:hint="eastAsia" w:ascii="宋体" w:hAnsi="宋体"/>
          <w:b/>
          <w:sz w:val="24"/>
          <w:highlight w:val="none"/>
        </w:rPr>
        <w:t>注：</w:t>
      </w:r>
    </w:p>
    <w:p>
      <w:pPr>
        <w:spacing w:line="300" w:lineRule="auto"/>
        <w:ind w:firstLine="480"/>
        <w:contextualSpacing/>
        <w:rPr>
          <w:rFonts w:hint="eastAsia" w:ascii="宋体" w:hAnsi="宋体"/>
          <w:sz w:val="24"/>
          <w:highlight w:val="none"/>
        </w:rPr>
      </w:pPr>
      <w:r>
        <w:rPr>
          <w:rFonts w:hint="eastAsia" w:ascii="宋体" w:hAnsi="宋体"/>
          <w:sz w:val="24"/>
          <w:highlight w:val="none"/>
        </w:rPr>
        <w:t>1.投标人提交的投标文件中与招标文件第三部分“项目需求”中的商务部分的要求，应逐条填列在偏离表中。</w:t>
      </w:r>
    </w:p>
    <w:p>
      <w:pPr>
        <w:spacing w:line="300" w:lineRule="auto"/>
        <w:ind w:firstLine="480"/>
        <w:contextualSpacing/>
        <w:rPr>
          <w:rFonts w:hint="eastAsia" w:ascii="宋体" w:hAnsi="宋体"/>
          <w:sz w:val="24"/>
          <w:highlight w:val="none"/>
        </w:rPr>
      </w:pPr>
      <w:r>
        <w:rPr>
          <w:rFonts w:hint="eastAsia" w:ascii="宋体" w:hAnsi="宋体"/>
          <w:sz w:val="24"/>
          <w:highlight w:val="none"/>
        </w:rPr>
        <w:t>2.“偏离说明”一栏选择“正偏离”、“无偏离”、“负偏离”进行填写。正偏离、无偏离的确认和负偏离的是否响应招标文件，由评委认定。</w:t>
      </w:r>
    </w:p>
    <w:p>
      <w:pPr>
        <w:spacing w:line="300" w:lineRule="auto"/>
        <w:ind w:firstLine="480"/>
        <w:contextualSpacing/>
        <w:rPr>
          <w:rFonts w:hint="eastAsia" w:ascii="宋体" w:hAnsi="宋体"/>
          <w:bCs/>
          <w:sz w:val="24"/>
          <w:highlight w:val="none"/>
        </w:rPr>
      </w:pPr>
      <w:r>
        <w:rPr>
          <w:rFonts w:hint="eastAsia" w:ascii="宋体" w:hAnsi="宋体"/>
          <w:bCs/>
          <w:sz w:val="24"/>
          <w:highlight w:val="none"/>
        </w:rPr>
        <w:t>3.投标人若提供其他增值服务，可以在表中自行据实填写。</w:t>
      </w: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contextualSpacing/>
        <w:rPr>
          <w:rFonts w:hint="eastAsia" w:ascii="宋体" w:hAnsi="宋体"/>
          <w:sz w:val="32"/>
          <w:szCs w:val="32"/>
          <w:highlight w:val="none"/>
        </w:rPr>
      </w:pPr>
      <w:r>
        <w:rPr>
          <w:rFonts w:ascii="宋体" w:hAnsi="宋体"/>
          <w:sz w:val="32"/>
          <w:szCs w:val="32"/>
          <w:highlight w:val="none"/>
        </w:rPr>
        <w:t>附件</w:t>
      </w:r>
      <w:r>
        <w:rPr>
          <w:rFonts w:hint="eastAsia" w:ascii="宋体" w:hAnsi="宋体"/>
          <w:sz w:val="32"/>
          <w:szCs w:val="32"/>
          <w:highlight w:val="none"/>
        </w:rPr>
        <w:t>7</w:t>
      </w:r>
    </w:p>
    <w:p>
      <w:pPr>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技术部分正负偏离表</w:t>
      </w:r>
    </w:p>
    <w:p>
      <w:pPr>
        <w:ind w:firstLine="560"/>
        <w:jc w:val="center"/>
        <w:rPr>
          <w:rFonts w:ascii="宋体" w:hAnsi="宋体"/>
          <w:sz w:val="28"/>
          <w:szCs w:val="28"/>
          <w:highlight w:val="none"/>
        </w:rPr>
      </w:pPr>
      <w:r>
        <w:rPr>
          <w:rFonts w:hint="eastAsia" w:ascii="宋体" w:hAnsi="宋体"/>
          <w:sz w:val="28"/>
          <w:szCs w:val="28"/>
          <w:highlight w:val="none"/>
        </w:rPr>
        <w:t>（由投标人据实填写，表格不够自行添加）</w:t>
      </w:r>
    </w:p>
    <w:tbl>
      <w:tblPr>
        <w:tblStyle w:val="33"/>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22"/>
        <w:gridCol w:w="2683"/>
        <w:gridCol w:w="3457"/>
        <w:gridCol w:w="19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noWrap w:val="0"/>
            <w:vAlign w:val="center"/>
          </w:tcPr>
          <w:p>
            <w:pPr>
              <w:spacing w:line="340" w:lineRule="exact"/>
              <w:jc w:val="center"/>
              <w:rPr>
                <w:rFonts w:ascii="宋体" w:hAnsi="宋体"/>
                <w:sz w:val="24"/>
                <w:highlight w:val="none"/>
              </w:rPr>
            </w:pPr>
            <w:r>
              <w:rPr>
                <w:rFonts w:hint="eastAsia" w:ascii="宋体" w:hAnsi="宋体"/>
                <w:sz w:val="24"/>
                <w:highlight w:val="none"/>
              </w:rPr>
              <w:t>序号</w:t>
            </w:r>
          </w:p>
        </w:tc>
        <w:tc>
          <w:tcPr>
            <w:tcW w:w="1463" w:type="dxa"/>
            <w:noWrap w:val="0"/>
            <w:vAlign w:val="center"/>
          </w:tcPr>
          <w:p>
            <w:pPr>
              <w:spacing w:line="340" w:lineRule="exact"/>
              <w:jc w:val="center"/>
              <w:rPr>
                <w:rFonts w:ascii="宋体" w:hAnsi="宋体"/>
                <w:sz w:val="24"/>
                <w:highlight w:val="none"/>
              </w:rPr>
            </w:pPr>
            <w:r>
              <w:rPr>
                <w:rFonts w:hint="eastAsia" w:ascii="宋体" w:hAnsi="宋体"/>
                <w:sz w:val="24"/>
                <w:highlight w:val="none"/>
              </w:rPr>
              <w:t>技术要求</w:t>
            </w:r>
          </w:p>
        </w:tc>
        <w:tc>
          <w:tcPr>
            <w:tcW w:w="1885" w:type="dxa"/>
            <w:noWrap w:val="0"/>
            <w:vAlign w:val="center"/>
          </w:tcPr>
          <w:p>
            <w:pPr>
              <w:spacing w:line="340" w:lineRule="exact"/>
              <w:jc w:val="center"/>
              <w:rPr>
                <w:rFonts w:ascii="宋体" w:hAnsi="宋体"/>
                <w:sz w:val="24"/>
                <w:highlight w:val="none"/>
              </w:rPr>
            </w:pPr>
            <w:r>
              <w:rPr>
                <w:rFonts w:hint="eastAsia" w:ascii="宋体" w:hAnsi="宋体"/>
                <w:sz w:val="24"/>
                <w:highlight w:val="none"/>
              </w:rPr>
              <w:t>投标文件响应情况</w:t>
            </w:r>
          </w:p>
        </w:tc>
        <w:tc>
          <w:tcPr>
            <w:tcW w:w="1040" w:type="dxa"/>
            <w:noWrap w:val="0"/>
            <w:vAlign w:val="top"/>
          </w:tcPr>
          <w:p>
            <w:pPr>
              <w:spacing w:line="340" w:lineRule="exact"/>
              <w:jc w:val="center"/>
              <w:rPr>
                <w:rFonts w:ascii="宋体" w:hAnsi="宋体"/>
                <w:sz w:val="24"/>
                <w:highlight w:val="none"/>
              </w:rPr>
            </w:pPr>
          </w:p>
          <w:p>
            <w:pPr>
              <w:spacing w:line="340" w:lineRule="exact"/>
              <w:jc w:val="center"/>
              <w:rPr>
                <w:rFonts w:ascii="宋体" w:hAnsi="宋体"/>
                <w:sz w:val="24"/>
                <w:highlight w:val="none"/>
              </w:rPr>
            </w:pPr>
            <w:r>
              <w:rPr>
                <w:rFonts w:hint="eastAsia" w:ascii="宋体" w:hAnsi="宋体"/>
                <w:sz w:val="24"/>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1</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2</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3</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noWrap w:val="0"/>
            <w:vAlign w:val="top"/>
          </w:tcPr>
          <w:p>
            <w:pPr>
              <w:spacing w:line="340" w:lineRule="exact"/>
              <w:jc w:val="center"/>
              <w:rPr>
                <w:rFonts w:ascii="宋体" w:hAnsi="宋体"/>
                <w:sz w:val="24"/>
                <w:highlight w:val="none"/>
              </w:rPr>
            </w:pPr>
            <w:r>
              <w:rPr>
                <w:rFonts w:hint="eastAsia" w:ascii="宋体" w:hAnsi="宋体"/>
                <w:sz w:val="24"/>
                <w:highlight w:val="none"/>
              </w:rPr>
              <w:t>4</w:t>
            </w:r>
          </w:p>
        </w:tc>
        <w:tc>
          <w:tcPr>
            <w:tcW w:w="1463" w:type="dxa"/>
            <w:noWrap w:val="0"/>
            <w:vAlign w:val="center"/>
          </w:tcPr>
          <w:p>
            <w:pPr>
              <w:spacing w:line="340" w:lineRule="exact"/>
              <w:jc w:val="left"/>
              <w:rPr>
                <w:rFonts w:ascii="宋体" w:hAnsi="宋体"/>
                <w:sz w:val="24"/>
                <w:highlight w:val="none"/>
              </w:rPr>
            </w:pPr>
          </w:p>
        </w:tc>
        <w:tc>
          <w:tcPr>
            <w:tcW w:w="1885" w:type="dxa"/>
            <w:noWrap w:val="0"/>
            <w:vAlign w:val="center"/>
          </w:tcPr>
          <w:p>
            <w:pPr>
              <w:spacing w:line="340" w:lineRule="exact"/>
              <w:jc w:val="left"/>
              <w:rPr>
                <w:rFonts w:ascii="宋体" w:hAnsi="宋体"/>
                <w:sz w:val="24"/>
                <w:highlight w:val="none"/>
              </w:rPr>
            </w:pPr>
          </w:p>
        </w:tc>
        <w:tc>
          <w:tcPr>
            <w:tcW w:w="1040" w:type="dxa"/>
            <w:noWrap w:val="0"/>
            <w:vAlign w:val="top"/>
          </w:tcPr>
          <w:p>
            <w:pPr>
              <w:spacing w:line="340" w:lineRule="exact"/>
              <w:jc w:val="left"/>
              <w:rPr>
                <w:rFonts w:ascii="宋体" w:hAnsi="宋体"/>
                <w:sz w:val="24"/>
                <w:highlight w:val="none"/>
              </w:rPr>
            </w:pPr>
          </w:p>
        </w:tc>
      </w:tr>
    </w:tbl>
    <w:p>
      <w:pPr>
        <w:spacing w:line="300" w:lineRule="auto"/>
        <w:contextualSpacing/>
        <w:rPr>
          <w:rFonts w:hint="eastAsia" w:ascii="宋体" w:hAnsi="宋体"/>
          <w:b/>
          <w:sz w:val="24"/>
          <w:highlight w:val="none"/>
        </w:rPr>
      </w:pPr>
      <w:r>
        <w:rPr>
          <w:rFonts w:hint="eastAsia" w:ascii="宋体" w:hAnsi="宋体"/>
          <w:b/>
          <w:sz w:val="24"/>
          <w:highlight w:val="none"/>
        </w:rPr>
        <w:t>注：</w:t>
      </w:r>
    </w:p>
    <w:p>
      <w:pPr>
        <w:spacing w:line="300" w:lineRule="auto"/>
        <w:ind w:firstLine="480"/>
        <w:contextualSpacing/>
        <w:rPr>
          <w:rFonts w:hint="eastAsia" w:ascii="宋体" w:hAnsi="宋体"/>
          <w:sz w:val="24"/>
          <w:highlight w:val="none"/>
        </w:rPr>
      </w:pPr>
      <w:r>
        <w:rPr>
          <w:rFonts w:hint="eastAsia" w:ascii="宋体" w:hAnsi="宋体"/>
          <w:sz w:val="24"/>
          <w:highlight w:val="none"/>
        </w:rPr>
        <w:t>1.投标人提交的投标文件中与招标文件第三部分“项目需求”中的技术部分的要求，应逐条填列在偏离表中。</w:t>
      </w:r>
    </w:p>
    <w:p>
      <w:pPr>
        <w:spacing w:line="300" w:lineRule="auto"/>
        <w:ind w:firstLine="480"/>
        <w:contextualSpacing/>
        <w:rPr>
          <w:rFonts w:hint="eastAsia" w:ascii="宋体" w:hAnsi="宋体"/>
          <w:sz w:val="24"/>
          <w:highlight w:val="none"/>
        </w:rPr>
      </w:pPr>
      <w:r>
        <w:rPr>
          <w:rFonts w:hint="eastAsia" w:ascii="宋体" w:hAnsi="宋体"/>
          <w:sz w:val="24"/>
          <w:highlight w:val="none"/>
        </w:rPr>
        <w:t>2.“偏离说明”一栏选择“正偏离”、“无偏离”、“负偏离”进行填写。正偏离、无偏离的确认和负偏离的是否响应招标文件，由评委认定。</w:t>
      </w:r>
    </w:p>
    <w:p>
      <w:pPr>
        <w:spacing w:line="300" w:lineRule="auto"/>
        <w:ind w:firstLine="480"/>
        <w:contextualSpacing/>
        <w:rPr>
          <w:rFonts w:hint="eastAsia" w:ascii="宋体" w:hAnsi="宋体"/>
          <w:bCs/>
          <w:sz w:val="24"/>
          <w:highlight w:val="none"/>
        </w:rPr>
      </w:pPr>
      <w:r>
        <w:rPr>
          <w:rFonts w:hint="eastAsia" w:ascii="宋体" w:hAnsi="宋体"/>
          <w:bCs/>
          <w:sz w:val="24"/>
          <w:highlight w:val="none"/>
        </w:rPr>
        <w:t>3.</w:t>
      </w:r>
      <w:r>
        <w:rPr>
          <w:rFonts w:hint="eastAsia" w:ascii="宋体" w:hAnsi="宋体"/>
          <w:sz w:val="24"/>
          <w:highlight w:val="none"/>
        </w:rPr>
        <w:t>投标人</w:t>
      </w:r>
      <w:r>
        <w:rPr>
          <w:rFonts w:hint="eastAsia" w:ascii="宋体" w:hAnsi="宋体"/>
          <w:bCs/>
          <w:sz w:val="24"/>
          <w:highlight w:val="none"/>
        </w:rPr>
        <w:t>若提供其他增值服务，可以在表中自行据实填写。</w:t>
      </w: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ind w:firstLine="540"/>
        <w:contextualSpacing/>
        <w:rPr>
          <w:rFonts w:hint="eastAsia" w:ascii="宋体" w:hAnsi="宋体" w:cs="宋体"/>
          <w:b/>
          <w:sz w:val="28"/>
          <w:szCs w:val="28"/>
          <w:highlight w:val="none"/>
        </w:rPr>
      </w:pPr>
    </w:p>
    <w:p>
      <w:pPr>
        <w:spacing w:line="400" w:lineRule="exact"/>
        <w:contextualSpacing/>
        <w:rPr>
          <w:rFonts w:hint="eastAsia" w:ascii="宋体" w:hAnsi="宋体" w:cs="宋体"/>
          <w:b/>
          <w:sz w:val="28"/>
          <w:szCs w:val="28"/>
          <w:highlight w:val="none"/>
        </w:rPr>
      </w:pPr>
    </w:p>
    <w:p>
      <w:pPr>
        <w:spacing w:line="300" w:lineRule="auto"/>
        <w:outlineLvl w:val="0"/>
        <w:rPr>
          <w:rFonts w:hint="eastAsia" w:ascii="宋体" w:hAnsi="宋体"/>
          <w:sz w:val="32"/>
          <w:szCs w:val="32"/>
          <w:highlight w:val="none"/>
        </w:rPr>
      </w:pPr>
      <w:r>
        <w:rPr>
          <w:rFonts w:ascii="宋体" w:hAnsi="宋体"/>
          <w:sz w:val="32"/>
          <w:szCs w:val="32"/>
          <w:highlight w:val="none"/>
        </w:rPr>
        <w:t>附件</w:t>
      </w:r>
      <w:r>
        <w:rPr>
          <w:rFonts w:hint="eastAsia" w:ascii="宋体" w:hAnsi="宋体"/>
          <w:sz w:val="32"/>
          <w:szCs w:val="32"/>
          <w:highlight w:val="none"/>
        </w:rPr>
        <w:t>8</w:t>
      </w:r>
    </w:p>
    <w:p>
      <w:pPr>
        <w:spacing w:line="300" w:lineRule="auto"/>
        <w:jc w:val="center"/>
        <w:outlineLvl w:val="0"/>
        <w:rPr>
          <w:rFonts w:ascii="宋体" w:hAnsi="宋体"/>
          <w:b/>
          <w:bCs/>
          <w:sz w:val="28"/>
          <w:szCs w:val="28"/>
          <w:highlight w:val="none"/>
          <w:lang w:bidi="zh-CN"/>
        </w:rPr>
      </w:pPr>
      <w:r>
        <w:rPr>
          <w:rFonts w:ascii="宋体" w:hAnsi="宋体"/>
          <w:b/>
          <w:bCs/>
          <w:sz w:val="28"/>
          <w:szCs w:val="28"/>
          <w:highlight w:val="none"/>
          <w:lang w:bidi="zh-CN"/>
        </w:rPr>
        <w:t>中小企业声明函（服务）</w:t>
      </w:r>
    </w:p>
    <w:p>
      <w:pPr>
        <w:spacing w:line="360" w:lineRule="auto"/>
        <w:ind w:firstLine="560"/>
        <w:outlineLvl w:val="0"/>
        <w:rPr>
          <w:rFonts w:ascii="宋体" w:hAnsi="宋体"/>
          <w:sz w:val="24"/>
          <w:szCs w:val="24"/>
          <w:highlight w:val="none"/>
          <w:lang w:bidi="zh-CN"/>
        </w:rPr>
      </w:pPr>
      <w:r>
        <w:rPr>
          <w:rFonts w:ascii="宋体" w:hAnsi="宋体"/>
          <w:sz w:val="24"/>
          <w:szCs w:val="24"/>
          <w:highlight w:val="none"/>
          <w:lang w:bidi="zh-CN"/>
        </w:rPr>
        <w:t>本公司（联合体）郑重声明，根据《政府采购促进中小企业发展管理办法》（财库</w:t>
      </w:r>
      <w:r>
        <w:rPr>
          <w:rFonts w:hint="eastAsia" w:ascii="宋体" w:hAnsi="宋体"/>
          <w:sz w:val="24"/>
          <w:szCs w:val="24"/>
          <w:highlight w:val="none"/>
          <w:lang w:bidi="zh-CN"/>
        </w:rPr>
        <w:t>﹝</w:t>
      </w:r>
      <w:r>
        <w:rPr>
          <w:rFonts w:ascii="宋体" w:hAnsi="宋体"/>
          <w:sz w:val="24"/>
          <w:szCs w:val="24"/>
          <w:highlight w:val="none"/>
          <w:lang w:bidi="zh-CN"/>
        </w:rPr>
        <w:t>2020</w:t>
      </w:r>
      <w:r>
        <w:rPr>
          <w:rFonts w:hint="eastAsia" w:ascii="宋体" w:hAnsi="宋体"/>
          <w:sz w:val="24"/>
          <w:szCs w:val="24"/>
          <w:highlight w:val="none"/>
          <w:lang w:bidi="zh-CN"/>
        </w:rPr>
        <w:t>﹞</w:t>
      </w:r>
      <w:r>
        <w:rPr>
          <w:rFonts w:ascii="宋体" w:hAnsi="宋体"/>
          <w:sz w:val="24"/>
          <w:szCs w:val="24"/>
          <w:highlight w:val="none"/>
          <w:lang w:bidi="zh-CN"/>
        </w:rPr>
        <w:t>46 号）的规定，本公司（联合体）参加</w:t>
      </w:r>
      <w:r>
        <w:rPr>
          <w:rFonts w:ascii="宋体" w:hAnsi="宋体"/>
          <w:sz w:val="24"/>
          <w:szCs w:val="24"/>
          <w:highlight w:val="none"/>
          <w:u w:val="single"/>
          <w:lang w:bidi="zh-CN"/>
        </w:rPr>
        <w:t>（单位名称）</w:t>
      </w:r>
      <w:r>
        <w:rPr>
          <w:rFonts w:ascii="宋体" w:hAnsi="宋体"/>
          <w:sz w:val="24"/>
          <w:szCs w:val="24"/>
          <w:highlight w:val="none"/>
          <w:lang w:bidi="zh-CN"/>
        </w:rPr>
        <w:t>的</w:t>
      </w:r>
      <w:r>
        <w:rPr>
          <w:rFonts w:ascii="宋体" w:hAnsi="宋体"/>
          <w:sz w:val="24"/>
          <w:szCs w:val="24"/>
          <w:highlight w:val="none"/>
          <w:u w:val="single"/>
          <w:lang w:bidi="zh-CN"/>
        </w:rPr>
        <w:t>（项目名称）</w:t>
      </w:r>
      <w:r>
        <w:rPr>
          <w:rFonts w:ascii="宋体" w:hAnsi="宋体"/>
          <w:sz w:val="24"/>
          <w:szCs w:val="24"/>
          <w:highlight w:val="none"/>
          <w:lang w:bidi="zh-CN"/>
        </w:rPr>
        <w:t>采购活动，服务全部由符合政策要求的中小企业承接。相关企业（含联合体中的中小企业、签订分包意向协议的中小企业）的具体情况如下：</w:t>
      </w:r>
    </w:p>
    <w:p>
      <w:pPr>
        <w:spacing w:line="360" w:lineRule="auto"/>
        <w:jc w:val="left"/>
        <w:outlineLvl w:val="0"/>
        <w:rPr>
          <w:rFonts w:ascii="宋体" w:hAnsi="宋体"/>
          <w:sz w:val="24"/>
          <w:szCs w:val="24"/>
          <w:highlight w:val="none"/>
          <w:lang w:bidi="zh-CN"/>
        </w:rPr>
      </w:pPr>
      <w:r>
        <w:rPr>
          <w:rFonts w:hint="eastAsia" w:ascii="宋体" w:hAnsi="宋体"/>
          <w:sz w:val="24"/>
          <w:szCs w:val="24"/>
          <w:highlight w:val="none"/>
          <w:lang w:bidi="zh-CN"/>
        </w:rPr>
        <w:t>1.</w:t>
      </w:r>
      <w:r>
        <w:rPr>
          <w:rFonts w:ascii="宋体" w:hAnsi="宋体"/>
          <w:sz w:val="24"/>
          <w:szCs w:val="24"/>
          <w:highlight w:val="none"/>
          <w:u w:val="single"/>
          <w:lang w:bidi="zh-CN"/>
        </w:rPr>
        <w:t>（标的名称）</w:t>
      </w:r>
      <w:r>
        <w:rPr>
          <w:rFonts w:ascii="宋体" w:hAnsi="宋体"/>
          <w:sz w:val="24"/>
          <w:szCs w:val="24"/>
          <w:highlight w:val="none"/>
          <w:lang w:bidi="zh-CN"/>
        </w:rPr>
        <w:t>，属于（</w:t>
      </w:r>
      <w:r>
        <w:rPr>
          <w:rFonts w:ascii="宋体" w:hAnsi="宋体"/>
          <w:sz w:val="24"/>
          <w:szCs w:val="24"/>
          <w:highlight w:val="none"/>
          <w:u w:val="single"/>
          <w:lang w:bidi="zh-CN"/>
        </w:rPr>
        <w:t>采购文件中明确的所属行业）</w:t>
      </w:r>
      <w:r>
        <w:rPr>
          <w:rFonts w:ascii="宋体" w:hAnsi="宋体"/>
          <w:sz w:val="24"/>
          <w:szCs w:val="24"/>
          <w:highlight w:val="none"/>
          <w:lang w:bidi="zh-CN"/>
        </w:rPr>
        <w:t>；承接企业为</w:t>
      </w:r>
      <w:r>
        <w:rPr>
          <w:rFonts w:ascii="宋体" w:hAnsi="宋体"/>
          <w:sz w:val="24"/>
          <w:szCs w:val="24"/>
          <w:highlight w:val="none"/>
          <w:u w:val="single"/>
          <w:lang w:bidi="zh-CN"/>
        </w:rPr>
        <w:t>（企业名称）</w:t>
      </w:r>
      <w:r>
        <w:rPr>
          <w:rFonts w:ascii="宋体" w:hAnsi="宋体"/>
          <w:sz w:val="24"/>
          <w:szCs w:val="24"/>
          <w:highlight w:val="none"/>
          <w:lang w:bidi="zh-CN"/>
        </w:rPr>
        <w:t>，从业人员</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人，营业收入为</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万元，资产总额为</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万元，属于</w:t>
      </w:r>
      <w:r>
        <w:rPr>
          <w:rFonts w:ascii="宋体" w:hAnsi="宋体"/>
          <w:sz w:val="24"/>
          <w:szCs w:val="24"/>
          <w:highlight w:val="none"/>
          <w:u w:val="single"/>
          <w:lang w:bidi="zh-CN"/>
        </w:rPr>
        <w:t>（</w:t>
      </w:r>
      <w:r>
        <w:rPr>
          <w:rFonts w:hint="eastAsia" w:ascii="宋体" w:hAnsi="宋体"/>
          <w:sz w:val="24"/>
          <w:szCs w:val="24"/>
          <w:highlight w:val="none"/>
          <w:u w:val="single"/>
        </w:rPr>
        <w:t>□中型企业 □小型企业 □微型企业</w:t>
      </w:r>
      <w:r>
        <w:rPr>
          <w:rFonts w:ascii="宋体" w:hAnsi="宋体"/>
          <w:sz w:val="24"/>
          <w:szCs w:val="24"/>
          <w:highlight w:val="none"/>
          <w:u w:val="single"/>
          <w:lang w:bidi="zh-CN"/>
        </w:rPr>
        <w:t>）</w:t>
      </w:r>
      <w:r>
        <w:rPr>
          <w:rFonts w:ascii="宋体" w:hAnsi="宋体"/>
          <w:sz w:val="24"/>
          <w:szCs w:val="24"/>
          <w:highlight w:val="none"/>
          <w:lang w:bidi="zh-CN"/>
        </w:rPr>
        <w:t>；</w:t>
      </w:r>
    </w:p>
    <w:p>
      <w:pPr>
        <w:spacing w:line="360" w:lineRule="auto"/>
        <w:jc w:val="left"/>
        <w:outlineLvl w:val="0"/>
        <w:rPr>
          <w:rFonts w:ascii="宋体" w:hAnsi="宋体"/>
          <w:sz w:val="24"/>
          <w:szCs w:val="24"/>
          <w:highlight w:val="none"/>
          <w:lang w:bidi="zh-CN"/>
        </w:rPr>
      </w:pPr>
      <w:r>
        <w:rPr>
          <w:rFonts w:hint="eastAsia" w:ascii="宋体" w:hAnsi="宋体"/>
          <w:sz w:val="24"/>
          <w:szCs w:val="24"/>
          <w:highlight w:val="none"/>
          <w:lang w:bidi="zh-CN"/>
        </w:rPr>
        <w:t>2.</w:t>
      </w:r>
      <w:r>
        <w:rPr>
          <w:rFonts w:ascii="宋体" w:hAnsi="宋体"/>
          <w:sz w:val="24"/>
          <w:szCs w:val="24"/>
          <w:highlight w:val="none"/>
          <w:u w:val="single"/>
          <w:lang w:bidi="zh-CN"/>
        </w:rPr>
        <w:t>（标的名称）</w:t>
      </w:r>
      <w:r>
        <w:rPr>
          <w:rFonts w:ascii="宋体" w:hAnsi="宋体"/>
          <w:sz w:val="24"/>
          <w:szCs w:val="24"/>
          <w:highlight w:val="none"/>
          <w:lang w:bidi="zh-CN"/>
        </w:rPr>
        <w:t>，属于（</w:t>
      </w:r>
      <w:r>
        <w:rPr>
          <w:rFonts w:ascii="宋体" w:hAnsi="宋体"/>
          <w:sz w:val="24"/>
          <w:szCs w:val="24"/>
          <w:highlight w:val="none"/>
          <w:u w:val="single"/>
          <w:lang w:bidi="zh-CN"/>
        </w:rPr>
        <w:t>采购文件中明确的所属行业）</w:t>
      </w:r>
      <w:r>
        <w:rPr>
          <w:rFonts w:ascii="宋体" w:hAnsi="宋体"/>
          <w:sz w:val="24"/>
          <w:szCs w:val="24"/>
          <w:highlight w:val="none"/>
          <w:lang w:bidi="zh-CN"/>
        </w:rPr>
        <w:t>；承接企业为</w:t>
      </w:r>
      <w:r>
        <w:rPr>
          <w:rFonts w:ascii="宋体" w:hAnsi="宋体"/>
          <w:sz w:val="24"/>
          <w:szCs w:val="24"/>
          <w:highlight w:val="none"/>
          <w:u w:val="single"/>
          <w:lang w:bidi="zh-CN"/>
        </w:rPr>
        <w:t>（企业名称）</w:t>
      </w:r>
      <w:r>
        <w:rPr>
          <w:rFonts w:ascii="宋体" w:hAnsi="宋体"/>
          <w:sz w:val="24"/>
          <w:szCs w:val="24"/>
          <w:highlight w:val="none"/>
          <w:lang w:bidi="zh-CN"/>
        </w:rPr>
        <w:t>，从业人员</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人，营业收入为</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万元，资产总额为</w:t>
      </w:r>
      <w:r>
        <w:rPr>
          <w:rFonts w:ascii="宋体" w:hAnsi="宋体"/>
          <w:sz w:val="24"/>
          <w:szCs w:val="24"/>
          <w:highlight w:val="none"/>
          <w:u w:val="single"/>
          <w:lang w:bidi="zh-CN"/>
        </w:rPr>
        <w:t xml:space="preserve"> </w:t>
      </w:r>
      <w:r>
        <w:rPr>
          <w:rFonts w:ascii="宋体" w:hAnsi="宋体"/>
          <w:sz w:val="24"/>
          <w:szCs w:val="24"/>
          <w:highlight w:val="none"/>
          <w:u w:val="single"/>
          <w:lang w:bidi="zh-CN"/>
        </w:rPr>
        <w:tab/>
      </w:r>
      <w:r>
        <w:rPr>
          <w:rFonts w:ascii="宋体" w:hAnsi="宋体"/>
          <w:sz w:val="24"/>
          <w:szCs w:val="24"/>
          <w:highlight w:val="none"/>
          <w:lang w:bidi="zh-CN"/>
        </w:rPr>
        <w:t>万元，属于</w:t>
      </w:r>
      <w:r>
        <w:rPr>
          <w:rFonts w:ascii="宋体" w:hAnsi="宋体"/>
          <w:sz w:val="24"/>
          <w:szCs w:val="24"/>
          <w:highlight w:val="none"/>
          <w:u w:val="single"/>
          <w:lang w:bidi="zh-CN"/>
        </w:rPr>
        <w:t>（</w:t>
      </w:r>
      <w:r>
        <w:rPr>
          <w:rFonts w:hint="eastAsia" w:ascii="宋体" w:hAnsi="宋体"/>
          <w:sz w:val="24"/>
          <w:szCs w:val="24"/>
          <w:highlight w:val="none"/>
          <w:u w:val="single"/>
        </w:rPr>
        <w:t>□中型企业 □小型企业 □微型企业</w:t>
      </w:r>
      <w:r>
        <w:rPr>
          <w:rFonts w:ascii="宋体" w:hAnsi="宋体"/>
          <w:sz w:val="24"/>
          <w:szCs w:val="24"/>
          <w:highlight w:val="none"/>
          <w:u w:val="single"/>
          <w:lang w:bidi="zh-CN"/>
        </w:rPr>
        <w:t>）</w:t>
      </w:r>
      <w:r>
        <w:rPr>
          <w:rFonts w:ascii="宋体" w:hAnsi="宋体"/>
          <w:sz w:val="24"/>
          <w:szCs w:val="24"/>
          <w:highlight w:val="none"/>
          <w:lang w:bidi="zh-CN"/>
        </w:rPr>
        <w:t>；</w:t>
      </w:r>
    </w:p>
    <w:p>
      <w:pPr>
        <w:spacing w:line="360" w:lineRule="auto"/>
        <w:ind w:firstLine="560"/>
        <w:outlineLvl w:val="0"/>
        <w:rPr>
          <w:rFonts w:ascii="宋体" w:hAnsi="宋体"/>
          <w:sz w:val="24"/>
          <w:szCs w:val="24"/>
          <w:highlight w:val="none"/>
          <w:lang w:bidi="zh-CN"/>
        </w:rPr>
      </w:pPr>
      <w:r>
        <w:rPr>
          <w:rFonts w:ascii="宋体" w:hAnsi="宋体"/>
          <w:sz w:val="24"/>
          <w:szCs w:val="24"/>
          <w:highlight w:val="none"/>
          <w:lang w:bidi="zh-CN"/>
        </w:rPr>
        <w:t>以上企业，不属于大企业的分支机构，不存在控股股东为大企业的情形，也不存在与大企业的负责人为同一人的情形。</w:t>
      </w:r>
    </w:p>
    <w:p>
      <w:pPr>
        <w:spacing w:line="360" w:lineRule="auto"/>
        <w:ind w:firstLine="560"/>
        <w:outlineLvl w:val="0"/>
        <w:rPr>
          <w:rFonts w:ascii="宋体" w:hAnsi="宋体"/>
          <w:sz w:val="24"/>
          <w:szCs w:val="24"/>
          <w:highlight w:val="none"/>
          <w:lang w:bidi="zh-CN"/>
        </w:rPr>
      </w:pPr>
      <w:r>
        <w:rPr>
          <w:rFonts w:ascii="宋体" w:hAnsi="宋体"/>
          <w:sz w:val="24"/>
          <w:szCs w:val="24"/>
          <w:highlight w:val="none"/>
          <w:lang w:bidi="zh-CN"/>
        </w:rPr>
        <w:t>本企业对上述声明内容的真实性负责。如有虚假，将依法承担相应责任。</w:t>
      </w:r>
    </w:p>
    <w:p>
      <w:pPr>
        <w:spacing w:line="360" w:lineRule="auto"/>
        <w:ind w:firstLine="3600" w:firstLineChars="1500"/>
        <w:outlineLvl w:val="0"/>
        <w:rPr>
          <w:rFonts w:hint="eastAsia" w:ascii="宋体" w:hAnsi="宋体"/>
          <w:sz w:val="24"/>
          <w:szCs w:val="24"/>
          <w:highlight w:val="none"/>
          <w:lang w:bidi="zh-CN"/>
        </w:rPr>
      </w:pPr>
      <w:r>
        <w:rPr>
          <w:rFonts w:ascii="宋体" w:hAnsi="宋体"/>
          <w:sz w:val="24"/>
          <w:szCs w:val="24"/>
          <w:highlight w:val="none"/>
          <w:lang w:bidi="zh-CN"/>
        </w:rPr>
        <w:t>企业名称（盖章）：</w:t>
      </w:r>
    </w:p>
    <w:p>
      <w:pPr>
        <w:spacing w:line="300" w:lineRule="auto"/>
        <w:ind w:firstLine="5880"/>
        <w:outlineLvl w:val="0"/>
        <w:rPr>
          <w:rFonts w:hint="eastAsia"/>
          <w:sz w:val="24"/>
          <w:szCs w:val="24"/>
          <w:highlight w:val="none"/>
        </w:rPr>
      </w:pPr>
      <w:r>
        <w:rPr>
          <w:rFonts w:ascii="宋体" w:hAnsi="宋体"/>
          <w:sz w:val="24"/>
          <w:szCs w:val="24"/>
          <w:highlight w:val="none"/>
          <w:lang w:bidi="zh-CN"/>
        </w:rPr>
        <w:t>日期：</w:t>
      </w:r>
    </w:p>
    <w:p>
      <w:pPr>
        <w:spacing w:line="300" w:lineRule="auto"/>
        <w:ind w:firstLine="420"/>
        <w:outlineLvl w:val="0"/>
        <w:rPr>
          <w:rFonts w:hint="eastAsia" w:ascii="宋体" w:hAnsi="宋体" w:cs="宋体"/>
          <w:szCs w:val="21"/>
          <w:highlight w:val="none"/>
          <w:lang w:bidi="zh-CN"/>
        </w:rPr>
      </w:pPr>
      <w:r>
        <w:rPr>
          <w:rFonts w:hint="eastAsia" w:ascii="宋体" w:hAnsi="宋体" w:cs="宋体"/>
          <w:szCs w:val="21"/>
          <w:highlight w:val="none"/>
          <w:lang w:bidi="zh-CN"/>
        </w:rPr>
        <w:t>注：</w:t>
      </w:r>
    </w:p>
    <w:p>
      <w:pPr>
        <w:spacing w:line="300" w:lineRule="auto"/>
        <w:ind w:firstLine="420"/>
        <w:outlineLvl w:val="0"/>
        <w:rPr>
          <w:rFonts w:hint="eastAsia" w:ascii="宋体" w:hAnsi="宋体" w:cs="宋体"/>
          <w:szCs w:val="21"/>
          <w:highlight w:val="none"/>
          <w:lang w:bidi="zh-CN"/>
        </w:rPr>
      </w:pPr>
      <w:r>
        <w:rPr>
          <w:rFonts w:hint="eastAsia" w:ascii="宋体" w:hAnsi="宋体" w:cs="宋体"/>
          <w:szCs w:val="21"/>
          <w:highlight w:val="none"/>
          <w:lang w:bidi="zh-CN"/>
        </w:rPr>
        <w:t>1.从业人员、营业收入、资产总额填报上一年度数据，无上一年度数据的新成立企业可不填报。</w:t>
      </w:r>
    </w:p>
    <w:p>
      <w:pPr>
        <w:spacing w:line="300" w:lineRule="auto"/>
        <w:ind w:firstLine="420"/>
        <w:outlineLvl w:val="0"/>
        <w:rPr>
          <w:rFonts w:hint="eastAsia" w:ascii="宋体" w:hAnsi="宋体" w:cs="宋体"/>
          <w:szCs w:val="21"/>
          <w:highlight w:val="none"/>
          <w:lang w:bidi="zh-CN"/>
        </w:rPr>
      </w:pPr>
      <w:r>
        <w:rPr>
          <w:rFonts w:hint="eastAsia" w:ascii="宋体" w:hAnsi="宋体" w:cs="宋体"/>
          <w:szCs w:val="21"/>
          <w:highlight w:val="none"/>
          <w:lang w:bidi="zh-CN"/>
        </w:rPr>
        <w:t>2.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00" w:lineRule="auto"/>
        <w:ind w:firstLine="420"/>
        <w:outlineLvl w:val="0"/>
        <w:rPr>
          <w:rFonts w:ascii="宋体" w:hAnsi="宋体" w:cs="宋体"/>
          <w:szCs w:val="21"/>
          <w:highlight w:val="none"/>
          <w:lang w:bidi="zh-CN"/>
        </w:rPr>
      </w:pPr>
      <w:r>
        <w:rPr>
          <w:rFonts w:hint="eastAsia" w:ascii="宋体" w:hAnsi="宋体" w:cs="宋体"/>
          <w:szCs w:val="21"/>
          <w:highlight w:val="none"/>
          <w:lang w:bidi="zh-CN"/>
        </w:rPr>
        <w:t>3.专门面向中小微型企业采购的项目，供应商如不提供此声明函，则不能通过资格审查；非专门面向中小微型企业采购的项目，供应商如不提供此声明函，价格将不做相应扣除。</w:t>
      </w:r>
    </w:p>
    <w:p>
      <w:pPr>
        <w:spacing w:line="300" w:lineRule="auto"/>
        <w:ind w:firstLine="420"/>
        <w:outlineLvl w:val="0"/>
        <w:rPr>
          <w:rFonts w:hint="eastAsia" w:ascii="宋体" w:hAnsi="宋体" w:cs="宋体"/>
          <w:szCs w:val="21"/>
          <w:highlight w:val="none"/>
          <w:lang w:bidi="zh-CN"/>
        </w:rPr>
      </w:pPr>
      <w:r>
        <w:rPr>
          <w:rFonts w:hint="eastAsia" w:ascii="宋体" w:hAnsi="宋体" w:cs="宋体"/>
          <w:szCs w:val="21"/>
          <w:highlight w:val="none"/>
          <w:lang w:bidi="zh-CN"/>
        </w:rPr>
        <w:t>4.供应商自行勾选承接企业的企业规模类型。</w:t>
      </w:r>
    </w:p>
    <w:p>
      <w:pPr>
        <w:spacing w:line="300" w:lineRule="auto"/>
        <w:outlineLvl w:val="0"/>
        <w:rPr>
          <w:rFonts w:hint="eastAsia" w:ascii="宋体" w:hAnsi="宋体"/>
          <w:sz w:val="32"/>
          <w:szCs w:val="32"/>
          <w:highlight w:val="none"/>
        </w:rPr>
      </w:pPr>
      <w:r>
        <w:rPr>
          <w:rFonts w:ascii="宋体" w:hAnsi="宋体"/>
          <w:sz w:val="32"/>
          <w:szCs w:val="32"/>
          <w:highlight w:val="none"/>
        </w:rPr>
        <w:br w:type="page" w:clear="all"/>
      </w:r>
      <w:r>
        <w:rPr>
          <w:rFonts w:ascii="宋体" w:hAnsi="宋体"/>
          <w:sz w:val="32"/>
          <w:szCs w:val="32"/>
          <w:highlight w:val="none"/>
        </w:rPr>
        <w:t>附件</w:t>
      </w:r>
      <w:r>
        <w:rPr>
          <w:rFonts w:hint="eastAsia" w:ascii="宋体" w:hAnsi="宋体"/>
          <w:sz w:val="32"/>
          <w:szCs w:val="32"/>
          <w:highlight w:val="none"/>
        </w:rPr>
        <w:t>9</w:t>
      </w:r>
    </w:p>
    <w:p>
      <w:pPr>
        <w:spacing w:line="460" w:lineRule="exact"/>
        <w:jc w:val="center"/>
        <w:rPr>
          <w:rFonts w:hint="eastAsia" w:ascii="宋体" w:hAnsi="宋体"/>
          <w:b/>
          <w:sz w:val="32"/>
          <w:szCs w:val="32"/>
          <w:highlight w:val="none"/>
        </w:rPr>
      </w:pPr>
      <w:r>
        <w:rPr>
          <w:rFonts w:hint="eastAsia" w:ascii="宋体" w:hAnsi="宋体"/>
          <w:b/>
          <w:sz w:val="32"/>
          <w:szCs w:val="32"/>
          <w:highlight w:val="none"/>
        </w:rPr>
        <w:t>残疾人福利性单位声明函</w:t>
      </w:r>
    </w:p>
    <w:p>
      <w:pPr>
        <w:spacing w:line="588" w:lineRule="exact"/>
        <w:ind w:firstLine="560"/>
        <w:rPr>
          <w:rFonts w:hint="eastAsia" w:ascii="宋体" w:hAnsi="宋体"/>
          <w:sz w:val="28"/>
          <w:szCs w:val="28"/>
          <w:highlight w:val="none"/>
        </w:rPr>
      </w:pPr>
      <w:r>
        <w:rPr>
          <w:rFonts w:hint="eastAsia" w:ascii="宋体" w:hAnsi="宋体"/>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8"/>
          <w:szCs w:val="28"/>
          <w:highlight w:val="none"/>
          <w:u w:val="single"/>
        </w:rPr>
        <w:t xml:space="preserve">       </w:t>
      </w:r>
      <w:r>
        <w:rPr>
          <w:rFonts w:hint="eastAsia" w:ascii="宋体" w:hAnsi="宋体"/>
          <w:sz w:val="28"/>
          <w:szCs w:val="28"/>
          <w:highlight w:val="none"/>
        </w:rPr>
        <w:t>单位的项目编号为</w:t>
      </w:r>
    </w:p>
    <w:p>
      <w:pPr>
        <w:spacing w:line="588" w:lineRule="exact"/>
        <w:rPr>
          <w:rFonts w:hint="eastAsia" w:ascii="宋体" w:hAnsi="宋体"/>
          <w:sz w:val="28"/>
          <w:szCs w:val="28"/>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的</w:t>
      </w:r>
      <w:r>
        <w:rPr>
          <w:rFonts w:hint="eastAsia" w:ascii="宋体" w:hAnsi="宋体"/>
          <w:sz w:val="28"/>
          <w:szCs w:val="28"/>
          <w:highlight w:val="none"/>
          <w:u w:val="single"/>
        </w:rPr>
        <w:t xml:space="preserve">       </w:t>
      </w:r>
      <w:r>
        <w:rPr>
          <w:rFonts w:hint="eastAsia" w:ascii="宋体" w:hAnsi="宋体"/>
          <w:sz w:val="28"/>
          <w:szCs w:val="28"/>
          <w:highlight w:val="none"/>
        </w:rPr>
        <w:t>项目采购活动由本单位提供服务。</w:t>
      </w:r>
    </w:p>
    <w:p>
      <w:pPr>
        <w:spacing w:line="588" w:lineRule="exact"/>
        <w:ind w:firstLine="560"/>
        <w:rPr>
          <w:rFonts w:hint="eastAsia" w:ascii="宋体" w:hAnsi="宋体"/>
          <w:sz w:val="28"/>
          <w:szCs w:val="28"/>
          <w:highlight w:val="none"/>
        </w:rPr>
      </w:pPr>
      <w:r>
        <w:rPr>
          <w:rFonts w:hint="eastAsia" w:ascii="宋体" w:hAnsi="宋体"/>
          <w:sz w:val="28"/>
          <w:szCs w:val="28"/>
          <w:highlight w:val="none"/>
        </w:rPr>
        <w:t>本单位对上述声明的真实性负责。如有虚假，将依法承担相应责任。</w:t>
      </w:r>
    </w:p>
    <w:p>
      <w:pPr>
        <w:spacing w:line="588" w:lineRule="exact"/>
        <w:ind w:firstLine="584"/>
        <w:rPr>
          <w:rFonts w:hint="eastAsia" w:ascii="宋体" w:hAnsi="宋体"/>
          <w:spacing w:val="6"/>
          <w:sz w:val="28"/>
          <w:szCs w:val="28"/>
          <w:highlight w:val="none"/>
        </w:rPr>
      </w:pPr>
    </w:p>
    <w:p>
      <w:pPr>
        <w:tabs>
          <w:tab w:val="left" w:pos="4860"/>
        </w:tabs>
        <w:spacing w:line="588" w:lineRule="exact"/>
        <w:ind w:right="1560" w:firstLine="560"/>
        <w:jc w:val="center"/>
        <w:rPr>
          <w:rFonts w:ascii="宋体" w:hAnsi="宋体"/>
          <w:sz w:val="28"/>
          <w:szCs w:val="28"/>
          <w:highlight w:val="none"/>
        </w:rPr>
      </w:pPr>
      <w:r>
        <w:rPr>
          <w:rFonts w:hint="eastAsia" w:ascii="宋体" w:hAnsi="宋体"/>
          <w:sz w:val="28"/>
          <w:szCs w:val="28"/>
          <w:highlight w:val="none"/>
        </w:rPr>
        <w:t xml:space="preserve">                             供应商全称（盖章）：</w:t>
      </w:r>
    </w:p>
    <w:p>
      <w:pPr>
        <w:tabs>
          <w:tab w:val="left" w:pos="4860"/>
        </w:tabs>
        <w:spacing w:line="588" w:lineRule="exact"/>
        <w:ind w:right="1560" w:firstLine="560"/>
        <w:jc w:val="center"/>
        <w:rPr>
          <w:rFonts w:ascii="宋体" w:hAnsi="宋体"/>
          <w:sz w:val="28"/>
          <w:szCs w:val="28"/>
          <w:highlight w:val="none"/>
        </w:rPr>
      </w:pPr>
      <w:r>
        <w:rPr>
          <w:rFonts w:hint="eastAsia" w:ascii="宋体" w:hAnsi="宋体"/>
          <w:sz w:val="28"/>
          <w:szCs w:val="28"/>
          <w:highlight w:val="none"/>
        </w:rPr>
        <w:t xml:space="preserve">                       日  期：</w:t>
      </w:r>
    </w:p>
    <w:p>
      <w:pPr>
        <w:pStyle w:val="198"/>
        <w:ind w:firstLine="292"/>
        <w:rPr>
          <w:rFonts w:hint="eastAsia" w:ascii="宋体" w:hAnsi="宋体"/>
          <w:spacing w:val="6"/>
          <w:sz w:val="28"/>
          <w:szCs w:val="28"/>
          <w:highlight w:val="none"/>
        </w:rPr>
      </w:pPr>
    </w:p>
    <w:p>
      <w:pPr>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w:t>
      </w:r>
    </w:p>
    <w:p>
      <w:pPr>
        <w:spacing w:line="360" w:lineRule="auto"/>
        <w:ind w:firstLine="420"/>
        <w:jc w:val="left"/>
        <w:rPr>
          <w:rFonts w:hint="eastAsia" w:ascii="宋体" w:hAnsi="宋体" w:cs="宋体"/>
          <w:szCs w:val="21"/>
          <w:highlight w:val="none"/>
          <w:lang w:bidi="zh-CN"/>
        </w:rPr>
      </w:pPr>
      <w:r>
        <w:rPr>
          <w:rFonts w:hint="eastAsia" w:ascii="宋体" w:hAnsi="宋体" w:cs="宋体"/>
          <w:szCs w:val="21"/>
          <w:highlight w:val="none"/>
          <w:lang w:bidi="zh-CN"/>
        </w:rPr>
        <w:t>1.专门面向中小微型企业采购的项目，供应商为残疾人福利性单位并提供服务的必须提供此声明函，否则将不能通过资格审查；非专门面向中小微型企业采购的项目，供应商如不提供此声明函，价格将不做相应扣除。</w:t>
      </w:r>
    </w:p>
    <w:p>
      <w:pPr>
        <w:spacing w:line="360" w:lineRule="auto"/>
        <w:ind w:firstLine="420"/>
        <w:jc w:val="left"/>
        <w:rPr>
          <w:rFonts w:hint="eastAsia" w:ascii="仿宋_GB2312" w:eastAsia="仿宋_GB2312"/>
          <w:spacing w:val="6"/>
          <w:szCs w:val="21"/>
          <w:highlight w:val="none"/>
        </w:rPr>
      </w:pPr>
      <w:r>
        <w:rPr>
          <w:rFonts w:hint="eastAsia" w:ascii="宋体" w:hAnsi="宋体" w:cs="宋体"/>
          <w:szCs w:val="21"/>
          <w:highlight w:val="none"/>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pPr>
        <w:spacing w:line="588" w:lineRule="exact"/>
        <w:ind w:firstLine="584"/>
        <w:rPr>
          <w:rFonts w:hint="eastAsia" w:ascii="宋体" w:hAnsi="宋体"/>
          <w:spacing w:val="6"/>
          <w:sz w:val="28"/>
          <w:szCs w:val="28"/>
          <w:highlight w:val="none"/>
        </w:rPr>
      </w:pPr>
    </w:p>
    <w:p>
      <w:pPr>
        <w:spacing w:line="588" w:lineRule="exact"/>
        <w:ind w:firstLine="584"/>
        <w:rPr>
          <w:rFonts w:ascii="宋体" w:hAnsi="宋体"/>
          <w:spacing w:val="6"/>
          <w:sz w:val="28"/>
          <w:szCs w:val="28"/>
          <w:highlight w:val="none"/>
        </w:rPr>
      </w:pPr>
    </w:p>
    <w:p>
      <w:pPr>
        <w:tabs>
          <w:tab w:val="left" w:pos="4860"/>
        </w:tabs>
        <w:spacing w:line="588" w:lineRule="exact"/>
        <w:ind w:right="1560" w:firstLine="584"/>
        <w:jc w:val="center"/>
        <w:rPr>
          <w:rFonts w:ascii="宋体" w:hAnsi="宋体"/>
          <w:sz w:val="28"/>
          <w:szCs w:val="28"/>
          <w:highlight w:val="none"/>
        </w:rPr>
      </w:pPr>
      <w:r>
        <w:rPr>
          <w:rFonts w:hint="eastAsia" w:ascii="宋体" w:hAnsi="宋体"/>
          <w:spacing w:val="6"/>
          <w:sz w:val="28"/>
          <w:szCs w:val="28"/>
          <w:highlight w:val="none"/>
        </w:rPr>
        <w:t xml:space="preserve">             </w:t>
      </w:r>
      <w:r>
        <w:rPr>
          <w:rFonts w:hint="eastAsia" w:ascii="宋体" w:hAnsi="宋体"/>
          <w:sz w:val="28"/>
          <w:szCs w:val="28"/>
          <w:highlight w:val="none"/>
        </w:rPr>
        <w:t xml:space="preserve">           </w:t>
      </w:r>
    </w:p>
    <w:p>
      <w:pPr>
        <w:rPr>
          <w:rFonts w:hint="eastAsia" w:ascii="宋体" w:hAnsi="宋体"/>
          <w:sz w:val="28"/>
          <w:szCs w:val="28"/>
          <w:highlight w:val="none"/>
        </w:rPr>
      </w:pPr>
    </w:p>
    <w:p>
      <w:pPr>
        <w:spacing w:line="300" w:lineRule="auto"/>
        <w:outlineLvl w:val="0"/>
        <w:rPr>
          <w:rFonts w:hint="eastAsia" w:ascii="宋体" w:hAnsi="宋体"/>
          <w:sz w:val="32"/>
          <w:szCs w:val="32"/>
          <w:highlight w:val="none"/>
        </w:rPr>
      </w:pPr>
      <w:r>
        <w:rPr>
          <w:rFonts w:ascii="宋体" w:hAnsi="宋体"/>
          <w:sz w:val="32"/>
          <w:szCs w:val="32"/>
          <w:highlight w:val="none"/>
        </w:rPr>
        <w:br w:type="page" w:clear="all"/>
      </w:r>
      <w:r>
        <w:rPr>
          <w:rFonts w:ascii="宋体" w:hAnsi="宋体"/>
          <w:sz w:val="32"/>
          <w:szCs w:val="32"/>
          <w:highlight w:val="none"/>
        </w:rPr>
        <w:t>附件1</w:t>
      </w:r>
      <w:r>
        <w:rPr>
          <w:rFonts w:hint="eastAsia" w:ascii="宋体" w:hAnsi="宋体"/>
          <w:sz w:val="32"/>
          <w:szCs w:val="32"/>
          <w:highlight w:val="none"/>
        </w:rPr>
        <w:t>0</w:t>
      </w:r>
    </w:p>
    <w:p>
      <w:pPr>
        <w:spacing w:line="420" w:lineRule="exact"/>
        <w:jc w:val="center"/>
        <w:outlineLvl w:val="3"/>
        <w:rPr>
          <w:rFonts w:ascii="宋体" w:hAnsi="宋体"/>
          <w:b/>
          <w:bCs/>
          <w:sz w:val="32"/>
          <w:szCs w:val="32"/>
          <w:highlight w:val="none"/>
        </w:rPr>
      </w:pPr>
      <w:r>
        <w:rPr>
          <w:rFonts w:hint="eastAsia" w:ascii="宋体" w:hAnsi="宋体"/>
          <w:b/>
          <w:bCs/>
          <w:sz w:val="32"/>
          <w:szCs w:val="32"/>
          <w:highlight w:val="none"/>
        </w:rPr>
        <w:t>监狱和戒毒企业证明材料</w:t>
      </w:r>
    </w:p>
    <w:p>
      <w:pPr>
        <w:spacing w:line="420" w:lineRule="exact"/>
        <w:ind w:firstLine="495"/>
        <w:rPr>
          <w:rFonts w:hint="eastAsia" w:ascii="宋体" w:hAnsi="宋体" w:cs="宋体"/>
          <w:sz w:val="28"/>
          <w:szCs w:val="28"/>
          <w:highlight w:val="none"/>
        </w:rPr>
      </w:pPr>
    </w:p>
    <w:p>
      <w:pPr>
        <w:spacing w:line="420" w:lineRule="exact"/>
        <w:ind w:firstLine="498"/>
        <w:rPr>
          <w:rFonts w:hint="eastAsia" w:ascii="宋体" w:hAnsi="宋体" w:cs="宋体"/>
          <w:b/>
          <w:sz w:val="28"/>
          <w:szCs w:val="28"/>
          <w:highlight w:val="none"/>
        </w:rPr>
      </w:pPr>
      <w:r>
        <w:rPr>
          <w:rFonts w:hint="eastAsia" w:ascii="宋体" w:hAnsi="宋体" w:cs="宋体"/>
          <w:b/>
          <w:sz w:val="28"/>
          <w:szCs w:val="28"/>
          <w:highlight w:val="none"/>
        </w:rPr>
        <w:t>（格式自拟）</w:t>
      </w:r>
    </w:p>
    <w:p>
      <w:pPr>
        <w:spacing w:line="420" w:lineRule="exact"/>
        <w:ind w:firstLine="495"/>
        <w:rPr>
          <w:rFonts w:ascii="宋体" w:hAnsi="宋体" w:cs="宋体"/>
          <w:sz w:val="28"/>
          <w:szCs w:val="28"/>
          <w:highlight w:val="none"/>
        </w:rPr>
      </w:pPr>
    </w:p>
    <w:p>
      <w:pPr>
        <w:spacing w:line="420" w:lineRule="exact"/>
        <w:ind w:firstLine="660"/>
        <w:rPr>
          <w:rFonts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pacing w:line="300" w:lineRule="auto"/>
        <w:outlineLvl w:val="0"/>
        <w:rPr>
          <w:rFonts w:hint="eastAsia" w:ascii="宋体" w:hAnsi="宋体"/>
          <w:sz w:val="28"/>
          <w:szCs w:val="28"/>
          <w:highlight w:val="none"/>
        </w:rPr>
      </w:pPr>
    </w:p>
    <w:p>
      <w:pPr>
        <w:spacing w:line="300" w:lineRule="auto"/>
        <w:outlineLvl w:val="0"/>
        <w:rPr>
          <w:rFonts w:hint="eastAsia" w:ascii="宋体" w:hAnsi="宋体"/>
          <w:sz w:val="28"/>
          <w:szCs w:val="28"/>
          <w:highlight w:val="none"/>
        </w:rPr>
      </w:pPr>
    </w:p>
    <w:p>
      <w:pPr>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w:t>
      </w:r>
    </w:p>
    <w:p>
      <w:pPr>
        <w:spacing w:line="360" w:lineRule="auto"/>
        <w:ind w:firstLine="420"/>
        <w:jc w:val="left"/>
        <w:rPr>
          <w:rFonts w:hint="eastAsia" w:ascii="宋体" w:hAnsi="宋体" w:cs="宋体"/>
          <w:szCs w:val="21"/>
          <w:highlight w:val="none"/>
          <w:lang w:bidi="zh-CN"/>
        </w:rPr>
      </w:pPr>
      <w:r>
        <w:rPr>
          <w:rFonts w:hint="eastAsia" w:ascii="宋体" w:hAnsi="宋体" w:cs="宋体"/>
          <w:szCs w:val="21"/>
          <w:highlight w:val="none"/>
          <w:lang w:bidi="zh-CN"/>
        </w:rPr>
        <w:t>1.专门面向中小微型企业采购的项目，供应商为残疾人福利性单位并提供服务的必须提供此声明函，否则将不能通过资格审查；非专门面向中小微型企业采购的项目，供应商如不提供此声明函，价格将不做相应扣除。</w:t>
      </w:r>
    </w:p>
    <w:p>
      <w:pPr>
        <w:spacing w:line="360" w:lineRule="auto"/>
        <w:ind w:firstLine="420"/>
        <w:jc w:val="left"/>
        <w:rPr>
          <w:rFonts w:hint="eastAsia" w:ascii="宋体" w:hAnsi="宋体" w:cs="宋体"/>
          <w:szCs w:val="21"/>
          <w:highlight w:val="none"/>
          <w:lang w:bidi="zh-CN"/>
        </w:rPr>
      </w:pPr>
      <w:r>
        <w:rPr>
          <w:rFonts w:hint="eastAsia" w:ascii="宋体" w:hAnsi="宋体" w:cs="宋体"/>
          <w:szCs w:val="21"/>
          <w:highlight w:val="none"/>
          <w:lang w:bidi="zh-CN"/>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pStyle w:val="198"/>
        <w:ind w:firstLine="240"/>
        <w:rPr>
          <w:rFonts w:hint="eastAsia"/>
          <w:highlight w:val="none"/>
          <w:lang w:bidi="zh-CN"/>
        </w:rPr>
      </w:pPr>
    </w:p>
    <w:p>
      <w:pPr>
        <w:jc w:val="left"/>
        <w:rPr>
          <w:rFonts w:hint="eastAsia" w:ascii="宋体" w:hAnsi="宋体" w:cs="宋体"/>
          <w:b/>
          <w:bCs/>
          <w:sz w:val="32"/>
          <w:szCs w:val="32"/>
          <w:highlight w:val="none"/>
        </w:rPr>
      </w:pPr>
      <w:r>
        <w:rPr>
          <w:rFonts w:hint="eastAsia" w:ascii="宋体" w:hAnsi="宋体" w:cs="宋体"/>
          <w:b/>
          <w:bCs/>
          <w:sz w:val="32"/>
          <w:szCs w:val="32"/>
          <w:highlight w:val="none"/>
        </w:rPr>
        <w:t>附件11</w:t>
      </w:r>
    </w:p>
    <w:p>
      <w:pPr>
        <w:jc w:val="center"/>
        <w:rPr>
          <w:rFonts w:ascii="宋体" w:hAnsi="宋体" w:cs="宋体"/>
          <w:b/>
          <w:bCs/>
          <w:sz w:val="32"/>
          <w:szCs w:val="32"/>
          <w:highlight w:val="none"/>
        </w:rPr>
      </w:pPr>
      <w:r>
        <w:rPr>
          <w:rFonts w:hint="eastAsia" w:ascii="宋体" w:hAnsi="宋体" w:cs="宋体"/>
          <w:b/>
          <w:bCs/>
          <w:sz w:val="32"/>
          <w:szCs w:val="32"/>
          <w:highlight w:val="none"/>
        </w:rPr>
        <w:t>联合体协议书</w:t>
      </w:r>
    </w:p>
    <w:p>
      <w:pPr>
        <w:spacing w:line="360" w:lineRule="auto"/>
        <w:ind w:firstLine="420"/>
        <w:rPr>
          <w:rFonts w:hint="eastAsia" w:ascii="宋体" w:hAnsi="宋体" w:cs="宋体"/>
          <w:szCs w:val="21"/>
          <w:highlight w:val="none"/>
          <w:u w:val="single"/>
        </w:rPr>
      </w:pPr>
    </w:p>
    <w:p>
      <w:pPr>
        <w:spacing w:line="360" w:lineRule="auto"/>
        <w:ind w:firstLine="480"/>
        <w:rPr>
          <w:rFonts w:hint="eastAsia" w:ascii="宋体" w:hAnsi="宋体" w:cs="宋体"/>
          <w:sz w:val="24"/>
          <w:highlight w:val="none"/>
        </w:rPr>
      </w:pPr>
      <w:r>
        <w:rPr>
          <w:rFonts w:hint="eastAsia" w:ascii="宋体" w:hAnsi="宋体" w:cs="宋体"/>
          <w:sz w:val="24"/>
          <w:highlight w:val="none"/>
          <w:u w:val="single"/>
        </w:rPr>
        <w:t>（甲公司名称）</w:t>
      </w:r>
      <w:r>
        <w:rPr>
          <w:rFonts w:hint="eastAsia" w:ascii="宋体" w:hAnsi="宋体" w:cs="宋体"/>
          <w:sz w:val="24"/>
          <w:highlight w:val="none"/>
        </w:rPr>
        <w:t>和</w:t>
      </w:r>
      <w:r>
        <w:rPr>
          <w:rFonts w:hint="eastAsia" w:ascii="宋体" w:hAnsi="宋体" w:cs="宋体"/>
          <w:sz w:val="24"/>
          <w:highlight w:val="none"/>
          <w:u w:val="single"/>
        </w:rPr>
        <w:t>（乙公司名称）</w:t>
      </w:r>
      <w:r>
        <w:rPr>
          <w:rFonts w:hint="eastAsia" w:ascii="宋体" w:hAnsi="宋体" w:cs="宋体"/>
          <w:sz w:val="24"/>
          <w:highlight w:val="none"/>
        </w:rPr>
        <w:t>自愿组成联合体，参加</w:t>
      </w:r>
      <w:r>
        <w:rPr>
          <w:rFonts w:hint="eastAsia" w:ascii="宋体" w:hAnsi="宋体" w:cs="宋体"/>
          <w:sz w:val="24"/>
          <w:highlight w:val="none"/>
          <w:u w:val="single"/>
        </w:rPr>
        <w:t xml:space="preserve">                 </w:t>
      </w:r>
      <w:r>
        <w:rPr>
          <w:rFonts w:hint="eastAsia" w:ascii="宋体" w:hAnsi="宋体" w:cs="宋体"/>
          <w:sz w:val="24"/>
          <w:highlight w:val="none"/>
        </w:rPr>
        <w:t>项目投标。现就有关事宜订立协议如下：</w:t>
      </w:r>
    </w:p>
    <w:p>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（甲公司名称）</w:t>
      </w:r>
      <w:r>
        <w:rPr>
          <w:rFonts w:hint="eastAsia" w:ascii="宋体" w:hAnsi="宋体" w:cs="宋体"/>
          <w:sz w:val="24"/>
          <w:highlight w:val="none"/>
        </w:rPr>
        <w:t>为联合体牵头方，</w:t>
      </w:r>
      <w:r>
        <w:rPr>
          <w:rFonts w:hint="eastAsia" w:ascii="宋体" w:hAnsi="宋体" w:cs="宋体"/>
          <w:sz w:val="24"/>
          <w:highlight w:val="none"/>
          <w:u w:val="single"/>
        </w:rPr>
        <w:t>（乙公司名称）</w:t>
      </w:r>
      <w:r>
        <w:rPr>
          <w:rFonts w:hint="eastAsia" w:ascii="宋体" w:hAnsi="宋体" w:cs="宋体"/>
          <w:sz w:val="24"/>
          <w:highlight w:val="none"/>
        </w:rPr>
        <w:t>为联合体成员方；</w:t>
      </w:r>
    </w:p>
    <w:p>
      <w:pPr>
        <w:spacing w:line="360" w:lineRule="auto"/>
        <w:ind w:firstLine="480"/>
        <w:rPr>
          <w:rFonts w:hint="eastAsia" w:ascii="宋体" w:hAnsi="宋体" w:cs="宋体"/>
          <w:sz w:val="24"/>
          <w:highlight w:val="none"/>
        </w:rPr>
      </w:pPr>
      <w:r>
        <w:rPr>
          <w:rFonts w:hint="eastAsia" w:ascii="宋体" w:hAnsi="宋体" w:cs="宋体"/>
          <w:sz w:val="24"/>
          <w:highlight w:val="none"/>
        </w:rPr>
        <w:t>2、联合体内部有关事项规定如下：</w:t>
      </w:r>
    </w:p>
    <w:p>
      <w:pPr>
        <w:spacing w:line="360" w:lineRule="auto"/>
        <w:ind w:firstLine="480"/>
        <w:rPr>
          <w:rFonts w:hint="eastAsia" w:ascii="宋体" w:hAnsi="宋体" w:cs="宋体"/>
          <w:sz w:val="24"/>
          <w:highlight w:val="none"/>
        </w:rPr>
      </w:pPr>
      <w:r>
        <w:rPr>
          <w:rFonts w:hint="eastAsia" w:ascii="宋体" w:hAnsi="宋体" w:cs="宋体"/>
          <w:sz w:val="24"/>
          <w:highlight w:val="none"/>
        </w:rPr>
        <w:t>（1）联合体由牵头方负责与采购方联系。</w:t>
      </w:r>
    </w:p>
    <w:p>
      <w:pPr>
        <w:spacing w:line="360" w:lineRule="auto"/>
        <w:ind w:firstLine="480"/>
        <w:rPr>
          <w:rFonts w:hint="eastAsia" w:ascii="宋体" w:hAnsi="宋体" w:cs="宋体"/>
          <w:sz w:val="24"/>
          <w:highlight w:val="none"/>
        </w:rPr>
      </w:pPr>
      <w:r>
        <w:rPr>
          <w:rFonts w:hint="eastAsia" w:ascii="宋体" w:hAnsi="宋体" w:cs="宋体"/>
          <w:sz w:val="24"/>
          <w:highlight w:val="none"/>
        </w:rPr>
        <w:t>（2）投标工作由联合体牵头方负责，由双方组成的投标小组具体实施；联合体牵头方代表联合体办理投标事宜，联合体牵头方在投标文件中的所有承诺均代表了联合体各成员。</w:t>
      </w:r>
    </w:p>
    <w:p>
      <w:pPr>
        <w:spacing w:line="360" w:lineRule="auto"/>
        <w:ind w:firstLine="480"/>
        <w:rPr>
          <w:rFonts w:hint="eastAsia" w:ascii="宋体" w:hAnsi="宋体" w:cs="宋体"/>
          <w:sz w:val="24"/>
          <w:highlight w:val="none"/>
        </w:rPr>
      </w:pPr>
      <w:r>
        <w:rPr>
          <w:rFonts w:hint="eastAsia" w:ascii="宋体" w:hAnsi="宋体" w:cs="宋体"/>
          <w:sz w:val="24"/>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pPr>
        <w:spacing w:line="360" w:lineRule="auto"/>
        <w:ind w:firstLine="480"/>
        <w:rPr>
          <w:rFonts w:hint="eastAsia" w:ascii="宋体" w:hAnsi="宋体" w:cs="宋体"/>
          <w:sz w:val="24"/>
          <w:highlight w:val="none"/>
        </w:rPr>
      </w:pPr>
      <w:r>
        <w:rPr>
          <w:rFonts w:hint="eastAsia" w:ascii="宋体" w:hAnsi="宋体" w:cs="宋体"/>
          <w:sz w:val="24"/>
          <w:highlight w:val="none"/>
        </w:rPr>
        <w:t>（4）如中标，联合体内部将遵守以下规定：</w:t>
      </w:r>
    </w:p>
    <w:p>
      <w:pPr>
        <w:spacing w:line="360" w:lineRule="auto"/>
        <w:ind w:firstLine="480"/>
        <w:rPr>
          <w:rFonts w:hint="eastAsia" w:ascii="宋体" w:hAnsi="宋体" w:cs="宋体"/>
          <w:sz w:val="24"/>
          <w:highlight w:val="none"/>
        </w:rPr>
      </w:pPr>
      <w:r>
        <w:rPr>
          <w:rFonts w:hint="eastAsia" w:ascii="宋体" w:hAnsi="宋体" w:cs="宋体"/>
          <w:sz w:val="24"/>
          <w:highlight w:val="none"/>
        </w:rPr>
        <w:t>a、联合体牵头方和成员共同与采购人签订合同书，并就中标项目向采购人负有连带的和各自的法律责任；</w:t>
      </w:r>
    </w:p>
    <w:p>
      <w:pPr>
        <w:spacing w:line="360" w:lineRule="auto"/>
        <w:ind w:firstLine="480"/>
        <w:rPr>
          <w:rFonts w:hint="eastAsia" w:ascii="宋体" w:hAnsi="宋体" w:cs="宋体"/>
          <w:sz w:val="24"/>
          <w:highlight w:val="none"/>
        </w:rPr>
      </w:pPr>
      <w:r>
        <w:rPr>
          <w:rFonts w:hint="eastAsia" w:ascii="宋体" w:hAnsi="宋体" w:cs="宋体"/>
          <w:sz w:val="24"/>
          <w:highlight w:val="none"/>
        </w:rPr>
        <w:t>b、联合体牵头方代表联合体成员承担责任和接受业主的指令、指示和通知，并且在整个合同实施过程中的全部事宜均由联合体牵头方负责；</w:t>
      </w:r>
    </w:p>
    <w:p>
      <w:pPr>
        <w:spacing w:line="360" w:lineRule="auto"/>
        <w:ind w:firstLine="480"/>
        <w:rPr>
          <w:rFonts w:hint="eastAsia" w:ascii="宋体" w:hAnsi="宋体" w:cs="宋体"/>
          <w:sz w:val="24"/>
          <w:highlight w:val="none"/>
          <w:u w:val="single"/>
        </w:rPr>
      </w:pPr>
      <w:r>
        <w:rPr>
          <w:rFonts w:hint="eastAsia" w:ascii="宋体" w:hAnsi="宋体" w:cs="宋体"/>
          <w:sz w:val="24"/>
          <w:highlight w:val="none"/>
        </w:rPr>
        <w:t>c、联合体各方分工原则以及各方拟承担的工作、所占合同总金额比例和责任如下：</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rPr>
          <w:rFonts w:hint="eastAsia" w:ascii="宋体" w:hAnsi="宋体" w:cs="宋体"/>
          <w:sz w:val="24"/>
          <w:highlight w:val="none"/>
          <w:u w:val="single"/>
        </w:rPr>
      </w:pPr>
      <w:r>
        <w:rPr>
          <w:rFonts w:hint="eastAsia" w:ascii="宋体" w:hAnsi="宋体" w:cs="宋体"/>
          <w:sz w:val="24"/>
          <w:highlight w:val="none"/>
        </w:rPr>
        <w:t>d、本联合体协议书有效期至</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rPr>
          <w:rFonts w:hint="eastAsia" w:ascii="宋体" w:hAnsi="宋体" w:cs="宋体"/>
          <w:sz w:val="24"/>
          <w:highlight w:val="none"/>
        </w:rPr>
      </w:pPr>
      <w:r>
        <w:rPr>
          <w:rFonts w:hint="eastAsia" w:ascii="宋体" w:hAnsi="宋体" w:cs="宋体"/>
          <w:sz w:val="24"/>
          <w:highlight w:val="none"/>
        </w:rPr>
        <w:t>（5）投标工作和联合体在中标后项目实施过程中的有关费用按各自承担的工作量分摊。</w:t>
      </w:r>
    </w:p>
    <w:p>
      <w:pPr>
        <w:spacing w:line="360" w:lineRule="auto"/>
        <w:ind w:firstLine="480"/>
        <w:rPr>
          <w:rFonts w:hint="eastAsia" w:ascii="宋体" w:hAnsi="宋体" w:cs="宋体"/>
          <w:sz w:val="24"/>
          <w:highlight w:val="none"/>
        </w:rPr>
      </w:pPr>
      <w:r>
        <w:rPr>
          <w:rFonts w:hint="eastAsia" w:ascii="宋体" w:hAnsi="宋体" w:cs="宋体"/>
          <w:sz w:val="24"/>
          <w:highlight w:val="none"/>
        </w:rPr>
        <w:t>（6）双方均有义务提供足够的资料，以满足招标人对投标资格的要求。</w:t>
      </w:r>
    </w:p>
    <w:p>
      <w:pPr>
        <w:spacing w:line="360" w:lineRule="auto"/>
        <w:ind w:firstLine="480"/>
        <w:rPr>
          <w:rFonts w:hint="eastAsia" w:ascii="宋体" w:hAnsi="宋体" w:cs="宋体"/>
          <w:sz w:val="24"/>
          <w:highlight w:val="none"/>
        </w:rPr>
      </w:pPr>
      <w:r>
        <w:rPr>
          <w:rFonts w:hint="eastAsia" w:ascii="宋体" w:hAnsi="宋体" w:cs="宋体"/>
          <w:sz w:val="24"/>
          <w:highlight w:val="none"/>
        </w:rPr>
        <w:t>（7）联合体的投标文件、采购人的招标文件、联合体与采购人签订的合同均对双方具有约束力。</w:t>
      </w:r>
    </w:p>
    <w:p>
      <w:pPr>
        <w:spacing w:line="360" w:lineRule="auto"/>
        <w:ind w:firstLine="480"/>
        <w:rPr>
          <w:rFonts w:hint="eastAsia" w:ascii="宋体" w:hAnsi="宋体" w:cs="宋体"/>
          <w:sz w:val="24"/>
          <w:highlight w:val="none"/>
        </w:rPr>
      </w:pPr>
      <w:r>
        <w:rPr>
          <w:rFonts w:hint="eastAsia" w:ascii="宋体" w:hAnsi="宋体" w:cs="宋体"/>
          <w:sz w:val="24"/>
          <w:highlight w:val="none"/>
        </w:rPr>
        <w:t>（8）联合体的一方没有履行自己的义务时，应承担另一方由此而造成的直接损失。</w:t>
      </w:r>
    </w:p>
    <w:p>
      <w:pPr>
        <w:spacing w:line="360" w:lineRule="auto"/>
        <w:ind w:firstLine="480"/>
        <w:rPr>
          <w:rFonts w:hint="eastAsia" w:ascii="宋体" w:hAnsi="宋体" w:cs="宋体"/>
          <w:sz w:val="24"/>
          <w:highlight w:val="none"/>
        </w:rPr>
      </w:pPr>
      <w:r>
        <w:rPr>
          <w:rFonts w:hint="eastAsia" w:ascii="宋体" w:hAnsi="宋体" w:cs="宋体"/>
          <w:sz w:val="24"/>
          <w:highlight w:val="none"/>
        </w:rPr>
        <w:t>（9）因联合体的一方或双方没有履行自己的义务，造成联合体在履行与采购人的合同时违约或联合体与采购人的合同无法继续履行时，直接责任方应承担相关责任。</w:t>
      </w:r>
    </w:p>
    <w:p>
      <w:pPr>
        <w:spacing w:line="360" w:lineRule="auto"/>
        <w:ind w:firstLine="480"/>
        <w:rPr>
          <w:rFonts w:hint="eastAsia" w:ascii="宋体" w:hAnsi="宋体" w:cs="宋体"/>
          <w:sz w:val="24"/>
          <w:highlight w:val="none"/>
        </w:rPr>
      </w:pPr>
      <w:r>
        <w:rPr>
          <w:rFonts w:hint="eastAsia" w:ascii="宋体" w:hAnsi="宋体" w:cs="宋体"/>
          <w:sz w:val="24"/>
          <w:highlight w:val="none"/>
        </w:rPr>
        <w:t>3、本协议书自签署之日起生效，在上述（4）d所述的合同书规定的期限之后自行失效；如中标后，联合体内部另有协议的，联合体牵头方应将该协议书送交采购单位。</w:t>
      </w:r>
    </w:p>
    <w:p>
      <w:pPr>
        <w:spacing w:line="360" w:lineRule="auto"/>
        <w:ind w:firstLine="480"/>
        <w:rPr>
          <w:rFonts w:hint="eastAsia" w:ascii="宋体" w:hAnsi="宋体" w:cs="宋体"/>
          <w:sz w:val="24"/>
          <w:highlight w:val="none"/>
        </w:rPr>
      </w:pPr>
      <w:r>
        <w:rPr>
          <w:rFonts w:hint="eastAsia" w:ascii="宋体" w:hAnsi="宋体" w:cs="宋体"/>
          <w:sz w:val="24"/>
          <w:highlight w:val="none"/>
        </w:rPr>
        <w:t>4、本协议书正本一式四份，投标时正本中放置一份原件，中标后送采购单位存档一份，联合体成员各一份；副本一式六份，联合体成员各执三份。</w:t>
      </w:r>
    </w:p>
    <w:p>
      <w:pPr>
        <w:spacing w:line="360" w:lineRule="auto"/>
        <w:ind w:firstLine="480"/>
        <w:rPr>
          <w:rFonts w:hint="eastAsia" w:ascii="宋体" w:hAnsi="宋体" w:cs="宋体"/>
          <w:sz w:val="24"/>
          <w:highlight w:val="none"/>
        </w:rPr>
      </w:pPr>
      <w:r>
        <w:rPr>
          <w:rFonts w:hint="eastAsia" w:ascii="宋体" w:hAnsi="宋体" w:cs="宋体"/>
          <w:sz w:val="24"/>
          <w:highlight w:val="none"/>
        </w:rPr>
        <w:t>5、签署本协议书后，投标文件中签署联合体牵头人的法定代表人或授权委托人、单位印章即可代表联合体双方的意志。</w:t>
      </w:r>
    </w:p>
    <w:p>
      <w:pPr>
        <w:spacing w:line="360" w:lineRule="auto"/>
        <w:ind w:firstLine="480"/>
        <w:rPr>
          <w:rFonts w:hint="eastAsia" w:ascii="宋体" w:hAnsi="宋体" w:cs="宋体"/>
          <w:sz w:val="24"/>
          <w:highlight w:val="none"/>
        </w:rPr>
      </w:pPr>
      <w:r>
        <w:rPr>
          <w:rFonts w:hint="eastAsia" w:ascii="宋体" w:hAnsi="宋体" w:cs="宋体"/>
          <w:sz w:val="24"/>
          <w:highlight w:val="none"/>
        </w:rPr>
        <w:t>6、各方不得再以自己名义在本项目中单独投标。因发生上述问题导致联合体投标成为废标，联合体的其他成员可追究违约责任。</w:t>
      </w:r>
    </w:p>
    <w:p>
      <w:pPr>
        <w:spacing w:line="460" w:lineRule="exact"/>
        <w:rPr>
          <w:rFonts w:hint="eastAsia" w:ascii="宋体" w:hAnsi="宋体" w:cs="宋体"/>
          <w:sz w:val="24"/>
          <w:highlight w:val="none"/>
        </w:rPr>
      </w:pPr>
    </w:p>
    <w:p>
      <w:pPr>
        <w:spacing w:line="460" w:lineRule="exact"/>
        <w:rPr>
          <w:rFonts w:hint="eastAsia" w:ascii="宋体" w:hAnsi="宋体" w:cs="宋体"/>
          <w:sz w:val="24"/>
          <w:highlight w:val="none"/>
        </w:rPr>
      </w:pPr>
    </w:p>
    <w:p>
      <w:pPr>
        <w:spacing w:line="460" w:lineRule="exact"/>
        <w:rPr>
          <w:rFonts w:hint="eastAsia" w:ascii="宋体" w:hAnsi="宋体" w:cs="宋体"/>
          <w:sz w:val="24"/>
          <w:highlight w:val="none"/>
        </w:rPr>
      </w:pPr>
      <w:r>
        <w:rPr>
          <w:rFonts w:hint="eastAsia" w:ascii="宋体" w:hAnsi="宋体" w:cs="宋体"/>
          <w:sz w:val="24"/>
          <w:highlight w:val="none"/>
        </w:rPr>
        <w:t>甲公司名称：（全称）（盖章）             乙公司名称：（全称）（盖章）</w:t>
      </w:r>
    </w:p>
    <w:p>
      <w:pPr>
        <w:spacing w:line="460" w:lineRule="exact"/>
        <w:rPr>
          <w:rFonts w:hint="eastAsia" w:ascii="宋体" w:hAnsi="宋体" w:cs="宋体"/>
          <w:sz w:val="24"/>
          <w:highlight w:val="none"/>
        </w:rPr>
      </w:pPr>
    </w:p>
    <w:p>
      <w:pPr>
        <w:spacing w:line="460" w:lineRule="exact"/>
        <w:rPr>
          <w:rFonts w:hint="eastAsia" w:ascii="宋体" w:hAnsi="宋体" w:cs="宋体"/>
          <w:sz w:val="24"/>
          <w:highlight w:val="none"/>
        </w:rPr>
      </w:pPr>
      <w:r>
        <w:rPr>
          <w:rFonts w:hint="eastAsia" w:ascii="宋体" w:hAnsi="宋体" w:cs="宋体"/>
          <w:sz w:val="24"/>
          <w:highlight w:val="none"/>
        </w:rPr>
        <w:t>法定代表人：（签字或盖章）               法定代表人：（签字或盖章）</w:t>
      </w:r>
    </w:p>
    <w:p>
      <w:pPr>
        <w:spacing w:line="460" w:lineRule="exact"/>
        <w:rPr>
          <w:rFonts w:hint="eastAsia" w:ascii="宋体" w:hAnsi="宋体" w:cs="宋体"/>
          <w:sz w:val="24"/>
          <w:highlight w:val="none"/>
        </w:rPr>
      </w:pPr>
    </w:p>
    <w:p>
      <w:pPr>
        <w:spacing w:line="460" w:lineRule="exact"/>
        <w:rPr>
          <w:rFonts w:hint="eastAsia" w:ascii="宋体" w:hAnsi="宋体" w:cs="宋体"/>
          <w:sz w:val="24"/>
          <w:highlight w:val="none"/>
        </w:rPr>
      </w:pPr>
    </w:p>
    <w:p>
      <w:pPr>
        <w:spacing w:line="460" w:lineRule="exact"/>
        <w:rPr>
          <w:rFonts w:hint="eastAsia" w:ascii="宋体" w:hAnsi="宋体" w:cs="宋体"/>
          <w:sz w:val="24"/>
          <w:highlight w:val="none"/>
        </w:rPr>
      </w:pPr>
      <w:r>
        <w:rPr>
          <w:rFonts w:hint="eastAsia" w:ascii="宋体" w:hAnsi="宋体" w:cs="宋体"/>
          <w:sz w:val="24"/>
          <w:highlight w:val="none"/>
        </w:rPr>
        <w:t xml:space="preserve">         年   月   日                          年   月   日</w:t>
      </w:r>
    </w:p>
    <w:p>
      <w:pPr>
        <w:spacing w:line="480" w:lineRule="exact"/>
        <w:ind w:right="1680"/>
        <w:rPr>
          <w:rFonts w:hint="eastAsia" w:ascii="宋体" w:hAnsi="宋体" w:cs="宋体"/>
          <w:sz w:val="24"/>
          <w:highlight w:val="none"/>
        </w:rPr>
      </w:pPr>
    </w:p>
    <w:p>
      <w:pPr>
        <w:spacing w:line="300" w:lineRule="auto"/>
        <w:outlineLvl w:val="0"/>
        <w:rPr>
          <w:rFonts w:ascii="宋体" w:hAnsi="宋体"/>
          <w:color w:val="000000"/>
          <w:sz w:val="24"/>
          <w:highlight w:val="none"/>
        </w:rPr>
      </w:pPr>
      <w:r>
        <w:rPr>
          <w:rFonts w:hint="eastAsia" w:ascii="宋体" w:hAnsi="宋体" w:cs="宋体"/>
          <w:sz w:val="24"/>
          <w:highlight w:val="none"/>
        </w:rPr>
        <w:t>注：本表仅供联合体投标填写。</w:t>
      </w:r>
    </w:p>
    <w:p>
      <w:pPr>
        <w:widowControl/>
        <w:spacing w:before="100" w:beforeAutospacing="1" w:after="100" w:afterAutospacing="1" w:line="560" w:lineRule="atLeast"/>
        <w:jc w:val="center"/>
        <w:rPr>
          <w:rFonts w:hint="eastAsia" w:ascii="宋体" w:hAnsi="宋体" w:cs="宋体"/>
          <w:b/>
          <w:bCs/>
          <w:color w:val="000000"/>
          <w:sz w:val="28"/>
          <w:szCs w:val="28"/>
        </w:rPr>
      </w:pPr>
    </w:p>
    <w:p>
      <w:pPr>
        <w:widowControl/>
        <w:spacing w:before="100" w:beforeAutospacing="1" w:after="100" w:afterAutospacing="1" w:line="560" w:lineRule="atLeast"/>
        <w:jc w:val="center"/>
        <w:rPr>
          <w:rFonts w:ascii="宋体"/>
          <w:b/>
          <w:bCs/>
          <w:kern w:val="0"/>
          <w:sz w:val="36"/>
          <w:szCs w:val="36"/>
        </w:rPr>
      </w:pPr>
      <w:r>
        <w:rPr>
          <w:rFonts w:hint="eastAsia" w:ascii="宋体" w:hAnsi="宋体" w:cs="宋体"/>
          <w:b/>
          <w:bCs/>
          <w:color w:val="000000"/>
          <w:sz w:val="28"/>
          <w:szCs w:val="28"/>
        </w:rPr>
        <w:t>履行合同所必需的设备和专业技术能力承诺函</w:t>
      </w:r>
    </w:p>
    <w:p>
      <w:pPr>
        <w:spacing w:line="480" w:lineRule="auto"/>
        <w:jc w:val="left"/>
        <w:rPr>
          <w:rFonts w:ascii="宋体"/>
        </w:rPr>
      </w:pPr>
      <w:r>
        <w:rPr>
          <w:rFonts w:hint="eastAsia" w:ascii="宋体" w:hAnsi="宋体" w:cs="宋体"/>
        </w:rPr>
        <w:t>通州湾示范区海洋与渔业局：</w:t>
      </w:r>
    </w:p>
    <w:p>
      <w:pPr>
        <w:spacing w:line="480" w:lineRule="auto"/>
        <w:ind w:firstLine="560"/>
        <w:jc w:val="left"/>
        <w:rPr>
          <w:rFonts w:ascii="宋体"/>
        </w:rPr>
      </w:pPr>
      <w:r>
        <w:rPr>
          <w:rFonts w:hint="eastAsia" w:ascii="宋体" w:hAnsi="宋体" w:cs="宋体"/>
        </w:rPr>
        <w:t>我单位</w:t>
      </w:r>
      <w:r>
        <w:rPr>
          <w:rFonts w:hint="eastAsia" w:ascii="宋体" w:hAnsi="宋体" w:cs="宋体"/>
          <w:u w:val="single"/>
        </w:rPr>
        <w:t>（供应商名称）</w:t>
      </w:r>
      <w:r>
        <w:rPr>
          <w:rFonts w:hint="eastAsia" w:ascii="宋体" w:hAnsi="宋体" w:cs="宋体"/>
        </w:rPr>
        <w:t>郑重承诺：</w:t>
      </w:r>
    </w:p>
    <w:p>
      <w:pPr>
        <w:spacing w:line="480" w:lineRule="auto"/>
        <w:ind w:firstLine="560"/>
        <w:jc w:val="left"/>
        <w:rPr>
          <w:rFonts w:ascii="宋体"/>
        </w:rPr>
      </w:pPr>
      <w:r>
        <w:rPr>
          <w:rFonts w:hint="eastAsia" w:ascii="宋体" w:hAnsi="宋体" w:cs="宋体"/>
        </w:rPr>
        <w:t>贵方组织的</w:t>
      </w:r>
      <w:r>
        <w:rPr>
          <w:rFonts w:ascii="宋体" w:hAnsi="宋体" w:cs="宋体"/>
          <w:u w:val="single"/>
        </w:rPr>
        <w:t>(</w:t>
      </w:r>
      <w:r>
        <w:rPr>
          <w:rFonts w:hint="eastAsia" w:ascii="宋体" w:hAnsi="宋体" w:cs="宋体"/>
          <w:u w:val="single"/>
        </w:rPr>
        <w:t>项目名称）</w:t>
      </w:r>
      <w:r>
        <w:rPr>
          <w:rFonts w:hint="eastAsia" w:ascii="宋体" w:hAnsi="宋体" w:cs="宋体"/>
        </w:rPr>
        <w:t>，</w:t>
      </w:r>
      <w:r>
        <w:rPr>
          <w:rFonts w:ascii="宋体" w:hAnsi="宋体" w:cs="宋体"/>
          <w:u w:val="single"/>
        </w:rPr>
        <w:t>(</w:t>
      </w:r>
      <w:r>
        <w:rPr>
          <w:rFonts w:hint="eastAsia" w:ascii="宋体" w:hAnsi="宋体" w:cs="宋体"/>
          <w:u w:val="single"/>
        </w:rPr>
        <w:t>项目编号）</w:t>
      </w:r>
      <w:r>
        <w:rPr>
          <w:rFonts w:hint="eastAsia" w:ascii="宋体" w:hAnsi="宋体" w:cs="宋体"/>
        </w:rPr>
        <w:t>，我单位</w:t>
      </w:r>
      <w:r>
        <w:rPr>
          <w:rFonts w:ascii="宋体" w:hAnsi="宋体" w:cs="宋体"/>
          <w:u w:val="single"/>
        </w:rPr>
        <w:t>(</w:t>
      </w:r>
      <w:r>
        <w:rPr>
          <w:rFonts w:hint="eastAsia" w:ascii="宋体" w:hAnsi="宋体" w:cs="宋体"/>
          <w:u w:val="single"/>
        </w:rPr>
        <w:t>在下划线上如实填写：有或没有）</w:t>
      </w:r>
      <w:r>
        <w:rPr>
          <w:rFonts w:hint="eastAsia" w:ascii="宋体" w:hAnsi="宋体" w:cs="宋体"/>
        </w:rPr>
        <w:t>履行合同所必需的设备和专业技术能力。</w:t>
      </w:r>
    </w:p>
    <w:p>
      <w:pPr>
        <w:spacing w:line="480" w:lineRule="auto"/>
        <w:ind w:firstLine="560"/>
        <w:jc w:val="left"/>
        <w:rPr>
          <w:rFonts w:ascii="宋体"/>
        </w:rPr>
      </w:pPr>
    </w:p>
    <w:p>
      <w:pPr>
        <w:spacing w:line="480" w:lineRule="auto"/>
        <w:ind w:firstLine="560"/>
        <w:jc w:val="left"/>
        <w:rPr>
          <w:rFonts w:ascii="宋体"/>
        </w:rPr>
      </w:pPr>
    </w:p>
    <w:p>
      <w:pPr>
        <w:spacing w:line="480" w:lineRule="auto"/>
        <w:ind w:firstLine="560"/>
        <w:jc w:val="left"/>
        <w:rPr>
          <w:rFonts w:ascii="宋体"/>
        </w:rPr>
      </w:pPr>
    </w:p>
    <w:p>
      <w:pPr>
        <w:spacing w:line="480" w:lineRule="auto"/>
        <w:ind w:firstLine="560"/>
        <w:jc w:val="left"/>
        <w:rPr>
          <w:rFonts w:ascii="宋体"/>
        </w:rPr>
      </w:pPr>
      <w:r>
        <w:rPr>
          <w:rFonts w:hint="eastAsia" w:ascii="宋体" w:hAnsi="宋体" w:cs="宋体"/>
        </w:rPr>
        <w:t>承诺人：（公章）</w:t>
      </w:r>
    </w:p>
    <w:p>
      <w:pPr>
        <w:spacing w:line="480" w:lineRule="auto"/>
        <w:ind w:firstLine="210" w:firstLineChars="100"/>
        <w:jc w:val="left"/>
        <w:rPr>
          <w:rFonts w:ascii="宋体"/>
        </w:rPr>
      </w:pPr>
    </w:p>
    <w:p>
      <w:pPr>
        <w:spacing w:line="480" w:lineRule="auto"/>
        <w:ind w:firstLine="525" w:firstLineChars="250"/>
        <w:jc w:val="left"/>
        <w:rPr>
          <w:rFonts w:ascii="宋体"/>
        </w:rPr>
      </w:pPr>
      <w:r>
        <w:rPr>
          <w:rFonts w:hint="eastAsia" w:ascii="宋体" w:hAnsi="宋体" w:cs="宋体"/>
        </w:rPr>
        <w:t>日期：年月日</w:t>
      </w:r>
    </w:p>
    <w:p>
      <w:pPr>
        <w:adjustRightInd w:val="0"/>
        <w:snapToGrid w:val="0"/>
        <w:spacing w:line="360" w:lineRule="auto"/>
        <w:ind w:right="840" w:firstLine="4179" w:firstLineChars="1990"/>
        <w:rPr>
          <w:rFonts w:ascii="宋体"/>
        </w:rPr>
      </w:pPr>
    </w:p>
    <w:p>
      <w:pPr>
        <w:adjustRightInd w:val="0"/>
        <w:snapToGrid w:val="0"/>
        <w:spacing w:line="360" w:lineRule="auto"/>
        <w:ind w:right="840" w:firstLine="4179" w:firstLineChars="1990"/>
        <w:rPr>
          <w:rFonts w:ascii="宋体"/>
        </w:rPr>
      </w:pPr>
    </w:p>
    <w:p>
      <w:pPr>
        <w:adjustRightInd w:val="0"/>
        <w:snapToGrid w:val="0"/>
        <w:spacing w:line="360" w:lineRule="auto"/>
        <w:ind w:right="840" w:firstLine="4179" w:firstLineChars="1990"/>
        <w:rPr>
          <w:rFonts w:ascii="宋体"/>
        </w:rPr>
      </w:pPr>
    </w:p>
    <w:p>
      <w:pPr>
        <w:adjustRightInd w:val="0"/>
        <w:snapToGrid w:val="0"/>
        <w:spacing w:line="360" w:lineRule="auto"/>
        <w:ind w:right="840" w:firstLine="4179" w:firstLineChars="1990"/>
        <w:rPr>
          <w:rFonts w:ascii="宋体"/>
        </w:rPr>
      </w:pPr>
    </w:p>
    <w:p>
      <w:pPr>
        <w:adjustRightInd w:val="0"/>
        <w:snapToGrid w:val="0"/>
        <w:spacing w:line="360" w:lineRule="auto"/>
        <w:ind w:right="840" w:firstLine="4179" w:firstLineChars="1990"/>
        <w:rPr>
          <w:rFonts w:ascii="宋体"/>
        </w:rPr>
      </w:pPr>
    </w:p>
    <w:p>
      <w:pPr>
        <w:adjustRightInd w:val="0"/>
        <w:snapToGrid w:val="0"/>
        <w:spacing w:line="360" w:lineRule="auto"/>
        <w:ind w:right="840" w:firstLine="4776" w:firstLineChars="1990"/>
        <w:rPr>
          <w:rFonts w:ascii="宋体"/>
          <w:sz w:val="24"/>
          <w:szCs w:val="24"/>
        </w:rPr>
      </w:pPr>
    </w:p>
    <w:p>
      <w:pPr>
        <w:adjustRightInd w:val="0"/>
        <w:snapToGrid w:val="0"/>
        <w:spacing w:line="360" w:lineRule="auto"/>
        <w:ind w:right="840" w:firstLine="4776" w:firstLineChars="1990"/>
        <w:rPr>
          <w:rFonts w:ascii="宋体"/>
          <w:sz w:val="24"/>
          <w:szCs w:val="24"/>
        </w:rPr>
      </w:pPr>
    </w:p>
    <w:p>
      <w:pPr>
        <w:spacing w:line="360" w:lineRule="auto"/>
        <w:rPr>
          <w:rFonts w:ascii="宋体"/>
          <w:sz w:val="24"/>
          <w:szCs w:val="24"/>
        </w:rPr>
      </w:pPr>
    </w:p>
    <w:p>
      <w:pPr>
        <w:pStyle w:val="4"/>
        <w:spacing w:line="360" w:lineRule="auto"/>
        <w:jc w:val="center"/>
        <w:rPr>
          <w:rFonts w:eastAsia="宋体" w:cs="Times New Roman"/>
          <w:b w:val="0"/>
          <w:bCs w:val="0"/>
          <w:sz w:val="32"/>
          <w:szCs w:val="32"/>
        </w:rPr>
        <w:sectPr>
          <w:pgSz w:w="11906" w:h="16838"/>
          <w:pgMar w:top="1418" w:right="1588" w:bottom="1418" w:left="1365" w:header="851" w:footer="907" w:gutter="0"/>
          <w:pgNumType w:fmt="decimal"/>
          <w:cols w:space="720" w:num="1"/>
          <w:titlePg/>
          <w:docGrid w:type="lines" w:linePitch="290" w:charSpace="0"/>
        </w:sectPr>
      </w:pPr>
    </w:p>
    <w:p>
      <w:pPr>
        <w:widowControl/>
        <w:spacing w:before="100" w:beforeAutospacing="1" w:after="100" w:afterAutospacing="1" w:line="560" w:lineRule="atLeast"/>
        <w:jc w:val="center"/>
        <w:rPr>
          <w:rFonts w:ascii="宋体"/>
          <w:b/>
          <w:bCs/>
          <w:color w:val="000000"/>
          <w:sz w:val="28"/>
          <w:szCs w:val="28"/>
        </w:rPr>
      </w:pPr>
      <w:r>
        <w:rPr>
          <w:rFonts w:hint="eastAsia" w:ascii="宋体" w:hAnsi="宋体" w:cs="宋体"/>
          <w:b/>
          <w:bCs/>
          <w:color w:val="000000"/>
          <w:sz w:val="28"/>
          <w:szCs w:val="28"/>
        </w:rPr>
        <w:t>参加政府采购活动前</w:t>
      </w:r>
      <w:r>
        <w:rPr>
          <w:rFonts w:ascii="宋体" w:hAnsi="宋体" w:cs="宋体"/>
          <w:b/>
          <w:bCs/>
          <w:color w:val="000000"/>
          <w:sz w:val="28"/>
          <w:szCs w:val="28"/>
        </w:rPr>
        <w:t>3</w:t>
      </w:r>
      <w:r>
        <w:rPr>
          <w:rFonts w:hint="eastAsia" w:ascii="宋体" w:hAnsi="宋体" w:cs="宋体"/>
          <w:b/>
          <w:bCs/>
          <w:color w:val="000000"/>
          <w:sz w:val="28"/>
          <w:szCs w:val="28"/>
        </w:rPr>
        <w:t>年内在经营活动中没有重大违法记录</w:t>
      </w:r>
    </w:p>
    <w:p>
      <w:pPr>
        <w:widowControl/>
        <w:spacing w:before="100" w:beforeAutospacing="1" w:after="100" w:afterAutospacing="1" w:line="560" w:lineRule="atLeast"/>
        <w:jc w:val="center"/>
        <w:rPr>
          <w:rFonts w:ascii="宋体"/>
          <w:b/>
          <w:bCs/>
          <w:color w:val="000000"/>
          <w:sz w:val="28"/>
          <w:szCs w:val="28"/>
        </w:rPr>
      </w:pPr>
      <w:r>
        <w:rPr>
          <w:rFonts w:hint="eastAsia" w:ascii="宋体" w:hAnsi="宋体" w:cs="宋体"/>
          <w:b/>
          <w:bCs/>
          <w:color w:val="000000"/>
          <w:sz w:val="28"/>
          <w:szCs w:val="28"/>
        </w:rPr>
        <w:t>和失信记录的书面声明</w:t>
      </w:r>
    </w:p>
    <w:p>
      <w:pPr>
        <w:widowControl/>
        <w:spacing w:before="100" w:beforeAutospacing="1" w:after="100" w:afterAutospacing="1" w:line="560" w:lineRule="atLeast"/>
        <w:jc w:val="center"/>
        <w:rPr>
          <w:rFonts w:ascii="宋体"/>
          <w:b/>
          <w:bCs/>
          <w:sz w:val="44"/>
          <w:szCs w:val="44"/>
        </w:rPr>
      </w:pPr>
      <w:r>
        <w:rPr>
          <w:rFonts w:hint="eastAsia" w:ascii="宋体" w:hAnsi="宋体" w:cs="宋体"/>
          <w:b/>
          <w:bCs/>
          <w:color w:val="000000"/>
          <w:sz w:val="28"/>
          <w:szCs w:val="28"/>
        </w:rPr>
        <w:t>声明</w:t>
      </w:r>
    </w:p>
    <w:p>
      <w:pPr>
        <w:spacing w:line="480" w:lineRule="auto"/>
        <w:ind w:firstLine="420" w:firstLineChars="200"/>
        <w:jc w:val="left"/>
        <w:rPr>
          <w:rFonts w:ascii="宋体"/>
        </w:rPr>
      </w:pPr>
      <w:r>
        <w:rPr>
          <w:rFonts w:hint="eastAsia" w:ascii="宋体" w:hAnsi="宋体" w:cs="宋体"/>
        </w:rPr>
        <w:t>我公司郑重声明：参加本次政府采购活动前</w:t>
      </w:r>
      <w:r>
        <w:rPr>
          <w:rFonts w:ascii="宋体" w:hAnsi="宋体" w:cs="宋体"/>
        </w:rPr>
        <w:t>3</w:t>
      </w:r>
      <w:r>
        <w:rPr>
          <w:rFonts w:hint="eastAsia" w:ascii="宋体" w:hAnsi="宋体" w:cs="宋体"/>
        </w:rPr>
        <w:t>年内，我公司在经营活动中没有因违法经营受到刑事处罚或者责令停产停业、吊销许可证或者执照、较大数额罚款等行政处罚。</w:t>
      </w:r>
    </w:p>
    <w:p>
      <w:pPr>
        <w:spacing w:line="480" w:lineRule="auto"/>
        <w:ind w:firstLine="420" w:firstLineChars="200"/>
        <w:jc w:val="left"/>
        <w:rPr>
          <w:rFonts w:ascii="宋体"/>
        </w:rPr>
      </w:pPr>
    </w:p>
    <w:p>
      <w:pPr>
        <w:spacing w:line="480" w:lineRule="auto"/>
        <w:jc w:val="left"/>
        <w:rPr>
          <w:rFonts w:ascii="宋体"/>
        </w:rPr>
      </w:pPr>
      <w:r>
        <w:rPr>
          <w:rFonts w:hint="eastAsia" w:ascii="宋体" w:hAnsi="宋体" w:cs="宋体"/>
        </w:rPr>
        <w:t>供应商名称（公章）：</w:t>
      </w:r>
    </w:p>
    <w:p>
      <w:pPr>
        <w:spacing w:line="480" w:lineRule="auto"/>
        <w:jc w:val="left"/>
        <w:rPr>
          <w:rFonts w:ascii="宋体"/>
        </w:rPr>
      </w:pPr>
      <w:r>
        <w:rPr>
          <w:rFonts w:hint="eastAsia" w:ascii="宋体" w:hAnsi="宋体" w:cs="宋体"/>
        </w:rPr>
        <w:t>法定代表人或被授权人（签字或盖章）：</w:t>
      </w:r>
      <w:r>
        <w:rPr>
          <w:rFonts w:ascii="宋体" w:hAnsi="宋体" w:cs="宋体"/>
        </w:rPr>
        <w:t xml:space="preserve">       </w:t>
      </w:r>
    </w:p>
    <w:p>
      <w:pPr>
        <w:spacing w:line="480" w:lineRule="auto"/>
        <w:jc w:val="left"/>
        <w:rPr>
          <w:rFonts w:ascii="宋体"/>
        </w:rPr>
      </w:pPr>
      <w:r>
        <w:rPr>
          <w:rFonts w:hint="eastAsia" w:ascii="宋体" w:hAnsi="宋体" w:cs="宋体"/>
        </w:rPr>
        <w:t>日期：年月日</w:t>
      </w:r>
    </w:p>
    <w:p>
      <w:pPr>
        <w:spacing w:line="440" w:lineRule="exact"/>
        <w:rPr>
          <w:rFonts w:ascii="宋体" w:hAnsi="宋体"/>
          <w:color w:val="000000"/>
          <w:sz w:val="24"/>
        </w:rPr>
      </w:pPr>
    </w:p>
    <w:p>
      <w:pPr>
        <w:jc w:val="center"/>
        <w:rPr>
          <w:rFonts w:hint="eastAsia" w:ascii="宋体" w:hAnsi="宋体"/>
          <w:b/>
          <w:color w:val="000000"/>
          <w:sz w:val="30"/>
          <w:szCs w:val="30"/>
        </w:rPr>
      </w:pPr>
      <w:r>
        <w:rPr>
          <w:rFonts w:hint="eastAsia" w:ascii="宋体" w:hAnsi="宋体"/>
          <w:b/>
          <w:color w:val="000000"/>
          <w:sz w:val="30"/>
          <w:szCs w:val="30"/>
        </w:rPr>
        <w:t>上一年度的财务状况报告</w:t>
      </w:r>
    </w:p>
    <w:p>
      <w:pPr>
        <w:spacing w:line="440" w:lineRule="exact"/>
        <w:jc w:val="center"/>
        <w:rPr>
          <w:rFonts w:ascii="宋体" w:hAnsi="宋体"/>
          <w:bCs/>
          <w:color w:val="000000"/>
          <w:sz w:val="24"/>
        </w:rPr>
      </w:pPr>
      <w:r>
        <w:rPr>
          <w:rFonts w:hint="eastAsia" w:ascii="宋体" w:hAnsi="宋体"/>
          <w:bCs/>
          <w:color w:val="000000"/>
          <w:sz w:val="24"/>
        </w:rPr>
        <w:t>（投标人成立不满一年无需提供）</w:t>
      </w:r>
    </w:p>
    <w:p>
      <w:pPr>
        <w:jc w:val="center"/>
        <w:rPr>
          <w:rFonts w:hint="eastAsia" w:ascii="宋体" w:hAnsi="宋体"/>
          <w:b/>
          <w:color w:val="000000"/>
          <w:sz w:val="30"/>
          <w:szCs w:val="30"/>
        </w:rPr>
      </w:pPr>
    </w:p>
    <w:p>
      <w:pPr>
        <w:jc w:val="center"/>
        <w:rPr>
          <w:rFonts w:hint="eastAsia" w:ascii="宋体" w:hAnsi="宋体"/>
          <w:b/>
          <w:color w:val="000000"/>
          <w:sz w:val="30"/>
          <w:szCs w:val="30"/>
        </w:rPr>
      </w:pPr>
      <w:r>
        <w:rPr>
          <w:rFonts w:hint="eastAsia" w:ascii="宋体" w:hAnsi="宋体"/>
          <w:b/>
          <w:color w:val="000000"/>
          <w:sz w:val="30"/>
          <w:szCs w:val="30"/>
        </w:rPr>
        <w:t>依法缴纳税收和社会保障资金的相关材料</w:t>
      </w:r>
    </w:p>
    <w:p>
      <w:pPr>
        <w:ind w:firstLine="480" w:firstLineChars="200"/>
        <w:rPr>
          <w:rFonts w:hint="eastAsia" w:eastAsia="宋体" w:cs="Times New Roman"/>
          <w:b w:val="0"/>
          <w:bCs w:val="0"/>
          <w:sz w:val="32"/>
          <w:szCs w:val="32"/>
          <w:lang w:eastAsia="zh-CN"/>
        </w:rPr>
        <w:sectPr>
          <w:pgSz w:w="11906" w:h="16838"/>
          <w:pgMar w:top="1418" w:right="1588" w:bottom="1418" w:left="1365" w:header="851" w:footer="907" w:gutter="0"/>
          <w:pgNumType w:fmt="decimal"/>
          <w:cols w:space="720" w:num="1"/>
          <w:titlePg/>
          <w:docGrid w:type="lines" w:linePitch="290" w:charSpace="0"/>
        </w:sectPr>
      </w:pPr>
      <w:r>
        <w:rPr>
          <w:rFonts w:hint="eastAsia" w:ascii="宋体" w:hAnsi="宋体"/>
          <w:bCs/>
          <w:color w:val="000000"/>
          <w:sz w:val="24"/>
        </w:rPr>
        <w:t>提供提交投标文件截止时间前一年内至少一个月依法缴纳税收及缴纳社会保障资金的证明材料。投标人依法享受缓缴、免缴税收、社会保障资金的提供证明材料</w:t>
      </w:r>
      <w:r>
        <w:rPr>
          <w:rFonts w:hint="eastAsia" w:ascii="宋体" w:hAnsi="宋体"/>
          <w:bCs/>
          <w:color w:val="000000"/>
          <w:sz w:val="24"/>
          <w:lang w:eastAsia="zh-CN"/>
        </w:rPr>
        <w:t>。</w:t>
      </w:r>
    </w:p>
    <w:p>
      <w:pPr>
        <w:tabs>
          <w:tab w:val="left" w:pos="1260"/>
        </w:tabs>
        <w:spacing w:line="300" w:lineRule="auto"/>
        <w:ind w:firstLine="3213" w:firstLineChars="1000"/>
        <w:contextualSpacing/>
        <w:jc w:val="both"/>
        <w:rPr>
          <w:rFonts w:hint="eastAsia" w:ascii="宋体" w:hAnsi="宋体"/>
          <w:b/>
          <w:color w:val="000000"/>
          <w:sz w:val="32"/>
          <w:szCs w:val="32"/>
          <w:highlight w:val="none"/>
        </w:rPr>
      </w:pPr>
      <w:r>
        <w:rPr>
          <w:rFonts w:hint="eastAsia" w:ascii="宋体" w:hAnsi="宋体"/>
          <w:b/>
          <w:color w:val="000000"/>
          <w:sz w:val="32"/>
          <w:szCs w:val="32"/>
          <w:highlight w:val="none"/>
        </w:rPr>
        <w:t>供应商情况一览表</w:t>
      </w:r>
    </w:p>
    <w:p>
      <w:pPr>
        <w:spacing w:line="360" w:lineRule="auto"/>
        <w:ind w:firstLine="482" w:firstLineChars="200"/>
        <w:jc w:val="left"/>
        <w:rPr>
          <w:rFonts w:ascii="宋体" w:hAnsi="宋体" w:cs="宋体"/>
          <w:sz w:val="24"/>
        </w:rPr>
      </w:pPr>
      <w:r>
        <w:rPr>
          <w:rFonts w:hint="eastAsia" w:ascii="宋体" w:hAnsi="宋体" w:cs="宋体"/>
          <w:b/>
          <w:bCs/>
          <w:sz w:val="24"/>
        </w:rPr>
        <w:t>一、投标方的基本情况：</w:t>
      </w:r>
    </w:p>
    <w:p>
      <w:pPr>
        <w:spacing w:line="360" w:lineRule="auto"/>
        <w:ind w:firstLine="480" w:firstLineChars="200"/>
        <w:rPr>
          <w:rFonts w:ascii="宋体" w:hAnsi="宋体" w:cs="宋体"/>
          <w:sz w:val="24"/>
        </w:rPr>
      </w:pPr>
      <w:r>
        <w:rPr>
          <w:rFonts w:hint="eastAsia" w:ascii="宋体" w:hAnsi="宋体" w:cs="宋体"/>
          <w:sz w:val="24"/>
        </w:rPr>
        <w:t>投标方名称：</w:t>
      </w:r>
    </w:p>
    <w:p>
      <w:pPr>
        <w:spacing w:line="360" w:lineRule="auto"/>
        <w:ind w:firstLine="480" w:firstLineChars="200"/>
        <w:rPr>
          <w:rFonts w:ascii="宋体" w:hAnsi="宋体" w:cs="宋体"/>
          <w:sz w:val="24"/>
        </w:rPr>
      </w:pPr>
      <w:r>
        <w:rPr>
          <w:rFonts w:hint="eastAsia" w:ascii="宋体" w:hAnsi="宋体" w:cs="宋体"/>
          <w:sz w:val="24"/>
        </w:rPr>
        <w:t xml:space="preserve">公司地址： </w:t>
      </w:r>
    </w:p>
    <w:p>
      <w:pPr>
        <w:spacing w:line="360" w:lineRule="auto"/>
        <w:ind w:firstLine="480" w:firstLineChars="200"/>
        <w:rPr>
          <w:rFonts w:ascii="宋体" w:hAnsi="宋体" w:cs="宋体"/>
          <w:sz w:val="24"/>
        </w:rPr>
      </w:pPr>
      <w:r>
        <w:rPr>
          <w:rFonts w:hint="eastAsia" w:ascii="宋体" w:hAnsi="宋体" w:cs="宋体"/>
          <w:sz w:val="24"/>
        </w:rPr>
        <w:t>传真/电话：</w:t>
      </w:r>
    </w:p>
    <w:p>
      <w:pPr>
        <w:spacing w:line="360" w:lineRule="auto"/>
        <w:ind w:firstLine="482" w:firstLineChars="200"/>
        <w:rPr>
          <w:rFonts w:ascii="宋体" w:hAnsi="宋体" w:cs="宋体"/>
          <w:sz w:val="24"/>
        </w:rPr>
      </w:pPr>
      <w:r>
        <w:rPr>
          <w:rFonts w:hint="eastAsia" w:ascii="宋体" w:hAnsi="宋体" w:cs="宋体"/>
          <w:b/>
          <w:bCs/>
          <w:sz w:val="24"/>
        </w:rPr>
        <w:t>二、投标单位综合能力基本情况：</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70"/>
        <w:gridCol w:w="388"/>
        <w:gridCol w:w="604"/>
        <w:gridCol w:w="993"/>
        <w:gridCol w:w="274"/>
        <w:gridCol w:w="914"/>
        <w:gridCol w:w="348"/>
        <w:gridCol w:w="23"/>
        <w:gridCol w:w="1312"/>
        <w:gridCol w:w="46"/>
        <w:gridCol w:w="24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1" w:type="dxa"/>
            <w:vMerge w:val="restart"/>
            <w:noWrap w:val="0"/>
            <w:vAlign w:val="top"/>
          </w:tcPr>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r>
              <w:rPr>
                <w:rFonts w:hint="eastAsia" w:ascii="宋体" w:hAnsi="宋体" w:cs="宋体"/>
                <w:sz w:val="24"/>
              </w:rPr>
              <w:t>亲</w:t>
            </w:r>
          </w:p>
          <w:p>
            <w:pPr>
              <w:widowControl/>
              <w:spacing w:line="320" w:lineRule="exact"/>
              <w:jc w:val="center"/>
              <w:rPr>
                <w:rFonts w:ascii="宋体" w:hAnsi="宋体" w:cs="宋体"/>
                <w:sz w:val="24"/>
              </w:rPr>
            </w:pPr>
            <w:r>
              <w:rPr>
                <w:rFonts w:hint="eastAsia" w:ascii="宋体" w:hAnsi="宋体" w:cs="宋体"/>
                <w:sz w:val="24"/>
              </w:rPr>
              <w:t>本   情</w:t>
            </w:r>
          </w:p>
          <w:p>
            <w:pPr>
              <w:widowControl/>
              <w:spacing w:line="320" w:lineRule="exact"/>
              <w:jc w:val="center"/>
              <w:rPr>
                <w:rFonts w:ascii="宋体" w:hAnsi="宋体" w:cs="宋体"/>
                <w:sz w:val="24"/>
              </w:rPr>
            </w:pPr>
            <w:r>
              <w:rPr>
                <w:rFonts w:hint="eastAsia" w:ascii="宋体" w:hAnsi="宋体" w:cs="宋体"/>
                <w:sz w:val="24"/>
              </w:rPr>
              <w:t>况</w:t>
            </w:r>
          </w:p>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亲本种类</w:t>
            </w:r>
          </w:p>
        </w:tc>
        <w:tc>
          <w:tcPr>
            <w:tcW w:w="1871"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亲本来源</w:t>
            </w:r>
          </w:p>
        </w:tc>
        <w:tc>
          <w:tcPr>
            <w:tcW w:w="1262"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总数量</w:t>
            </w:r>
          </w:p>
        </w:tc>
        <w:tc>
          <w:tcPr>
            <w:tcW w:w="1623" w:type="dxa"/>
            <w:gridSpan w:val="4"/>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当年可繁殖亲本数量</w:t>
            </w:r>
          </w:p>
        </w:tc>
        <w:tc>
          <w:tcPr>
            <w:tcW w:w="2126" w:type="dxa"/>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近三年平均</w:t>
            </w:r>
          </w:p>
          <w:p>
            <w:pPr>
              <w:widowControl/>
              <w:snapToGrid w:val="0"/>
              <w:spacing w:line="320" w:lineRule="exact"/>
              <w:jc w:val="center"/>
              <w:rPr>
                <w:rFonts w:ascii="宋体" w:hAnsi="宋体" w:cs="宋体"/>
                <w:sz w:val="24"/>
              </w:rPr>
            </w:pPr>
            <w:r>
              <w:rPr>
                <w:rFonts w:hint="eastAsia" w:ascii="宋体" w:hAnsi="宋体" w:cs="宋体"/>
                <w:sz w:val="24"/>
              </w:rPr>
              <w:t>繁殖量          /尾（只）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top"/>
          </w:tcPr>
          <w:p>
            <w:pPr>
              <w:widowControl/>
              <w:spacing w:line="320" w:lineRule="exact"/>
              <w:jc w:val="center"/>
              <w:rPr>
                <w:rFonts w:ascii="宋体" w:hAnsi="宋体" w:cs="宋体"/>
                <w:bCs/>
                <w:sz w:val="24"/>
              </w:rPr>
            </w:pPr>
          </w:p>
        </w:tc>
        <w:tc>
          <w:tcPr>
            <w:tcW w:w="1871" w:type="dxa"/>
            <w:gridSpan w:val="3"/>
            <w:noWrap w:val="0"/>
            <w:vAlign w:val="top"/>
          </w:tcPr>
          <w:p>
            <w:pPr>
              <w:widowControl/>
              <w:spacing w:line="320" w:lineRule="exact"/>
              <w:jc w:val="center"/>
              <w:rPr>
                <w:rFonts w:ascii="宋体" w:hAnsi="宋体" w:cs="宋体"/>
                <w:sz w:val="24"/>
              </w:rPr>
            </w:pPr>
          </w:p>
        </w:tc>
        <w:tc>
          <w:tcPr>
            <w:tcW w:w="1262" w:type="dxa"/>
            <w:gridSpan w:val="2"/>
            <w:noWrap w:val="0"/>
            <w:vAlign w:val="top"/>
          </w:tcPr>
          <w:p>
            <w:pPr>
              <w:widowControl/>
              <w:spacing w:line="320" w:lineRule="exact"/>
              <w:jc w:val="center"/>
              <w:rPr>
                <w:rFonts w:ascii="宋体" w:hAnsi="宋体" w:cs="宋体"/>
                <w:sz w:val="24"/>
              </w:rPr>
            </w:pPr>
          </w:p>
        </w:tc>
        <w:tc>
          <w:tcPr>
            <w:tcW w:w="1623" w:type="dxa"/>
            <w:gridSpan w:val="4"/>
            <w:noWrap w:val="0"/>
            <w:vAlign w:val="top"/>
          </w:tcPr>
          <w:p>
            <w:pPr>
              <w:widowControl/>
              <w:spacing w:line="320" w:lineRule="exact"/>
              <w:jc w:val="center"/>
              <w:rPr>
                <w:rFonts w:ascii="宋体" w:hAnsi="宋体" w:cs="宋体"/>
                <w:sz w:val="24"/>
              </w:rPr>
            </w:pPr>
          </w:p>
        </w:tc>
        <w:tc>
          <w:tcPr>
            <w:tcW w:w="2126" w:type="dxa"/>
            <w:noWrap w:val="0"/>
            <w:vAlign w:val="top"/>
          </w:tcPr>
          <w:p>
            <w:pPr>
              <w:widowControl/>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top"/>
          </w:tcPr>
          <w:p>
            <w:pPr>
              <w:widowControl/>
              <w:spacing w:line="320" w:lineRule="exact"/>
              <w:jc w:val="center"/>
              <w:rPr>
                <w:rFonts w:ascii="宋体" w:hAnsi="宋体" w:cs="宋体"/>
                <w:bCs/>
                <w:sz w:val="24"/>
              </w:rPr>
            </w:pPr>
          </w:p>
        </w:tc>
        <w:tc>
          <w:tcPr>
            <w:tcW w:w="1871" w:type="dxa"/>
            <w:gridSpan w:val="3"/>
            <w:noWrap w:val="0"/>
            <w:vAlign w:val="top"/>
          </w:tcPr>
          <w:p>
            <w:pPr>
              <w:widowControl/>
              <w:spacing w:line="320" w:lineRule="exact"/>
              <w:jc w:val="center"/>
              <w:rPr>
                <w:rFonts w:ascii="宋体" w:hAnsi="宋体" w:cs="宋体"/>
                <w:sz w:val="24"/>
              </w:rPr>
            </w:pPr>
          </w:p>
        </w:tc>
        <w:tc>
          <w:tcPr>
            <w:tcW w:w="1262" w:type="dxa"/>
            <w:gridSpan w:val="2"/>
            <w:noWrap w:val="0"/>
            <w:vAlign w:val="top"/>
          </w:tcPr>
          <w:p>
            <w:pPr>
              <w:widowControl/>
              <w:spacing w:line="320" w:lineRule="exact"/>
              <w:jc w:val="center"/>
              <w:rPr>
                <w:rFonts w:ascii="宋体" w:hAnsi="宋体" w:cs="宋体"/>
                <w:sz w:val="24"/>
              </w:rPr>
            </w:pPr>
          </w:p>
        </w:tc>
        <w:tc>
          <w:tcPr>
            <w:tcW w:w="1623" w:type="dxa"/>
            <w:gridSpan w:val="4"/>
            <w:noWrap w:val="0"/>
            <w:vAlign w:val="top"/>
          </w:tcPr>
          <w:p>
            <w:pPr>
              <w:widowControl/>
              <w:spacing w:line="320" w:lineRule="exact"/>
              <w:jc w:val="center"/>
              <w:rPr>
                <w:rFonts w:ascii="宋体" w:hAnsi="宋体" w:cs="宋体"/>
                <w:sz w:val="24"/>
              </w:rPr>
            </w:pPr>
          </w:p>
        </w:tc>
        <w:tc>
          <w:tcPr>
            <w:tcW w:w="2126" w:type="dxa"/>
            <w:noWrap w:val="0"/>
            <w:vAlign w:val="top"/>
          </w:tcPr>
          <w:p>
            <w:pPr>
              <w:widowControl/>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1" w:type="dxa"/>
            <w:vMerge w:val="restart"/>
            <w:noWrap w:val="0"/>
            <w:vAlign w:val="top"/>
          </w:tcPr>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r>
              <w:rPr>
                <w:rFonts w:hint="eastAsia" w:ascii="宋体" w:hAnsi="宋体" w:cs="宋体"/>
                <w:sz w:val="24"/>
              </w:rPr>
              <w:t>育</w:t>
            </w:r>
          </w:p>
          <w:p>
            <w:pPr>
              <w:widowControl/>
              <w:spacing w:line="320" w:lineRule="exact"/>
              <w:jc w:val="center"/>
              <w:rPr>
                <w:rFonts w:ascii="宋体" w:hAnsi="宋体" w:cs="宋体"/>
                <w:sz w:val="24"/>
              </w:rPr>
            </w:pPr>
            <w:r>
              <w:rPr>
                <w:rFonts w:hint="eastAsia" w:ascii="宋体" w:hAnsi="宋体" w:cs="宋体"/>
                <w:sz w:val="24"/>
              </w:rPr>
              <w:t>苗</w:t>
            </w:r>
          </w:p>
          <w:p>
            <w:pPr>
              <w:widowControl/>
              <w:spacing w:line="320" w:lineRule="exact"/>
              <w:jc w:val="center"/>
              <w:rPr>
                <w:rFonts w:ascii="宋体" w:hAnsi="宋体" w:cs="宋体"/>
                <w:sz w:val="24"/>
              </w:rPr>
            </w:pPr>
            <w:r>
              <w:rPr>
                <w:rFonts w:hint="eastAsia" w:ascii="宋体" w:hAnsi="宋体" w:cs="宋体"/>
                <w:sz w:val="24"/>
              </w:rPr>
              <w:t>能</w:t>
            </w:r>
          </w:p>
          <w:p>
            <w:pPr>
              <w:widowControl/>
              <w:spacing w:line="320" w:lineRule="exact"/>
              <w:jc w:val="center"/>
              <w:rPr>
                <w:rFonts w:ascii="宋体" w:hAnsi="宋体" w:cs="宋体"/>
                <w:sz w:val="24"/>
              </w:rPr>
            </w:pPr>
            <w:r>
              <w:rPr>
                <w:rFonts w:hint="eastAsia" w:ascii="宋体" w:hAnsi="宋体" w:cs="宋体"/>
                <w:sz w:val="24"/>
              </w:rPr>
              <w:t>力</w:t>
            </w: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苗种种类</w:t>
            </w:r>
          </w:p>
        </w:tc>
        <w:tc>
          <w:tcPr>
            <w:tcW w:w="1871"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苗种规格（cm）</w:t>
            </w:r>
          </w:p>
        </w:tc>
        <w:tc>
          <w:tcPr>
            <w:tcW w:w="2885" w:type="dxa"/>
            <w:gridSpan w:val="6"/>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苗种年生产能力</w:t>
            </w:r>
          </w:p>
          <w:p>
            <w:pPr>
              <w:widowControl/>
              <w:snapToGrid w:val="0"/>
              <w:spacing w:line="320" w:lineRule="exact"/>
              <w:jc w:val="center"/>
              <w:rPr>
                <w:rFonts w:ascii="宋体" w:hAnsi="宋体" w:cs="宋体"/>
                <w:sz w:val="24"/>
              </w:rPr>
            </w:pPr>
            <w:r>
              <w:rPr>
                <w:rFonts w:hint="eastAsia" w:ascii="宋体" w:hAnsi="宋体" w:cs="宋体"/>
                <w:sz w:val="24"/>
              </w:rPr>
              <w:t>（万尾）</w:t>
            </w:r>
          </w:p>
        </w:tc>
        <w:tc>
          <w:tcPr>
            <w:tcW w:w="2126" w:type="dxa"/>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苗种年            供应能力</w:t>
            </w:r>
          </w:p>
          <w:p>
            <w:pPr>
              <w:widowControl/>
              <w:snapToGrid w:val="0"/>
              <w:spacing w:line="320" w:lineRule="exact"/>
              <w:jc w:val="center"/>
              <w:rPr>
                <w:rFonts w:ascii="宋体" w:hAnsi="宋体" w:cs="宋体"/>
                <w:sz w:val="24"/>
              </w:rPr>
            </w:pPr>
            <w:r>
              <w:rPr>
                <w:rFonts w:hint="eastAsia" w:ascii="宋体" w:hAnsi="宋体" w:cs="宋体"/>
                <w:sz w:val="24"/>
              </w:rPr>
              <w:t>（万尾）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top"/>
          </w:tcPr>
          <w:p>
            <w:pPr>
              <w:widowControl/>
              <w:snapToGrid w:val="0"/>
              <w:spacing w:line="320" w:lineRule="exact"/>
              <w:jc w:val="center"/>
              <w:rPr>
                <w:rFonts w:ascii="宋体" w:hAnsi="宋体" w:cs="宋体"/>
                <w:sz w:val="24"/>
              </w:rPr>
            </w:pPr>
          </w:p>
        </w:tc>
        <w:tc>
          <w:tcPr>
            <w:tcW w:w="1871" w:type="dxa"/>
            <w:gridSpan w:val="3"/>
            <w:noWrap w:val="0"/>
            <w:vAlign w:val="top"/>
          </w:tcPr>
          <w:p>
            <w:pPr>
              <w:widowControl/>
              <w:snapToGrid w:val="0"/>
              <w:spacing w:line="320" w:lineRule="exact"/>
              <w:jc w:val="center"/>
              <w:rPr>
                <w:rFonts w:ascii="宋体" w:hAnsi="宋体" w:cs="宋体"/>
                <w:sz w:val="24"/>
              </w:rPr>
            </w:pPr>
          </w:p>
        </w:tc>
        <w:tc>
          <w:tcPr>
            <w:tcW w:w="2885" w:type="dxa"/>
            <w:gridSpan w:val="6"/>
            <w:noWrap w:val="0"/>
            <w:vAlign w:val="top"/>
          </w:tcPr>
          <w:p>
            <w:pPr>
              <w:widowControl/>
              <w:snapToGrid w:val="0"/>
              <w:spacing w:line="320" w:lineRule="exact"/>
              <w:jc w:val="center"/>
              <w:rPr>
                <w:rFonts w:ascii="宋体" w:hAnsi="宋体" w:cs="宋体"/>
                <w:sz w:val="24"/>
              </w:rPr>
            </w:pPr>
          </w:p>
        </w:tc>
        <w:tc>
          <w:tcPr>
            <w:tcW w:w="2126" w:type="dxa"/>
            <w:noWrap w:val="0"/>
            <w:vAlign w:val="top"/>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top"/>
          </w:tcPr>
          <w:p>
            <w:pPr>
              <w:widowControl/>
              <w:snapToGrid w:val="0"/>
              <w:spacing w:line="320" w:lineRule="exact"/>
              <w:jc w:val="center"/>
              <w:rPr>
                <w:rFonts w:ascii="宋体" w:hAnsi="宋体" w:cs="宋体"/>
                <w:sz w:val="24"/>
              </w:rPr>
            </w:pPr>
          </w:p>
        </w:tc>
        <w:tc>
          <w:tcPr>
            <w:tcW w:w="1871" w:type="dxa"/>
            <w:gridSpan w:val="3"/>
            <w:noWrap w:val="0"/>
            <w:vAlign w:val="top"/>
          </w:tcPr>
          <w:p>
            <w:pPr>
              <w:widowControl/>
              <w:snapToGrid w:val="0"/>
              <w:spacing w:line="320" w:lineRule="exact"/>
              <w:jc w:val="center"/>
              <w:rPr>
                <w:rFonts w:ascii="宋体" w:hAnsi="宋体" w:cs="宋体"/>
                <w:sz w:val="24"/>
              </w:rPr>
            </w:pPr>
          </w:p>
        </w:tc>
        <w:tc>
          <w:tcPr>
            <w:tcW w:w="2885" w:type="dxa"/>
            <w:gridSpan w:val="6"/>
            <w:noWrap w:val="0"/>
            <w:vAlign w:val="top"/>
          </w:tcPr>
          <w:p>
            <w:pPr>
              <w:widowControl/>
              <w:snapToGrid w:val="0"/>
              <w:spacing w:line="320" w:lineRule="exact"/>
              <w:jc w:val="center"/>
              <w:rPr>
                <w:rFonts w:ascii="宋体" w:hAnsi="宋体" w:cs="宋体"/>
                <w:sz w:val="24"/>
              </w:rPr>
            </w:pPr>
          </w:p>
        </w:tc>
        <w:tc>
          <w:tcPr>
            <w:tcW w:w="2126" w:type="dxa"/>
            <w:noWrap w:val="0"/>
            <w:vAlign w:val="top"/>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1" w:type="dxa"/>
            <w:vMerge w:val="restart"/>
            <w:noWrap w:val="0"/>
            <w:vAlign w:val="top"/>
          </w:tcPr>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r>
              <w:rPr>
                <w:rFonts w:hint="eastAsia" w:ascii="宋体" w:hAnsi="宋体" w:cs="宋体"/>
                <w:sz w:val="24"/>
              </w:rPr>
              <w:t>设 施</w:t>
            </w:r>
          </w:p>
          <w:p>
            <w:pPr>
              <w:widowControl/>
              <w:spacing w:line="320" w:lineRule="exact"/>
              <w:jc w:val="center"/>
              <w:rPr>
                <w:rFonts w:ascii="宋体" w:hAnsi="宋体" w:cs="宋体"/>
                <w:sz w:val="24"/>
              </w:rPr>
            </w:pPr>
            <w:r>
              <w:rPr>
                <w:rFonts w:hint="eastAsia" w:ascii="宋体" w:hAnsi="宋体" w:cs="宋体"/>
                <w:sz w:val="24"/>
              </w:rPr>
              <w:t>条</w:t>
            </w:r>
          </w:p>
          <w:p>
            <w:pPr>
              <w:widowControl/>
              <w:spacing w:line="320" w:lineRule="exact"/>
              <w:jc w:val="center"/>
              <w:rPr>
                <w:rFonts w:ascii="宋体" w:hAnsi="宋体" w:cs="宋体"/>
                <w:sz w:val="24"/>
              </w:rPr>
            </w:pPr>
            <w:r>
              <w:rPr>
                <w:rFonts w:hint="eastAsia" w:ascii="宋体" w:hAnsi="宋体" w:cs="宋体"/>
                <w:sz w:val="24"/>
              </w:rPr>
              <w:t>件</w:t>
            </w: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育苗方式</w:t>
            </w:r>
          </w:p>
        </w:tc>
        <w:tc>
          <w:tcPr>
            <w:tcW w:w="6882" w:type="dxa"/>
            <w:gridSpan w:val="10"/>
            <w:noWrap w:val="0"/>
            <w:vAlign w:val="center"/>
          </w:tcPr>
          <w:p>
            <w:pPr>
              <w:widowControl/>
              <w:spacing w:line="320" w:lineRule="exact"/>
              <w:jc w:val="center"/>
              <w:rPr>
                <w:rFonts w:ascii="宋体" w:hAnsi="宋体" w:cs="宋体"/>
                <w:sz w:val="24"/>
              </w:rPr>
            </w:pPr>
            <w:r>
              <w:rPr>
                <w:rFonts w:hint="eastAsia" w:ascii="宋体" w:hAnsi="宋体" w:cs="宋体"/>
                <w:sz w:val="24"/>
              </w:rPr>
              <w:t>□工厂化  □室外池塘  □网箱  □海洋滩涂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场区总面积</w:t>
            </w:r>
          </w:p>
        </w:tc>
        <w:tc>
          <w:tcPr>
            <w:tcW w:w="2785" w:type="dxa"/>
            <w:gridSpan w:val="4"/>
            <w:noWrap w:val="0"/>
            <w:vAlign w:val="center"/>
          </w:tcPr>
          <w:p>
            <w:pPr>
              <w:widowControl/>
              <w:spacing w:line="320" w:lineRule="exact"/>
              <w:jc w:val="center"/>
              <w:rPr>
                <w:rFonts w:ascii="宋体" w:hAnsi="宋体" w:cs="宋体"/>
                <w:sz w:val="24"/>
              </w:rPr>
            </w:pPr>
            <w:r>
              <w:rPr>
                <w:rFonts w:hint="eastAsia" w:ascii="宋体" w:hAnsi="宋体" w:cs="宋体"/>
                <w:sz w:val="24"/>
              </w:rPr>
              <w:t>亩</w:t>
            </w: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养殖水体    总面积</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孵化设施设备面积</w:t>
            </w:r>
          </w:p>
        </w:tc>
        <w:tc>
          <w:tcPr>
            <w:tcW w:w="2785" w:type="dxa"/>
            <w:gridSpan w:val="4"/>
            <w:noWrap w:val="0"/>
            <w:vAlign w:val="center"/>
          </w:tcPr>
          <w:p>
            <w:pPr>
              <w:widowControl/>
              <w:spacing w:line="320" w:lineRule="exact"/>
              <w:jc w:val="center"/>
              <w:rPr>
                <w:rFonts w:ascii="宋体" w:hAnsi="宋体" w:cs="宋体"/>
                <w:sz w:val="24"/>
              </w:rPr>
            </w:pPr>
            <w:r>
              <w:rPr>
                <w:rFonts w:hint="eastAsia" w:ascii="宋体" w:hAnsi="宋体" w:cs="宋体"/>
                <w:sz w:val="24"/>
              </w:rPr>
              <w:t>平方米</w:t>
            </w: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亲本养殖 水体面积</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室内育苗水体面积</w:t>
            </w:r>
          </w:p>
        </w:tc>
        <w:tc>
          <w:tcPr>
            <w:tcW w:w="2785" w:type="dxa"/>
            <w:gridSpan w:val="4"/>
            <w:noWrap w:val="0"/>
            <w:vAlign w:val="center"/>
          </w:tcPr>
          <w:p>
            <w:pPr>
              <w:widowControl/>
              <w:spacing w:line="320" w:lineRule="exact"/>
              <w:jc w:val="center"/>
              <w:rPr>
                <w:rFonts w:ascii="宋体" w:hAnsi="宋体" w:cs="宋体"/>
                <w:sz w:val="24"/>
              </w:rPr>
            </w:pPr>
            <w:r>
              <w:rPr>
                <w:rFonts w:hint="eastAsia" w:ascii="宋体" w:hAnsi="宋体" w:cs="宋体"/>
                <w:sz w:val="24"/>
              </w:rPr>
              <w:t>平方米</w:t>
            </w: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室外鱼种培育面积</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水电气热配套情况</w:t>
            </w:r>
          </w:p>
        </w:tc>
        <w:tc>
          <w:tcPr>
            <w:tcW w:w="2785" w:type="dxa"/>
            <w:gridSpan w:val="4"/>
            <w:noWrap w:val="0"/>
            <w:vAlign w:val="center"/>
          </w:tcPr>
          <w:p>
            <w:pPr>
              <w:widowControl/>
              <w:spacing w:line="320" w:lineRule="exact"/>
              <w:jc w:val="center"/>
              <w:rPr>
                <w:rFonts w:ascii="宋体" w:hAnsi="宋体" w:cs="宋体"/>
                <w:sz w:val="24"/>
              </w:rPr>
            </w:pP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饵料水体      体积</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1" w:type="dxa"/>
            <w:vMerge w:val="restart"/>
            <w:noWrap w:val="0"/>
            <w:vAlign w:val="top"/>
          </w:tcPr>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p>
          <w:p>
            <w:pPr>
              <w:widowControl/>
              <w:spacing w:line="320" w:lineRule="exact"/>
              <w:jc w:val="center"/>
              <w:rPr>
                <w:rFonts w:ascii="宋体" w:hAnsi="宋体" w:cs="宋体"/>
                <w:sz w:val="24"/>
              </w:rPr>
            </w:pPr>
            <w:r>
              <w:rPr>
                <w:rFonts w:hint="eastAsia" w:ascii="宋体" w:hAnsi="宋体" w:cs="宋体"/>
                <w:sz w:val="24"/>
              </w:rPr>
              <w:t>技  术 力</w:t>
            </w:r>
          </w:p>
          <w:p>
            <w:pPr>
              <w:widowControl/>
              <w:spacing w:line="320" w:lineRule="exact"/>
              <w:jc w:val="center"/>
              <w:rPr>
                <w:rFonts w:ascii="宋体" w:hAnsi="宋体" w:cs="宋体"/>
                <w:sz w:val="24"/>
              </w:rPr>
            </w:pPr>
            <w:r>
              <w:rPr>
                <w:rFonts w:hint="eastAsia" w:ascii="宋体" w:hAnsi="宋体" w:cs="宋体"/>
                <w:sz w:val="24"/>
              </w:rPr>
              <w:t>量</w:t>
            </w: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技术人员总数</w:t>
            </w:r>
          </w:p>
        </w:tc>
        <w:tc>
          <w:tcPr>
            <w:tcW w:w="2785" w:type="dxa"/>
            <w:gridSpan w:val="4"/>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人</w:t>
            </w: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技术负责人学历、职称</w:t>
            </w:r>
          </w:p>
        </w:tc>
        <w:tc>
          <w:tcPr>
            <w:tcW w:w="2414" w:type="dxa"/>
            <w:gridSpan w:val="3"/>
            <w:noWrap w:val="0"/>
            <w:vAlign w:val="center"/>
          </w:tcPr>
          <w:p>
            <w:pPr>
              <w:widowControl/>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专业技术人员数量</w:t>
            </w:r>
          </w:p>
        </w:tc>
        <w:tc>
          <w:tcPr>
            <w:tcW w:w="2785" w:type="dxa"/>
            <w:gridSpan w:val="4"/>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人</w:t>
            </w: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技术工人     数量</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技术依托单位</w:t>
            </w:r>
          </w:p>
        </w:tc>
        <w:tc>
          <w:tcPr>
            <w:tcW w:w="2785" w:type="dxa"/>
            <w:gridSpan w:val="4"/>
            <w:noWrap w:val="0"/>
            <w:vAlign w:val="center"/>
          </w:tcPr>
          <w:p>
            <w:pPr>
              <w:widowControl/>
              <w:snapToGrid w:val="0"/>
              <w:spacing w:line="320" w:lineRule="exact"/>
              <w:jc w:val="center"/>
              <w:rPr>
                <w:rFonts w:ascii="宋体" w:hAnsi="宋体" w:cs="宋体"/>
                <w:sz w:val="24"/>
              </w:rPr>
            </w:pPr>
          </w:p>
        </w:tc>
        <w:tc>
          <w:tcPr>
            <w:tcW w:w="1683" w:type="dxa"/>
            <w:gridSpan w:val="3"/>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取得繁育职业资格证书人数</w:t>
            </w:r>
          </w:p>
        </w:tc>
        <w:tc>
          <w:tcPr>
            <w:tcW w:w="2414" w:type="dxa"/>
            <w:gridSpan w:val="3"/>
            <w:noWrap w:val="0"/>
            <w:vAlign w:val="center"/>
          </w:tcPr>
          <w:p>
            <w:pPr>
              <w:widowControl/>
              <w:spacing w:line="320" w:lineRule="exact"/>
              <w:jc w:val="center"/>
              <w:rPr>
                <w:rFonts w:ascii="宋体" w:hAnsi="宋体" w:cs="宋体"/>
                <w:sz w:val="24"/>
              </w:rPr>
            </w:pPr>
            <w:r>
              <w:rPr>
                <w:rFonts w:hint="eastAsia" w:ascii="宋体" w:hAnsi="宋体" w:cs="宋体"/>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水质检验检测能力</w:t>
            </w:r>
          </w:p>
        </w:tc>
        <w:tc>
          <w:tcPr>
            <w:tcW w:w="6882" w:type="dxa"/>
            <w:gridSpan w:val="10"/>
            <w:noWrap w:val="0"/>
            <w:vAlign w:val="center"/>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苗种质量检测能力</w:t>
            </w:r>
          </w:p>
        </w:tc>
        <w:tc>
          <w:tcPr>
            <w:tcW w:w="6882" w:type="dxa"/>
            <w:gridSpan w:val="10"/>
            <w:noWrap w:val="0"/>
            <w:vAlign w:val="center"/>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81" w:type="dxa"/>
            <w:vMerge w:val="continue"/>
            <w:noWrap w:val="0"/>
            <w:vAlign w:val="top"/>
          </w:tcPr>
          <w:p>
            <w:pPr>
              <w:widowControl/>
              <w:spacing w:line="320" w:lineRule="exact"/>
              <w:jc w:val="center"/>
              <w:rPr>
                <w:rFonts w:ascii="宋体" w:hAnsi="宋体" w:cs="宋体"/>
                <w:sz w:val="24"/>
              </w:rPr>
            </w:pPr>
          </w:p>
        </w:tc>
        <w:tc>
          <w:tcPr>
            <w:tcW w:w="1558" w:type="dxa"/>
            <w:gridSpan w:val="2"/>
            <w:noWrap w:val="0"/>
            <w:vAlign w:val="center"/>
          </w:tcPr>
          <w:p>
            <w:pPr>
              <w:widowControl/>
              <w:snapToGrid w:val="0"/>
              <w:spacing w:line="320" w:lineRule="exact"/>
              <w:jc w:val="center"/>
              <w:rPr>
                <w:rFonts w:ascii="宋体" w:hAnsi="宋体" w:cs="宋体"/>
                <w:sz w:val="24"/>
              </w:rPr>
            </w:pPr>
            <w:r>
              <w:rPr>
                <w:rFonts w:hint="eastAsia" w:ascii="宋体" w:hAnsi="宋体" w:cs="宋体"/>
                <w:sz w:val="24"/>
              </w:rPr>
              <w:t>技术研发创新成果</w:t>
            </w:r>
          </w:p>
        </w:tc>
        <w:tc>
          <w:tcPr>
            <w:tcW w:w="6882" w:type="dxa"/>
            <w:gridSpan w:val="10"/>
            <w:noWrap w:val="0"/>
            <w:vAlign w:val="center"/>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81" w:type="dxa"/>
            <w:vMerge w:val="restart"/>
            <w:noWrap w:val="0"/>
            <w:vAlign w:val="center"/>
          </w:tcPr>
          <w:p>
            <w:pPr>
              <w:widowControl/>
              <w:spacing w:line="320" w:lineRule="exact"/>
              <w:jc w:val="center"/>
              <w:rPr>
                <w:rFonts w:ascii="宋体" w:hAnsi="宋体" w:cs="宋体"/>
                <w:sz w:val="24"/>
              </w:rPr>
            </w:pPr>
            <w:r>
              <w:rPr>
                <w:rFonts w:hint="eastAsia" w:ascii="宋体" w:hAnsi="宋体" w:cs="宋体"/>
                <w:sz w:val="24"/>
              </w:rPr>
              <w:t>放</w:t>
            </w:r>
          </w:p>
          <w:p>
            <w:pPr>
              <w:widowControl/>
              <w:spacing w:line="320" w:lineRule="exact"/>
              <w:jc w:val="center"/>
              <w:rPr>
                <w:rFonts w:ascii="宋体" w:hAnsi="宋体" w:cs="宋体"/>
                <w:sz w:val="24"/>
              </w:rPr>
            </w:pPr>
            <w:r>
              <w:rPr>
                <w:rFonts w:hint="eastAsia" w:ascii="宋体" w:hAnsi="宋体" w:cs="宋体"/>
                <w:sz w:val="24"/>
              </w:rPr>
              <w:t>流</w:t>
            </w:r>
          </w:p>
          <w:p>
            <w:pPr>
              <w:widowControl/>
              <w:spacing w:line="320" w:lineRule="exact"/>
              <w:jc w:val="center"/>
              <w:rPr>
                <w:rFonts w:ascii="宋体" w:hAnsi="宋体" w:cs="宋体"/>
                <w:sz w:val="24"/>
              </w:rPr>
            </w:pPr>
            <w:r>
              <w:rPr>
                <w:rFonts w:hint="eastAsia" w:ascii="宋体" w:hAnsi="宋体" w:cs="宋体"/>
                <w:sz w:val="24"/>
              </w:rPr>
              <w:t>业</w:t>
            </w:r>
          </w:p>
          <w:p>
            <w:pPr>
              <w:widowControl/>
              <w:spacing w:line="320" w:lineRule="exact"/>
              <w:jc w:val="center"/>
              <w:rPr>
                <w:rFonts w:ascii="宋体" w:hAnsi="宋体" w:cs="宋体"/>
                <w:sz w:val="24"/>
              </w:rPr>
            </w:pPr>
            <w:r>
              <w:rPr>
                <w:rFonts w:hint="eastAsia" w:ascii="宋体" w:hAnsi="宋体" w:cs="宋体"/>
                <w:sz w:val="24"/>
              </w:rPr>
              <w:t>绩</w:t>
            </w:r>
          </w:p>
        </w:tc>
        <w:tc>
          <w:tcPr>
            <w:tcW w:w="1170" w:type="dxa"/>
            <w:noWrap w:val="0"/>
            <w:vAlign w:val="center"/>
          </w:tcPr>
          <w:p>
            <w:pPr>
              <w:widowControl/>
              <w:spacing w:line="320" w:lineRule="exact"/>
              <w:jc w:val="center"/>
              <w:rPr>
                <w:rFonts w:ascii="宋体" w:hAnsi="宋体" w:cs="宋体"/>
                <w:sz w:val="24"/>
              </w:rPr>
            </w:pPr>
            <w:r>
              <w:rPr>
                <w:rFonts w:hint="eastAsia" w:ascii="宋体" w:hAnsi="宋体" w:cs="宋体"/>
                <w:sz w:val="24"/>
              </w:rPr>
              <w:t>合同价（万元）</w:t>
            </w:r>
          </w:p>
        </w:tc>
        <w:tc>
          <w:tcPr>
            <w:tcW w:w="992" w:type="dxa"/>
            <w:gridSpan w:val="2"/>
            <w:noWrap w:val="0"/>
            <w:vAlign w:val="center"/>
          </w:tcPr>
          <w:p>
            <w:pPr>
              <w:widowControl/>
              <w:spacing w:line="320" w:lineRule="exact"/>
              <w:jc w:val="center"/>
              <w:rPr>
                <w:rFonts w:ascii="宋体" w:hAnsi="宋体" w:cs="宋体"/>
                <w:sz w:val="24"/>
              </w:rPr>
            </w:pPr>
            <w:r>
              <w:rPr>
                <w:rFonts w:hint="eastAsia" w:ascii="宋体" w:hAnsi="宋体" w:cs="宋体"/>
                <w:sz w:val="24"/>
              </w:rPr>
              <w:t>放流</w:t>
            </w:r>
          </w:p>
          <w:p>
            <w:pPr>
              <w:widowControl/>
              <w:spacing w:line="320" w:lineRule="exact"/>
              <w:jc w:val="center"/>
              <w:rPr>
                <w:rFonts w:ascii="宋体" w:hAnsi="宋体" w:cs="宋体"/>
                <w:sz w:val="24"/>
              </w:rPr>
            </w:pPr>
            <w:r>
              <w:rPr>
                <w:rFonts w:hint="eastAsia" w:ascii="宋体" w:hAnsi="宋体" w:cs="宋体"/>
                <w:sz w:val="24"/>
              </w:rPr>
              <w:t>时间</w:t>
            </w:r>
          </w:p>
        </w:tc>
        <w:tc>
          <w:tcPr>
            <w:tcW w:w="993" w:type="dxa"/>
            <w:noWrap w:val="0"/>
            <w:vAlign w:val="center"/>
          </w:tcPr>
          <w:p>
            <w:pPr>
              <w:widowControl/>
              <w:spacing w:line="320" w:lineRule="exact"/>
              <w:jc w:val="center"/>
              <w:rPr>
                <w:rFonts w:ascii="宋体" w:hAnsi="宋体" w:cs="宋体"/>
                <w:sz w:val="24"/>
              </w:rPr>
            </w:pPr>
            <w:r>
              <w:rPr>
                <w:rFonts w:hint="eastAsia" w:ascii="宋体" w:hAnsi="宋体" w:cs="宋体"/>
                <w:sz w:val="24"/>
              </w:rPr>
              <w:t>放流</w:t>
            </w:r>
          </w:p>
          <w:p>
            <w:pPr>
              <w:widowControl/>
              <w:spacing w:line="320" w:lineRule="exact"/>
              <w:jc w:val="center"/>
              <w:rPr>
                <w:rFonts w:ascii="宋体" w:hAnsi="宋体" w:cs="宋体"/>
                <w:sz w:val="24"/>
              </w:rPr>
            </w:pPr>
            <w:r>
              <w:rPr>
                <w:rFonts w:hint="eastAsia" w:ascii="宋体" w:hAnsi="宋体" w:cs="宋体"/>
                <w:sz w:val="24"/>
              </w:rPr>
              <w:t>品种</w:t>
            </w:r>
          </w:p>
        </w:tc>
        <w:tc>
          <w:tcPr>
            <w:tcW w:w="1559" w:type="dxa"/>
            <w:gridSpan w:val="4"/>
            <w:noWrap w:val="0"/>
            <w:vAlign w:val="center"/>
          </w:tcPr>
          <w:p>
            <w:pPr>
              <w:widowControl/>
              <w:spacing w:line="320" w:lineRule="exact"/>
              <w:jc w:val="center"/>
              <w:rPr>
                <w:rFonts w:ascii="宋体" w:hAnsi="宋体" w:cs="宋体"/>
                <w:sz w:val="24"/>
              </w:rPr>
            </w:pPr>
            <w:r>
              <w:rPr>
                <w:rFonts w:hint="eastAsia" w:ascii="宋体" w:hAnsi="宋体" w:cs="宋体"/>
                <w:sz w:val="24"/>
              </w:rPr>
              <w:t>放流数量</w:t>
            </w:r>
          </w:p>
          <w:p>
            <w:pPr>
              <w:widowControl/>
              <w:spacing w:line="320" w:lineRule="exact"/>
              <w:jc w:val="center"/>
              <w:rPr>
                <w:rFonts w:ascii="宋体" w:hAnsi="宋体" w:cs="宋体"/>
                <w:sz w:val="24"/>
              </w:rPr>
            </w:pPr>
            <w:r>
              <w:rPr>
                <w:rFonts w:hint="eastAsia" w:ascii="宋体" w:hAnsi="宋体" w:cs="宋体"/>
                <w:sz w:val="24"/>
              </w:rPr>
              <w:t>（万尾）</w:t>
            </w:r>
          </w:p>
        </w:tc>
        <w:tc>
          <w:tcPr>
            <w:tcW w:w="1358" w:type="dxa"/>
            <w:gridSpan w:val="2"/>
            <w:noWrap w:val="0"/>
            <w:vAlign w:val="center"/>
          </w:tcPr>
          <w:p>
            <w:pPr>
              <w:widowControl/>
              <w:spacing w:line="320" w:lineRule="exact"/>
              <w:jc w:val="center"/>
              <w:rPr>
                <w:rFonts w:ascii="宋体" w:hAnsi="宋体" w:cs="宋体"/>
                <w:sz w:val="24"/>
              </w:rPr>
            </w:pPr>
            <w:r>
              <w:rPr>
                <w:rFonts w:hint="eastAsia" w:ascii="宋体" w:hAnsi="宋体" w:cs="宋体"/>
                <w:sz w:val="24"/>
              </w:rPr>
              <w:t>放流规格（厘米）</w:t>
            </w:r>
          </w:p>
        </w:tc>
        <w:tc>
          <w:tcPr>
            <w:tcW w:w="2368" w:type="dxa"/>
            <w:gridSpan w:val="2"/>
            <w:noWrap w:val="0"/>
            <w:vAlign w:val="center"/>
          </w:tcPr>
          <w:p>
            <w:pPr>
              <w:widowControl/>
              <w:spacing w:line="320" w:lineRule="exact"/>
              <w:jc w:val="center"/>
              <w:rPr>
                <w:rFonts w:ascii="宋体" w:hAnsi="宋体" w:cs="宋体"/>
                <w:sz w:val="24"/>
              </w:rPr>
            </w:pPr>
            <w:r>
              <w:rPr>
                <w:rFonts w:hint="eastAsia" w:ascii="宋体" w:hAnsi="宋体" w:cs="宋体"/>
                <w:sz w:val="24"/>
              </w:rPr>
              <w:t>增殖放流活动</w:t>
            </w:r>
          </w:p>
          <w:p>
            <w:pPr>
              <w:widowControl/>
              <w:spacing w:line="320" w:lineRule="exact"/>
              <w:jc w:val="center"/>
              <w:rPr>
                <w:rFonts w:ascii="宋体" w:hAnsi="宋体" w:cs="宋体"/>
                <w:sz w:val="24"/>
              </w:rPr>
            </w:pPr>
            <w:r>
              <w:rPr>
                <w:rFonts w:hint="eastAsia" w:ascii="宋体" w:hAnsi="宋体" w:cs="宋体"/>
                <w:sz w:val="24"/>
              </w:rPr>
              <w:t>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1" w:type="dxa"/>
            <w:vMerge w:val="continue"/>
            <w:noWrap w:val="0"/>
            <w:vAlign w:val="top"/>
          </w:tcPr>
          <w:p>
            <w:pPr>
              <w:widowControl/>
              <w:snapToGrid w:val="0"/>
              <w:spacing w:line="320" w:lineRule="exact"/>
              <w:jc w:val="center"/>
              <w:rPr>
                <w:rFonts w:ascii="宋体" w:hAnsi="宋体" w:cs="宋体"/>
                <w:sz w:val="24"/>
              </w:rPr>
            </w:pPr>
          </w:p>
        </w:tc>
        <w:tc>
          <w:tcPr>
            <w:tcW w:w="1170" w:type="dxa"/>
            <w:noWrap w:val="0"/>
            <w:vAlign w:val="center"/>
          </w:tcPr>
          <w:p>
            <w:pPr>
              <w:widowControl/>
              <w:snapToGrid w:val="0"/>
              <w:spacing w:line="320" w:lineRule="exact"/>
              <w:jc w:val="center"/>
              <w:rPr>
                <w:rFonts w:ascii="宋体" w:hAnsi="宋体" w:cs="宋体"/>
                <w:sz w:val="24"/>
              </w:rPr>
            </w:pPr>
          </w:p>
        </w:tc>
        <w:tc>
          <w:tcPr>
            <w:tcW w:w="992" w:type="dxa"/>
            <w:gridSpan w:val="2"/>
            <w:noWrap w:val="0"/>
            <w:vAlign w:val="center"/>
          </w:tcPr>
          <w:p>
            <w:pPr>
              <w:widowControl/>
              <w:snapToGrid w:val="0"/>
              <w:spacing w:line="320" w:lineRule="exact"/>
              <w:jc w:val="center"/>
              <w:rPr>
                <w:rFonts w:ascii="宋体" w:hAnsi="宋体" w:cs="宋体"/>
                <w:sz w:val="24"/>
              </w:rPr>
            </w:pPr>
          </w:p>
        </w:tc>
        <w:tc>
          <w:tcPr>
            <w:tcW w:w="993" w:type="dxa"/>
            <w:noWrap w:val="0"/>
            <w:vAlign w:val="center"/>
          </w:tcPr>
          <w:p>
            <w:pPr>
              <w:widowControl/>
              <w:snapToGrid w:val="0"/>
              <w:spacing w:line="320" w:lineRule="exact"/>
              <w:jc w:val="center"/>
              <w:rPr>
                <w:rFonts w:ascii="宋体" w:hAnsi="宋体" w:cs="宋体"/>
                <w:sz w:val="24"/>
              </w:rPr>
            </w:pPr>
          </w:p>
        </w:tc>
        <w:tc>
          <w:tcPr>
            <w:tcW w:w="1559" w:type="dxa"/>
            <w:gridSpan w:val="4"/>
            <w:noWrap w:val="0"/>
            <w:vAlign w:val="center"/>
          </w:tcPr>
          <w:p>
            <w:pPr>
              <w:widowControl/>
              <w:snapToGrid w:val="0"/>
              <w:spacing w:line="320" w:lineRule="exact"/>
              <w:jc w:val="center"/>
              <w:rPr>
                <w:rFonts w:ascii="宋体" w:hAnsi="宋体" w:cs="宋体"/>
                <w:sz w:val="24"/>
              </w:rPr>
            </w:pPr>
          </w:p>
        </w:tc>
        <w:tc>
          <w:tcPr>
            <w:tcW w:w="1358" w:type="dxa"/>
            <w:gridSpan w:val="2"/>
            <w:noWrap w:val="0"/>
            <w:vAlign w:val="center"/>
          </w:tcPr>
          <w:p>
            <w:pPr>
              <w:widowControl/>
              <w:snapToGrid w:val="0"/>
              <w:spacing w:line="320" w:lineRule="exact"/>
              <w:jc w:val="center"/>
              <w:rPr>
                <w:rFonts w:ascii="宋体" w:hAnsi="宋体" w:cs="宋体"/>
                <w:sz w:val="24"/>
              </w:rPr>
            </w:pPr>
          </w:p>
        </w:tc>
        <w:tc>
          <w:tcPr>
            <w:tcW w:w="2368" w:type="dxa"/>
            <w:gridSpan w:val="2"/>
            <w:noWrap w:val="0"/>
            <w:vAlign w:val="center"/>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81" w:type="dxa"/>
            <w:vMerge w:val="continue"/>
            <w:noWrap w:val="0"/>
            <w:vAlign w:val="top"/>
          </w:tcPr>
          <w:p>
            <w:pPr>
              <w:widowControl/>
              <w:snapToGrid w:val="0"/>
              <w:spacing w:line="320" w:lineRule="exact"/>
              <w:jc w:val="center"/>
              <w:rPr>
                <w:rFonts w:ascii="宋体" w:hAnsi="宋体" w:cs="宋体"/>
                <w:sz w:val="24"/>
              </w:rPr>
            </w:pPr>
          </w:p>
        </w:tc>
        <w:tc>
          <w:tcPr>
            <w:tcW w:w="1170" w:type="dxa"/>
            <w:noWrap w:val="0"/>
            <w:vAlign w:val="center"/>
          </w:tcPr>
          <w:p>
            <w:pPr>
              <w:widowControl/>
              <w:snapToGrid w:val="0"/>
              <w:spacing w:line="320" w:lineRule="exact"/>
              <w:jc w:val="center"/>
              <w:rPr>
                <w:rFonts w:ascii="宋体" w:hAnsi="宋体" w:cs="宋体"/>
                <w:sz w:val="24"/>
              </w:rPr>
            </w:pPr>
          </w:p>
        </w:tc>
        <w:tc>
          <w:tcPr>
            <w:tcW w:w="992" w:type="dxa"/>
            <w:gridSpan w:val="2"/>
            <w:noWrap w:val="0"/>
            <w:vAlign w:val="center"/>
          </w:tcPr>
          <w:p>
            <w:pPr>
              <w:widowControl/>
              <w:snapToGrid w:val="0"/>
              <w:spacing w:line="320" w:lineRule="exact"/>
              <w:jc w:val="center"/>
              <w:rPr>
                <w:rFonts w:ascii="宋体" w:hAnsi="宋体" w:cs="宋体"/>
                <w:sz w:val="24"/>
              </w:rPr>
            </w:pPr>
          </w:p>
        </w:tc>
        <w:tc>
          <w:tcPr>
            <w:tcW w:w="993" w:type="dxa"/>
            <w:noWrap w:val="0"/>
            <w:vAlign w:val="center"/>
          </w:tcPr>
          <w:p>
            <w:pPr>
              <w:widowControl/>
              <w:snapToGrid w:val="0"/>
              <w:spacing w:line="320" w:lineRule="exact"/>
              <w:jc w:val="center"/>
              <w:rPr>
                <w:rFonts w:ascii="宋体" w:hAnsi="宋体" w:cs="宋体"/>
                <w:sz w:val="24"/>
              </w:rPr>
            </w:pPr>
          </w:p>
        </w:tc>
        <w:tc>
          <w:tcPr>
            <w:tcW w:w="1559" w:type="dxa"/>
            <w:gridSpan w:val="4"/>
            <w:noWrap w:val="0"/>
            <w:vAlign w:val="center"/>
          </w:tcPr>
          <w:p>
            <w:pPr>
              <w:widowControl/>
              <w:snapToGrid w:val="0"/>
              <w:spacing w:line="320" w:lineRule="exact"/>
              <w:jc w:val="center"/>
              <w:rPr>
                <w:rFonts w:ascii="宋体" w:hAnsi="宋体" w:cs="宋体"/>
                <w:sz w:val="24"/>
              </w:rPr>
            </w:pPr>
          </w:p>
        </w:tc>
        <w:tc>
          <w:tcPr>
            <w:tcW w:w="1358" w:type="dxa"/>
            <w:gridSpan w:val="2"/>
            <w:noWrap w:val="0"/>
            <w:vAlign w:val="center"/>
          </w:tcPr>
          <w:p>
            <w:pPr>
              <w:widowControl/>
              <w:snapToGrid w:val="0"/>
              <w:spacing w:line="320" w:lineRule="exact"/>
              <w:jc w:val="center"/>
              <w:rPr>
                <w:rFonts w:ascii="宋体" w:hAnsi="宋体" w:cs="宋体"/>
                <w:sz w:val="24"/>
              </w:rPr>
            </w:pPr>
          </w:p>
        </w:tc>
        <w:tc>
          <w:tcPr>
            <w:tcW w:w="2368" w:type="dxa"/>
            <w:gridSpan w:val="2"/>
            <w:noWrap w:val="0"/>
            <w:vAlign w:val="center"/>
          </w:tcPr>
          <w:p>
            <w:pPr>
              <w:widowControl/>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81" w:type="dxa"/>
            <w:vMerge w:val="continue"/>
            <w:noWrap w:val="0"/>
            <w:vAlign w:val="top"/>
          </w:tcPr>
          <w:p>
            <w:pPr>
              <w:widowControl/>
              <w:snapToGrid w:val="0"/>
              <w:spacing w:line="320" w:lineRule="exact"/>
              <w:jc w:val="center"/>
              <w:rPr>
                <w:rFonts w:ascii="宋体" w:hAnsi="宋体" w:cs="宋体"/>
                <w:sz w:val="24"/>
              </w:rPr>
            </w:pPr>
          </w:p>
        </w:tc>
        <w:tc>
          <w:tcPr>
            <w:tcW w:w="1170" w:type="dxa"/>
            <w:noWrap w:val="0"/>
            <w:vAlign w:val="center"/>
          </w:tcPr>
          <w:p>
            <w:pPr>
              <w:widowControl/>
              <w:snapToGrid w:val="0"/>
              <w:spacing w:line="320" w:lineRule="exact"/>
              <w:jc w:val="center"/>
              <w:rPr>
                <w:rFonts w:ascii="宋体" w:hAnsi="宋体" w:cs="宋体"/>
                <w:sz w:val="24"/>
              </w:rPr>
            </w:pPr>
          </w:p>
        </w:tc>
        <w:tc>
          <w:tcPr>
            <w:tcW w:w="992" w:type="dxa"/>
            <w:gridSpan w:val="2"/>
            <w:noWrap w:val="0"/>
            <w:vAlign w:val="center"/>
          </w:tcPr>
          <w:p>
            <w:pPr>
              <w:widowControl/>
              <w:snapToGrid w:val="0"/>
              <w:spacing w:line="320" w:lineRule="exact"/>
              <w:jc w:val="center"/>
              <w:rPr>
                <w:rFonts w:ascii="宋体" w:hAnsi="宋体" w:cs="宋体"/>
                <w:sz w:val="24"/>
              </w:rPr>
            </w:pPr>
          </w:p>
        </w:tc>
        <w:tc>
          <w:tcPr>
            <w:tcW w:w="993" w:type="dxa"/>
            <w:noWrap w:val="0"/>
            <w:vAlign w:val="center"/>
          </w:tcPr>
          <w:p>
            <w:pPr>
              <w:widowControl/>
              <w:snapToGrid w:val="0"/>
              <w:spacing w:line="320" w:lineRule="exact"/>
              <w:jc w:val="center"/>
              <w:rPr>
                <w:rFonts w:ascii="宋体" w:hAnsi="宋体" w:cs="宋体"/>
                <w:sz w:val="24"/>
              </w:rPr>
            </w:pPr>
          </w:p>
        </w:tc>
        <w:tc>
          <w:tcPr>
            <w:tcW w:w="1559" w:type="dxa"/>
            <w:gridSpan w:val="4"/>
            <w:noWrap w:val="0"/>
            <w:vAlign w:val="center"/>
          </w:tcPr>
          <w:p>
            <w:pPr>
              <w:widowControl/>
              <w:snapToGrid w:val="0"/>
              <w:spacing w:line="320" w:lineRule="exact"/>
              <w:jc w:val="center"/>
              <w:rPr>
                <w:rFonts w:ascii="宋体" w:hAnsi="宋体" w:cs="宋体"/>
                <w:sz w:val="24"/>
              </w:rPr>
            </w:pPr>
          </w:p>
        </w:tc>
        <w:tc>
          <w:tcPr>
            <w:tcW w:w="1358" w:type="dxa"/>
            <w:gridSpan w:val="2"/>
            <w:noWrap w:val="0"/>
            <w:vAlign w:val="center"/>
          </w:tcPr>
          <w:p>
            <w:pPr>
              <w:widowControl/>
              <w:snapToGrid w:val="0"/>
              <w:spacing w:line="320" w:lineRule="exact"/>
              <w:jc w:val="center"/>
              <w:rPr>
                <w:rFonts w:ascii="宋体" w:hAnsi="宋体" w:cs="宋体"/>
                <w:sz w:val="24"/>
              </w:rPr>
            </w:pPr>
          </w:p>
        </w:tc>
        <w:tc>
          <w:tcPr>
            <w:tcW w:w="2368" w:type="dxa"/>
            <w:gridSpan w:val="2"/>
            <w:noWrap w:val="0"/>
            <w:vAlign w:val="center"/>
          </w:tcPr>
          <w:p>
            <w:pPr>
              <w:widowControl/>
              <w:snapToGrid w:val="0"/>
              <w:spacing w:line="320" w:lineRule="exact"/>
              <w:jc w:val="center"/>
              <w:rPr>
                <w:rFonts w:ascii="宋体" w:hAnsi="宋体" w:cs="宋体"/>
                <w:sz w:val="24"/>
              </w:rPr>
            </w:pPr>
          </w:p>
        </w:tc>
      </w:tr>
    </w:tbl>
    <w:p>
      <w:pPr>
        <w:pStyle w:val="12"/>
        <w:spacing w:after="143" w:afterLines="50" w:line="360" w:lineRule="exact"/>
        <w:ind w:firstLine="0"/>
        <w:rPr>
          <w:rFonts w:ascii="宋体" w:hAnsi="宋体" w:cs="宋体"/>
          <w:szCs w:val="24"/>
        </w:rPr>
      </w:pPr>
    </w:p>
    <w:p>
      <w:pPr>
        <w:pStyle w:val="12"/>
        <w:spacing w:after="143" w:afterLines="50" w:line="360" w:lineRule="exact"/>
        <w:ind w:firstLine="0"/>
        <w:rPr>
          <w:rFonts w:ascii="宋体" w:hAnsi="宋体" w:cs="宋体"/>
          <w:szCs w:val="24"/>
        </w:rPr>
      </w:pPr>
    </w:p>
    <w:p>
      <w:pPr>
        <w:pStyle w:val="12"/>
        <w:spacing w:after="143" w:afterLines="50" w:line="360" w:lineRule="exact"/>
        <w:ind w:firstLine="0"/>
        <w:rPr>
          <w:rFonts w:ascii="宋体" w:hAnsi="宋体" w:cs="宋体"/>
          <w:szCs w:val="24"/>
          <w:u w:val="single"/>
        </w:rPr>
      </w:pPr>
      <w:r>
        <w:rPr>
          <w:rFonts w:hint="eastAsia" w:ascii="宋体" w:hAnsi="宋体" w:cs="宋体"/>
          <w:szCs w:val="24"/>
        </w:rPr>
        <w:t>投标供应商(盖单位公章)：</w:t>
      </w:r>
    </w:p>
    <w:p>
      <w:pPr>
        <w:pStyle w:val="12"/>
        <w:spacing w:after="143" w:afterLines="50" w:line="360" w:lineRule="exact"/>
        <w:ind w:firstLine="0"/>
        <w:rPr>
          <w:rFonts w:ascii="宋体" w:hAnsi="宋体" w:cs="宋体"/>
          <w:szCs w:val="24"/>
        </w:rPr>
      </w:pPr>
      <w:r>
        <w:rPr>
          <w:rFonts w:hint="eastAsia" w:ascii="宋体" w:hAnsi="宋体" w:cs="宋体"/>
          <w:szCs w:val="24"/>
        </w:rPr>
        <w:t>法定代表人或其代理人(签字或盖章)：</w:t>
      </w:r>
    </w:p>
    <w:p>
      <w:pPr>
        <w:spacing w:line="360" w:lineRule="exact"/>
        <w:rPr>
          <w:rFonts w:ascii="宋体" w:hAnsi="宋体" w:cs="宋体"/>
          <w:b/>
          <w:bCs/>
          <w:sz w:val="24"/>
        </w:rPr>
      </w:pPr>
      <w:r>
        <w:rPr>
          <w:rFonts w:hint="eastAsia" w:ascii="宋体" w:hAnsi="宋体" w:cs="宋体"/>
          <w:sz w:val="24"/>
        </w:rPr>
        <w:t>日期：   年   月    日</w:t>
      </w:r>
    </w:p>
    <w:p>
      <w:pPr>
        <w:spacing w:line="300" w:lineRule="auto"/>
        <w:rPr>
          <w:rFonts w:hint="eastAsia" w:ascii="宋体" w:hAnsi="宋体" w:cs="宋体"/>
          <w:b/>
        </w:rPr>
      </w:pPr>
    </w:p>
    <w:p>
      <w:pPr>
        <w:pStyle w:val="2"/>
        <w:rPr>
          <w:rFonts w:hint="eastAsia"/>
        </w:rPr>
      </w:pPr>
      <w:r>
        <w:rPr>
          <w:rFonts w:eastAsia="宋体" w:cs="宋体"/>
          <w:bCs/>
          <w:sz w:val="28"/>
          <w:szCs w:val="28"/>
        </w:rPr>
        <w:br w:type="page"/>
      </w:r>
    </w:p>
    <w:p>
      <w:pPr>
        <w:spacing w:line="300" w:lineRule="auto"/>
        <w:outlineLvl w:val="0"/>
        <w:rPr>
          <w:rFonts w:hint="eastAsia" w:ascii="宋体" w:hAnsi="宋体"/>
          <w:sz w:val="32"/>
          <w:szCs w:val="32"/>
          <w:highlight w:val="none"/>
        </w:rPr>
      </w:pPr>
      <w:r>
        <w:rPr>
          <w:rFonts w:ascii="宋体" w:hAnsi="宋体"/>
          <w:sz w:val="32"/>
          <w:szCs w:val="32"/>
          <w:highlight w:val="none"/>
        </w:rPr>
        <w:t>附件1</w:t>
      </w:r>
      <w:r>
        <w:rPr>
          <w:rFonts w:hint="eastAsia" w:ascii="宋体" w:hAnsi="宋体"/>
          <w:sz w:val="32"/>
          <w:szCs w:val="32"/>
          <w:highlight w:val="none"/>
        </w:rPr>
        <w:t>2</w:t>
      </w:r>
    </w:p>
    <w:p>
      <w:pPr>
        <w:jc w:val="center"/>
        <w:rPr>
          <w:rFonts w:ascii="宋体" w:hAnsi="宋体" w:cs="仿宋"/>
          <w:bCs/>
          <w:sz w:val="44"/>
          <w:szCs w:val="44"/>
          <w:highlight w:val="none"/>
        </w:rPr>
      </w:pPr>
      <w:r>
        <w:rPr>
          <w:rFonts w:hint="eastAsia" w:ascii="宋体" w:hAnsi="宋体" w:cs="仿宋"/>
          <w:bCs/>
          <w:sz w:val="44"/>
          <w:szCs w:val="44"/>
          <w:highlight w:val="none"/>
        </w:rPr>
        <w:t>质疑函范本</w:t>
      </w:r>
    </w:p>
    <w:p>
      <w:pPr>
        <w:spacing w:before="312" w:line="360" w:lineRule="auto"/>
        <w:rPr>
          <w:rFonts w:ascii="宋体" w:hAnsi="宋体" w:cs="仿宋"/>
          <w:bCs/>
          <w:sz w:val="32"/>
          <w:szCs w:val="32"/>
          <w:highlight w:val="none"/>
        </w:rPr>
      </w:pPr>
      <w:r>
        <w:rPr>
          <w:rFonts w:hint="eastAsia" w:ascii="宋体" w:hAnsi="宋体" w:cs="仿宋"/>
          <w:bCs/>
          <w:sz w:val="32"/>
          <w:szCs w:val="32"/>
          <w:highlight w:val="none"/>
        </w:rPr>
        <w:t>一、质疑供应商基本信息</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质疑供应商：</w:t>
      </w:r>
    </w:p>
    <w:p>
      <w:pPr>
        <w:spacing w:line="360" w:lineRule="auto"/>
        <w:rPr>
          <w:rFonts w:ascii="宋体" w:hAnsi="宋体" w:cs="仿宋"/>
          <w:sz w:val="32"/>
          <w:szCs w:val="32"/>
          <w:highlight w:val="none"/>
        </w:rPr>
      </w:pPr>
      <w:r>
        <w:rPr>
          <w:rFonts w:hint="eastAsia" w:ascii="宋体" w:hAnsi="宋体" w:cs="仿宋"/>
          <w:sz w:val="32"/>
          <w:szCs w:val="32"/>
          <w:highlight w:val="none"/>
        </w:rPr>
        <w:t>地址： 邮编：</w:t>
      </w:r>
    </w:p>
    <w:p>
      <w:pPr>
        <w:spacing w:line="360" w:lineRule="auto"/>
        <w:rPr>
          <w:rFonts w:ascii="宋体" w:hAnsi="宋体" w:cs="仿宋"/>
          <w:sz w:val="32"/>
          <w:szCs w:val="32"/>
          <w:highlight w:val="none"/>
        </w:rPr>
      </w:pPr>
      <w:r>
        <w:rPr>
          <w:rFonts w:hint="eastAsia" w:ascii="宋体" w:hAnsi="宋体" w:cs="仿宋"/>
          <w:sz w:val="32"/>
          <w:szCs w:val="32"/>
          <w:highlight w:val="none"/>
        </w:rPr>
        <w:t>联系人：联系电话：</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授权代表：</w:t>
      </w:r>
    </w:p>
    <w:p>
      <w:pPr>
        <w:spacing w:line="360" w:lineRule="auto"/>
        <w:rPr>
          <w:rFonts w:ascii="宋体" w:hAnsi="宋体" w:cs="仿宋"/>
          <w:sz w:val="32"/>
          <w:szCs w:val="32"/>
          <w:highlight w:val="none"/>
        </w:rPr>
      </w:pPr>
      <w:r>
        <w:rPr>
          <w:rFonts w:hint="eastAsia" w:ascii="宋体" w:hAnsi="宋体" w:cs="仿宋"/>
          <w:sz w:val="32"/>
          <w:szCs w:val="32"/>
          <w:highlight w:val="none"/>
        </w:rPr>
        <w:t>联系电话：</w:t>
      </w:r>
    </w:p>
    <w:p>
      <w:pPr>
        <w:spacing w:line="360" w:lineRule="auto"/>
        <w:rPr>
          <w:rFonts w:ascii="宋体" w:hAnsi="宋体" w:cs="仿宋"/>
          <w:sz w:val="32"/>
          <w:szCs w:val="32"/>
          <w:highlight w:val="none"/>
        </w:rPr>
      </w:pPr>
      <w:r>
        <w:rPr>
          <w:rFonts w:hint="eastAsia" w:ascii="宋体" w:hAnsi="宋体" w:cs="仿宋"/>
          <w:sz w:val="32"/>
          <w:szCs w:val="32"/>
          <w:highlight w:val="none"/>
        </w:rPr>
        <w:t>地址：邮编：</w:t>
      </w:r>
    </w:p>
    <w:p>
      <w:pPr>
        <w:spacing w:line="360" w:lineRule="auto"/>
        <w:rPr>
          <w:rFonts w:ascii="宋体" w:hAnsi="宋体" w:cs="仿宋"/>
          <w:bCs/>
          <w:sz w:val="32"/>
          <w:szCs w:val="32"/>
          <w:highlight w:val="none"/>
        </w:rPr>
      </w:pPr>
      <w:r>
        <w:rPr>
          <w:rFonts w:hint="eastAsia" w:ascii="宋体" w:hAnsi="宋体" w:cs="仿宋"/>
          <w:bCs/>
          <w:sz w:val="32"/>
          <w:szCs w:val="32"/>
          <w:highlight w:val="none"/>
        </w:rPr>
        <w:t>二、质疑项目基本情况</w:t>
      </w:r>
    </w:p>
    <w:p>
      <w:pPr>
        <w:spacing w:line="360" w:lineRule="auto"/>
        <w:rPr>
          <w:rFonts w:ascii="宋体" w:hAnsi="宋体" w:cs="仿宋"/>
          <w:sz w:val="32"/>
          <w:szCs w:val="32"/>
          <w:highlight w:val="none"/>
        </w:rPr>
      </w:pPr>
      <w:r>
        <w:rPr>
          <w:rFonts w:hint="eastAsia" w:ascii="宋体" w:hAnsi="宋体" w:cs="仿宋"/>
          <w:sz w:val="32"/>
          <w:szCs w:val="32"/>
          <w:highlight w:val="none"/>
        </w:rPr>
        <w:t>质疑项目的名称：</w:t>
      </w:r>
    </w:p>
    <w:p>
      <w:pPr>
        <w:spacing w:line="360" w:lineRule="auto"/>
        <w:rPr>
          <w:rFonts w:ascii="宋体" w:hAnsi="宋体" w:cs="仿宋"/>
          <w:sz w:val="32"/>
          <w:szCs w:val="32"/>
          <w:highlight w:val="none"/>
        </w:rPr>
      </w:pPr>
      <w:r>
        <w:rPr>
          <w:rFonts w:hint="eastAsia" w:ascii="宋体" w:hAnsi="宋体" w:cs="仿宋"/>
          <w:sz w:val="32"/>
          <w:szCs w:val="32"/>
          <w:highlight w:val="none"/>
        </w:rPr>
        <w:t>质疑项目的编号：包号：</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采购人名称：</w:t>
      </w:r>
    </w:p>
    <w:p>
      <w:pPr>
        <w:spacing w:line="360" w:lineRule="auto"/>
        <w:rPr>
          <w:rFonts w:ascii="宋体" w:hAnsi="宋体" w:cs="仿宋"/>
          <w:sz w:val="32"/>
          <w:szCs w:val="32"/>
          <w:highlight w:val="none"/>
        </w:rPr>
      </w:pPr>
      <w:r>
        <w:rPr>
          <w:rFonts w:hint="eastAsia" w:ascii="宋体" w:hAnsi="宋体" w:cs="仿宋"/>
          <w:sz w:val="32"/>
          <w:szCs w:val="32"/>
          <w:highlight w:val="none"/>
        </w:rPr>
        <w:t>采购文件获取日期：</w:t>
      </w:r>
    </w:p>
    <w:p>
      <w:pPr>
        <w:spacing w:line="360" w:lineRule="auto"/>
        <w:rPr>
          <w:rFonts w:ascii="宋体" w:hAnsi="宋体" w:cs="仿宋"/>
          <w:bCs/>
          <w:sz w:val="32"/>
          <w:szCs w:val="32"/>
          <w:highlight w:val="none"/>
        </w:rPr>
      </w:pPr>
      <w:r>
        <w:rPr>
          <w:rFonts w:hint="eastAsia" w:ascii="宋体" w:hAnsi="宋体" w:cs="仿宋"/>
          <w:bCs/>
          <w:sz w:val="32"/>
          <w:szCs w:val="32"/>
          <w:highlight w:val="none"/>
        </w:rPr>
        <w:t>三、质疑事项具体内容</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质疑事项1：</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事实依据：</w:t>
      </w:r>
    </w:p>
    <w:p>
      <w:pPr>
        <w:spacing w:line="360" w:lineRule="auto"/>
        <w:rPr>
          <w:rFonts w:ascii="宋体" w:hAnsi="宋体" w:cs="仿宋"/>
          <w:sz w:val="32"/>
          <w:szCs w:val="32"/>
          <w:highlight w:val="none"/>
        </w:rPr>
      </w:pPr>
    </w:p>
    <w:p>
      <w:pPr>
        <w:spacing w:line="360" w:lineRule="auto"/>
        <w:rPr>
          <w:rFonts w:ascii="宋体" w:hAnsi="宋体" w:cs="仿宋"/>
          <w:sz w:val="32"/>
          <w:szCs w:val="32"/>
          <w:highlight w:val="none"/>
          <w:u w:val="single"/>
        </w:rPr>
      </w:pPr>
      <w:r>
        <w:rPr>
          <w:rFonts w:hint="eastAsia" w:ascii="宋体" w:hAnsi="宋体" w:cs="仿宋"/>
          <w:sz w:val="32"/>
          <w:szCs w:val="32"/>
          <w:highlight w:val="none"/>
        </w:rPr>
        <w:t>法律依据：</w:t>
      </w:r>
    </w:p>
    <w:p>
      <w:pPr>
        <w:spacing w:line="360" w:lineRule="auto"/>
        <w:rPr>
          <w:rFonts w:ascii="宋体" w:hAnsi="宋体" w:cs="仿宋"/>
          <w:sz w:val="32"/>
          <w:szCs w:val="32"/>
          <w:highlight w:val="none"/>
          <w:u w:val="single"/>
        </w:rPr>
      </w:pPr>
    </w:p>
    <w:p>
      <w:pPr>
        <w:spacing w:line="360" w:lineRule="auto"/>
        <w:rPr>
          <w:rFonts w:ascii="宋体" w:hAnsi="宋体" w:cs="仿宋"/>
          <w:sz w:val="32"/>
          <w:szCs w:val="32"/>
          <w:highlight w:val="none"/>
          <w:u w:val="single"/>
        </w:rPr>
      </w:pPr>
      <w:r>
        <w:rPr>
          <w:rFonts w:hint="eastAsia" w:ascii="宋体" w:hAnsi="宋体" w:cs="仿宋"/>
          <w:sz w:val="32"/>
          <w:szCs w:val="32"/>
          <w:highlight w:val="none"/>
        </w:rPr>
        <w:t>质疑事项2</w:t>
      </w:r>
    </w:p>
    <w:p>
      <w:pPr>
        <w:spacing w:line="360" w:lineRule="auto"/>
        <w:rPr>
          <w:rFonts w:ascii="宋体" w:hAnsi="宋体" w:cs="仿宋"/>
          <w:sz w:val="32"/>
          <w:szCs w:val="32"/>
          <w:highlight w:val="none"/>
        </w:rPr>
      </w:pPr>
      <w:r>
        <w:rPr>
          <w:rFonts w:hint="eastAsia" w:ascii="宋体" w:hAnsi="宋体" w:cs="仿宋"/>
          <w:sz w:val="32"/>
          <w:szCs w:val="32"/>
          <w:highlight w:val="none"/>
        </w:rPr>
        <w:t>……</w:t>
      </w:r>
    </w:p>
    <w:p>
      <w:pPr>
        <w:spacing w:line="360" w:lineRule="auto"/>
        <w:rPr>
          <w:rFonts w:ascii="宋体" w:hAnsi="宋体" w:cs="仿宋"/>
          <w:bCs/>
          <w:sz w:val="32"/>
          <w:szCs w:val="32"/>
          <w:highlight w:val="none"/>
        </w:rPr>
      </w:pPr>
      <w:r>
        <w:rPr>
          <w:rFonts w:hint="eastAsia" w:ascii="宋体" w:hAnsi="宋体" w:cs="仿宋"/>
          <w:bCs/>
          <w:sz w:val="32"/>
          <w:szCs w:val="32"/>
          <w:highlight w:val="none"/>
        </w:rPr>
        <w:t>四、与质疑事项相关的质疑请求</w:t>
      </w:r>
    </w:p>
    <w:p>
      <w:pPr>
        <w:spacing w:line="360" w:lineRule="auto"/>
        <w:rPr>
          <w:rFonts w:ascii="宋体" w:hAnsi="宋体" w:cs="仿宋"/>
          <w:sz w:val="32"/>
          <w:szCs w:val="32"/>
          <w:highlight w:val="none"/>
          <w:u w:val="single"/>
        </w:rPr>
      </w:pPr>
      <w:r>
        <w:rPr>
          <w:rFonts w:hint="eastAsia" w:ascii="宋体" w:hAnsi="宋体" w:cs="仿宋"/>
          <w:sz w:val="32"/>
          <w:szCs w:val="32"/>
          <w:highlight w:val="none"/>
        </w:rPr>
        <w:t>请求：</w:t>
      </w:r>
    </w:p>
    <w:p>
      <w:pPr>
        <w:rPr>
          <w:rFonts w:ascii="宋体" w:hAnsi="宋体"/>
          <w:sz w:val="30"/>
          <w:szCs w:val="30"/>
          <w:highlight w:val="none"/>
        </w:rPr>
      </w:pPr>
      <w:r>
        <w:rPr>
          <w:rFonts w:hint="eastAsia" w:ascii="宋体" w:hAnsi="宋体"/>
          <w:sz w:val="30"/>
          <w:szCs w:val="30"/>
          <w:highlight w:val="none"/>
        </w:rPr>
        <w:t xml:space="preserve">签字(签章)：                   公章：                      </w:t>
      </w:r>
    </w:p>
    <w:p>
      <w:pPr>
        <w:rPr>
          <w:rFonts w:ascii="宋体" w:hAnsi="宋体"/>
          <w:sz w:val="30"/>
          <w:szCs w:val="30"/>
          <w:highlight w:val="none"/>
        </w:rPr>
      </w:pPr>
      <w:r>
        <w:rPr>
          <w:rFonts w:hint="eastAsia" w:ascii="宋体" w:hAnsi="宋体"/>
          <w:sz w:val="30"/>
          <w:szCs w:val="30"/>
          <w:highlight w:val="none"/>
        </w:rPr>
        <w:t xml:space="preserve">日期：    </w:t>
      </w:r>
    </w:p>
    <w:p>
      <w:pPr>
        <w:spacing w:line="360" w:lineRule="auto"/>
        <w:rPr>
          <w:rFonts w:ascii="宋体" w:hAnsi="宋体" w:cs="仿宋"/>
          <w:sz w:val="32"/>
          <w:szCs w:val="32"/>
          <w:highlight w:val="none"/>
        </w:rPr>
      </w:pPr>
    </w:p>
    <w:p>
      <w:pPr>
        <w:rPr>
          <w:rFonts w:ascii="宋体" w:hAnsi="宋体"/>
          <w:b/>
          <w:sz w:val="32"/>
          <w:szCs w:val="32"/>
          <w:highlight w:val="none"/>
        </w:rPr>
      </w:pPr>
    </w:p>
    <w:p>
      <w:pPr>
        <w:rPr>
          <w:rFonts w:ascii="宋体" w:hAnsi="宋体"/>
          <w:b/>
          <w:sz w:val="32"/>
          <w:szCs w:val="32"/>
          <w:highlight w:val="none"/>
        </w:rPr>
      </w:pPr>
      <w:r>
        <w:rPr>
          <w:rFonts w:hint="eastAsia" w:ascii="宋体" w:hAnsi="宋体"/>
          <w:b/>
          <w:sz w:val="32"/>
          <w:szCs w:val="32"/>
          <w:highlight w:val="none"/>
        </w:rPr>
        <w:t>质疑函制作说明：</w:t>
      </w:r>
    </w:p>
    <w:p>
      <w:pPr>
        <w:widowControl/>
        <w:ind w:firstLine="640"/>
        <w:jc w:val="left"/>
        <w:rPr>
          <w:rFonts w:ascii="宋体" w:hAnsi="宋体"/>
          <w:sz w:val="32"/>
          <w:szCs w:val="32"/>
          <w:highlight w:val="none"/>
        </w:rPr>
      </w:pPr>
      <w:r>
        <w:rPr>
          <w:rFonts w:hint="eastAsia" w:ascii="宋体" w:hAnsi="宋体"/>
          <w:sz w:val="32"/>
          <w:szCs w:val="32"/>
          <w:highlight w:val="none"/>
        </w:rPr>
        <w:t>1.供应商提出质疑时，应提交质疑函和必要的证明材料。</w:t>
      </w:r>
    </w:p>
    <w:p>
      <w:pPr>
        <w:widowControl/>
        <w:ind w:firstLine="640"/>
        <w:jc w:val="left"/>
        <w:rPr>
          <w:rFonts w:ascii="宋体" w:hAnsi="宋体"/>
          <w:sz w:val="32"/>
          <w:szCs w:val="32"/>
          <w:highlight w:val="none"/>
        </w:rPr>
      </w:pPr>
      <w:r>
        <w:rPr>
          <w:rFonts w:hint="eastAsia" w:ascii="宋体" w:hAnsi="宋体"/>
          <w:sz w:val="32"/>
          <w:szCs w:val="32"/>
          <w:highlight w:val="none"/>
        </w:rPr>
        <w:t>2.质疑供应商若委托代理人进行质疑的，质疑函应按要求列明“授权代表”的有关内容，并在附件中提交由质疑</w:t>
      </w:r>
      <w:r>
        <w:rPr>
          <w:rFonts w:hint="eastAsia" w:ascii="宋体" w:hAnsi="宋体" w:cs="宋体"/>
          <w:sz w:val="32"/>
          <w:szCs w:val="32"/>
          <w:highlight w:val="none"/>
        </w:rPr>
        <w:t>供应商签署的授权委托书。授权委托书应载明代理人的姓名或者名称、代理事项、具体权限、期限和相关事项。</w:t>
      </w:r>
    </w:p>
    <w:p>
      <w:pPr>
        <w:widowControl/>
        <w:ind w:firstLine="640"/>
        <w:jc w:val="left"/>
        <w:rPr>
          <w:rFonts w:ascii="宋体" w:hAnsi="宋体"/>
          <w:sz w:val="32"/>
          <w:szCs w:val="32"/>
          <w:highlight w:val="none"/>
        </w:rPr>
      </w:pPr>
      <w:r>
        <w:rPr>
          <w:rFonts w:hint="eastAsia" w:ascii="宋体" w:hAnsi="宋体"/>
          <w:sz w:val="32"/>
          <w:szCs w:val="32"/>
          <w:highlight w:val="none"/>
        </w:rPr>
        <w:t>3.质疑供应商若对项目的某一分包进行质疑，质疑函中应列明具体分包号。</w:t>
      </w:r>
    </w:p>
    <w:p>
      <w:pPr>
        <w:widowControl/>
        <w:ind w:firstLine="640"/>
        <w:jc w:val="left"/>
        <w:rPr>
          <w:rFonts w:ascii="宋体" w:hAnsi="宋体"/>
          <w:sz w:val="32"/>
          <w:szCs w:val="32"/>
          <w:highlight w:val="none"/>
        </w:rPr>
      </w:pPr>
      <w:r>
        <w:rPr>
          <w:rFonts w:hint="eastAsia" w:ascii="宋体" w:hAnsi="宋体"/>
          <w:sz w:val="32"/>
          <w:szCs w:val="32"/>
          <w:highlight w:val="none"/>
        </w:rPr>
        <w:t>4.质疑函的质疑事项应具体、明确，并有必要的事实依据和法律依据。</w:t>
      </w:r>
    </w:p>
    <w:p>
      <w:pPr>
        <w:widowControl/>
        <w:ind w:firstLine="640"/>
        <w:jc w:val="left"/>
        <w:rPr>
          <w:rFonts w:ascii="宋体" w:hAnsi="宋体"/>
          <w:sz w:val="32"/>
          <w:szCs w:val="32"/>
          <w:highlight w:val="none"/>
        </w:rPr>
      </w:pPr>
      <w:r>
        <w:rPr>
          <w:rFonts w:hint="eastAsia" w:ascii="宋体" w:hAnsi="宋体"/>
          <w:sz w:val="32"/>
          <w:szCs w:val="32"/>
          <w:highlight w:val="none"/>
        </w:rPr>
        <w:t>5.质疑函的质疑请求应与质疑事项相关。</w:t>
      </w:r>
    </w:p>
    <w:p>
      <w:pPr>
        <w:widowControl/>
        <w:ind w:firstLine="640"/>
        <w:jc w:val="left"/>
        <w:rPr>
          <w:rFonts w:hint="eastAsia" w:ascii="宋体" w:hAnsi="宋体"/>
          <w:sz w:val="32"/>
          <w:szCs w:val="32"/>
          <w:highlight w:val="none"/>
        </w:rPr>
      </w:pPr>
      <w:r>
        <w:rPr>
          <w:rFonts w:hint="eastAsia" w:ascii="宋体" w:hAnsi="宋体"/>
          <w:sz w:val="32"/>
          <w:szCs w:val="32"/>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361" w:right="1361" w:bottom="1361" w:left="1361"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monospace">
    <w:altName w:val="DejaVu Math TeX Gyre"/>
    <w:panose1 w:val="020B0503020202020204"/>
    <w:charset w:val="00"/>
    <w:family w:val="auto"/>
    <w:pitch w:val="default"/>
    <w:sig w:usb0="00000000" w:usb1="00000000" w:usb2="00000000" w:usb3="00000000" w:csb0="00000000" w:csb1="00000000"/>
  </w:font>
  <w:font w:name="ˎ̥">
    <w:altName w:val="DejaVu Math TeX Gyre"/>
    <w:panose1 w:val="020B0503020202020204"/>
    <w:charset w:val="00"/>
    <w:family w:val="auto"/>
    <w:pitch w:val="default"/>
    <w:sig w:usb0="00000000" w:usb1="00000000" w:usb2="00000000" w:usb3="00000000" w:csb0="00000000" w:csb1="00000000"/>
  </w:font>
  <w:font w:name="等线">
    <w:altName w:val="微软雅黑"/>
    <w:panose1 w:val="0201060003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B0503020202020204"/>
    <w:charset w:val="00"/>
    <w:family w:val="auto"/>
    <w:pitch w:val="default"/>
    <w:sig w:usb0="00000000" w:usb1="00000000" w:usb2="00000000" w:usb3="00000000" w:csb0="00000000" w:csb1="00000000"/>
  </w:font>
  <w:font w:name="方正小标宋_GBK">
    <w:altName w:val="微软雅黑"/>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Impact">
    <w:panose1 w:val="020B0806030902050204"/>
    <w:charset w:val="00"/>
    <w:family w:val="auto"/>
    <w:pitch w:val="default"/>
    <w:sig w:usb0="00000287" w:usb1="00000000" w:usb2="00000000" w:usb3="00000000" w:csb0="2000009F" w:csb1="DFD70000"/>
  </w:font>
  <w:font w:name="___WRD_EMBED_SUB_347">
    <w:altName w:val="DejaVu Math TeX Gyre"/>
    <w:panose1 w:val="020B0503020202020204"/>
    <w:charset w:val="00"/>
    <w:family w:val="auto"/>
    <w:pitch w:val="default"/>
    <w:sig w:usb0="00000000" w:usb1="00000000" w:usb2="00000000" w:usb3="00000000" w:csb0="00000000" w:csb1="00000000"/>
  </w:font>
  <w:font w:name="___WRD_EMBED_SUB_348">
    <w:altName w:val="DejaVu Math TeX Gyre"/>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41"/>
                            <w:tabs>
                              <w:tab w:val="clear" w:pos="4153"/>
                              <w:tab w:val="clear" w:pos="8306"/>
                            </w:tabs>
                          </w:pPr>
                          <w:r>
                            <w:t xml:space="preserve">— </w:t>
                          </w:r>
                          <w:r>
                            <w:fldChar w:fldCharType="begin"/>
                          </w:r>
                          <w:r>
                            <w:instrText xml:space="preserve"> PAGE  \* MERGEFORMAT </w:instrText>
                          </w:r>
                          <w:r>
                            <w:fldChar w:fldCharType="separate"/>
                          </w:r>
                          <w:r>
                            <w:t>4</w:t>
                          </w:r>
                          <w:r>
                            <w:fldChar w:fldCharType="end"/>
                          </w:r>
                          <w:r>
                            <w:t xml:space="preserve"> —</w:t>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pPr>
                      <w:pStyle w:val="241"/>
                      <w:tabs>
                        <w:tab w:val="clear" w:pos="4153"/>
                        <w:tab w:val="clear" w:pos="8306"/>
                      </w:tabs>
                    </w:pPr>
                    <w:r>
                      <w:t xml:space="preserve">— </w:t>
                    </w:r>
                    <w:r>
                      <w:fldChar w:fldCharType="begin"/>
                    </w:r>
                    <w:r>
                      <w:instrText xml:space="preserve"> PAGE  \* MERGEFORMAT </w:instrText>
                    </w:r>
                    <w:r>
                      <w:fldChar w:fldCharType="separate"/>
                    </w:r>
                    <w:r>
                      <w:t>4</w:t>
                    </w:r>
                    <w:r>
                      <w:fldChar w:fldCharType="end"/>
                    </w:r>
                    <w: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7143"/>
        <w:tab w:val="clear" w:pos="14287"/>
      </w:tabs>
    </w:pPr>
  </w:p>
  <w:p>
    <w:pPr>
      <w:pStyle w:val="22"/>
      <w:tabs>
        <w:tab w:val="center" w:pos="4153"/>
        <w:tab w:val="right" w:pos="8306"/>
        <w:tab w:val="clear" w:pos="7143"/>
        <w:tab w:val="clear" w:pos="14287"/>
      </w:tabs>
      <w:jc w:val="center"/>
    </w:pPr>
    <w:r>
      <w:fldChar w:fldCharType="begin"/>
    </w:r>
    <w:r>
      <w:instrText xml:space="preserve">PAGE   \* MERGEFORMAT</w:instrText>
    </w:r>
    <w:r>
      <w:fldChar w:fldCharType="separate"/>
    </w:r>
    <w:r>
      <w:rPr>
        <w:lang w:val="zh-CN"/>
      </w:rPr>
      <w:t>40</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7143"/>
        <w:tab w:val="clear" w:pos="14287"/>
      </w:tabs>
      <w:ind w:left="840" w:hanging="420"/>
      <w:jc w:val="center"/>
    </w:pPr>
    <w:r>
      <w:fldChar w:fldCharType="begin"/>
    </w:r>
    <w:r>
      <w:instrText xml:space="preserve">PAGE   \* MERGEFORMAT</w:instrText>
    </w:r>
    <w:r>
      <w:fldChar w:fldCharType="separate"/>
    </w:r>
    <w:r>
      <w:rPr>
        <w:lang w:val="zh-CN"/>
      </w:rPr>
      <w:t>16</w:t>
    </w:r>
    <w:r>
      <w:rPr>
        <w:lang w:val="zh-CN"/>
      </w:rPr>
      <w:fldChar w:fldCharType="end"/>
    </w:r>
  </w:p>
  <w:p>
    <w:pPr>
      <w:pStyle w:val="22"/>
      <w:tabs>
        <w:tab w:val="center" w:pos="4153"/>
        <w:tab w:val="right" w:pos="8306"/>
        <w:tab w:val="clear" w:pos="7143"/>
        <w:tab w:val="clear" w:pos="14287"/>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7143"/>
        <w:tab w:val="clear" w:pos="14287"/>
      </w:tabs>
      <w:ind w:left="840" w:hanging="42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tabs>
                              <w:tab w:val="center" w:pos="4153"/>
                              <w:tab w:val="right" w:pos="8306"/>
                              <w:tab w:val="clear" w:pos="7143"/>
                              <w:tab w:val="clear" w:pos="14287"/>
                            </w:tabs>
                            <w:ind w:left="840" w:hanging="420"/>
                            <w:jc w:val="center"/>
                          </w:pPr>
                          <w:r>
                            <w:fldChar w:fldCharType="begin"/>
                          </w:r>
                          <w:r>
                            <w:instrText xml:space="preserve">PAGE   \* MERGEFORMAT</w:instrText>
                          </w:r>
                          <w:r>
                            <w:fldChar w:fldCharType="separate"/>
                          </w:r>
                          <w:r>
                            <w:rPr>
                              <w:lang w:val="zh-CN"/>
                            </w:rPr>
                            <w:t>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tabs>
                        <w:tab w:val="center" w:pos="4153"/>
                        <w:tab w:val="right" w:pos="8306"/>
                        <w:tab w:val="clear" w:pos="7143"/>
                        <w:tab w:val="clear" w:pos="14287"/>
                      </w:tabs>
                      <w:ind w:left="840" w:hanging="420"/>
                      <w:jc w:val="center"/>
                    </w:pPr>
                    <w:r>
                      <w:fldChar w:fldCharType="begin"/>
                    </w:r>
                    <w:r>
                      <w:instrText xml:space="preserve">PAGE   \* MERGEFORMAT</w:instrText>
                    </w:r>
                    <w:r>
                      <w:fldChar w:fldCharType="separate"/>
                    </w:r>
                    <w:r>
                      <w:rPr>
                        <w:lang w:val="zh-CN"/>
                      </w:rPr>
                      <w:t>16</w:t>
                    </w:r>
                    <w:r>
                      <w:rPr>
                        <w:lang w:val="zh-CN"/>
                      </w:rPr>
                      <w:fldChar w:fldCharType="end"/>
                    </w:r>
                  </w:p>
                </w:txbxContent>
              </v:textbox>
            </v:shape>
          </w:pict>
        </mc:Fallback>
      </mc:AlternateContent>
    </w:r>
  </w:p>
  <w:p>
    <w:pPr>
      <w:pStyle w:val="22"/>
      <w:tabs>
        <w:tab w:val="center" w:pos="4153"/>
        <w:tab w:val="right" w:pos="8306"/>
        <w:tab w:val="clear" w:pos="7143"/>
        <w:tab w:val="clear" w:pos="1428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 w:val="clear" w:pos="7143"/>
        <w:tab w:val="clear" w:pos="14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6"/>
      <w:numFmt w:val="chineseCounting"/>
      <w:pStyle w:val="458"/>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2BCFA07F"/>
    <w:multiLevelType w:val="singleLevel"/>
    <w:tmpl w:val="2BCFA07F"/>
    <w:lvl w:ilvl="0" w:tentative="0">
      <w:start w:val="6"/>
      <w:numFmt w:val="chineseCounting"/>
      <w:suff w:val="space"/>
      <w:lvlText w:val="第%1部分"/>
      <w:lvlJc w:val="left"/>
      <w:rPr>
        <w:rFonts w:hint="eastAsia"/>
      </w:rPr>
    </w:lvl>
  </w:abstractNum>
  <w:abstractNum w:abstractNumId="2">
    <w:nsid w:val="4B773116"/>
    <w:multiLevelType w:val="singleLevel"/>
    <w:tmpl w:val="4B773116"/>
    <w:lvl w:ilvl="0" w:tentative="0">
      <w:start w:val="6"/>
      <w:numFmt w:val="decimal"/>
      <w:suff w:val="nothing"/>
      <w:lvlText w:val="（%1）"/>
      <w:lvlJc w:val="left"/>
    </w:lvl>
  </w:abstractNum>
  <w:abstractNum w:abstractNumId="3">
    <w:nsid w:val="64FAAA3D"/>
    <w:multiLevelType w:val="singleLevel"/>
    <w:tmpl w:val="64FAAA3D"/>
    <w:lvl w:ilvl="0" w:tentative="0">
      <w:start w:val="3"/>
      <w:numFmt w:val="chineseCounting"/>
      <w:suff w:val="nothing"/>
      <w:lvlText w:val="%1、"/>
      <w:lvlJc w:val="left"/>
      <w:rPr>
        <w:rFonts w:hint="eastAsia"/>
      </w:rPr>
    </w:lvl>
  </w:abstractNum>
  <w:abstractNum w:abstractNumId="4">
    <w:nsid w:val="74B508E7"/>
    <w:multiLevelType w:val="singleLevel"/>
    <w:tmpl w:val="74B508E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YjQ5MDhhMjExZDE4MDgzYzU0Yzg5MDk2OTU1MTUifQ=="/>
  </w:docVars>
  <w:rsids>
    <w:rsidRoot w:val="00000000"/>
    <w:rsid w:val="00143372"/>
    <w:rsid w:val="003D6656"/>
    <w:rsid w:val="00AB0A7F"/>
    <w:rsid w:val="02B70A04"/>
    <w:rsid w:val="03103BAE"/>
    <w:rsid w:val="05D2001E"/>
    <w:rsid w:val="05E607CC"/>
    <w:rsid w:val="070E2AFA"/>
    <w:rsid w:val="09102B5A"/>
    <w:rsid w:val="09320D22"/>
    <w:rsid w:val="09E93CA6"/>
    <w:rsid w:val="0A30445B"/>
    <w:rsid w:val="0C7E690C"/>
    <w:rsid w:val="0DF20A80"/>
    <w:rsid w:val="11186A50"/>
    <w:rsid w:val="12674CCF"/>
    <w:rsid w:val="12BE594B"/>
    <w:rsid w:val="139A199E"/>
    <w:rsid w:val="17FE4AAC"/>
    <w:rsid w:val="1BB31A7A"/>
    <w:rsid w:val="1C550B58"/>
    <w:rsid w:val="1CB272DF"/>
    <w:rsid w:val="1D022362"/>
    <w:rsid w:val="1D905BC0"/>
    <w:rsid w:val="1ECB0EF5"/>
    <w:rsid w:val="21696E53"/>
    <w:rsid w:val="224F7DF7"/>
    <w:rsid w:val="25354C36"/>
    <w:rsid w:val="254276EE"/>
    <w:rsid w:val="25DE13A4"/>
    <w:rsid w:val="26EF4A14"/>
    <w:rsid w:val="271E3905"/>
    <w:rsid w:val="29231FDE"/>
    <w:rsid w:val="2B7F799F"/>
    <w:rsid w:val="32B41248"/>
    <w:rsid w:val="34397489"/>
    <w:rsid w:val="35304CD4"/>
    <w:rsid w:val="358D294C"/>
    <w:rsid w:val="36AE1139"/>
    <w:rsid w:val="381409D8"/>
    <w:rsid w:val="38DD5C76"/>
    <w:rsid w:val="39EE7A9E"/>
    <w:rsid w:val="3AC86541"/>
    <w:rsid w:val="3C942B7F"/>
    <w:rsid w:val="3E5A193A"/>
    <w:rsid w:val="401D2E8B"/>
    <w:rsid w:val="41FF4F3E"/>
    <w:rsid w:val="42216661"/>
    <w:rsid w:val="429513FF"/>
    <w:rsid w:val="44DC1567"/>
    <w:rsid w:val="45854E0B"/>
    <w:rsid w:val="47855EE6"/>
    <w:rsid w:val="47E80223"/>
    <w:rsid w:val="49212A41"/>
    <w:rsid w:val="4D6F3DD5"/>
    <w:rsid w:val="4DFE254E"/>
    <w:rsid w:val="4F7505EE"/>
    <w:rsid w:val="526920BF"/>
    <w:rsid w:val="57226098"/>
    <w:rsid w:val="595A2602"/>
    <w:rsid w:val="59DB1995"/>
    <w:rsid w:val="5B8816A9"/>
    <w:rsid w:val="5BF923B3"/>
    <w:rsid w:val="5D535CE6"/>
    <w:rsid w:val="5EC96260"/>
    <w:rsid w:val="60006C4D"/>
    <w:rsid w:val="62013E66"/>
    <w:rsid w:val="63352116"/>
    <w:rsid w:val="63406F12"/>
    <w:rsid w:val="655C6080"/>
    <w:rsid w:val="66104D81"/>
    <w:rsid w:val="686B482C"/>
    <w:rsid w:val="68880F3A"/>
    <w:rsid w:val="6BBE4C73"/>
    <w:rsid w:val="6D154D66"/>
    <w:rsid w:val="6E241705"/>
    <w:rsid w:val="713E488C"/>
    <w:rsid w:val="72B8241C"/>
    <w:rsid w:val="744228E5"/>
    <w:rsid w:val="74867B16"/>
    <w:rsid w:val="75BA294F"/>
    <w:rsid w:val="77AE0291"/>
    <w:rsid w:val="7A5C2227"/>
    <w:rsid w:val="7A992B33"/>
    <w:rsid w:val="7BBD1A61"/>
    <w:rsid w:val="7BCE1321"/>
    <w:rsid w:val="7F642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0"/>
    <w:autoRedefine/>
    <w:unhideWhenUsed/>
    <w:qFormat/>
    <w:uiPriority w:val="9"/>
    <w:pPr>
      <w:keepNext/>
      <w:keepLines/>
      <w:spacing w:before="360" w:after="200"/>
      <w:outlineLvl w:val="1"/>
    </w:pPr>
    <w:rPr>
      <w:rFonts w:ascii="Arial" w:hAnsi="Arial" w:eastAsia="Arial" w:cs="Arial"/>
      <w:sz w:val="34"/>
    </w:rPr>
  </w:style>
  <w:style w:type="paragraph" w:styleId="2">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spacing w:after="57"/>
      <w:ind w:left="1701" w:right="0" w:firstLine="0"/>
    </w:pPr>
  </w:style>
  <w:style w:type="paragraph" w:styleId="12">
    <w:name w:val="Normal Indent"/>
    <w:basedOn w:val="1"/>
    <w:qFormat/>
    <w:uiPriority w:val="0"/>
    <w:pPr>
      <w:ind w:firstLine="420"/>
    </w:pPr>
    <w:rPr>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autoRedefine/>
    <w:qFormat/>
    <w:uiPriority w:val="0"/>
    <w:rPr>
      <w:rFonts w:ascii="仿宋_GB2312" w:eastAsia="仿宋_GB2312"/>
      <w:kern w:val="0"/>
      <w:sz w:val="24"/>
      <w:szCs w:val="20"/>
    </w:rPr>
  </w:style>
  <w:style w:type="paragraph" w:styleId="15">
    <w:name w:val="Body Text Indent"/>
    <w:basedOn w:val="1"/>
    <w:qFormat/>
    <w:uiPriority w:val="0"/>
    <w:pPr>
      <w:spacing w:line="360" w:lineRule="auto"/>
      <w:ind w:firstLine="420"/>
    </w:pPr>
    <w:rPr>
      <w:rFonts w:ascii="宋体"/>
      <w:sz w:val="24"/>
    </w:rPr>
  </w:style>
  <w:style w:type="paragraph" w:styleId="16">
    <w:name w:val="toc 5"/>
    <w:basedOn w:val="1"/>
    <w:next w:val="1"/>
    <w:unhideWhenUsed/>
    <w:uiPriority w:val="39"/>
    <w:pPr>
      <w:spacing w:after="57"/>
      <w:ind w:left="1134" w:right="0" w:firstLine="0"/>
    </w:pPr>
  </w:style>
  <w:style w:type="paragraph" w:styleId="17">
    <w:name w:val="toc 3"/>
    <w:basedOn w:val="1"/>
    <w:next w:val="1"/>
    <w:unhideWhenUsed/>
    <w:uiPriority w:val="39"/>
    <w:pPr>
      <w:spacing w:after="57"/>
      <w:ind w:left="567" w:right="0" w:firstLine="0"/>
    </w:pPr>
  </w:style>
  <w:style w:type="paragraph" w:styleId="18">
    <w:name w:val="Plain Text"/>
    <w:basedOn w:val="1"/>
    <w:uiPriority w:val="0"/>
    <w:rPr>
      <w:rFonts w:ascii="宋体" w:hAnsi="Courier New"/>
      <w:sz w:val="28"/>
    </w:rPr>
  </w:style>
  <w:style w:type="paragraph" w:styleId="19">
    <w:name w:val="toc 8"/>
    <w:basedOn w:val="1"/>
    <w:next w:val="1"/>
    <w:unhideWhenUsed/>
    <w:uiPriority w:val="39"/>
    <w:pPr>
      <w:spacing w:after="57"/>
      <w:ind w:left="1984" w:right="0" w:firstLine="0"/>
    </w:pPr>
  </w:style>
  <w:style w:type="paragraph" w:styleId="20">
    <w:name w:val="Body Text Indent 2"/>
    <w:basedOn w:val="1"/>
    <w:qFormat/>
    <w:uiPriority w:val="0"/>
    <w:pPr>
      <w:ind w:firstLine="560" w:firstLineChars="200"/>
    </w:pPr>
    <w:rPr>
      <w:rFonts w:ascii="宋体" w:hAnsi="宋体"/>
      <w:sz w:val="28"/>
    </w:rPr>
  </w:style>
  <w:style w:type="paragraph" w:styleId="21">
    <w:name w:val="endnote text"/>
    <w:basedOn w:val="1"/>
    <w:link w:val="184"/>
    <w:autoRedefine/>
    <w:semiHidden/>
    <w:unhideWhenUsed/>
    <w:uiPriority w:val="99"/>
    <w:pPr>
      <w:spacing w:after="0" w:line="240" w:lineRule="auto"/>
    </w:pPr>
    <w:rPr>
      <w:sz w:val="20"/>
    </w:rPr>
  </w:style>
  <w:style w:type="paragraph" w:styleId="22">
    <w:name w:val="footer"/>
    <w:basedOn w:val="1"/>
    <w:link w:val="57"/>
    <w:unhideWhenUsed/>
    <w:uiPriority w:val="99"/>
    <w:pPr>
      <w:tabs>
        <w:tab w:val="center" w:pos="7143"/>
        <w:tab w:val="right" w:pos="14287"/>
      </w:tabs>
      <w:spacing w:after="0" w:line="240" w:lineRule="auto"/>
    </w:pPr>
  </w:style>
  <w:style w:type="paragraph" w:styleId="23">
    <w:name w:val="header"/>
    <w:basedOn w:val="1"/>
    <w:link w:val="55"/>
    <w:unhideWhenUsed/>
    <w:uiPriority w:val="99"/>
    <w:pPr>
      <w:tabs>
        <w:tab w:val="center" w:pos="7143"/>
        <w:tab w:val="right" w:pos="14287"/>
      </w:tabs>
      <w:spacing w:after="0" w:line="240" w:lineRule="auto"/>
    </w:pPr>
  </w:style>
  <w:style w:type="paragraph" w:styleId="24">
    <w:name w:val="toc 1"/>
    <w:basedOn w:val="1"/>
    <w:next w:val="1"/>
    <w:unhideWhenUsed/>
    <w:uiPriority w:val="39"/>
    <w:pPr>
      <w:spacing w:after="57"/>
      <w:ind w:left="0" w:right="0" w:firstLine="0"/>
    </w:pPr>
  </w:style>
  <w:style w:type="paragraph" w:styleId="25">
    <w:name w:val="toc 4"/>
    <w:basedOn w:val="1"/>
    <w:next w:val="1"/>
    <w:unhideWhenUsed/>
    <w:uiPriority w:val="39"/>
    <w:pPr>
      <w:spacing w:after="57"/>
      <w:ind w:left="850" w:right="0" w:firstLine="0"/>
    </w:pPr>
  </w:style>
  <w:style w:type="paragraph" w:styleId="26">
    <w:name w:val="Subtitle"/>
    <w:basedOn w:val="1"/>
    <w:next w:val="1"/>
    <w:link w:val="50"/>
    <w:autoRedefine/>
    <w:qFormat/>
    <w:uiPriority w:val="11"/>
    <w:pPr>
      <w:spacing w:before="200" w:after="200"/>
    </w:pPr>
    <w:rPr>
      <w:sz w:val="24"/>
      <w:szCs w:val="24"/>
    </w:rPr>
  </w:style>
  <w:style w:type="paragraph" w:styleId="27">
    <w:name w:val="footnote text"/>
    <w:basedOn w:val="1"/>
    <w:link w:val="183"/>
    <w:semiHidden/>
    <w:unhideWhenUsed/>
    <w:uiPriority w:val="99"/>
    <w:pPr>
      <w:spacing w:after="40" w:line="240" w:lineRule="auto"/>
    </w:pPr>
    <w:rPr>
      <w:sz w:val="18"/>
    </w:rPr>
  </w:style>
  <w:style w:type="paragraph" w:styleId="28">
    <w:name w:val="toc 6"/>
    <w:basedOn w:val="1"/>
    <w:next w:val="1"/>
    <w:unhideWhenUsed/>
    <w:uiPriority w:val="39"/>
    <w:pPr>
      <w:spacing w:after="57"/>
      <w:ind w:left="1417" w:right="0" w:firstLine="0"/>
    </w:pPr>
  </w:style>
  <w:style w:type="paragraph" w:styleId="29">
    <w:name w:val="table of figures"/>
    <w:basedOn w:val="1"/>
    <w:next w:val="1"/>
    <w:unhideWhenUsed/>
    <w:uiPriority w:val="99"/>
    <w:pPr>
      <w:spacing w:after="0" w:afterAutospacing="0"/>
    </w:pPr>
  </w:style>
  <w:style w:type="paragraph" w:styleId="30">
    <w:name w:val="toc 2"/>
    <w:basedOn w:val="1"/>
    <w:next w:val="1"/>
    <w:unhideWhenUsed/>
    <w:uiPriority w:val="39"/>
    <w:pPr>
      <w:spacing w:after="57"/>
      <w:ind w:left="283" w:right="0" w:firstLine="0"/>
    </w:pPr>
  </w:style>
  <w:style w:type="paragraph" w:styleId="31">
    <w:name w:val="toc 9"/>
    <w:basedOn w:val="1"/>
    <w:next w:val="1"/>
    <w:autoRedefine/>
    <w:unhideWhenUsed/>
    <w:uiPriority w:val="39"/>
    <w:pPr>
      <w:spacing w:after="57"/>
      <w:ind w:left="2268" w:right="0" w:firstLine="0"/>
    </w:pPr>
  </w:style>
  <w:style w:type="paragraph" w:styleId="32">
    <w:name w:val="Title"/>
    <w:basedOn w:val="1"/>
    <w:next w:val="1"/>
    <w:link w:val="49"/>
    <w:autoRedefine/>
    <w:qFormat/>
    <w:uiPriority w:val="10"/>
    <w:pPr>
      <w:spacing w:before="300" w:after="200"/>
      <w:contextualSpacing/>
    </w:pPr>
    <w:rPr>
      <w:sz w:val="48"/>
      <w:szCs w:val="48"/>
    </w:rPr>
  </w:style>
  <w:style w:type="table" w:styleId="3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semiHidden/>
    <w:unhideWhenUsed/>
    <w:uiPriority w:val="99"/>
    <w:rPr>
      <w:vertAlign w:val="superscript"/>
    </w:rPr>
  </w:style>
  <w:style w:type="character" w:styleId="37">
    <w:name w:val="Hyperlink"/>
    <w:unhideWhenUsed/>
    <w:uiPriority w:val="99"/>
    <w:rPr>
      <w:color w:val="0000FF" w:themeColor="hyperlink"/>
      <w:u w:val="single"/>
      <w14:textFill>
        <w14:solidFill>
          <w14:schemeClr w14:val="hlink"/>
        </w14:solidFill>
      </w14:textFill>
    </w:rPr>
  </w:style>
  <w:style w:type="character" w:styleId="38">
    <w:name w:val="footnote reference"/>
    <w:unhideWhenUsed/>
    <w:uiPriority w:val="99"/>
    <w:rPr>
      <w:vertAlign w:val="superscript"/>
    </w:rPr>
  </w:style>
  <w:style w:type="character" w:customStyle="1" w:styleId="39">
    <w:name w:val="Heading 1 Char"/>
    <w:link w:val="3"/>
    <w:autoRedefine/>
    <w:qFormat/>
    <w:uiPriority w:val="9"/>
    <w:rPr>
      <w:rFonts w:ascii="Arial" w:hAnsi="Arial" w:eastAsia="Arial" w:cs="Arial"/>
      <w:sz w:val="40"/>
      <w:szCs w:val="40"/>
    </w:rPr>
  </w:style>
  <w:style w:type="character" w:customStyle="1" w:styleId="40">
    <w:name w:val="Heading 2 Char"/>
    <w:link w:val="4"/>
    <w:autoRedefine/>
    <w:qFormat/>
    <w:uiPriority w:val="9"/>
    <w:rPr>
      <w:rFonts w:ascii="Arial" w:hAnsi="Arial" w:eastAsia="Arial" w:cs="Arial"/>
      <w:sz w:val="34"/>
    </w:rPr>
  </w:style>
  <w:style w:type="character" w:customStyle="1" w:styleId="41">
    <w:name w:val="Heading 3 Char"/>
    <w:link w:val="2"/>
    <w:qFormat/>
    <w:uiPriority w:val="9"/>
    <w:rPr>
      <w:rFonts w:ascii="Arial" w:hAnsi="Arial" w:eastAsia="Arial" w:cs="Arial"/>
      <w:sz w:val="30"/>
      <w:szCs w:val="30"/>
    </w:rPr>
  </w:style>
  <w:style w:type="character" w:customStyle="1" w:styleId="42">
    <w:name w:val="Heading 4 Char"/>
    <w:link w:val="5"/>
    <w:uiPriority w:val="9"/>
    <w:rPr>
      <w:rFonts w:ascii="Arial" w:hAnsi="Arial" w:eastAsia="Arial" w:cs="Arial"/>
      <w:b/>
      <w:bCs/>
      <w:sz w:val="26"/>
      <w:szCs w:val="26"/>
    </w:rPr>
  </w:style>
  <w:style w:type="character" w:customStyle="1" w:styleId="43">
    <w:name w:val="Heading 5 Char"/>
    <w:link w:val="6"/>
    <w:autoRedefine/>
    <w:uiPriority w:val="9"/>
    <w:rPr>
      <w:rFonts w:ascii="Arial" w:hAnsi="Arial" w:eastAsia="Arial" w:cs="Arial"/>
      <w:b/>
      <w:bCs/>
      <w:sz w:val="24"/>
      <w:szCs w:val="24"/>
    </w:rPr>
  </w:style>
  <w:style w:type="character" w:customStyle="1" w:styleId="44">
    <w:name w:val="Heading 6 Char"/>
    <w:link w:val="7"/>
    <w:qFormat/>
    <w:uiPriority w:val="9"/>
    <w:rPr>
      <w:rFonts w:ascii="Arial" w:hAnsi="Arial" w:eastAsia="Arial" w:cs="Arial"/>
      <w:b/>
      <w:bCs/>
      <w:sz w:val="22"/>
      <w:szCs w:val="22"/>
    </w:rPr>
  </w:style>
  <w:style w:type="character" w:customStyle="1" w:styleId="45">
    <w:name w:val="Heading 7 Char"/>
    <w:link w:val="8"/>
    <w:uiPriority w:val="9"/>
    <w:rPr>
      <w:rFonts w:ascii="Arial" w:hAnsi="Arial" w:eastAsia="Arial" w:cs="Arial"/>
      <w:b/>
      <w:bCs/>
      <w:i/>
      <w:iCs/>
      <w:sz w:val="22"/>
      <w:szCs w:val="22"/>
    </w:rPr>
  </w:style>
  <w:style w:type="character" w:customStyle="1" w:styleId="46">
    <w:name w:val="Heading 8 Char"/>
    <w:link w:val="9"/>
    <w:autoRedefine/>
    <w:uiPriority w:val="9"/>
    <w:rPr>
      <w:rFonts w:ascii="Arial" w:hAnsi="Arial" w:eastAsia="Arial" w:cs="Arial"/>
      <w:i/>
      <w:iCs/>
      <w:sz w:val="22"/>
      <w:szCs w:val="22"/>
    </w:rPr>
  </w:style>
  <w:style w:type="character" w:customStyle="1" w:styleId="47">
    <w:name w:val="Heading 9 Char"/>
    <w:link w:val="10"/>
    <w:qFormat/>
    <w:uiPriority w:val="9"/>
    <w:rPr>
      <w:rFonts w:ascii="Arial" w:hAnsi="Arial" w:eastAsia="Arial" w:cs="Arial"/>
      <w:i/>
      <w:iCs/>
      <w:sz w:val="21"/>
      <w:szCs w:val="21"/>
    </w:rPr>
  </w:style>
  <w:style w:type="paragraph" w:styleId="48">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9">
    <w:name w:val="Title Char"/>
    <w:link w:val="32"/>
    <w:autoRedefine/>
    <w:qFormat/>
    <w:uiPriority w:val="10"/>
    <w:rPr>
      <w:sz w:val="48"/>
      <w:szCs w:val="48"/>
    </w:rPr>
  </w:style>
  <w:style w:type="character" w:customStyle="1" w:styleId="50">
    <w:name w:val="Subtitle Char"/>
    <w:link w:val="26"/>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Quote Char"/>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link w:val="23"/>
    <w:uiPriority w:val="99"/>
  </w:style>
  <w:style w:type="character" w:customStyle="1" w:styleId="56">
    <w:name w:val="Footer Char"/>
    <w:link w:val="22"/>
    <w:autoRedefine/>
    <w:qFormat/>
    <w:uiPriority w:val="99"/>
  </w:style>
  <w:style w:type="character" w:customStyle="1" w:styleId="57">
    <w:name w:val="Caption Char"/>
    <w:link w:val="22"/>
    <w:qFormat/>
    <w:uiPriority w:val="99"/>
  </w:style>
  <w:style w:type="table" w:customStyle="1" w:styleId="58">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autoRedefine/>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autoRedefine/>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autoRedefine/>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autoRedefine/>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link w:val="27"/>
    <w:uiPriority w:val="99"/>
    <w:rPr>
      <w:sz w:val="18"/>
    </w:rPr>
  </w:style>
  <w:style w:type="character" w:customStyle="1" w:styleId="184">
    <w:name w:val="Endnote Text Char"/>
    <w:link w:val="21"/>
    <w:uiPriority w:val="99"/>
    <w:rPr>
      <w:sz w:val="20"/>
    </w:rPr>
  </w:style>
  <w:style w:type="paragraph" w:customStyle="1" w:styleId="185">
    <w:name w:val="TOC Heading"/>
    <w:unhideWhenUsed/>
    <w:uiPriority w:val="39"/>
    <w:rPr>
      <w:rFonts w:hint="default" w:ascii="Times New Roman" w:hAnsi="Times New Roman" w:eastAsia="宋体" w:cs="Times New Roman"/>
    </w:rPr>
  </w:style>
  <w:style w:type="paragraph" w:customStyle="1" w:styleId="186">
    <w:name w:val="标题 11"/>
    <w:basedOn w:val="1"/>
    <w:next w:val="1"/>
    <w:link w:val="206"/>
    <w:qFormat/>
    <w:uiPriority w:val="0"/>
    <w:pPr>
      <w:keepNext/>
      <w:keepLines/>
      <w:spacing w:before="340" w:after="330" w:line="578" w:lineRule="auto"/>
      <w:outlineLvl w:val="0"/>
    </w:pPr>
    <w:rPr>
      <w:b/>
      <w:bCs/>
      <w:sz w:val="44"/>
      <w:szCs w:val="44"/>
    </w:rPr>
  </w:style>
  <w:style w:type="paragraph" w:customStyle="1" w:styleId="187">
    <w:name w:val="标题 21"/>
    <w:basedOn w:val="1"/>
    <w:next w:val="1"/>
    <w:link w:val="207"/>
    <w:qFormat/>
    <w:uiPriority w:val="0"/>
    <w:pPr>
      <w:keepNext/>
      <w:keepLines/>
      <w:spacing w:before="260" w:after="260" w:line="416" w:lineRule="auto"/>
      <w:outlineLvl w:val="1"/>
    </w:pPr>
    <w:rPr>
      <w:rFonts w:ascii="Arial" w:hAnsi="Arial" w:eastAsia="黑体"/>
      <w:b/>
      <w:bCs/>
      <w:sz w:val="32"/>
      <w:szCs w:val="32"/>
    </w:rPr>
  </w:style>
  <w:style w:type="paragraph" w:customStyle="1" w:styleId="188">
    <w:name w:val="标题 31"/>
    <w:basedOn w:val="1"/>
    <w:next w:val="1"/>
    <w:link w:val="208"/>
    <w:qFormat/>
    <w:uiPriority w:val="0"/>
    <w:pPr>
      <w:keepNext/>
      <w:keepLines/>
      <w:spacing w:before="260" w:after="260" w:line="416" w:lineRule="auto"/>
      <w:outlineLvl w:val="2"/>
    </w:pPr>
    <w:rPr>
      <w:b/>
      <w:bCs/>
      <w:sz w:val="32"/>
      <w:szCs w:val="32"/>
    </w:rPr>
  </w:style>
  <w:style w:type="paragraph" w:customStyle="1" w:styleId="189">
    <w:name w:val="标题 41"/>
    <w:basedOn w:val="1"/>
    <w:next w:val="1"/>
    <w:link w:val="209"/>
    <w:qFormat/>
    <w:uiPriority w:val="0"/>
    <w:pPr>
      <w:keepNext/>
      <w:jc w:val="center"/>
      <w:outlineLvl w:val="3"/>
    </w:pPr>
    <w:rPr>
      <w:rFonts w:eastAsia="新宋体"/>
      <w:sz w:val="30"/>
      <w:szCs w:val="21"/>
    </w:rPr>
  </w:style>
  <w:style w:type="paragraph" w:customStyle="1" w:styleId="190">
    <w:name w:val="标题 51"/>
    <w:basedOn w:val="1"/>
    <w:next w:val="1"/>
    <w:link w:val="210"/>
    <w:qFormat/>
    <w:uiPriority w:val="0"/>
    <w:pPr>
      <w:keepNext/>
      <w:keepLines/>
      <w:spacing w:before="280" w:after="290" w:line="376" w:lineRule="auto"/>
      <w:outlineLvl w:val="4"/>
    </w:pPr>
    <w:rPr>
      <w:b/>
      <w:bCs/>
      <w:sz w:val="28"/>
      <w:szCs w:val="28"/>
    </w:rPr>
  </w:style>
  <w:style w:type="paragraph" w:customStyle="1" w:styleId="191">
    <w:name w:val="标题 61"/>
    <w:basedOn w:val="1"/>
    <w:next w:val="192"/>
    <w:link w:val="211"/>
    <w:qFormat/>
    <w:uiPriority w:val="0"/>
    <w:pPr>
      <w:keepNext/>
      <w:jc w:val="center"/>
      <w:outlineLvl w:val="5"/>
    </w:pPr>
    <w:rPr>
      <w:b/>
      <w:sz w:val="44"/>
      <w:szCs w:val="20"/>
    </w:rPr>
  </w:style>
  <w:style w:type="paragraph" w:customStyle="1" w:styleId="192">
    <w:name w:val="正文缩进1"/>
    <w:basedOn w:val="1"/>
    <w:link w:val="212"/>
    <w:uiPriority w:val="0"/>
    <w:pPr>
      <w:ind w:firstLine="420"/>
    </w:pPr>
    <w:rPr>
      <w:sz w:val="20"/>
      <w:szCs w:val="20"/>
    </w:rPr>
  </w:style>
  <w:style w:type="paragraph" w:customStyle="1" w:styleId="193">
    <w:name w:val="标题 71"/>
    <w:basedOn w:val="1"/>
    <w:next w:val="1"/>
    <w:link w:val="213"/>
    <w:qFormat/>
    <w:uiPriority w:val="0"/>
    <w:pPr>
      <w:keepNext/>
      <w:keepLines/>
      <w:spacing w:before="240" w:after="64" w:line="320" w:lineRule="auto"/>
      <w:outlineLvl w:val="6"/>
    </w:pPr>
    <w:rPr>
      <w:b/>
      <w:bCs/>
      <w:sz w:val="24"/>
    </w:rPr>
  </w:style>
  <w:style w:type="paragraph" w:customStyle="1" w:styleId="194">
    <w:name w:val="标题 81"/>
    <w:basedOn w:val="1"/>
    <w:next w:val="1"/>
    <w:link w:val="214"/>
    <w:qFormat/>
    <w:uiPriority w:val="0"/>
    <w:pPr>
      <w:keepNext/>
      <w:keepLines/>
      <w:spacing w:before="240" w:after="64" w:line="320" w:lineRule="auto"/>
      <w:outlineLvl w:val="7"/>
    </w:pPr>
    <w:rPr>
      <w:rFonts w:ascii="Arial" w:hAnsi="Arial" w:eastAsia="黑体"/>
      <w:sz w:val="24"/>
    </w:rPr>
  </w:style>
  <w:style w:type="paragraph" w:customStyle="1" w:styleId="195">
    <w:name w:val="标题 91"/>
    <w:basedOn w:val="1"/>
    <w:next w:val="1"/>
    <w:link w:val="215"/>
    <w:qFormat/>
    <w:uiPriority w:val="0"/>
    <w:pPr>
      <w:keepNext/>
      <w:keepLines/>
      <w:spacing w:before="240" w:after="64" w:line="320" w:lineRule="auto"/>
      <w:outlineLvl w:val="8"/>
    </w:pPr>
    <w:rPr>
      <w:rFonts w:ascii="Arial" w:hAnsi="Arial" w:eastAsia="黑体"/>
      <w:sz w:val="24"/>
      <w:szCs w:val="21"/>
    </w:rPr>
  </w:style>
  <w:style w:type="character" w:customStyle="1" w:styleId="196">
    <w:name w:val="默认段落字体1"/>
    <w:link w:val="1"/>
    <w:uiPriority w:val="0"/>
  </w:style>
  <w:style w:type="table" w:customStyle="1" w:styleId="197">
    <w:name w:val="普通表格1"/>
    <w:unhideWhenUsed/>
    <w:uiPriority w:val="99"/>
  </w:style>
  <w:style w:type="paragraph" w:customStyle="1" w:styleId="198">
    <w:name w:val="正文首行缩进1"/>
    <w:basedOn w:val="199"/>
    <w:next w:val="200"/>
    <w:link w:val="205"/>
    <w:autoRedefine/>
    <w:qFormat/>
    <w:uiPriority w:val="0"/>
    <w:pPr>
      <w:spacing w:after="120"/>
      <w:ind w:firstLine="420"/>
    </w:pPr>
    <w:rPr>
      <w:rFonts w:ascii="Times New Roman" w:eastAsia="宋体"/>
      <w:szCs w:val="24"/>
    </w:rPr>
  </w:style>
  <w:style w:type="paragraph" w:customStyle="1" w:styleId="199">
    <w:name w:val="正文文本1"/>
    <w:basedOn w:val="1"/>
    <w:next w:val="1"/>
    <w:autoRedefine/>
    <w:qFormat/>
    <w:uiPriority w:val="0"/>
    <w:rPr>
      <w:rFonts w:ascii="仿宋_GB2312" w:eastAsia="仿宋_GB2312"/>
      <w:sz w:val="24"/>
      <w:szCs w:val="20"/>
    </w:rPr>
  </w:style>
  <w:style w:type="paragraph" w:customStyle="1" w:styleId="200">
    <w:name w:val="正文首行缩进 211"/>
    <w:basedOn w:val="201"/>
    <w:next w:val="1"/>
    <w:link w:val="268"/>
    <w:autoRedefine/>
    <w:qFormat/>
    <w:uiPriority w:val="0"/>
    <w:pPr>
      <w:spacing w:after="120"/>
      <w:ind w:left="420" w:firstLine="420"/>
    </w:pPr>
  </w:style>
  <w:style w:type="paragraph" w:customStyle="1" w:styleId="201">
    <w:name w:val="正文文本缩进1"/>
    <w:basedOn w:val="1"/>
    <w:next w:val="202"/>
    <w:autoRedefine/>
    <w:qFormat/>
    <w:uiPriority w:val="0"/>
    <w:pPr>
      <w:spacing w:line="360" w:lineRule="auto"/>
      <w:ind w:firstLine="420"/>
    </w:pPr>
    <w:rPr>
      <w:rFonts w:ascii="宋体"/>
      <w:sz w:val="24"/>
    </w:rPr>
  </w:style>
  <w:style w:type="paragraph" w:customStyle="1" w:styleId="202">
    <w:name w:val="寄信人地址1"/>
    <w:basedOn w:val="1"/>
    <w:autoRedefine/>
    <w:unhideWhenUsed/>
    <w:qFormat/>
    <w:uiPriority w:val="99"/>
    <w:rPr>
      <w:rFonts w:ascii="Arial" w:hAnsi="Arial"/>
    </w:rPr>
  </w:style>
  <w:style w:type="paragraph" w:customStyle="1" w:styleId="203">
    <w:name w:val="正文文本11"/>
    <w:basedOn w:val="1"/>
    <w:next w:val="1"/>
    <w:link w:val="204"/>
    <w:autoRedefine/>
    <w:qFormat/>
    <w:uiPriority w:val="0"/>
    <w:rPr>
      <w:rFonts w:ascii="仿宋_GB2312" w:eastAsia="仿宋_GB2312"/>
      <w:sz w:val="24"/>
      <w:szCs w:val="20"/>
    </w:rPr>
  </w:style>
  <w:style w:type="character" w:customStyle="1" w:styleId="204">
    <w:name w:val="正文文本 Char"/>
    <w:link w:val="203"/>
    <w:autoRedefine/>
    <w:qFormat/>
    <w:uiPriority w:val="0"/>
    <w:rPr>
      <w:rFonts w:ascii="仿宋_GB2312" w:hAnsi="Times New Roman" w:eastAsia="仿宋_GB2312" w:cs="Times New Roman"/>
      <w:sz w:val="24"/>
      <w:szCs w:val="20"/>
    </w:rPr>
  </w:style>
  <w:style w:type="character" w:customStyle="1" w:styleId="205">
    <w:name w:val="正文首行缩进 Char"/>
    <w:link w:val="198"/>
    <w:autoRedefine/>
    <w:qFormat/>
    <w:uiPriority w:val="0"/>
    <w:rPr>
      <w:rFonts w:ascii="Times New Roman" w:hAnsi="Times New Roman" w:eastAsia="宋体" w:cs="Times New Roman"/>
      <w:sz w:val="24"/>
      <w:szCs w:val="24"/>
    </w:rPr>
  </w:style>
  <w:style w:type="character" w:customStyle="1" w:styleId="206">
    <w:name w:val="标题 1 Char"/>
    <w:link w:val="186"/>
    <w:uiPriority w:val="0"/>
    <w:rPr>
      <w:rFonts w:ascii="Times New Roman" w:hAnsi="Times New Roman" w:eastAsia="宋体" w:cs="Times New Roman"/>
      <w:b/>
      <w:bCs/>
      <w:sz w:val="44"/>
      <w:szCs w:val="44"/>
    </w:rPr>
  </w:style>
  <w:style w:type="character" w:customStyle="1" w:styleId="207">
    <w:name w:val="标题 2 Char"/>
    <w:link w:val="187"/>
    <w:qFormat/>
    <w:uiPriority w:val="0"/>
    <w:rPr>
      <w:rFonts w:ascii="Arial" w:hAnsi="Arial" w:eastAsia="黑体" w:cs="Times New Roman"/>
      <w:b/>
      <w:bCs/>
      <w:sz w:val="32"/>
      <w:szCs w:val="32"/>
    </w:rPr>
  </w:style>
  <w:style w:type="character" w:customStyle="1" w:styleId="208">
    <w:name w:val="标题 3 Char"/>
    <w:link w:val="188"/>
    <w:uiPriority w:val="0"/>
    <w:rPr>
      <w:rFonts w:ascii="Times New Roman" w:hAnsi="Times New Roman" w:eastAsia="宋体" w:cs="Times New Roman"/>
      <w:b/>
      <w:bCs/>
      <w:sz w:val="32"/>
      <w:szCs w:val="32"/>
    </w:rPr>
  </w:style>
  <w:style w:type="character" w:customStyle="1" w:styleId="209">
    <w:name w:val="标题 4 Char"/>
    <w:link w:val="189"/>
    <w:autoRedefine/>
    <w:qFormat/>
    <w:uiPriority w:val="0"/>
    <w:rPr>
      <w:rFonts w:ascii="Times New Roman" w:hAnsi="Times New Roman" w:eastAsia="新宋体" w:cs="Times New Roman"/>
      <w:sz w:val="30"/>
      <w:szCs w:val="21"/>
    </w:rPr>
  </w:style>
  <w:style w:type="character" w:customStyle="1" w:styleId="210">
    <w:name w:val="标题 5 Char"/>
    <w:link w:val="190"/>
    <w:autoRedefine/>
    <w:qFormat/>
    <w:uiPriority w:val="0"/>
    <w:rPr>
      <w:rFonts w:ascii="Times New Roman" w:hAnsi="Times New Roman" w:eastAsia="宋体" w:cs="Times New Roman"/>
      <w:b/>
      <w:bCs/>
      <w:sz w:val="28"/>
      <w:szCs w:val="28"/>
    </w:rPr>
  </w:style>
  <w:style w:type="character" w:customStyle="1" w:styleId="211">
    <w:name w:val="标题 6 Char"/>
    <w:link w:val="191"/>
    <w:autoRedefine/>
    <w:qFormat/>
    <w:uiPriority w:val="0"/>
    <w:rPr>
      <w:rFonts w:ascii="Times New Roman" w:hAnsi="Times New Roman" w:eastAsia="宋体" w:cs="Times New Roman"/>
      <w:b/>
      <w:sz w:val="44"/>
      <w:szCs w:val="20"/>
    </w:rPr>
  </w:style>
  <w:style w:type="character" w:customStyle="1" w:styleId="212">
    <w:name w:val="正文缩进 Char"/>
    <w:link w:val="192"/>
    <w:autoRedefine/>
    <w:qFormat/>
    <w:uiPriority w:val="0"/>
    <w:rPr>
      <w:rFonts w:ascii="Times New Roman" w:hAnsi="Times New Roman" w:eastAsia="宋体" w:cs="Times New Roman"/>
      <w:sz w:val="20"/>
      <w:szCs w:val="20"/>
    </w:rPr>
  </w:style>
  <w:style w:type="character" w:customStyle="1" w:styleId="213">
    <w:name w:val="标题 7 Char"/>
    <w:link w:val="193"/>
    <w:autoRedefine/>
    <w:qFormat/>
    <w:uiPriority w:val="0"/>
    <w:rPr>
      <w:rFonts w:ascii="Times New Roman" w:hAnsi="Times New Roman" w:eastAsia="宋体" w:cs="Times New Roman"/>
      <w:b/>
      <w:bCs/>
      <w:sz w:val="24"/>
      <w:szCs w:val="24"/>
    </w:rPr>
  </w:style>
  <w:style w:type="character" w:customStyle="1" w:styleId="214">
    <w:name w:val="标题 8 Char"/>
    <w:link w:val="194"/>
    <w:autoRedefine/>
    <w:qFormat/>
    <w:uiPriority w:val="0"/>
    <w:rPr>
      <w:rFonts w:ascii="Arial" w:hAnsi="Arial" w:eastAsia="黑体" w:cs="Times New Roman"/>
      <w:sz w:val="24"/>
      <w:szCs w:val="24"/>
    </w:rPr>
  </w:style>
  <w:style w:type="character" w:customStyle="1" w:styleId="215">
    <w:name w:val="标题 9 Char"/>
    <w:link w:val="195"/>
    <w:autoRedefine/>
    <w:qFormat/>
    <w:uiPriority w:val="0"/>
    <w:rPr>
      <w:rFonts w:ascii="Arial" w:hAnsi="Arial" w:eastAsia="黑体" w:cs="Times New Roman"/>
      <w:sz w:val="24"/>
      <w:szCs w:val="21"/>
    </w:rPr>
  </w:style>
  <w:style w:type="paragraph" w:customStyle="1" w:styleId="216">
    <w:name w:val="列表 31"/>
    <w:basedOn w:val="1"/>
    <w:autoRedefine/>
    <w:qFormat/>
    <w:uiPriority w:val="0"/>
    <w:pPr>
      <w:ind w:left="100" w:hanging="200"/>
    </w:pPr>
    <w:rPr>
      <w:szCs w:val="21"/>
    </w:rPr>
  </w:style>
  <w:style w:type="paragraph" w:customStyle="1" w:styleId="217">
    <w:name w:val="目录 71"/>
    <w:basedOn w:val="1"/>
    <w:next w:val="1"/>
    <w:autoRedefine/>
    <w:qFormat/>
    <w:uiPriority w:val="0"/>
    <w:pPr>
      <w:ind w:left="1260"/>
      <w:jc w:val="left"/>
    </w:pPr>
    <w:rPr>
      <w:szCs w:val="21"/>
    </w:rPr>
  </w:style>
  <w:style w:type="paragraph" w:customStyle="1" w:styleId="218">
    <w:name w:val="题注1"/>
    <w:basedOn w:val="1"/>
    <w:next w:val="1"/>
    <w:autoRedefine/>
    <w:qFormat/>
    <w:uiPriority w:val="0"/>
    <w:rPr>
      <w:rFonts w:ascii="Cambria" w:hAnsi="Cambria" w:eastAsia="黑体"/>
      <w:sz w:val="20"/>
      <w:szCs w:val="20"/>
    </w:rPr>
  </w:style>
  <w:style w:type="paragraph" w:customStyle="1" w:styleId="219">
    <w:name w:val="索引 51"/>
    <w:basedOn w:val="1"/>
    <w:next w:val="1"/>
    <w:uiPriority w:val="0"/>
    <w:pPr>
      <w:ind w:left="800"/>
    </w:pPr>
  </w:style>
  <w:style w:type="paragraph" w:customStyle="1" w:styleId="220">
    <w:name w:val="文档结构图1"/>
    <w:basedOn w:val="1"/>
    <w:link w:val="221"/>
    <w:uiPriority w:val="0"/>
    <w:pPr>
      <w:shd w:val="clear" w:color="auto" w:fill="000080"/>
    </w:pPr>
    <w:rPr>
      <w:sz w:val="20"/>
      <w:shd w:val="clear" w:color="auto" w:fill="000080"/>
    </w:rPr>
  </w:style>
  <w:style w:type="character" w:customStyle="1" w:styleId="221">
    <w:name w:val="文档结构图 Char"/>
    <w:link w:val="220"/>
    <w:autoRedefine/>
    <w:uiPriority w:val="0"/>
    <w:rPr>
      <w:szCs w:val="24"/>
      <w:shd w:val="clear" w:color="auto" w:fill="000080"/>
    </w:rPr>
  </w:style>
  <w:style w:type="paragraph" w:customStyle="1" w:styleId="222">
    <w:name w:val="批注文字1"/>
    <w:basedOn w:val="1"/>
    <w:link w:val="223"/>
    <w:autoRedefine/>
    <w:qFormat/>
    <w:uiPriority w:val="0"/>
    <w:pPr>
      <w:jc w:val="left"/>
    </w:pPr>
  </w:style>
  <w:style w:type="character" w:customStyle="1" w:styleId="223">
    <w:name w:val="批注文字 Char"/>
    <w:link w:val="222"/>
    <w:autoRedefine/>
    <w:qFormat/>
    <w:uiPriority w:val="0"/>
    <w:rPr>
      <w:rFonts w:eastAsia="宋体"/>
      <w:sz w:val="21"/>
      <w:szCs w:val="24"/>
      <w:lang w:val="en-US" w:eastAsia="zh-CN" w:bidi="ar-SA"/>
    </w:rPr>
  </w:style>
  <w:style w:type="paragraph" w:customStyle="1" w:styleId="224">
    <w:name w:val="正文文本 31"/>
    <w:basedOn w:val="1"/>
    <w:link w:val="225"/>
    <w:autoRedefine/>
    <w:qFormat/>
    <w:uiPriority w:val="0"/>
    <w:pPr>
      <w:spacing w:after="120"/>
    </w:pPr>
    <w:rPr>
      <w:sz w:val="16"/>
      <w:szCs w:val="16"/>
    </w:rPr>
  </w:style>
  <w:style w:type="character" w:customStyle="1" w:styleId="225">
    <w:name w:val="正文文本 3 Char"/>
    <w:link w:val="224"/>
    <w:uiPriority w:val="0"/>
    <w:rPr>
      <w:rFonts w:ascii="Times New Roman" w:hAnsi="Times New Roman" w:eastAsia="宋体" w:cs="Times New Roman"/>
      <w:sz w:val="16"/>
      <w:szCs w:val="16"/>
    </w:rPr>
  </w:style>
  <w:style w:type="paragraph" w:customStyle="1" w:styleId="226">
    <w:name w:val="正文文本缩进11"/>
    <w:basedOn w:val="1"/>
    <w:next w:val="227"/>
    <w:link w:val="228"/>
    <w:autoRedefine/>
    <w:uiPriority w:val="0"/>
    <w:pPr>
      <w:ind w:left="765"/>
    </w:pPr>
    <w:rPr>
      <w:rFonts w:ascii="仿宋_GB2312" w:eastAsia="仿宋_GB2312"/>
      <w:sz w:val="28"/>
      <w:szCs w:val="20"/>
    </w:rPr>
  </w:style>
  <w:style w:type="paragraph" w:customStyle="1" w:styleId="227">
    <w:name w:val="寄信人地址11"/>
    <w:basedOn w:val="1"/>
    <w:autoRedefine/>
    <w:uiPriority w:val="0"/>
    <w:pPr>
      <w:spacing w:line="360" w:lineRule="auto"/>
      <w:ind w:firstLine="200"/>
    </w:pPr>
    <w:rPr>
      <w:rFonts w:ascii="Arial" w:hAnsi="Arial" w:eastAsia="仿宋_GB2312" w:cs="Arial"/>
      <w:sz w:val="24"/>
    </w:rPr>
  </w:style>
  <w:style w:type="character" w:customStyle="1" w:styleId="228">
    <w:name w:val="正文文本缩进 Char"/>
    <w:link w:val="226"/>
    <w:autoRedefine/>
    <w:qFormat/>
    <w:uiPriority w:val="0"/>
    <w:rPr>
      <w:rFonts w:ascii="仿宋_GB2312" w:hAnsi="Times New Roman" w:eastAsia="仿宋_GB2312" w:cs="Times New Roman"/>
      <w:sz w:val="28"/>
      <w:szCs w:val="20"/>
    </w:rPr>
  </w:style>
  <w:style w:type="paragraph" w:customStyle="1" w:styleId="229">
    <w:name w:val="列表 21"/>
    <w:basedOn w:val="1"/>
    <w:autoRedefine/>
    <w:qFormat/>
    <w:uiPriority w:val="0"/>
    <w:pPr>
      <w:ind w:left="100" w:hanging="200"/>
    </w:pPr>
    <w:rPr>
      <w:szCs w:val="21"/>
    </w:rPr>
  </w:style>
  <w:style w:type="paragraph" w:customStyle="1" w:styleId="230">
    <w:name w:val="目录 51"/>
    <w:basedOn w:val="1"/>
    <w:next w:val="1"/>
    <w:autoRedefine/>
    <w:qFormat/>
    <w:uiPriority w:val="0"/>
    <w:pPr>
      <w:ind w:left="840"/>
      <w:jc w:val="left"/>
    </w:pPr>
    <w:rPr>
      <w:szCs w:val="21"/>
    </w:rPr>
  </w:style>
  <w:style w:type="paragraph" w:customStyle="1" w:styleId="231">
    <w:name w:val="目录 31"/>
    <w:basedOn w:val="1"/>
    <w:next w:val="1"/>
    <w:autoRedefine/>
    <w:qFormat/>
    <w:uiPriority w:val="0"/>
    <w:pPr>
      <w:ind w:left="420"/>
      <w:jc w:val="left"/>
    </w:pPr>
    <w:rPr>
      <w:i/>
      <w:iCs/>
    </w:rPr>
  </w:style>
  <w:style w:type="paragraph" w:customStyle="1" w:styleId="232">
    <w:name w:val="纯文本11"/>
    <w:basedOn w:val="1"/>
    <w:link w:val="233"/>
    <w:autoRedefine/>
    <w:qFormat/>
    <w:uiPriority w:val="0"/>
    <w:rPr>
      <w:rFonts w:ascii="宋体" w:hAnsi="Courier New"/>
      <w:sz w:val="20"/>
      <w:szCs w:val="21"/>
    </w:rPr>
  </w:style>
  <w:style w:type="character" w:customStyle="1" w:styleId="233">
    <w:name w:val="纯文本 Char"/>
    <w:link w:val="232"/>
    <w:autoRedefine/>
    <w:qFormat/>
    <w:uiPriority w:val="0"/>
    <w:rPr>
      <w:rFonts w:ascii="宋体" w:hAnsi="Courier New" w:eastAsia="宋体" w:cs="Courier New"/>
      <w:szCs w:val="21"/>
    </w:rPr>
  </w:style>
  <w:style w:type="paragraph" w:customStyle="1" w:styleId="234">
    <w:name w:val="目录 81"/>
    <w:basedOn w:val="1"/>
    <w:next w:val="1"/>
    <w:autoRedefine/>
    <w:qFormat/>
    <w:uiPriority w:val="0"/>
    <w:pPr>
      <w:ind w:left="1470"/>
      <w:jc w:val="left"/>
    </w:pPr>
    <w:rPr>
      <w:szCs w:val="21"/>
    </w:rPr>
  </w:style>
  <w:style w:type="paragraph" w:customStyle="1" w:styleId="235">
    <w:name w:val="日期1"/>
    <w:basedOn w:val="1"/>
    <w:next w:val="1"/>
    <w:link w:val="236"/>
    <w:autoRedefine/>
    <w:qFormat/>
    <w:uiPriority w:val="0"/>
    <w:rPr>
      <w:sz w:val="24"/>
      <w:szCs w:val="20"/>
    </w:rPr>
  </w:style>
  <w:style w:type="character" w:customStyle="1" w:styleId="236">
    <w:name w:val="日期 Char"/>
    <w:link w:val="235"/>
    <w:uiPriority w:val="0"/>
    <w:rPr>
      <w:rFonts w:ascii="Times New Roman" w:hAnsi="Times New Roman" w:eastAsia="宋体" w:cs="Times New Roman"/>
      <w:sz w:val="24"/>
      <w:szCs w:val="20"/>
    </w:rPr>
  </w:style>
  <w:style w:type="paragraph" w:customStyle="1" w:styleId="237">
    <w:name w:val="正文文本缩进 21"/>
    <w:basedOn w:val="1"/>
    <w:link w:val="238"/>
    <w:autoRedefine/>
    <w:qFormat/>
    <w:uiPriority w:val="0"/>
    <w:pPr>
      <w:spacing w:line="500" w:lineRule="exact"/>
      <w:ind w:firstLine="560"/>
    </w:pPr>
    <w:rPr>
      <w:rFonts w:eastAsia="仿宋_GB2312"/>
      <w:sz w:val="28"/>
      <w:szCs w:val="20"/>
    </w:rPr>
  </w:style>
  <w:style w:type="character" w:customStyle="1" w:styleId="238">
    <w:name w:val="正文文本缩进 2 Char"/>
    <w:link w:val="237"/>
    <w:uiPriority w:val="0"/>
    <w:rPr>
      <w:rFonts w:ascii="Times New Roman" w:hAnsi="Times New Roman" w:eastAsia="仿宋_GB2312" w:cs="Times New Roman"/>
      <w:sz w:val="28"/>
      <w:szCs w:val="20"/>
    </w:rPr>
  </w:style>
  <w:style w:type="paragraph" w:customStyle="1" w:styleId="239">
    <w:name w:val="批注框文本1"/>
    <w:basedOn w:val="1"/>
    <w:link w:val="240"/>
    <w:uiPriority w:val="0"/>
    <w:rPr>
      <w:sz w:val="18"/>
      <w:szCs w:val="18"/>
    </w:rPr>
  </w:style>
  <w:style w:type="character" w:customStyle="1" w:styleId="240">
    <w:name w:val="批注框文本 Char"/>
    <w:link w:val="239"/>
    <w:uiPriority w:val="0"/>
    <w:rPr>
      <w:sz w:val="18"/>
      <w:szCs w:val="18"/>
    </w:rPr>
  </w:style>
  <w:style w:type="paragraph" w:customStyle="1" w:styleId="241">
    <w:name w:val="页脚1"/>
    <w:basedOn w:val="1"/>
    <w:link w:val="242"/>
    <w:uiPriority w:val="0"/>
    <w:pPr>
      <w:tabs>
        <w:tab w:val="center" w:pos="4153"/>
        <w:tab w:val="right" w:pos="8306"/>
      </w:tabs>
      <w:jc w:val="left"/>
    </w:pPr>
    <w:rPr>
      <w:sz w:val="18"/>
      <w:szCs w:val="20"/>
    </w:rPr>
  </w:style>
  <w:style w:type="character" w:customStyle="1" w:styleId="242">
    <w:name w:val="页脚 Char"/>
    <w:link w:val="241"/>
    <w:uiPriority w:val="0"/>
    <w:rPr>
      <w:rFonts w:ascii="Times New Roman" w:hAnsi="Times New Roman" w:eastAsia="宋体" w:cs="Times New Roman"/>
      <w:sz w:val="18"/>
      <w:szCs w:val="20"/>
    </w:rPr>
  </w:style>
  <w:style w:type="paragraph" w:customStyle="1" w:styleId="243">
    <w:name w:val="页眉1"/>
    <w:basedOn w:val="1"/>
    <w:link w:val="244"/>
    <w:uiPriority w:val="0"/>
    <w:pPr>
      <w:pBdr>
        <w:bottom w:val="single" w:color="000000" w:sz="6" w:space="1"/>
      </w:pBdr>
      <w:tabs>
        <w:tab w:val="center" w:pos="4153"/>
        <w:tab w:val="right" w:pos="8306"/>
      </w:tabs>
      <w:jc w:val="center"/>
    </w:pPr>
    <w:rPr>
      <w:sz w:val="18"/>
      <w:szCs w:val="18"/>
    </w:rPr>
  </w:style>
  <w:style w:type="character" w:customStyle="1" w:styleId="244">
    <w:name w:val="页眉 Char"/>
    <w:link w:val="243"/>
    <w:autoRedefine/>
    <w:uiPriority w:val="0"/>
    <w:rPr>
      <w:rFonts w:ascii="Times New Roman" w:hAnsi="Times New Roman" w:eastAsia="宋体" w:cs="Times New Roman"/>
      <w:sz w:val="18"/>
      <w:szCs w:val="18"/>
    </w:rPr>
  </w:style>
  <w:style w:type="paragraph" w:customStyle="1" w:styleId="245">
    <w:name w:val="目录 11"/>
    <w:basedOn w:val="1"/>
    <w:next w:val="1"/>
    <w:qFormat/>
    <w:uiPriority w:val="0"/>
    <w:rPr>
      <w:sz w:val="24"/>
    </w:rPr>
  </w:style>
  <w:style w:type="paragraph" w:customStyle="1" w:styleId="246">
    <w:name w:val="目录 41"/>
    <w:basedOn w:val="1"/>
    <w:next w:val="1"/>
    <w:link w:val="247"/>
    <w:uiPriority w:val="0"/>
    <w:pPr>
      <w:ind w:left="630"/>
      <w:jc w:val="left"/>
    </w:pPr>
    <w:rPr>
      <w:szCs w:val="21"/>
    </w:rPr>
  </w:style>
  <w:style w:type="character" w:customStyle="1" w:styleId="247">
    <w:name w:val="目录 4 Char"/>
    <w:link w:val="246"/>
    <w:autoRedefine/>
    <w:qFormat/>
    <w:uiPriority w:val="0"/>
    <w:rPr>
      <w:sz w:val="21"/>
      <w:szCs w:val="21"/>
    </w:rPr>
  </w:style>
  <w:style w:type="paragraph" w:customStyle="1" w:styleId="248">
    <w:name w:val="副标题1"/>
    <w:basedOn w:val="1"/>
    <w:next w:val="1"/>
    <w:link w:val="249"/>
    <w:qFormat/>
    <w:uiPriority w:val="0"/>
    <w:pPr>
      <w:spacing w:before="240" w:after="60" w:line="312" w:lineRule="auto"/>
      <w:jc w:val="center"/>
      <w:outlineLvl w:val="1"/>
    </w:pPr>
    <w:rPr>
      <w:rFonts w:ascii="Cambria" w:hAnsi="Cambria"/>
      <w:b/>
      <w:bCs/>
      <w:sz w:val="32"/>
      <w:szCs w:val="32"/>
    </w:rPr>
  </w:style>
  <w:style w:type="character" w:customStyle="1" w:styleId="249">
    <w:name w:val="副标题 Char"/>
    <w:link w:val="248"/>
    <w:uiPriority w:val="0"/>
    <w:rPr>
      <w:rFonts w:ascii="Cambria" w:hAnsi="Cambria"/>
      <w:b/>
      <w:bCs/>
      <w:sz w:val="32"/>
      <w:szCs w:val="32"/>
    </w:rPr>
  </w:style>
  <w:style w:type="paragraph" w:customStyle="1" w:styleId="250">
    <w:name w:val="列表1"/>
    <w:basedOn w:val="1"/>
    <w:uiPriority w:val="0"/>
    <w:pPr>
      <w:ind w:left="200" w:hanging="200"/>
    </w:pPr>
  </w:style>
  <w:style w:type="paragraph" w:customStyle="1" w:styleId="251">
    <w:name w:val="脚注文本1"/>
    <w:basedOn w:val="1"/>
    <w:link w:val="252"/>
    <w:uiPriority w:val="0"/>
    <w:rPr>
      <w:sz w:val="20"/>
      <w:szCs w:val="20"/>
    </w:rPr>
  </w:style>
  <w:style w:type="character" w:customStyle="1" w:styleId="252">
    <w:name w:val="脚注文本 Char"/>
    <w:link w:val="251"/>
    <w:uiPriority w:val="0"/>
  </w:style>
  <w:style w:type="paragraph" w:customStyle="1" w:styleId="253">
    <w:name w:val="目录 61"/>
    <w:basedOn w:val="1"/>
    <w:next w:val="1"/>
    <w:uiPriority w:val="0"/>
    <w:pPr>
      <w:ind w:left="1050"/>
      <w:jc w:val="left"/>
    </w:pPr>
    <w:rPr>
      <w:szCs w:val="21"/>
    </w:rPr>
  </w:style>
  <w:style w:type="paragraph" w:customStyle="1" w:styleId="254">
    <w:name w:val="正文文本缩进 311"/>
    <w:basedOn w:val="1"/>
    <w:link w:val="255"/>
    <w:uiPriority w:val="0"/>
    <w:pPr>
      <w:spacing w:after="120"/>
      <w:ind w:left="420"/>
    </w:pPr>
    <w:rPr>
      <w:sz w:val="16"/>
      <w:szCs w:val="16"/>
    </w:rPr>
  </w:style>
  <w:style w:type="character" w:customStyle="1" w:styleId="255">
    <w:name w:val="正文文本缩进 3 Char"/>
    <w:link w:val="254"/>
    <w:autoRedefine/>
    <w:uiPriority w:val="0"/>
    <w:rPr>
      <w:rFonts w:ascii="Times New Roman" w:hAnsi="Times New Roman" w:eastAsia="宋体" w:cs="Times New Roman"/>
      <w:sz w:val="16"/>
      <w:szCs w:val="16"/>
    </w:rPr>
  </w:style>
  <w:style w:type="paragraph" w:customStyle="1" w:styleId="256">
    <w:name w:val="图表目录1"/>
    <w:basedOn w:val="1"/>
    <w:next w:val="1"/>
    <w:qFormat/>
    <w:uiPriority w:val="0"/>
    <w:pPr>
      <w:ind w:left="840" w:hanging="420"/>
    </w:pPr>
    <w:rPr>
      <w:szCs w:val="21"/>
    </w:rPr>
  </w:style>
  <w:style w:type="paragraph" w:customStyle="1" w:styleId="257">
    <w:name w:val="目录 21"/>
    <w:basedOn w:val="1"/>
    <w:next w:val="1"/>
    <w:uiPriority w:val="0"/>
    <w:pPr>
      <w:ind w:left="210"/>
      <w:jc w:val="left"/>
    </w:pPr>
    <w:rPr>
      <w:smallCaps/>
    </w:rPr>
  </w:style>
  <w:style w:type="paragraph" w:customStyle="1" w:styleId="258">
    <w:name w:val="目录 91"/>
    <w:basedOn w:val="1"/>
    <w:next w:val="1"/>
    <w:uiPriority w:val="0"/>
    <w:pPr>
      <w:ind w:left="1680"/>
      <w:jc w:val="left"/>
    </w:pPr>
    <w:rPr>
      <w:szCs w:val="21"/>
    </w:rPr>
  </w:style>
  <w:style w:type="paragraph" w:customStyle="1" w:styleId="259">
    <w:name w:val="正文文本 21"/>
    <w:basedOn w:val="1"/>
    <w:link w:val="260"/>
    <w:qFormat/>
    <w:uiPriority w:val="0"/>
    <w:rPr>
      <w:b/>
      <w:bCs/>
      <w:sz w:val="18"/>
    </w:rPr>
  </w:style>
  <w:style w:type="character" w:customStyle="1" w:styleId="260">
    <w:name w:val="正文文本 2 Char"/>
    <w:link w:val="259"/>
    <w:uiPriority w:val="0"/>
    <w:rPr>
      <w:rFonts w:ascii="Times New Roman" w:hAnsi="Times New Roman" w:eastAsia="宋体" w:cs="Times New Roman"/>
      <w:b/>
      <w:bCs/>
      <w:sz w:val="18"/>
      <w:szCs w:val="24"/>
    </w:rPr>
  </w:style>
  <w:style w:type="paragraph" w:customStyle="1" w:styleId="261">
    <w:name w:val="列表接续 21"/>
    <w:basedOn w:val="1"/>
    <w:uiPriority w:val="0"/>
    <w:pPr>
      <w:spacing w:after="120"/>
      <w:ind w:left="840"/>
    </w:pPr>
  </w:style>
  <w:style w:type="paragraph" w:customStyle="1" w:styleId="262">
    <w:name w:val="普通(网站)1"/>
    <w:basedOn w:val="1"/>
    <w:uiPriority w:val="0"/>
    <w:pPr>
      <w:widowControl/>
      <w:spacing w:before="100" w:beforeAutospacing="1" w:after="100" w:afterAutospacing="1"/>
      <w:jc w:val="left"/>
    </w:pPr>
    <w:rPr>
      <w:rFonts w:ascii="宋体" w:hAnsi="宋体"/>
      <w:color w:val="000000"/>
      <w:sz w:val="24"/>
    </w:rPr>
  </w:style>
  <w:style w:type="paragraph" w:customStyle="1" w:styleId="263">
    <w:name w:val="索引 11"/>
    <w:basedOn w:val="1"/>
    <w:next w:val="1"/>
    <w:uiPriority w:val="0"/>
    <w:pPr>
      <w:spacing w:line="240" w:lineRule="atLeast"/>
    </w:pPr>
    <w:rPr>
      <w:b/>
      <w:bCs/>
      <w:szCs w:val="21"/>
    </w:rPr>
  </w:style>
  <w:style w:type="paragraph" w:customStyle="1" w:styleId="264">
    <w:name w:val="标题11"/>
    <w:basedOn w:val="1"/>
    <w:link w:val="265"/>
    <w:qFormat/>
    <w:uiPriority w:val="0"/>
    <w:pPr>
      <w:spacing w:before="240" w:after="60" w:line="420" w:lineRule="atLeast"/>
      <w:jc w:val="center"/>
      <w:outlineLvl w:val="0"/>
    </w:pPr>
    <w:rPr>
      <w:rFonts w:ascii="Arial" w:hAnsi="Arial"/>
      <w:b/>
      <w:sz w:val="32"/>
      <w:szCs w:val="20"/>
    </w:rPr>
  </w:style>
  <w:style w:type="character" w:customStyle="1" w:styleId="265">
    <w:name w:val="标题 Char"/>
    <w:link w:val="264"/>
    <w:uiPriority w:val="0"/>
    <w:rPr>
      <w:rFonts w:ascii="Arial" w:hAnsi="Arial"/>
      <w:b/>
      <w:sz w:val="32"/>
    </w:rPr>
  </w:style>
  <w:style w:type="paragraph" w:customStyle="1" w:styleId="266">
    <w:name w:val="批注主题1"/>
    <w:basedOn w:val="222"/>
    <w:next w:val="222"/>
    <w:link w:val="267"/>
    <w:autoRedefine/>
    <w:uiPriority w:val="0"/>
    <w:rPr>
      <w:b/>
      <w:bCs/>
    </w:rPr>
  </w:style>
  <w:style w:type="character" w:customStyle="1" w:styleId="267">
    <w:name w:val="批注主题 Char"/>
    <w:link w:val="266"/>
    <w:uiPriority w:val="0"/>
    <w:rPr>
      <w:b/>
      <w:bCs/>
      <w:sz w:val="21"/>
      <w:szCs w:val="24"/>
    </w:rPr>
  </w:style>
  <w:style w:type="character" w:customStyle="1" w:styleId="268">
    <w:name w:val="正文首行缩进 2 Char"/>
    <w:link w:val="200"/>
    <w:uiPriority w:val="0"/>
    <w:rPr>
      <w:rFonts w:ascii="仿宋_GB2312" w:hAnsi="Times New Roman" w:eastAsia="仿宋_GB2312" w:cs="Times New Roman"/>
      <w:sz w:val="21"/>
      <w:szCs w:val="24"/>
    </w:rPr>
  </w:style>
  <w:style w:type="table" w:customStyle="1" w:styleId="269">
    <w:name w:val="网格型1"/>
    <w:basedOn w:val="197"/>
    <w:qFormat/>
    <w:uiPriority w:val="59"/>
    <w:pPr>
      <w:widowControl w:val="0"/>
      <w:jc w:val="both"/>
    </w:pPr>
  </w:style>
  <w:style w:type="character" w:customStyle="1" w:styleId="270">
    <w:name w:val="要点1"/>
    <w:link w:val="1"/>
    <w:qFormat/>
    <w:uiPriority w:val="0"/>
    <w:rPr>
      <w:b/>
      <w:bCs/>
    </w:rPr>
  </w:style>
  <w:style w:type="character" w:customStyle="1" w:styleId="271">
    <w:name w:val="页码1"/>
    <w:link w:val="1"/>
    <w:uiPriority w:val="0"/>
  </w:style>
  <w:style w:type="character" w:customStyle="1" w:styleId="272">
    <w:name w:val="已访问的超链接1"/>
    <w:link w:val="1"/>
    <w:uiPriority w:val="0"/>
    <w:rPr>
      <w:color w:val="800080"/>
      <w:u w:val="single"/>
    </w:rPr>
  </w:style>
  <w:style w:type="character" w:customStyle="1" w:styleId="273">
    <w:name w:val="强调1"/>
    <w:link w:val="1"/>
    <w:qFormat/>
    <w:uiPriority w:val="0"/>
    <w:rPr>
      <w:b/>
      <w:bCs/>
    </w:rPr>
  </w:style>
  <w:style w:type="character" w:customStyle="1" w:styleId="274">
    <w:name w:val="HTML 定义1"/>
    <w:link w:val="1"/>
    <w:uiPriority w:val="0"/>
  </w:style>
  <w:style w:type="character" w:customStyle="1" w:styleId="275">
    <w:name w:val="HTML 打字机1"/>
    <w:link w:val="1"/>
    <w:uiPriority w:val="0"/>
    <w:rPr>
      <w:rFonts w:ascii="monospace" w:hAnsi="monospace" w:eastAsia="monospace" w:cs="monospace"/>
      <w:sz w:val="20"/>
    </w:rPr>
  </w:style>
  <w:style w:type="character" w:customStyle="1" w:styleId="276">
    <w:name w:val="HTML 缩写1"/>
    <w:link w:val="1"/>
    <w:qFormat/>
    <w:uiPriority w:val="0"/>
  </w:style>
  <w:style w:type="character" w:customStyle="1" w:styleId="277">
    <w:name w:val="HTML 变量1"/>
    <w:link w:val="1"/>
    <w:uiPriority w:val="0"/>
  </w:style>
  <w:style w:type="character" w:customStyle="1" w:styleId="278">
    <w:name w:val="超链接1"/>
    <w:link w:val="1"/>
    <w:uiPriority w:val="0"/>
    <w:rPr>
      <w:color w:val="0000FF"/>
      <w:u w:val="single"/>
    </w:rPr>
  </w:style>
  <w:style w:type="character" w:customStyle="1" w:styleId="279">
    <w:name w:val="HTML 代码1"/>
    <w:link w:val="1"/>
    <w:uiPriority w:val="0"/>
    <w:rPr>
      <w:rFonts w:ascii="monospace" w:hAnsi="monospace" w:eastAsia="monospace" w:cs="monospace"/>
      <w:sz w:val="20"/>
    </w:rPr>
  </w:style>
  <w:style w:type="character" w:customStyle="1" w:styleId="280">
    <w:name w:val="批注引用1"/>
    <w:link w:val="1"/>
    <w:uiPriority w:val="0"/>
    <w:rPr>
      <w:sz w:val="21"/>
      <w:szCs w:val="21"/>
    </w:rPr>
  </w:style>
  <w:style w:type="character" w:customStyle="1" w:styleId="281">
    <w:name w:val="HTML 引文1"/>
    <w:link w:val="1"/>
    <w:uiPriority w:val="0"/>
  </w:style>
  <w:style w:type="character" w:customStyle="1" w:styleId="282">
    <w:name w:val="脚注引用1"/>
    <w:link w:val="1"/>
    <w:uiPriority w:val="0"/>
    <w:rPr>
      <w:vertAlign w:val="superscript"/>
    </w:rPr>
  </w:style>
  <w:style w:type="character" w:customStyle="1" w:styleId="283">
    <w:name w:val="HTML 键盘1"/>
    <w:link w:val="1"/>
    <w:autoRedefine/>
    <w:uiPriority w:val="0"/>
    <w:rPr>
      <w:rFonts w:ascii="monospace" w:hAnsi="monospace" w:eastAsia="monospace" w:cs="monospace"/>
      <w:sz w:val="20"/>
    </w:rPr>
  </w:style>
  <w:style w:type="character" w:customStyle="1" w:styleId="284">
    <w:name w:val="HTML 样本1"/>
    <w:link w:val="1"/>
    <w:uiPriority w:val="0"/>
    <w:rPr>
      <w:rFonts w:ascii="monospace" w:hAnsi="monospace" w:eastAsia="monospace" w:cs="monospace"/>
    </w:rPr>
  </w:style>
  <w:style w:type="character" w:customStyle="1" w:styleId="285">
    <w:name w:val="标题 4 Char1"/>
    <w:link w:val="1"/>
    <w:autoRedefine/>
    <w:qFormat/>
    <w:uiPriority w:val="0"/>
    <w:rPr>
      <w:rFonts w:ascii="Arial" w:hAnsi="Arial" w:eastAsia="黑体"/>
      <w:b/>
      <w:bCs/>
      <w:sz w:val="28"/>
      <w:szCs w:val="28"/>
      <w:lang w:val="en-US" w:eastAsia="zh-CN" w:bidi="ar-SA"/>
    </w:rPr>
  </w:style>
  <w:style w:type="character" w:customStyle="1" w:styleId="286">
    <w:name w:val="页脚 Char1"/>
    <w:link w:val="1"/>
    <w:autoRedefine/>
    <w:uiPriority w:val="0"/>
    <w:rPr>
      <w:sz w:val="18"/>
      <w:szCs w:val="18"/>
    </w:rPr>
  </w:style>
  <w:style w:type="character" w:customStyle="1" w:styleId="287">
    <w:name w:val="页脚 Char Char Char"/>
    <w:link w:val="1"/>
    <w:uiPriority w:val="0"/>
    <w:rPr>
      <w:sz w:val="18"/>
      <w:szCs w:val="18"/>
    </w:rPr>
  </w:style>
  <w:style w:type="character" w:customStyle="1" w:styleId="288">
    <w:name w:val="Char Char8"/>
    <w:link w:val="1"/>
    <w:uiPriority w:val="0"/>
    <w:rPr>
      <w:rFonts w:ascii="Arial" w:hAnsi="Arial" w:eastAsia="黑体"/>
      <w:b/>
      <w:bCs/>
      <w:sz w:val="32"/>
      <w:szCs w:val="32"/>
      <w:lang w:val="en-US" w:eastAsia="zh-CN" w:bidi="ar-SA"/>
    </w:rPr>
  </w:style>
  <w:style w:type="character" w:customStyle="1" w:styleId="289">
    <w:name w:val="明显强调"/>
    <w:link w:val="1"/>
    <w:qFormat/>
    <w:uiPriority w:val="0"/>
    <w:rPr>
      <w:b/>
      <w:bCs/>
      <w:i/>
      <w:iCs/>
      <w:color w:val="4F81BD"/>
    </w:rPr>
  </w:style>
  <w:style w:type="character" w:customStyle="1" w:styleId="290">
    <w:name w:val="cn_text1"/>
    <w:link w:val="1"/>
    <w:uiPriority w:val="0"/>
    <w:rPr>
      <w:rFonts w:ascii="ˎ̥" w:hAnsi="ˎ̥"/>
      <w:color w:val="003399"/>
      <w:spacing w:val="15"/>
      <w:sz w:val="18"/>
      <w:szCs w:val="18"/>
    </w:rPr>
  </w:style>
  <w:style w:type="character" w:customStyle="1" w:styleId="291">
    <w:name w:val="font51"/>
    <w:link w:val="1"/>
    <w:uiPriority w:val="0"/>
    <w:rPr>
      <w:rFonts w:ascii="等线" w:hAnsi="等线" w:eastAsia="等线" w:cs="等线"/>
      <w:b/>
      <w:bCs/>
      <w:color w:val="000000"/>
      <w:sz w:val="22"/>
      <w:szCs w:val="22"/>
      <w:u w:val="none"/>
    </w:rPr>
  </w:style>
  <w:style w:type="character" w:customStyle="1" w:styleId="292">
    <w:name w:val="书籍标题"/>
    <w:link w:val="1"/>
    <w:qFormat/>
    <w:uiPriority w:val="0"/>
    <w:rPr>
      <w:b/>
      <w:bCs/>
      <w:smallCaps/>
      <w:spacing w:val="5"/>
    </w:rPr>
  </w:style>
  <w:style w:type="character" w:customStyle="1" w:styleId="293">
    <w:name w:val="引用 Char"/>
    <w:link w:val="294"/>
    <w:uiPriority w:val="0"/>
    <w:rPr>
      <w:i/>
      <w:iCs/>
      <w:color w:val="000000"/>
      <w:sz w:val="21"/>
      <w:szCs w:val="24"/>
    </w:rPr>
  </w:style>
  <w:style w:type="paragraph" w:customStyle="1" w:styleId="294">
    <w:name w:val="引用"/>
    <w:basedOn w:val="1"/>
    <w:next w:val="1"/>
    <w:link w:val="293"/>
    <w:qFormat/>
    <w:uiPriority w:val="0"/>
    <w:rPr>
      <w:i/>
      <w:iCs/>
      <w:color w:val="000000"/>
    </w:rPr>
  </w:style>
  <w:style w:type="character" w:customStyle="1" w:styleId="295">
    <w:name w:val="font31"/>
    <w:link w:val="1"/>
    <w:uiPriority w:val="0"/>
    <w:rPr>
      <w:rFonts w:hint="eastAsia" w:ascii="宋体" w:hAnsi="宋体" w:eastAsia="宋体" w:cs="宋体"/>
      <w:color w:val="000000"/>
      <w:sz w:val="21"/>
      <w:szCs w:val="21"/>
      <w:u w:val="none"/>
    </w:rPr>
  </w:style>
  <w:style w:type="character" w:customStyle="1" w:styleId="296">
    <w:name w:val="标题 3 Char Char"/>
    <w:link w:val="1"/>
    <w:uiPriority w:val="0"/>
    <w:rPr>
      <w:rFonts w:ascii="黑体" w:hAnsi="宋体" w:eastAsia="黑体"/>
      <w:bCs/>
      <w:sz w:val="28"/>
      <w:szCs w:val="28"/>
    </w:rPr>
  </w:style>
  <w:style w:type="character" w:customStyle="1" w:styleId="297">
    <w:name w:val="无间隔 Char"/>
    <w:link w:val="298"/>
    <w:uiPriority w:val="0"/>
    <w:rPr>
      <w:sz w:val="21"/>
      <w:szCs w:val="24"/>
      <w:lang w:val="en-US" w:eastAsia="zh-CN" w:bidi="ar-SA"/>
    </w:rPr>
  </w:style>
  <w:style w:type="paragraph" w:customStyle="1" w:styleId="298">
    <w:name w:val="无间隔"/>
    <w:link w:val="297"/>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99">
    <w:name w:val="未处理的提及"/>
    <w:link w:val="1"/>
    <w:uiPriority w:val="0"/>
    <w:rPr>
      <w:color w:val="605E5C"/>
      <w:shd w:val="clear" w:color="auto" w:fill="E1DFDD"/>
    </w:rPr>
  </w:style>
  <w:style w:type="character" w:customStyle="1" w:styleId="300">
    <w:name w:val="批注框文本 Char Char"/>
    <w:link w:val="1"/>
    <w:uiPriority w:val="0"/>
    <w:rPr>
      <w:rFonts w:ascii="Calibri" w:hAnsi="Calibri" w:eastAsia="宋体" w:cs="Times New Roman"/>
      <w:sz w:val="18"/>
      <w:szCs w:val="18"/>
    </w:rPr>
  </w:style>
  <w:style w:type="character" w:customStyle="1" w:styleId="301">
    <w:name w:val="纯文本 Char1"/>
    <w:link w:val="1"/>
    <w:uiPriority w:val="0"/>
    <w:rPr>
      <w:rFonts w:ascii="宋体" w:hAnsi="Courier New" w:cs="Courier New"/>
      <w:sz w:val="21"/>
      <w:szCs w:val="21"/>
    </w:rPr>
  </w:style>
  <w:style w:type="character" w:customStyle="1" w:styleId="302">
    <w:name w:val="批注主题 Char1"/>
    <w:link w:val="1"/>
    <w:uiPriority w:val="0"/>
    <w:rPr>
      <w:b/>
      <w:bCs/>
      <w:sz w:val="21"/>
      <w:szCs w:val="21"/>
    </w:rPr>
  </w:style>
  <w:style w:type="character" w:customStyle="1" w:styleId="303">
    <w:name w:val=" Char Char Char"/>
    <w:link w:val="1"/>
    <w:uiPriority w:val="0"/>
    <w:rPr>
      <w:rFonts w:ascii="Arial" w:hAnsi="Arial" w:eastAsia="黑体"/>
      <w:b/>
      <w:bCs/>
      <w:sz w:val="32"/>
      <w:szCs w:val="32"/>
      <w:lang w:val="en-US" w:eastAsia="zh-CN" w:bidi="ar-SA"/>
    </w:rPr>
  </w:style>
  <w:style w:type="character" w:customStyle="1" w:styleId="304">
    <w:name w:val="正文文本缩进 Char Char"/>
    <w:link w:val="1"/>
    <w:uiPriority w:val="0"/>
    <w:rPr>
      <w:sz w:val="21"/>
      <w:szCs w:val="24"/>
    </w:rPr>
  </w:style>
  <w:style w:type="character" w:customStyle="1" w:styleId="305">
    <w:name w:val="脚注文本 Char1"/>
    <w:link w:val="1"/>
    <w:uiPriority w:val="0"/>
    <w:rPr>
      <w:sz w:val="18"/>
      <w:szCs w:val="18"/>
    </w:rPr>
  </w:style>
  <w:style w:type="character" w:customStyle="1" w:styleId="306">
    <w:name w:val="引用 Char1"/>
    <w:link w:val="1"/>
    <w:uiPriority w:val="0"/>
    <w:rPr>
      <w:i/>
      <w:iCs/>
      <w:color w:val="000000"/>
      <w:sz w:val="21"/>
      <w:szCs w:val="21"/>
    </w:rPr>
  </w:style>
  <w:style w:type="character" w:customStyle="1" w:styleId="307">
    <w:name w:val="fontstyle01"/>
    <w:link w:val="1"/>
    <w:uiPriority w:val="0"/>
    <w:rPr>
      <w:rFonts w:hint="eastAsia" w:ascii="宋体" w:hAnsi="宋体" w:eastAsia="宋体"/>
      <w:color w:val="000000"/>
      <w:sz w:val="22"/>
      <w:szCs w:val="22"/>
    </w:rPr>
  </w:style>
  <w:style w:type="character" w:customStyle="1" w:styleId="308">
    <w:name w:val="NormalCharacter1"/>
    <w:link w:val="1"/>
    <w:qFormat/>
    <w:uiPriority w:val="0"/>
  </w:style>
  <w:style w:type="character" w:customStyle="1" w:styleId="309">
    <w:name w:val="font71"/>
    <w:link w:val="1"/>
    <w:uiPriority w:val="0"/>
    <w:rPr>
      <w:rFonts w:hint="eastAsia" w:ascii="宋体" w:hAnsi="宋体" w:eastAsia="宋体" w:cs="宋体"/>
      <w:color w:val="000000"/>
      <w:sz w:val="21"/>
      <w:szCs w:val="21"/>
      <w:u w:val="none"/>
    </w:rPr>
  </w:style>
  <w:style w:type="character" w:customStyle="1" w:styleId="310">
    <w:name w:val="正文缩进2格 Char Char"/>
    <w:link w:val="311"/>
    <w:uiPriority w:val="0"/>
    <w:rPr>
      <w:rFonts w:ascii="仿宋_GB2312" w:hAnsi="宋体" w:eastAsia="仿宋_GB2312"/>
      <w:sz w:val="31"/>
      <w:szCs w:val="28"/>
    </w:rPr>
  </w:style>
  <w:style w:type="paragraph" w:customStyle="1" w:styleId="311">
    <w:name w:val="正文缩进2格"/>
    <w:basedOn w:val="1"/>
    <w:link w:val="310"/>
    <w:uiPriority w:val="0"/>
    <w:pPr>
      <w:spacing w:line="600" w:lineRule="exact"/>
      <w:ind w:firstLine="639"/>
    </w:pPr>
    <w:rPr>
      <w:rFonts w:ascii="仿宋_GB2312" w:hAnsi="宋体" w:eastAsia="仿宋_GB2312"/>
      <w:sz w:val="31"/>
      <w:szCs w:val="28"/>
    </w:rPr>
  </w:style>
  <w:style w:type="character" w:customStyle="1" w:styleId="312">
    <w:name w:val="标题 5 Char Char"/>
    <w:link w:val="1"/>
    <w:uiPriority w:val="0"/>
    <w:rPr>
      <w:rFonts w:ascii="宋体"/>
      <w:color w:val="000000"/>
      <w:sz w:val="28"/>
      <w:szCs w:val="28"/>
    </w:rPr>
  </w:style>
  <w:style w:type="character" w:customStyle="1" w:styleId="313">
    <w:name w:val="普通正文 Char Char"/>
    <w:link w:val="314"/>
    <w:uiPriority w:val="0"/>
    <w:rPr>
      <w:rFonts w:ascii="Arial" w:hAnsi="Arial"/>
      <w:sz w:val="24"/>
      <w:szCs w:val="24"/>
    </w:rPr>
  </w:style>
  <w:style w:type="paragraph" w:customStyle="1" w:styleId="314">
    <w:name w:val="普通正文"/>
    <w:basedOn w:val="1"/>
    <w:link w:val="313"/>
    <w:uiPriority w:val="0"/>
    <w:pPr>
      <w:spacing w:before="120" w:after="120" w:line="360" w:lineRule="auto"/>
      <w:ind w:left="-2" w:right="120" w:firstLine="480"/>
      <w:jc w:val="center"/>
    </w:pPr>
    <w:rPr>
      <w:rFonts w:ascii="Arial" w:hAnsi="Arial"/>
      <w:sz w:val="24"/>
    </w:rPr>
  </w:style>
  <w:style w:type="character" w:customStyle="1" w:styleId="315">
    <w:name w:val="正文缩进 Char Char"/>
    <w:link w:val="1"/>
    <w:uiPriority w:val="0"/>
    <w:rPr>
      <w:sz w:val="21"/>
    </w:rPr>
  </w:style>
  <w:style w:type="character" w:customStyle="1" w:styleId="316">
    <w:name w:val="页眉 Char Char Char"/>
    <w:link w:val="1"/>
    <w:uiPriority w:val="0"/>
    <w:rPr>
      <w:sz w:val="18"/>
      <w:szCs w:val="18"/>
    </w:rPr>
  </w:style>
  <w:style w:type="character" w:customStyle="1" w:styleId="317">
    <w:name w:val="标题 Char1"/>
    <w:link w:val="1"/>
    <w:uiPriority w:val="0"/>
    <w:rPr>
      <w:rFonts w:ascii="Cambria" w:hAnsi="Cambria" w:cs="Times New Roman"/>
      <w:b/>
      <w:bCs/>
      <w:sz w:val="32"/>
      <w:szCs w:val="32"/>
    </w:rPr>
  </w:style>
  <w:style w:type="character" w:customStyle="1" w:styleId="318">
    <w:name w:val="正文文本 2 Char1"/>
    <w:link w:val="1"/>
    <w:uiPriority w:val="0"/>
    <w:rPr>
      <w:sz w:val="21"/>
      <w:szCs w:val="21"/>
    </w:rPr>
  </w:style>
  <w:style w:type="character" w:customStyle="1" w:styleId="319">
    <w:name w:val="标题 7 Char Char"/>
    <w:link w:val="1"/>
    <w:uiPriority w:val="0"/>
    <w:rPr>
      <w:b/>
      <w:bCs/>
      <w:sz w:val="24"/>
      <w:szCs w:val="24"/>
    </w:rPr>
  </w:style>
  <w:style w:type="character" w:customStyle="1" w:styleId="320">
    <w:name w:val="font01"/>
    <w:link w:val="1"/>
    <w:uiPriority w:val="0"/>
    <w:rPr>
      <w:rFonts w:ascii="等线" w:hAnsi="等线" w:eastAsia="等线" w:cs="等线"/>
      <w:color w:val="000000"/>
      <w:sz w:val="22"/>
      <w:szCs w:val="22"/>
      <w:u w:val="none"/>
    </w:rPr>
  </w:style>
  <w:style w:type="character" w:customStyle="1" w:styleId="321">
    <w:name w:val="font5 Char Char"/>
    <w:link w:val="1"/>
    <w:uiPriority w:val="0"/>
    <w:rPr>
      <w:rFonts w:ascii="宋体" w:hAnsi="宋体" w:eastAsia="宋体"/>
      <w:sz w:val="28"/>
      <w:szCs w:val="28"/>
      <w:lang w:val="en-US" w:eastAsia="zh-CN" w:bidi="ar-SA"/>
    </w:rPr>
  </w:style>
  <w:style w:type="character" w:customStyle="1" w:styleId="322">
    <w:name w:val="point_normal1"/>
    <w:link w:val="1"/>
    <w:uiPriority w:val="0"/>
    <w:rPr>
      <w:rFonts w:ascii="Arial" w:hAnsi="Arial" w:cs="Arial"/>
      <w:sz w:val="16"/>
      <w:szCs w:val="16"/>
    </w:rPr>
  </w:style>
  <w:style w:type="character" w:customStyle="1" w:styleId="323">
    <w:name w:val="正文文本缩进 Char1"/>
    <w:link w:val="1"/>
    <w:autoRedefine/>
    <w:qFormat/>
    <w:uiPriority w:val="0"/>
    <w:rPr>
      <w:sz w:val="21"/>
      <w:szCs w:val="21"/>
    </w:rPr>
  </w:style>
  <w:style w:type="character" w:customStyle="1" w:styleId="324">
    <w:name w:val="标题 9 Char Char"/>
    <w:link w:val="1"/>
    <w:uiPriority w:val="0"/>
    <w:rPr>
      <w:rFonts w:ascii="Arial" w:hAnsi="Arial" w:eastAsia="黑体"/>
      <w:sz w:val="21"/>
      <w:szCs w:val="21"/>
    </w:rPr>
  </w:style>
  <w:style w:type="character" w:customStyle="1" w:styleId="325">
    <w:name w:val="样式 Char Char"/>
    <w:link w:val="326"/>
    <w:uiPriority w:val="0"/>
    <w:rPr>
      <w:rFonts w:ascii="宋体" w:hAnsi="宋体" w:cs="宋体"/>
      <w:sz w:val="24"/>
      <w:szCs w:val="24"/>
      <w:lang w:val="en-US" w:eastAsia="zh-CN" w:bidi="ar-SA"/>
    </w:rPr>
  </w:style>
  <w:style w:type="paragraph" w:customStyle="1" w:styleId="326">
    <w:name w:val="样式"/>
    <w:link w:val="325"/>
    <w:uiPriority w:val="0"/>
    <w:pPr>
      <w:widowControl w:val="0"/>
    </w:pPr>
    <w:rPr>
      <w:rFonts w:hint="default" w:ascii="宋体" w:hAnsi="宋体" w:eastAsia="宋体" w:cs="宋体"/>
      <w:sz w:val="24"/>
      <w:szCs w:val="24"/>
      <w:lang w:val="en-US" w:eastAsia="zh-CN" w:bidi="ar-SA"/>
    </w:rPr>
  </w:style>
  <w:style w:type="character" w:customStyle="1" w:styleId="327">
    <w:name w:val="标题 6 Char Char"/>
    <w:link w:val="1"/>
    <w:uiPriority w:val="0"/>
    <w:rPr>
      <w:rFonts w:ascii="Arial" w:hAnsi="Arial" w:eastAsia="黑体"/>
      <w:b/>
      <w:bCs/>
      <w:sz w:val="24"/>
      <w:szCs w:val="24"/>
    </w:rPr>
  </w:style>
  <w:style w:type="character" w:customStyle="1" w:styleId="328">
    <w:name w:val="正文文本缩进 3 Char Char"/>
    <w:link w:val="1"/>
    <w:uiPriority w:val="0"/>
    <w:rPr>
      <w:rFonts w:ascii="宋体"/>
      <w:b/>
      <w:spacing w:val="6"/>
      <w:sz w:val="28"/>
      <w:szCs w:val="24"/>
    </w:rPr>
  </w:style>
  <w:style w:type="character" w:customStyle="1" w:styleId="329">
    <w:name w:val="标题 4 Char Char"/>
    <w:link w:val="1"/>
    <w:uiPriority w:val="0"/>
    <w:rPr>
      <w:rFonts w:ascii="Arial" w:hAnsi="Arial" w:eastAsia="黑体"/>
      <w:b/>
      <w:bCs/>
      <w:sz w:val="28"/>
      <w:szCs w:val="28"/>
    </w:rPr>
  </w:style>
  <w:style w:type="character" w:customStyle="1" w:styleId="330">
    <w:name w:val="列出段落 Char"/>
    <w:link w:val="331"/>
    <w:uiPriority w:val="0"/>
    <w:rPr>
      <w:sz w:val="21"/>
      <w:szCs w:val="24"/>
      <w:lang w:val="en-US" w:eastAsia="zh-CN" w:bidi="ar-SA"/>
    </w:rPr>
  </w:style>
  <w:style w:type="paragraph" w:customStyle="1" w:styleId="331">
    <w:name w:val="列出段落1"/>
    <w:link w:val="330"/>
    <w:uiPriority w:val="0"/>
    <w:pPr>
      <w:widowControl w:val="0"/>
      <w:ind w:firstLine="420"/>
      <w:jc w:val="both"/>
    </w:pPr>
    <w:rPr>
      <w:rFonts w:hint="default" w:ascii="Times New Roman" w:hAnsi="Times New Roman" w:eastAsia="宋体" w:cs="Times New Roman"/>
      <w:sz w:val="21"/>
      <w:szCs w:val="24"/>
      <w:lang w:val="en-US" w:eastAsia="zh-CN" w:bidi="ar-SA"/>
    </w:rPr>
  </w:style>
  <w:style w:type="character" w:customStyle="1" w:styleId="332">
    <w:name w:val="列表段落 字符"/>
    <w:link w:val="1"/>
    <w:uiPriority w:val="0"/>
    <w:rPr>
      <w:rFonts w:ascii="Calibri" w:hAnsi="Calibri"/>
      <w:sz w:val="21"/>
      <w:szCs w:val="22"/>
    </w:rPr>
  </w:style>
  <w:style w:type="character" w:customStyle="1" w:styleId="333">
    <w:name w:val="FA正文 Char Char"/>
    <w:link w:val="334"/>
    <w:uiPriority w:val="0"/>
    <w:rPr>
      <w:rFonts w:ascii="宋体" w:hAnsi="宋体" w:eastAsia="宋体" w:cs="Times New Roman"/>
      <w:sz w:val="28"/>
      <w:szCs w:val="28"/>
    </w:rPr>
  </w:style>
  <w:style w:type="paragraph" w:customStyle="1" w:styleId="334">
    <w:name w:val="FA正文"/>
    <w:basedOn w:val="1"/>
    <w:link w:val="333"/>
    <w:uiPriority w:val="0"/>
    <w:pPr>
      <w:tabs>
        <w:tab w:val="left" w:pos="3375"/>
      </w:tabs>
      <w:spacing w:line="440" w:lineRule="atLeast"/>
      <w:ind w:firstLine="538"/>
    </w:pPr>
    <w:rPr>
      <w:rFonts w:ascii="宋体" w:hAnsi="宋体"/>
      <w:sz w:val="28"/>
      <w:szCs w:val="28"/>
    </w:rPr>
  </w:style>
  <w:style w:type="character" w:customStyle="1" w:styleId="335">
    <w:name w:val="脚注文本 Char2"/>
    <w:link w:val="1"/>
    <w:uiPriority w:val="0"/>
    <w:rPr>
      <w:sz w:val="18"/>
      <w:szCs w:val="18"/>
    </w:rPr>
  </w:style>
  <w:style w:type="character" w:customStyle="1" w:styleId="336">
    <w:name w:val="明显引用 Char"/>
    <w:link w:val="337"/>
    <w:uiPriority w:val="0"/>
    <w:rPr>
      <w:b/>
      <w:bCs/>
      <w:i/>
      <w:iCs/>
      <w:color w:val="4F81BD"/>
      <w:sz w:val="21"/>
      <w:szCs w:val="24"/>
    </w:rPr>
  </w:style>
  <w:style w:type="paragraph" w:customStyle="1" w:styleId="337">
    <w:name w:val="明显引用"/>
    <w:basedOn w:val="1"/>
    <w:next w:val="1"/>
    <w:link w:val="336"/>
    <w:qFormat/>
    <w:uiPriority w:val="0"/>
    <w:pPr>
      <w:pBdr>
        <w:bottom w:val="single" w:color="4F81BD" w:sz="4" w:space="4"/>
      </w:pBdr>
      <w:spacing w:before="200" w:after="280"/>
      <w:ind w:left="936" w:right="936"/>
    </w:pPr>
    <w:rPr>
      <w:b/>
      <w:bCs/>
      <w:i/>
      <w:iCs/>
      <w:color w:val="4F81BD"/>
    </w:rPr>
  </w:style>
  <w:style w:type="character" w:customStyle="1" w:styleId="338">
    <w:name w:val="二级目录 Char Char"/>
    <w:link w:val="339"/>
    <w:uiPriority w:val="0"/>
    <w:rPr>
      <w:b/>
      <w:sz w:val="30"/>
      <w:szCs w:val="28"/>
      <w:lang w:val="en-US" w:eastAsia="zh-CN" w:bidi="ar-SA"/>
    </w:rPr>
  </w:style>
  <w:style w:type="paragraph" w:customStyle="1" w:styleId="339">
    <w:name w:val="二级目录"/>
    <w:next w:val="1"/>
    <w:link w:val="338"/>
    <w:qFormat/>
    <w:uiPriority w:val="0"/>
    <w:pPr>
      <w:numPr>
        <w:ilvl w:val="0"/>
        <w:numId w:val="1"/>
      </w:numPr>
      <w:tabs>
        <w:tab w:val="left" w:pos="907"/>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340">
    <w:name w:val="页眉 Char1"/>
    <w:link w:val="1"/>
    <w:uiPriority w:val="0"/>
    <w:rPr>
      <w:sz w:val="18"/>
      <w:szCs w:val="18"/>
    </w:rPr>
  </w:style>
  <w:style w:type="character" w:customStyle="1" w:styleId="341">
    <w:name w:val="font61"/>
    <w:link w:val="1"/>
    <w:uiPriority w:val="0"/>
    <w:rPr>
      <w:rFonts w:ascii="Times New Roman" w:hAnsi="Times New Roman" w:cs="Times New Roman"/>
      <w:color w:val="000000"/>
      <w:sz w:val="21"/>
      <w:szCs w:val="21"/>
      <w:u w:val="none"/>
    </w:rPr>
  </w:style>
  <w:style w:type="character" w:customStyle="1" w:styleId="342">
    <w:name w:val="正文文本 Char1"/>
    <w:link w:val="1"/>
    <w:uiPriority w:val="0"/>
    <w:rPr>
      <w:sz w:val="21"/>
      <w:szCs w:val="21"/>
    </w:rPr>
  </w:style>
  <w:style w:type="character" w:customStyle="1" w:styleId="343">
    <w:name w:val="font161"/>
    <w:link w:val="1"/>
    <w:uiPriority w:val="0"/>
    <w:rPr>
      <w:b/>
      <w:bCs/>
      <w:sz w:val="32"/>
      <w:szCs w:val="32"/>
    </w:rPr>
  </w:style>
  <w:style w:type="character" w:customStyle="1" w:styleId="344">
    <w:name w:val="不明显参考"/>
    <w:link w:val="1"/>
    <w:qFormat/>
    <w:uiPriority w:val="0"/>
    <w:rPr>
      <w:smallCaps/>
      <w:color w:val="C0504D"/>
      <w:u w:val="single"/>
    </w:rPr>
  </w:style>
  <w:style w:type="character" w:customStyle="1" w:styleId="345">
    <w:name w:val="明显引用 Char1"/>
    <w:link w:val="1"/>
    <w:uiPriority w:val="0"/>
    <w:rPr>
      <w:b/>
      <w:bCs/>
      <w:i/>
      <w:iCs/>
      <w:color w:val="4F81BD"/>
      <w:sz w:val="21"/>
      <w:szCs w:val="24"/>
    </w:rPr>
  </w:style>
  <w:style w:type="character" w:customStyle="1" w:styleId="346">
    <w:name w:val="样式 ssss + 宋体 五号1 Char Char"/>
    <w:link w:val="347"/>
    <w:uiPriority w:val="0"/>
    <w:rPr>
      <w:rFonts w:ascii="宋体" w:hAnsi="宋体" w:eastAsia="宋体" w:cs="Times New Roman"/>
      <w:sz w:val="24"/>
      <w:szCs w:val="24"/>
    </w:rPr>
  </w:style>
  <w:style w:type="paragraph" w:customStyle="1" w:styleId="347">
    <w:name w:val="样式 ssss + 宋体 五号1"/>
    <w:basedOn w:val="348"/>
    <w:link w:val="346"/>
    <w:uiPriority w:val="0"/>
    <w:rPr>
      <w:rFonts w:ascii="宋体" w:hAnsi="宋体"/>
    </w:rPr>
  </w:style>
  <w:style w:type="paragraph" w:customStyle="1" w:styleId="348">
    <w:name w:val="ssss"/>
    <w:basedOn w:val="1"/>
    <w:link w:val="349"/>
    <w:uiPriority w:val="0"/>
    <w:pPr>
      <w:spacing w:line="360" w:lineRule="auto"/>
      <w:ind w:firstLine="480"/>
    </w:pPr>
    <w:rPr>
      <w:sz w:val="24"/>
    </w:rPr>
  </w:style>
  <w:style w:type="character" w:customStyle="1" w:styleId="349">
    <w:name w:val="ssss Char1"/>
    <w:link w:val="348"/>
    <w:uiPriority w:val="0"/>
    <w:rPr>
      <w:rFonts w:ascii="Times New Roman" w:hAnsi="Times New Roman" w:eastAsia="宋体" w:cs="Times New Roman"/>
      <w:sz w:val="24"/>
      <w:szCs w:val="24"/>
    </w:rPr>
  </w:style>
  <w:style w:type="character" w:customStyle="1" w:styleId="350">
    <w:name w:val="正文文本 3 Char Char"/>
    <w:link w:val="1"/>
    <w:uiPriority w:val="0"/>
    <w:rPr>
      <w:sz w:val="16"/>
      <w:szCs w:val="16"/>
    </w:rPr>
  </w:style>
  <w:style w:type="character" w:customStyle="1" w:styleId="351">
    <w:name w:val="Char Char2"/>
    <w:link w:val="1"/>
    <w:uiPriority w:val="0"/>
    <w:rPr>
      <w:rFonts w:eastAsia="宋体"/>
      <w:sz w:val="21"/>
      <w:szCs w:val="24"/>
      <w:lang w:val="en-US" w:eastAsia="zh-CN" w:bidi="ar-SA"/>
    </w:rPr>
  </w:style>
  <w:style w:type="character" w:customStyle="1" w:styleId="352">
    <w:name w:val="正文文本缩进 2 Char Char"/>
    <w:link w:val="1"/>
    <w:uiPriority w:val="0"/>
    <w:rPr>
      <w:sz w:val="21"/>
      <w:szCs w:val="24"/>
    </w:rPr>
  </w:style>
  <w:style w:type="character" w:customStyle="1" w:styleId="353">
    <w:name w:val="明显引用 Char2"/>
    <w:link w:val="1"/>
    <w:uiPriority w:val="0"/>
    <w:rPr>
      <w:b/>
      <w:bCs/>
      <w:i/>
      <w:iCs/>
      <w:color w:val="4F81BD"/>
      <w:sz w:val="21"/>
      <w:szCs w:val="21"/>
    </w:rPr>
  </w:style>
  <w:style w:type="character" w:customStyle="1" w:styleId="354">
    <w:name w:val=" Char Char2"/>
    <w:link w:val="1"/>
    <w:uiPriority w:val="0"/>
    <w:rPr>
      <w:rFonts w:eastAsia="宋体"/>
      <w:sz w:val="21"/>
      <w:szCs w:val="24"/>
      <w:lang w:val="en-US" w:eastAsia="zh-CN" w:bidi="ar-SA"/>
    </w:rPr>
  </w:style>
  <w:style w:type="character" w:customStyle="1" w:styleId="355">
    <w:name w:val="正文文本缩进 3 Char1"/>
    <w:link w:val="1"/>
    <w:uiPriority w:val="0"/>
    <w:rPr>
      <w:sz w:val="16"/>
      <w:szCs w:val="16"/>
    </w:rPr>
  </w:style>
  <w:style w:type="character" w:customStyle="1" w:styleId="356">
    <w:name w:val="明显参考"/>
    <w:link w:val="1"/>
    <w:qFormat/>
    <w:uiPriority w:val="0"/>
    <w:rPr>
      <w:b/>
      <w:bCs/>
      <w:smallCaps/>
      <w:color w:val="C0504D"/>
      <w:spacing w:val="5"/>
      <w:u w:val="single"/>
    </w:rPr>
  </w:style>
  <w:style w:type="character" w:customStyle="1" w:styleId="357">
    <w:name w:val="文档结构图 Char Char"/>
    <w:link w:val="1"/>
    <w:uiPriority w:val="0"/>
    <w:rPr>
      <w:sz w:val="21"/>
      <w:szCs w:val="24"/>
      <w:shd w:val="clear" w:color="auto" w:fill="000080"/>
    </w:rPr>
  </w:style>
  <w:style w:type="character" w:customStyle="1" w:styleId="358">
    <w:name w:val="页眉 Char Char"/>
    <w:link w:val="1"/>
    <w:uiPriority w:val="0"/>
    <w:rPr>
      <w:sz w:val="18"/>
    </w:rPr>
  </w:style>
  <w:style w:type="character" w:customStyle="1" w:styleId="359">
    <w:name w:val="正文文本缩进 2 Char1"/>
    <w:link w:val="1"/>
    <w:uiPriority w:val="0"/>
    <w:rPr>
      <w:sz w:val="21"/>
      <w:szCs w:val="21"/>
    </w:rPr>
  </w:style>
  <w:style w:type="character" w:customStyle="1" w:styleId="360">
    <w:name w:val="不明显强调"/>
    <w:link w:val="1"/>
    <w:qFormat/>
    <w:uiPriority w:val="0"/>
    <w:rPr>
      <w:i/>
      <w:iCs/>
      <w:color w:val="808080"/>
    </w:rPr>
  </w:style>
  <w:style w:type="character" w:customStyle="1" w:styleId="361">
    <w:name w:val="引用 Char3"/>
    <w:link w:val="1"/>
    <w:uiPriority w:val="0"/>
    <w:rPr>
      <w:i/>
      <w:iCs/>
      <w:color w:val="000000"/>
      <w:sz w:val="21"/>
      <w:szCs w:val="24"/>
    </w:rPr>
  </w:style>
  <w:style w:type="character" w:customStyle="1" w:styleId="362">
    <w:name w:val="标题 Char2"/>
    <w:link w:val="1"/>
    <w:uiPriority w:val="0"/>
    <w:rPr>
      <w:rFonts w:ascii="Cambria" w:hAnsi="Cambria" w:cs="Times New Roman"/>
      <w:b/>
      <w:bCs/>
      <w:sz w:val="32"/>
      <w:szCs w:val="32"/>
    </w:rPr>
  </w:style>
  <w:style w:type="character" w:customStyle="1" w:styleId="363">
    <w:name w:val="副标题 Char1"/>
    <w:link w:val="1"/>
    <w:uiPriority w:val="0"/>
    <w:rPr>
      <w:rFonts w:ascii="Cambria" w:hAnsi="Cambria" w:cs="Times New Roman"/>
      <w:b/>
      <w:bCs/>
      <w:sz w:val="32"/>
      <w:szCs w:val="32"/>
    </w:rPr>
  </w:style>
  <w:style w:type="character" w:customStyle="1" w:styleId="364">
    <w:name w:val="Char Char7"/>
    <w:link w:val="1"/>
    <w:autoRedefine/>
    <w:qFormat/>
    <w:uiPriority w:val="0"/>
    <w:rPr>
      <w:rFonts w:ascii="Arial" w:hAnsi="Arial" w:eastAsia="黑体"/>
      <w:b/>
      <w:bCs/>
      <w:sz w:val="32"/>
      <w:szCs w:val="32"/>
      <w:lang w:val="en-US" w:eastAsia="zh-CN" w:bidi="ar-SA"/>
    </w:rPr>
  </w:style>
  <w:style w:type="character" w:customStyle="1" w:styleId="365">
    <w:name w:val="纯文本 Char Char"/>
    <w:link w:val="1"/>
    <w:autoRedefine/>
    <w:qFormat/>
    <w:uiPriority w:val="0"/>
    <w:rPr>
      <w:rFonts w:ascii="宋体" w:hAnsi="Courier New" w:cs="Courier New"/>
      <w:sz w:val="21"/>
      <w:szCs w:val="21"/>
    </w:rPr>
  </w:style>
  <w:style w:type="character" w:customStyle="1" w:styleId="366">
    <w:name w:val="副标题 Char2"/>
    <w:link w:val="1"/>
    <w:uiPriority w:val="0"/>
    <w:rPr>
      <w:rFonts w:ascii="Cambria" w:hAnsi="Cambria" w:cs="Times New Roman"/>
      <w:b/>
      <w:bCs/>
      <w:sz w:val="32"/>
      <w:szCs w:val="32"/>
    </w:rPr>
  </w:style>
  <w:style w:type="character" w:customStyle="1" w:styleId="367">
    <w:name w:val="正文首行缩进 Char Char"/>
    <w:link w:val="1"/>
    <w:uiPriority w:val="0"/>
    <w:rPr>
      <w:rFonts w:ascii="仿宋_GB2312" w:eastAsia="仿宋_GB2312"/>
      <w:sz w:val="30"/>
      <w:szCs w:val="30"/>
    </w:rPr>
  </w:style>
  <w:style w:type="character" w:customStyle="1" w:styleId="368">
    <w:name w:val="引用 Char2"/>
    <w:link w:val="1"/>
    <w:uiPriority w:val="0"/>
    <w:rPr>
      <w:i/>
      <w:iCs/>
      <w:color w:val="000000"/>
      <w:sz w:val="21"/>
      <w:szCs w:val="21"/>
    </w:rPr>
  </w:style>
  <w:style w:type="character" w:customStyle="1" w:styleId="369">
    <w:name w:val="正文文本 2 Char Char"/>
    <w:link w:val="1"/>
    <w:uiPriority w:val="0"/>
    <w:rPr>
      <w:rFonts w:ascii="楷体_GB2312" w:eastAsia="楷体_GB2312"/>
      <w:sz w:val="28"/>
      <w:szCs w:val="28"/>
    </w:rPr>
  </w:style>
  <w:style w:type="character" w:customStyle="1" w:styleId="370">
    <w:name w:val="批注框文本 Char1"/>
    <w:link w:val="1"/>
    <w:uiPriority w:val="0"/>
    <w:rPr>
      <w:rFonts w:ascii="Times New Roman" w:hAnsi="Times New Roman" w:eastAsia="宋体" w:cs="Times New Roman"/>
      <w:sz w:val="18"/>
      <w:szCs w:val="18"/>
    </w:rPr>
  </w:style>
  <w:style w:type="character" w:customStyle="1" w:styleId="371">
    <w:name w:val="页脚 Char Char"/>
    <w:link w:val="1"/>
    <w:uiPriority w:val="0"/>
    <w:rPr>
      <w:sz w:val="18"/>
    </w:rPr>
  </w:style>
  <w:style w:type="character" w:customStyle="1" w:styleId="372">
    <w:name w:val="mini-tree-nodetext1"/>
    <w:link w:val="1"/>
    <w:uiPriority w:val="0"/>
  </w:style>
  <w:style w:type="character" w:customStyle="1" w:styleId="373">
    <w:name w:val="正文文本 3 Char1"/>
    <w:link w:val="1"/>
    <w:uiPriority w:val="0"/>
    <w:rPr>
      <w:sz w:val="16"/>
      <w:szCs w:val="16"/>
    </w:rPr>
  </w:style>
  <w:style w:type="character" w:customStyle="1" w:styleId="374">
    <w:name w:val="批注文字 Char1"/>
    <w:link w:val="1"/>
    <w:uiPriority w:val="0"/>
    <w:rPr>
      <w:sz w:val="21"/>
      <w:szCs w:val="21"/>
    </w:rPr>
  </w:style>
  <w:style w:type="character" w:customStyle="1" w:styleId="375">
    <w:name w:val=" Char Char7"/>
    <w:link w:val="1"/>
    <w:uiPriority w:val="0"/>
    <w:rPr>
      <w:rFonts w:ascii="Arial" w:hAnsi="Arial" w:eastAsia="黑体"/>
      <w:b/>
      <w:bCs/>
      <w:sz w:val="32"/>
      <w:szCs w:val="32"/>
      <w:lang w:val="en-US" w:eastAsia="zh-CN" w:bidi="ar-SA"/>
    </w:rPr>
  </w:style>
  <w:style w:type="character" w:customStyle="1" w:styleId="376">
    <w:name w:val="标题 8 Char Char"/>
    <w:link w:val="1"/>
    <w:uiPriority w:val="0"/>
    <w:rPr>
      <w:rFonts w:ascii="Arial" w:hAnsi="Arial" w:eastAsia="黑体"/>
      <w:sz w:val="24"/>
      <w:szCs w:val="24"/>
    </w:rPr>
  </w:style>
  <w:style w:type="character" w:customStyle="1" w:styleId="377">
    <w:name w:val="标题 2 Char Char"/>
    <w:link w:val="1"/>
    <w:uiPriority w:val="0"/>
    <w:rPr>
      <w:rFonts w:ascii="Arial" w:hAnsi="Arial" w:eastAsia="黑体"/>
      <w:b/>
      <w:bCs/>
      <w:sz w:val="32"/>
      <w:szCs w:val="32"/>
    </w:rPr>
  </w:style>
  <w:style w:type="character" w:customStyle="1" w:styleId="378">
    <w:name w:val="mini-outputtext1"/>
    <w:link w:val="1"/>
    <w:uiPriority w:val="0"/>
  </w:style>
  <w:style w:type="character" w:customStyle="1" w:styleId="379">
    <w:name w:val="日期 Char Char"/>
    <w:link w:val="1"/>
    <w:uiPriority w:val="0"/>
    <w:rPr>
      <w:sz w:val="21"/>
      <w:szCs w:val="24"/>
    </w:rPr>
  </w:style>
  <w:style w:type="character" w:customStyle="1" w:styleId="380">
    <w:name w:val="标题 1 Char Char"/>
    <w:link w:val="1"/>
    <w:uiPriority w:val="0"/>
    <w:rPr>
      <w:b/>
      <w:bCs/>
      <w:sz w:val="44"/>
      <w:szCs w:val="44"/>
    </w:rPr>
  </w:style>
  <w:style w:type="character" w:customStyle="1" w:styleId="381">
    <w:name w:val=" Char Char8"/>
    <w:link w:val="1"/>
    <w:uiPriority w:val="0"/>
    <w:rPr>
      <w:rFonts w:ascii="Arial" w:hAnsi="Arial" w:eastAsia="黑体"/>
      <w:b/>
      <w:bCs/>
      <w:sz w:val="32"/>
      <w:szCs w:val="32"/>
      <w:lang w:val="en-US" w:eastAsia="zh-CN" w:bidi="ar-SA"/>
    </w:rPr>
  </w:style>
  <w:style w:type="character" w:customStyle="1" w:styleId="382">
    <w:name w:val="文档结构图 Char1"/>
    <w:link w:val="1"/>
    <w:uiPriority w:val="0"/>
    <w:rPr>
      <w:rFonts w:ascii="宋体" w:hAnsi="Times New Roman" w:eastAsia="宋体" w:cs="Times New Roman"/>
      <w:sz w:val="18"/>
      <w:szCs w:val="18"/>
    </w:rPr>
  </w:style>
  <w:style w:type="character" w:customStyle="1" w:styleId="383">
    <w:name w:val="标题 3.1 Char Char"/>
    <w:link w:val="384"/>
    <w:uiPriority w:val="0"/>
    <w:rPr>
      <w:rFonts w:ascii="宋体" w:hAnsi="宋体"/>
      <w:b/>
      <w:bCs/>
      <w:color w:val="000000"/>
      <w:sz w:val="32"/>
      <w:szCs w:val="32"/>
    </w:rPr>
  </w:style>
  <w:style w:type="paragraph" w:customStyle="1" w:styleId="384">
    <w:name w:val="标题 3.1"/>
    <w:basedOn w:val="188"/>
    <w:link w:val="383"/>
    <w:uiPriority w:val="0"/>
    <w:pPr>
      <w:tabs>
        <w:tab w:val="left" w:pos="1440"/>
        <w:tab w:val="left" w:pos="1620"/>
      </w:tabs>
      <w:spacing w:line="600" w:lineRule="exact"/>
    </w:pPr>
    <w:rPr>
      <w:rFonts w:ascii="宋体" w:hAnsi="宋体"/>
      <w:color w:val="000000"/>
    </w:rPr>
  </w:style>
  <w:style w:type="character" w:customStyle="1" w:styleId="385">
    <w:name w:val="ssss Char Char"/>
    <w:link w:val="1"/>
    <w:uiPriority w:val="0"/>
    <w:rPr>
      <w:rFonts w:eastAsia="宋体"/>
      <w:sz w:val="24"/>
      <w:szCs w:val="24"/>
      <w:lang w:val="en-US" w:eastAsia="zh-CN" w:bidi="ar-SA"/>
    </w:rPr>
  </w:style>
  <w:style w:type="character" w:customStyle="1" w:styleId="386">
    <w:name w:val="正文文本 Char Char"/>
    <w:link w:val="1"/>
    <w:uiPriority w:val="0"/>
    <w:rPr>
      <w:sz w:val="21"/>
      <w:szCs w:val="24"/>
    </w:rPr>
  </w:style>
  <w:style w:type="character" w:customStyle="1" w:styleId="387">
    <w:name w:val="列出段落 Char1"/>
    <w:link w:val="388"/>
    <w:uiPriority w:val="0"/>
  </w:style>
  <w:style w:type="paragraph" w:customStyle="1" w:styleId="388">
    <w:name w:val="列出段落"/>
    <w:basedOn w:val="1"/>
    <w:link w:val="387"/>
    <w:qFormat/>
    <w:uiPriority w:val="0"/>
    <w:pPr>
      <w:ind w:firstLine="420"/>
    </w:pPr>
  </w:style>
  <w:style w:type="paragraph" w:customStyle="1" w:styleId="389">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390">
    <w:name w:val="标题3"/>
    <w:basedOn w:val="1"/>
    <w:next w:val="1"/>
    <w:uiPriority w:val="0"/>
    <w:pPr>
      <w:spacing w:line="590" w:lineRule="atLeast"/>
      <w:ind w:firstLine="624"/>
    </w:pPr>
    <w:rPr>
      <w:rFonts w:ascii="方正黑体_GBK" w:eastAsia="方正黑体_GBK"/>
      <w:sz w:val="32"/>
      <w:szCs w:val="32"/>
    </w:rPr>
  </w:style>
  <w:style w:type="paragraph" w:customStyle="1" w:styleId="391">
    <w:name w:val="表格"/>
    <w:basedOn w:val="1"/>
    <w:uiPriority w:val="0"/>
    <w:rPr>
      <w:rFonts w:ascii="Arial" w:hAnsi="Arial"/>
      <w:sz w:val="24"/>
    </w:rPr>
  </w:style>
  <w:style w:type="paragraph" w:customStyle="1" w:styleId="392">
    <w:name w:val="标题1"/>
    <w:basedOn w:val="1"/>
    <w:next w:val="1"/>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93">
    <w:name w:val=" Char"/>
    <w:basedOn w:val="1"/>
    <w:uiPriority w:val="0"/>
    <w:rPr>
      <w:rFonts w:ascii="Tahoma" w:hAnsi="Tahoma"/>
      <w:sz w:val="24"/>
      <w:szCs w:val="20"/>
    </w:rPr>
  </w:style>
  <w:style w:type="paragraph" w:customStyle="1" w:styleId="394">
    <w:name w:val=" Char Char1 Char Char Char Char Char Char"/>
    <w:basedOn w:val="1"/>
    <w:uiPriority w:val="0"/>
    <w:pPr>
      <w:widowControl/>
      <w:spacing w:after="160" w:line="240" w:lineRule="exact"/>
      <w:jc w:val="left"/>
    </w:pPr>
    <w:rPr>
      <w:rFonts w:ascii="Verdana" w:hAnsi="Verdana" w:eastAsia="仿宋_GB2312"/>
      <w:sz w:val="24"/>
      <w:szCs w:val="20"/>
      <w:lang w:eastAsia="en-US"/>
    </w:rPr>
  </w:style>
  <w:style w:type="paragraph" w:customStyle="1" w:styleId="395">
    <w:name w:val="样式 标题 2 + Times New Roman 四号 非加粗 段前: 5 磅 段后: 0 磅 行距: 固定值 20..."/>
    <w:basedOn w:val="187"/>
    <w:uiPriority w:val="0"/>
    <w:pPr>
      <w:spacing w:before="100" w:after="0" w:line="400" w:lineRule="exact"/>
    </w:pPr>
    <w:rPr>
      <w:rFonts w:ascii="Times New Roman" w:hAnsi="Times New Roman" w:cs="宋体"/>
      <w:b w:val="0"/>
      <w:bCs w:val="0"/>
      <w:sz w:val="28"/>
      <w:szCs w:val="20"/>
    </w:rPr>
  </w:style>
  <w:style w:type="paragraph" w:customStyle="1" w:styleId="396">
    <w:name w:val=" Char Char 字元 字元 字元 Char Char Char Char"/>
    <w:basedOn w:val="1"/>
    <w:uiPriority w:val="0"/>
    <w:pPr>
      <w:spacing w:line="360" w:lineRule="auto"/>
    </w:pPr>
    <w:rPr>
      <w:sz w:val="24"/>
      <w:szCs w:val="20"/>
    </w:rPr>
  </w:style>
  <w:style w:type="paragraph" w:customStyle="1" w:styleId="397">
    <w:name w:val="TOC 标题"/>
    <w:basedOn w:val="186"/>
    <w:next w:val="1"/>
    <w:qFormat/>
    <w:uiPriority w:val="0"/>
    <w:pPr>
      <w:jc w:val="center"/>
      <w:outlineLvl w:val="9"/>
    </w:pPr>
  </w:style>
  <w:style w:type="paragraph" w:customStyle="1" w:styleId="398">
    <w:name w:val="p0"/>
    <w:basedOn w:val="1"/>
    <w:uiPriority w:val="0"/>
    <w:pPr>
      <w:widowControl/>
      <w:ind w:firstLine="420"/>
      <w:jc w:val="left"/>
    </w:pPr>
    <w:rPr>
      <w:sz w:val="20"/>
      <w:szCs w:val="20"/>
    </w:rPr>
  </w:style>
  <w:style w:type="paragraph" w:customStyle="1" w:styleId="399">
    <w:name w:val="表格文字"/>
    <w:basedOn w:val="1"/>
    <w:uiPriority w:val="0"/>
    <w:pPr>
      <w:spacing w:line="420" w:lineRule="atLeast"/>
      <w:jc w:val="left"/>
    </w:pPr>
  </w:style>
  <w:style w:type="paragraph" w:customStyle="1" w:styleId="400">
    <w:name w:val="表格正文"/>
    <w:basedOn w:val="1"/>
    <w:uiPriority w:val="0"/>
    <w:pPr>
      <w:spacing w:line="360" w:lineRule="auto"/>
      <w:jc w:val="left"/>
    </w:pPr>
    <w:rPr>
      <w:rFonts w:ascii="Calibri" w:hAnsi="Calibri"/>
      <w:color w:val="000000"/>
      <w:szCs w:val="28"/>
    </w:rPr>
  </w:style>
  <w:style w:type="paragraph" w:customStyle="1" w:styleId="401">
    <w:name w:val=" Char Char Char Char Char Char Char Char Char Char Char Char Char"/>
    <w:basedOn w:val="1"/>
    <w:uiPriority w:val="0"/>
  </w:style>
  <w:style w:type="paragraph" w:customStyle="1" w:styleId="402">
    <w:name w:val="Header2"/>
    <w:basedOn w:val="1"/>
    <w:uiPriority w:val="0"/>
    <w:pPr>
      <w:numPr>
        <w:ilvl w:val="0"/>
        <w:numId w:val="1"/>
      </w:numPr>
      <w:tabs>
        <w:tab w:val="left" w:pos="480"/>
      </w:tabs>
    </w:pPr>
  </w:style>
  <w:style w:type="paragraph" w:customStyle="1" w:styleId="403">
    <w:name w:val="msonormalcxspmiddle"/>
    <w:basedOn w:val="1"/>
    <w:uiPriority w:val="0"/>
    <w:pPr>
      <w:widowControl/>
      <w:spacing w:before="100" w:beforeAutospacing="1" w:after="100" w:afterAutospacing="1"/>
      <w:jc w:val="left"/>
    </w:pPr>
    <w:rPr>
      <w:rFonts w:ascii="宋体" w:hAnsi="宋体" w:cs="宋体"/>
      <w:sz w:val="24"/>
    </w:rPr>
  </w:style>
  <w:style w:type="paragraph" w:customStyle="1" w:styleId="404">
    <w:name w:val="6'"/>
    <w:basedOn w:val="1"/>
    <w:uiPriority w:val="0"/>
    <w:pPr>
      <w:spacing w:line="320" w:lineRule="exact"/>
      <w:jc w:val="center"/>
    </w:pPr>
    <w:rPr>
      <w:spacing w:val="20"/>
    </w:rPr>
  </w:style>
  <w:style w:type="paragraph" w:customStyle="1" w:styleId="405">
    <w:name w:val="正文 New"/>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6">
    <w:name w:val="标书正文"/>
    <w:uiPriority w:val="0"/>
    <w:pPr>
      <w:widowControl w:val="0"/>
      <w:spacing w:line="400" w:lineRule="exact"/>
      <w:jc w:val="both"/>
    </w:pPr>
    <w:rPr>
      <w:rFonts w:hint="default" w:ascii="Times New Roman" w:hAnsi="Times New Roman" w:eastAsia="宋体" w:cs="Times New Roman"/>
      <w:sz w:val="24"/>
      <w:szCs w:val="22"/>
      <w:lang w:val="en-US" w:eastAsia="zh-CN" w:bidi="ar-SA"/>
    </w:rPr>
  </w:style>
  <w:style w:type="paragraph" w:customStyle="1" w:styleId="407">
    <w:name w:val="2cxsplast"/>
    <w:basedOn w:val="1"/>
    <w:uiPriority w:val="0"/>
    <w:pPr>
      <w:widowControl/>
      <w:spacing w:before="100" w:beforeAutospacing="1" w:after="100" w:afterAutospacing="1"/>
      <w:jc w:val="left"/>
    </w:pPr>
    <w:rPr>
      <w:rFonts w:ascii="宋体" w:hAnsi="宋体" w:cs="宋体"/>
      <w:sz w:val="24"/>
    </w:rPr>
  </w:style>
  <w:style w:type="paragraph" w:customStyle="1" w:styleId="408">
    <w:name w:val="Char1"/>
    <w:basedOn w:val="1"/>
    <w:uiPriority w:val="0"/>
    <w:pPr>
      <w:tabs>
        <w:tab w:val="left" w:pos="840"/>
      </w:tabs>
      <w:ind w:left="840" w:hanging="420"/>
    </w:pPr>
    <w:rPr>
      <w:sz w:val="24"/>
    </w:rPr>
  </w:style>
  <w:style w:type="paragraph" w:customStyle="1" w:styleId="409">
    <w:name w:val="正文_1_0"/>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10">
    <w:name w:val="Char Char Char Char"/>
    <w:basedOn w:val="1"/>
    <w:uiPriority w:val="0"/>
    <w:rPr>
      <w:rFonts w:ascii="Tahoma" w:hAnsi="Tahoma"/>
      <w:sz w:val="24"/>
      <w:szCs w:val="20"/>
    </w:rPr>
  </w:style>
  <w:style w:type="paragraph" w:customStyle="1" w:styleId="411">
    <w:name w:val="样式 宋体 四号 黑色 左侧:  0.74 厘米 首行缩进:  0.74 厘米 行距: 1.5 倍行距"/>
    <w:basedOn w:val="1"/>
    <w:uiPriority w:val="0"/>
    <w:pPr>
      <w:spacing w:line="360" w:lineRule="auto"/>
      <w:ind w:firstLine="420"/>
    </w:pPr>
    <w:rPr>
      <w:rFonts w:ascii="宋体"/>
      <w:color w:val="000000"/>
      <w:sz w:val="24"/>
      <w:szCs w:val="21"/>
    </w:rPr>
  </w:style>
  <w:style w:type="paragraph" w:customStyle="1" w:styleId="412">
    <w:name w:val="4"/>
    <w:basedOn w:val="1"/>
    <w:next w:val="254"/>
    <w:uiPriority w:val="0"/>
    <w:pPr>
      <w:spacing w:line="360" w:lineRule="auto"/>
      <w:ind w:firstLine="420"/>
    </w:pPr>
    <w:rPr>
      <w:color w:val="FF0000"/>
      <w:sz w:val="24"/>
    </w:rPr>
  </w:style>
  <w:style w:type="paragraph" w:customStyle="1" w:styleId="413">
    <w:name w:val="样式 标题 1 + 黑体 三号 非加粗 居中 段前: 6 磅 段后: 6 磅 行距: 固定值 20 磅"/>
    <w:basedOn w:val="186"/>
    <w:uiPriority w:val="0"/>
    <w:pPr>
      <w:spacing w:before="120" w:after="120" w:line="400" w:lineRule="exact"/>
      <w:jc w:val="center"/>
    </w:pPr>
    <w:rPr>
      <w:rFonts w:ascii="黑体" w:hAnsi="黑体" w:eastAsia="黑体" w:cs="宋体"/>
      <w:b w:val="0"/>
      <w:bCs w:val="0"/>
      <w:sz w:val="32"/>
      <w:szCs w:val="20"/>
    </w:rPr>
  </w:style>
  <w:style w:type="paragraph" w:customStyle="1" w:styleId="414">
    <w:name w:val="table_1stline"/>
    <w:basedOn w:val="1"/>
    <w:uiPriority w:val="0"/>
    <w:pPr>
      <w:widowControl/>
      <w:spacing w:before="120"/>
      <w:jc w:val="left"/>
    </w:pPr>
    <w:rPr>
      <w:bCs/>
      <w:sz w:val="20"/>
      <w:szCs w:val="20"/>
      <w:lang w:val="de-DE" w:eastAsia="de-DE"/>
    </w:rPr>
  </w:style>
  <w:style w:type="paragraph" w:customStyle="1" w:styleId="415">
    <w:name w:val="标题------4"/>
    <w:basedOn w:val="189"/>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416">
    <w:name w:val="font6"/>
    <w:basedOn w:val="1"/>
    <w:uiPriority w:val="0"/>
    <w:pPr>
      <w:widowControl/>
      <w:spacing w:before="100" w:beforeAutospacing="1" w:after="100" w:afterAutospacing="1"/>
      <w:jc w:val="left"/>
    </w:pPr>
    <w:rPr>
      <w:rFonts w:hint="eastAsia" w:ascii="宋体" w:hAnsi="宋体"/>
      <w:sz w:val="28"/>
      <w:szCs w:val="28"/>
      <w:u w:val="single"/>
    </w:rPr>
  </w:style>
  <w:style w:type="paragraph" w:customStyle="1" w:styleId="417">
    <w:name w:val="正文缩进4格"/>
    <w:basedOn w:val="311"/>
    <w:uiPriority w:val="0"/>
    <w:pPr>
      <w:ind w:left="2" w:firstLine="538"/>
    </w:pPr>
    <w:rPr>
      <w:color w:val="000000"/>
      <w:sz w:val="28"/>
    </w:rPr>
  </w:style>
  <w:style w:type="paragraph" w:customStyle="1" w:styleId="418">
    <w:name w:val="Char Char Char Char Char Char Char Char Char Char Char Char Char"/>
    <w:basedOn w:val="1"/>
    <w:uiPriority w:val="0"/>
    <w:rPr>
      <w:sz w:val="24"/>
    </w:rPr>
  </w:style>
  <w:style w:type="paragraph" w:customStyle="1" w:styleId="419">
    <w:name w:val=" 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420">
    <w:name w:val="xl29"/>
    <w:basedOn w:val="1"/>
    <w:uiPriority w:val="0"/>
    <w:pPr>
      <w:widowControl/>
      <w:pBdr>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421">
    <w:name w:val="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422">
    <w:name w:val="xl27"/>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23">
    <w:name w:val="图标"/>
    <w:basedOn w:val="1"/>
    <w:next w:val="1"/>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424">
    <w:name w:val="样式2"/>
    <w:basedOn w:val="188"/>
    <w:uiPriority w:val="0"/>
    <w:pPr>
      <w:spacing w:before="20" w:after="20" w:line="415" w:lineRule="auto"/>
      <w:ind w:firstLine="137"/>
    </w:pPr>
    <w:rPr>
      <w:rFonts w:hAnsi="黑体" w:eastAsia="黑体"/>
      <w:b w:val="0"/>
      <w:bCs w:val="0"/>
      <w:sz w:val="24"/>
      <w:szCs w:val="20"/>
    </w:rPr>
  </w:style>
  <w:style w:type="paragraph" w:customStyle="1" w:styleId="425">
    <w:name w:val="样式3"/>
    <w:basedOn w:val="188"/>
    <w:uiPriority w:val="0"/>
    <w:pPr>
      <w:spacing w:before="20" w:after="20" w:line="415" w:lineRule="auto"/>
      <w:ind w:firstLine="137"/>
    </w:pPr>
    <w:rPr>
      <w:rFonts w:hAnsi="黑体" w:eastAsia="Arial"/>
      <w:b w:val="0"/>
      <w:bCs w:val="0"/>
      <w:sz w:val="24"/>
      <w:szCs w:val="20"/>
    </w:rPr>
  </w:style>
  <w:style w:type="paragraph" w:customStyle="1" w:styleId="426">
    <w:name w:val="xl24"/>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27">
    <w:name w:val=" Char Char Char Char"/>
    <w:basedOn w:val="1"/>
    <w:uiPriority w:val="0"/>
    <w:rPr>
      <w:rFonts w:ascii="Tahoma" w:hAnsi="Tahoma"/>
      <w:sz w:val="24"/>
      <w:szCs w:val="20"/>
    </w:rPr>
  </w:style>
  <w:style w:type="paragraph" w:customStyle="1" w:styleId="428">
    <w:name w:val="Body Text(ch)"/>
    <w:basedOn w:val="1"/>
    <w:next w:val="203"/>
    <w:uiPriority w:val="0"/>
    <w:pPr>
      <w:spacing w:after="120"/>
    </w:pPr>
    <w:rPr>
      <w:rFonts w:ascii="宋体" w:hAnsi="Arial"/>
      <w:bCs/>
      <w:iCs/>
    </w:rPr>
  </w:style>
  <w:style w:type="paragraph" w:customStyle="1" w:styleId="429">
    <w:name w:val="Char Char Char"/>
    <w:basedOn w:val="1"/>
    <w:uiPriority w:val="0"/>
    <w:rPr>
      <w:rFonts w:ascii="Tahoma" w:hAnsi="Tahoma"/>
      <w:sz w:val="24"/>
      <w:szCs w:val="20"/>
    </w:rPr>
  </w:style>
  <w:style w:type="paragraph" w:customStyle="1" w:styleId="430">
    <w:name w:val="样式 正文文本缩进 3 + 四号"/>
    <w:basedOn w:val="254"/>
    <w:uiPriority w:val="0"/>
    <w:pPr>
      <w:spacing w:after="0" w:line="360" w:lineRule="auto"/>
      <w:ind w:left="0" w:firstLine="437"/>
    </w:pPr>
    <w:rPr>
      <w:sz w:val="24"/>
      <w:szCs w:val="21"/>
    </w:rPr>
  </w:style>
  <w:style w:type="paragraph" w:styleId="431">
    <w:name w:val="List Paragraph"/>
    <w:basedOn w:val="1"/>
    <w:uiPriority w:val="0"/>
    <w:pPr>
      <w:widowControl/>
      <w:ind w:left="720"/>
      <w:contextualSpacing/>
      <w:jc w:val="left"/>
    </w:pPr>
    <w:rPr>
      <w:rFonts w:ascii="Calibri" w:hAnsi="Calibri"/>
      <w:sz w:val="24"/>
      <w:lang w:eastAsia="en-US" w:bidi="en-US"/>
    </w:rPr>
  </w:style>
  <w:style w:type="paragraph" w:customStyle="1" w:styleId="432">
    <w:name w:val="xl25"/>
    <w:basedOn w:val="1"/>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433">
    <w:name w:val="普通 (Web)"/>
    <w:basedOn w:val="1"/>
    <w:uiPriority w:val="0"/>
    <w:pPr>
      <w:widowControl/>
      <w:spacing w:before="100" w:beforeAutospacing="1" w:after="100" w:afterAutospacing="1"/>
      <w:jc w:val="left"/>
    </w:pPr>
    <w:rPr>
      <w:rFonts w:ascii="宋体" w:hAnsi="宋体"/>
      <w:sz w:val="24"/>
    </w:rPr>
  </w:style>
  <w:style w:type="paragraph" w:customStyle="1" w:styleId="434">
    <w:name w:val="纯文本1"/>
    <w:basedOn w:val="1"/>
    <w:uiPriority w:val="0"/>
    <w:rPr>
      <w:rFonts w:ascii="宋体" w:hAnsi="Courier New"/>
      <w:sz w:val="28"/>
    </w:rPr>
  </w:style>
  <w:style w:type="paragraph" w:customStyle="1" w:styleId="435">
    <w:name w:val="样式 标题 2 + 黑色 行距: 1.5 倍行距"/>
    <w:basedOn w:val="187"/>
    <w:uiPriority w:val="0"/>
    <w:pPr>
      <w:spacing w:line="360" w:lineRule="auto"/>
    </w:pPr>
    <w:rPr>
      <w:rFonts w:ascii="宋体" w:hAnsi="宋体" w:eastAsia="宋体"/>
      <w:bCs w:val="0"/>
      <w:color w:val="000000"/>
    </w:rPr>
  </w:style>
  <w:style w:type="paragraph" w:customStyle="1" w:styleId="436">
    <w:name w:val="Char Char2 Char Char"/>
    <w:basedOn w:val="220"/>
    <w:uiPriority w:val="0"/>
    <w:rPr>
      <w:rFonts w:hint="eastAsia" w:ascii="Tahoma" w:hAnsi="Tahoma"/>
      <w:sz w:val="24"/>
      <w:shd w:val="clear" w:color="auto" w:fill="000080"/>
    </w:rPr>
  </w:style>
  <w:style w:type="paragraph" w:customStyle="1" w:styleId="437">
    <w:name w:val="Normal1"/>
    <w:uiPriority w:val="0"/>
    <w:pPr>
      <w:widowControl w:val="0"/>
      <w:spacing w:line="315" w:lineRule="atLeast"/>
      <w:jc w:val="both"/>
    </w:pPr>
    <w:rPr>
      <w:rFonts w:hint="default" w:ascii="宋体" w:hAnsi="Times New Roman" w:eastAsia="宋体" w:cs="Times New Roman"/>
      <w:sz w:val="24"/>
      <w:lang w:val="en-US" w:eastAsia="zh-CN" w:bidi="ar-SA"/>
    </w:rPr>
  </w:style>
  <w:style w:type="paragraph" w:customStyle="1" w:styleId="438">
    <w:name w:val="样式 标题 3 + (中文) 黑体 小四 非加粗 段前: 7.8 磅 段后: 0 磅 行距: 固定值 20 磅"/>
    <w:basedOn w:val="188"/>
    <w:uiPriority w:val="0"/>
    <w:pPr>
      <w:spacing w:before="0" w:after="0" w:line="400" w:lineRule="exact"/>
      <w:ind w:firstLine="137"/>
    </w:pPr>
    <w:rPr>
      <w:rFonts w:hAnsi="黑体" w:eastAsia="黑体" w:cs="宋体"/>
      <w:sz w:val="24"/>
      <w:szCs w:val="20"/>
    </w:rPr>
  </w:style>
  <w:style w:type="paragraph" w:customStyle="1" w:styleId="439">
    <w:name w:val="正文_0"/>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40">
    <w:name w:val="xl28"/>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441">
    <w:name w:val="para"/>
    <w:basedOn w:val="1"/>
    <w:uiPriority w:val="0"/>
    <w:pPr>
      <w:widowControl/>
      <w:spacing w:before="100" w:beforeAutospacing="1" w:after="100" w:afterAutospacing="1"/>
      <w:jc w:val="left"/>
    </w:pPr>
    <w:rPr>
      <w:rFonts w:ascii="Arial" w:hAnsi="Arial" w:cs="Arial"/>
      <w:sz w:val="18"/>
      <w:szCs w:val="18"/>
    </w:rPr>
  </w:style>
  <w:style w:type="paragraph" w:customStyle="1" w:styleId="442">
    <w:name w:val="样式 ssss + 居中"/>
    <w:basedOn w:val="348"/>
    <w:uiPriority w:val="0"/>
    <w:pPr>
      <w:jc w:val="center"/>
    </w:pPr>
    <w:rPr>
      <w:rFonts w:cs="宋体"/>
      <w:szCs w:val="20"/>
    </w:rPr>
  </w:style>
  <w:style w:type="paragraph" w:customStyle="1" w:styleId="443">
    <w:name w:val="font7"/>
    <w:basedOn w:val="1"/>
    <w:uiPriority w:val="0"/>
    <w:pPr>
      <w:widowControl/>
      <w:spacing w:before="100" w:beforeAutospacing="1" w:after="100" w:afterAutospacing="1"/>
      <w:jc w:val="left"/>
    </w:pPr>
    <w:rPr>
      <w:rFonts w:hint="eastAsia" w:ascii="宋体" w:hAnsi="宋体"/>
      <w:sz w:val="18"/>
      <w:szCs w:val="18"/>
    </w:rPr>
  </w:style>
  <w:style w:type="paragraph" w:customStyle="1" w:styleId="444">
    <w:name w:val="paragraphindent"/>
    <w:basedOn w:val="1"/>
    <w:uiPriority w:val="0"/>
    <w:pPr>
      <w:widowControl/>
      <w:spacing w:before="100" w:beforeAutospacing="1" w:after="100" w:afterAutospacing="1"/>
      <w:jc w:val="left"/>
    </w:pPr>
    <w:rPr>
      <w:rFonts w:ascii="宋体" w:hAnsi="宋体" w:cs="宋体"/>
      <w:sz w:val="24"/>
    </w:rPr>
  </w:style>
  <w:style w:type="paragraph" w:customStyle="1" w:styleId="445">
    <w:name w:val="Personal Name"/>
    <w:basedOn w:val="264"/>
    <w:uiPriority w:val="0"/>
    <w:rPr>
      <w:rFonts w:ascii="Impact" w:hAnsi="Impact"/>
      <w:b w:val="0"/>
      <w:caps/>
      <w:color w:val="000000"/>
      <w:sz w:val="28"/>
      <w:szCs w:val="28"/>
    </w:rPr>
  </w:style>
  <w:style w:type="paragraph" w:customStyle="1" w:styleId="446">
    <w:name w:val=" Char Char2 Char Char"/>
    <w:basedOn w:val="220"/>
    <w:uiPriority w:val="0"/>
    <w:rPr>
      <w:rFonts w:hint="eastAsia" w:ascii="Tahoma" w:hAnsi="Tahoma"/>
      <w:sz w:val="24"/>
      <w:shd w:val="clear" w:color="auto" w:fill="000080"/>
    </w:rPr>
  </w:style>
  <w:style w:type="paragraph" w:customStyle="1" w:styleId="447">
    <w:name w:val="样式1"/>
    <w:basedOn w:val="1"/>
    <w:uiPriority w:val="0"/>
    <w:pPr>
      <w:numPr>
        <w:ilvl w:val="0"/>
        <w:numId w:val="1"/>
      </w:numPr>
      <w:tabs>
        <w:tab w:val="left" w:pos="709"/>
      </w:tabs>
    </w:pPr>
    <w:rPr>
      <w:rFonts w:ascii="宋体" w:hAnsi="宋体"/>
      <w:szCs w:val="21"/>
    </w:rPr>
  </w:style>
  <w:style w:type="paragraph" w:customStyle="1" w:styleId="448">
    <w:name w:val="msonormalcxsplast"/>
    <w:basedOn w:val="1"/>
    <w:uiPriority w:val="0"/>
    <w:pPr>
      <w:widowControl/>
      <w:spacing w:before="100" w:beforeAutospacing="1" w:after="100" w:afterAutospacing="1"/>
      <w:jc w:val="left"/>
    </w:pPr>
    <w:rPr>
      <w:rFonts w:ascii="宋体" w:hAnsi="宋体" w:cs="宋体"/>
      <w:sz w:val="24"/>
    </w:rPr>
  </w:style>
  <w:style w:type="paragraph" w:customStyle="1" w:styleId="449">
    <w:name w:val="font5"/>
    <w:basedOn w:val="1"/>
    <w:autoRedefine/>
    <w:uiPriority w:val="0"/>
    <w:pPr>
      <w:widowControl/>
      <w:spacing w:before="100" w:beforeAutospacing="1" w:after="100" w:afterAutospacing="1"/>
      <w:jc w:val="left"/>
    </w:pPr>
    <w:rPr>
      <w:rFonts w:hint="eastAsia" w:ascii="宋体" w:hAnsi="宋体"/>
      <w:sz w:val="28"/>
      <w:szCs w:val="28"/>
    </w:rPr>
  </w:style>
  <w:style w:type="paragraph" w:customStyle="1" w:styleId="450">
    <w:name w:val=" Char Char Char Char Char Char Char Char Char Char"/>
    <w:basedOn w:val="1"/>
    <w:uiPriority w:val="0"/>
    <w:pPr>
      <w:spacing w:line="360" w:lineRule="auto"/>
    </w:pPr>
    <w:rPr>
      <w:sz w:val="24"/>
      <w:szCs w:val="20"/>
    </w:rPr>
  </w:style>
  <w:style w:type="paragraph" w:customStyle="1" w:styleId="451">
    <w:name w:val="1"/>
    <w:basedOn w:val="1"/>
    <w:next w:val="1"/>
    <w:uiPriority w:val="0"/>
  </w:style>
  <w:style w:type="paragraph" w:customStyle="1" w:styleId="452">
    <w:name w:val="Char"/>
    <w:basedOn w:val="1"/>
    <w:uiPriority w:val="0"/>
    <w:pPr>
      <w:tabs>
        <w:tab w:val="left" w:pos="360"/>
      </w:tabs>
    </w:pPr>
    <w:rPr>
      <w:sz w:val="24"/>
    </w:rPr>
  </w:style>
  <w:style w:type="paragraph" w:customStyle="1" w:styleId="453">
    <w:name w:val="正文首行缩进 21"/>
    <w:basedOn w:val="201"/>
    <w:next w:val="454"/>
    <w:uiPriority w:val="0"/>
    <w:pPr>
      <w:spacing w:after="0" w:line="360" w:lineRule="auto"/>
      <w:ind w:left="0" w:firstLine="420"/>
    </w:pPr>
    <w:rPr>
      <w:rFonts w:ascii="宋体" w:hAnsi="宋体"/>
      <w:sz w:val="20"/>
      <w:szCs w:val="20"/>
    </w:rPr>
  </w:style>
  <w:style w:type="paragraph" w:customStyle="1" w:styleId="454">
    <w:name w:val="正文文本缩进 31"/>
    <w:basedOn w:val="1"/>
    <w:uiPriority w:val="0"/>
    <w:pPr>
      <w:ind w:left="645" w:firstLine="645"/>
    </w:pPr>
    <w:rPr>
      <w:rFonts w:ascii="Arial" w:hAnsi="Arial" w:eastAsia="仿宋_GB2312"/>
      <w:color w:val="FFFF00"/>
      <w:sz w:val="32"/>
      <w:szCs w:val="32"/>
    </w:rPr>
  </w:style>
  <w:style w:type="paragraph" w:customStyle="1" w:styleId="455">
    <w:name w:val="table_lines"/>
    <w:basedOn w:val="1"/>
    <w:uiPriority w:val="0"/>
    <w:pPr>
      <w:widowControl/>
      <w:jc w:val="left"/>
    </w:pPr>
    <w:rPr>
      <w:sz w:val="20"/>
      <w:szCs w:val="20"/>
      <w:lang w:val="de-DE" w:eastAsia="de-DE"/>
    </w:rPr>
  </w:style>
  <w:style w:type="paragraph" w:customStyle="1" w:styleId="456">
    <w:name w:val="标题-----3"/>
    <w:basedOn w:val="188"/>
    <w:uiPriority w:val="0"/>
    <w:pPr>
      <w:spacing w:before="0" w:after="0" w:line="240" w:lineRule="auto"/>
      <w:outlineLvl w:val="0"/>
    </w:pPr>
    <w:rPr>
      <w:rFonts w:ascii="宋体" w:hAnsi="宋体"/>
      <w:b w:val="0"/>
      <w:bCs w:val="0"/>
      <w:sz w:val="28"/>
      <w:szCs w:val="28"/>
    </w:rPr>
  </w:style>
  <w:style w:type="paragraph" w:customStyle="1" w:styleId="457">
    <w:name w:val="ec_msonormal"/>
    <w:basedOn w:val="1"/>
    <w:uiPriority w:val="0"/>
    <w:pPr>
      <w:widowControl/>
      <w:spacing w:before="100" w:beforeAutospacing="1" w:after="100" w:afterAutospacing="1"/>
      <w:jc w:val="left"/>
    </w:pPr>
    <w:rPr>
      <w:rFonts w:ascii="宋体" w:hAnsi="宋体"/>
      <w:sz w:val="24"/>
    </w:rPr>
  </w:style>
  <w:style w:type="paragraph" w:customStyle="1" w:styleId="458">
    <w:name w:val="附录1"/>
    <w:uiPriority w:val="0"/>
    <w:pPr>
      <w:numPr>
        <w:ilvl w:val="0"/>
        <w:numId w:val="1"/>
      </w:numPr>
      <w:tabs>
        <w:tab w:val="left" w:pos="907"/>
      </w:tabs>
      <w:spacing w:before="240" w:line="600" w:lineRule="atLeast"/>
    </w:pPr>
    <w:rPr>
      <w:rFonts w:hint="default" w:ascii="Times New Roman" w:hAnsi="Times New Roman" w:eastAsia="宋体" w:cs="Times New Roman"/>
      <w:b/>
      <w:i/>
      <w:sz w:val="28"/>
      <w:lang w:val="en-US" w:eastAsia="zh-CN" w:bidi="ar-SA"/>
    </w:rPr>
  </w:style>
  <w:style w:type="paragraph" w:customStyle="1" w:styleId="459">
    <w:name w:val="！正文"/>
    <w:uiPriority w:val="0"/>
    <w:pPr>
      <w:ind w:firstLine="480"/>
    </w:pPr>
    <w:rPr>
      <w:rFonts w:hint="default" w:ascii="Times New Roman" w:hAnsi="Times New Roman" w:eastAsia="宋体" w:cs="Times New Roman"/>
      <w:sz w:val="21"/>
      <w:lang w:val="en-US" w:eastAsia="zh-CN" w:bidi="ar-SA"/>
    </w:rPr>
  </w:style>
  <w:style w:type="paragraph" w:customStyle="1" w:styleId="460">
    <w:name w:val="正文样式1"/>
    <w:basedOn w:val="1"/>
    <w:uiPriority w:val="0"/>
    <w:pPr>
      <w:spacing w:before="120" w:after="120" w:line="360" w:lineRule="auto"/>
      <w:ind w:firstLine="480"/>
    </w:pPr>
    <w:rPr>
      <w:sz w:val="24"/>
      <w:szCs w:val="20"/>
    </w:rPr>
  </w:style>
  <w:style w:type="paragraph" w:customStyle="1" w:styleId="461">
    <w:name w:val="xl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rPr>
  </w:style>
  <w:style w:type="paragraph" w:customStyle="1" w:styleId="462">
    <w:name w:val="正文_0_0"/>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3">
    <w:name w:val="Char Char Char Char Char Char Char Char Char Char"/>
    <w:basedOn w:val="1"/>
    <w:uiPriority w:val="0"/>
    <w:rPr>
      <w:rFonts w:ascii="Tahoma" w:hAnsi="Tahoma"/>
      <w:sz w:val="24"/>
      <w:szCs w:val="20"/>
    </w:rPr>
  </w:style>
  <w:style w:type="paragraph" w:customStyle="1" w:styleId="464">
    <w:name w:val="样式 ssss + 宋体 五号"/>
    <w:basedOn w:val="348"/>
    <w:uiPriority w:val="0"/>
    <w:pPr>
      <w:ind w:firstLine="420"/>
    </w:pPr>
    <w:rPr>
      <w:rFonts w:ascii="宋体" w:hAnsi="宋体" w:cs="宋体"/>
      <w:szCs w:val="20"/>
    </w:rPr>
  </w:style>
  <w:style w:type="paragraph" w:customStyle="1" w:styleId="465">
    <w:name w:val="2cxspmiddle"/>
    <w:basedOn w:val="1"/>
    <w:uiPriority w:val="0"/>
    <w:pPr>
      <w:widowControl/>
      <w:spacing w:before="100" w:beforeAutospacing="1" w:after="100" w:afterAutospacing="1"/>
      <w:jc w:val="left"/>
    </w:pPr>
    <w:rPr>
      <w:rFonts w:ascii="宋体" w:hAnsi="宋体" w:cs="宋体"/>
      <w:sz w:val="24"/>
    </w:rPr>
  </w:style>
  <w:style w:type="paragraph" w:customStyle="1" w:styleId="466">
    <w:name w:val="样式4"/>
    <w:basedOn w:val="188"/>
    <w:uiPriority w:val="0"/>
    <w:pPr>
      <w:spacing w:before="20" w:after="20" w:line="415" w:lineRule="auto"/>
      <w:ind w:firstLine="137"/>
    </w:pPr>
    <w:rPr>
      <w:rFonts w:hAnsi="黑体" w:eastAsia="Arial"/>
      <w:b w:val="0"/>
      <w:bCs w:val="0"/>
      <w:sz w:val="24"/>
      <w:szCs w:val="20"/>
    </w:rPr>
  </w:style>
  <w:style w:type="paragraph" w:customStyle="1" w:styleId="467">
    <w:name w:val="正文（缩进）"/>
    <w:basedOn w:val="1"/>
    <w:uiPriority w:val="0"/>
    <w:pPr>
      <w:spacing w:before="156" w:after="156"/>
      <w:ind w:firstLine="480"/>
    </w:pPr>
  </w:style>
  <w:style w:type="paragraph" w:customStyle="1" w:styleId="468">
    <w:name w:val="xl30"/>
    <w:basedOn w:val="1"/>
    <w:uiPriority w:val="0"/>
    <w:pPr>
      <w:widowControl/>
      <w:spacing w:before="100" w:beforeAutospacing="1" w:after="100" w:afterAutospacing="1"/>
      <w:jc w:val="center"/>
    </w:pPr>
    <w:rPr>
      <w:rFonts w:ascii="宋体" w:hAnsi="宋体"/>
      <w:b/>
      <w:bCs/>
      <w:sz w:val="36"/>
      <w:szCs w:val="36"/>
    </w:rPr>
  </w:style>
  <w:style w:type="paragraph" w:customStyle="1" w:styleId="469">
    <w:name w:val="标题 2 + 黑色 行距: 1.5 倍行距"/>
    <w:basedOn w:val="187"/>
    <w:uiPriority w:val="0"/>
    <w:pPr>
      <w:spacing w:line="360" w:lineRule="auto"/>
    </w:pPr>
    <w:rPr>
      <w:rFonts w:eastAsia="宋体" w:cs="宋体"/>
      <w:color w:val="000000"/>
      <w:szCs w:val="20"/>
    </w:rPr>
  </w:style>
  <w:style w:type="paragraph" w:customStyle="1" w:styleId="470">
    <w:name w:val="样式 样式 ssss + 宋体 五号 + 首行缩进:  2 字符"/>
    <w:basedOn w:val="464"/>
    <w:uiPriority w:val="0"/>
    <w:pPr>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TotalTime>9</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2024-04-17T08:23:00Z</dcterms:created>
  <dc:creator>周 盛</dc:creator>
  <cp:lastModifiedBy>你算哪块小饼干</cp:lastModifiedBy>
  <dcterms:modified xsi:type="dcterms:W3CDTF">2024-05-21T07:49:49Z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B0E2ED8D1EA9410C9309A6C74544658A_13</vt:lpwstr>
  </property>
</Properties>
</file>