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A3EB0">
      <w:pPr>
        <w:spacing w:line="360" w:lineRule="auto"/>
        <w:jc w:val="center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color w:val="auto"/>
          <w:sz w:val="36"/>
          <w:szCs w:val="36"/>
          <w:highlight w:val="none"/>
          <w:lang w:val="en-US"/>
        </w:rPr>
        <w:t>采购需求</w:t>
      </w:r>
    </w:p>
    <w:p w14:paraId="2027C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一、项目概况</w:t>
      </w:r>
    </w:p>
    <w:p w14:paraId="08F38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采购内容：镇江经开区大港片区住宅小区生活垃圾分类作业服务（二次）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包1包2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。</w:t>
      </w:r>
    </w:p>
    <w:p w14:paraId="7B5A3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以江苏省城市生活垃圾分类设施设备配置和维护指南（苏建城管〔2023〕60号）、江苏省垃圾分类小区评价标准（修订版）、镇江市生活垃圾分类管理办法等相关文件为依据，对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大港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片区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56个住宅小区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实施垃圾分类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作业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服务招标，覆盖楼栋数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1075幢，户数42320户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服务期为三年，合同一年一签。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另为保证本区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垃圾分类服务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市场的长期有效竞争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稳定发展，每个投标供应商最多可中1个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采购包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，本项目各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采购包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的中标人不得为同一投标人，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包1、包2兼投不兼中。开标评标顺序为包1包2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。</w:t>
      </w:r>
    </w:p>
    <w:p w14:paraId="711C8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3、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中标人不得向他人转让本项目，也不得将本项目肢解后向他人分包，否则，采购人有权终止承包合同。</w:t>
      </w:r>
    </w:p>
    <w:p w14:paraId="16082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4、包1：大港新城苑、紫竹苑等共计28个住宅小区，服务户数18880户，预算为146.20万元/年；</w:t>
      </w:r>
    </w:p>
    <w:p w14:paraId="136AA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包2：大港皓月苑、天星苑等共计28个住宅小区，服务户数23440户，预算为151.09万元/年。</w:t>
      </w:r>
    </w:p>
    <w:p w14:paraId="0B569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5、根据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  <w:t>江苏省城市生活垃圾分类设施设备配置和维护指南（苏建城管〔2023〕60号）、江苏省垃圾分类小区评价标准（修订版）、镇江市生活垃圾分类管理办法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等相关要求，对大港片区56个住宅小区按照四分类，实施垃圾分类投放、分类收集、分类运输、分类处置全链条服务。</w:t>
      </w:r>
    </w:p>
    <w:p w14:paraId="57499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（1）小区居民用户垃圾分类知识的宣传和人员培训，以及垃圾分类置换、兑换专项活动的宣传推广；</w:t>
      </w:r>
    </w:p>
    <w:p w14:paraId="53C28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（2）垃圾分类相关基础设施、设备配置及维护；</w:t>
      </w:r>
    </w:p>
    <w:p w14:paraId="7A77E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（3）可回收物分拣中心、有害垃圾暂存库等配套建设和运营；</w:t>
      </w:r>
    </w:p>
    <w:p w14:paraId="6768C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（4）生活垃圾分类收运、处理、运营及相关数据和台账服务。</w:t>
      </w:r>
    </w:p>
    <w:p w14:paraId="3CB9D2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sectPr>
          <w:footerReference r:id="rId3" w:type="default"/>
          <w:pgSz w:w="11907" w:h="16839"/>
          <w:pgMar w:top="1020" w:right="1020" w:bottom="1020" w:left="1020" w:header="720" w:footer="720" w:gutter="0"/>
          <w:pgNumType w:fmt="decimal" w:start="1"/>
          <w:cols w:space="1701" w:num="1"/>
          <w:docGrid w:linePitch="360" w:charSpace="0"/>
        </w:sectPr>
      </w:pPr>
    </w:p>
    <w:p w14:paraId="34F467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二、技术要求</w:t>
      </w:r>
    </w:p>
    <w:p w14:paraId="501E6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（一）服务内容与标准</w:t>
      </w:r>
    </w:p>
    <w:p w14:paraId="7D35E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包1</w:t>
      </w:r>
    </w:p>
    <w:tbl>
      <w:tblPr>
        <w:tblStyle w:val="5"/>
        <w:tblW w:w="14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800"/>
        <w:gridCol w:w="2865"/>
        <w:gridCol w:w="1185"/>
        <w:gridCol w:w="1125"/>
        <w:gridCol w:w="810"/>
        <w:gridCol w:w="645"/>
        <w:gridCol w:w="915"/>
        <w:gridCol w:w="630"/>
        <w:gridCol w:w="660"/>
        <w:gridCol w:w="630"/>
        <w:gridCol w:w="1155"/>
        <w:gridCol w:w="1074"/>
        <w:gridCol w:w="726"/>
      </w:tblGrid>
      <w:tr w14:paraId="7B1C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609C4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vAlign w:val="center"/>
          </w:tcPr>
          <w:p w14:paraId="298EB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14:paraId="4D97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小区地址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14:paraId="6648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楼栋数（幢）</w:t>
            </w:r>
          </w:p>
        </w:tc>
        <w:tc>
          <w:tcPr>
            <w:tcW w:w="1125" w:type="dxa"/>
            <w:vMerge w:val="restart"/>
            <w:shd w:val="clear" w:color="auto" w:fill="auto"/>
            <w:noWrap/>
            <w:vAlign w:val="center"/>
          </w:tcPr>
          <w:p w14:paraId="610A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住户数</w:t>
            </w:r>
          </w:p>
        </w:tc>
        <w:tc>
          <w:tcPr>
            <w:tcW w:w="3000" w:type="dxa"/>
            <w:gridSpan w:val="4"/>
            <w:shd w:val="clear" w:color="auto" w:fill="auto"/>
            <w:vAlign w:val="center"/>
          </w:tcPr>
          <w:p w14:paraId="0FFA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拟投放普通桶数量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1650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分类亭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0B73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分类房</w:t>
            </w:r>
          </w:p>
        </w:tc>
        <w:tc>
          <w:tcPr>
            <w:tcW w:w="2229" w:type="dxa"/>
            <w:gridSpan w:val="2"/>
            <w:shd w:val="clear" w:color="auto" w:fill="auto"/>
            <w:noWrap/>
            <w:vAlign w:val="center"/>
          </w:tcPr>
          <w:p w14:paraId="77F3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拟投放宣传设备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7D65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督导员</w:t>
            </w:r>
          </w:p>
        </w:tc>
      </w:tr>
      <w:tr w14:paraId="0D2F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 w14:paraId="1DFED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00" w:type="dxa"/>
            <w:vMerge w:val="continue"/>
            <w:shd w:val="clear" w:color="auto" w:fill="auto"/>
            <w:noWrap/>
            <w:vAlign w:val="center"/>
          </w:tcPr>
          <w:p w14:paraId="6B12D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865" w:type="dxa"/>
            <w:vMerge w:val="continue"/>
            <w:shd w:val="clear" w:color="auto" w:fill="auto"/>
            <w:vAlign w:val="center"/>
          </w:tcPr>
          <w:p w14:paraId="16AE2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85" w:type="dxa"/>
            <w:vMerge w:val="continue"/>
            <w:shd w:val="clear" w:color="auto" w:fill="auto"/>
            <w:vAlign w:val="center"/>
          </w:tcPr>
          <w:p w14:paraId="6C2E2B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noWrap/>
            <w:vAlign w:val="center"/>
          </w:tcPr>
          <w:p w14:paraId="7A7E3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B954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可回收桶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F71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有害桶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20A7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其他垃圾桶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BBF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厨余桶</w:t>
            </w:r>
          </w:p>
        </w:tc>
        <w:tc>
          <w:tcPr>
            <w:tcW w:w="660" w:type="dxa"/>
            <w:vMerge w:val="continue"/>
            <w:shd w:val="clear" w:color="auto" w:fill="auto"/>
            <w:vAlign w:val="center"/>
          </w:tcPr>
          <w:p w14:paraId="364F5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30" w:type="dxa"/>
            <w:vMerge w:val="continue"/>
            <w:shd w:val="clear" w:color="auto" w:fill="auto"/>
            <w:vAlign w:val="center"/>
          </w:tcPr>
          <w:p w14:paraId="4DB94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4DC9C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信息栏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0BE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宣传栏</w:t>
            </w:r>
          </w:p>
        </w:tc>
        <w:tc>
          <w:tcPr>
            <w:tcW w:w="726" w:type="dxa"/>
            <w:vMerge w:val="continue"/>
            <w:shd w:val="clear" w:color="auto" w:fill="auto"/>
            <w:vAlign w:val="center"/>
          </w:tcPr>
          <w:p w14:paraId="54036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05A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4977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162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新城苑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34D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吉祥街9号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EAD6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D54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2342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AB1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D6A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2FA5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410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D5A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88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11A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64137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689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A92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756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DD29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紫竹苑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CCA7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新禧路北，东丰路南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AA3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08C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3246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1FB0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1E4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2767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354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214D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9E0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748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24E1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04D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0C16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AA66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4D5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✬龙泉新苑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A92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烟墩山路176号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3D1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8EC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2694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0F03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80E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2AD6E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4F3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C2E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A24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FE8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3137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63DB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1C5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698C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FC4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✬荔湾城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2F9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港中路229号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0ED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E7A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624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645D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8A6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0DC7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59F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207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F4A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726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6449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8948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DB0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6DB8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5A9E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吉祥苑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2DF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吉祥街以北，港中路以西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55C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5FC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1340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ECF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A1E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5A40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445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669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F06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A456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07673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4814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DD9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3EC2D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4FD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✬金港花园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2B0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赵声路西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460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183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20B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586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2595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B34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5DBB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129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7074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6E16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/>
            <w:vAlign w:val="center"/>
          </w:tcPr>
          <w:p w14:paraId="3CB3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D82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F46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733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✬凯悦山庄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5EA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赵声路西，通港路东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3DB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6980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ACB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486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40FF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A1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137D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8CF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CF8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041B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/>
            <w:vAlign w:val="center"/>
          </w:tcPr>
          <w:p w14:paraId="6528F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275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57298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CB9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✬御都花园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654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东丰路9号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F05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84C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899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A182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D505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DEF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651A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49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2429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162B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6F7E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C51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7362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3B2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湘华小区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9E1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赵声路以东，兴港西路以南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ACC0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7CB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81C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A5F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5D8C0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0A9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2DB1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F3A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925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0766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/>
            <w:vAlign w:val="center"/>
          </w:tcPr>
          <w:p w14:paraId="3B566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A9B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AA8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CC5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金水湾小区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D50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赵声路以东，兴港西路以南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5E7F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150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C98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88B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35F1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43B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D763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0AA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03F9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085F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/>
            <w:vAlign w:val="center"/>
          </w:tcPr>
          <w:p w14:paraId="29A03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D28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333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B9EA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✬世纪花苑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3CC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赵声路西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A08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CB1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09C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0FF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C73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71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EC0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0F3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589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3B3F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743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F5D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4482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69D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✬紫晶香郡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039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赵声路68号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7843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B27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812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CB44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EFD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7821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554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03E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FD3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EF4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2A480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/>
            <w:vAlign w:val="center"/>
          </w:tcPr>
          <w:p w14:paraId="170E3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AD5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7F50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2428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港龙小区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171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通港路东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8E8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14D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BF3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536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799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639E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4BD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53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18B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D307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/>
            <w:vAlign w:val="center"/>
          </w:tcPr>
          <w:p w14:paraId="65C58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288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7446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BA8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✬金樱苑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A812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圌中路北、港中路西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9AB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4AB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ED0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7D92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260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4C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9B4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163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4F0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17D3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/>
            <w:vAlign w:val="center"/>
          </w:tcPr>
          <w:p w14:paraId="7FFC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332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FB6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FC7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港中新村一区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2C7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宏成路北、港中路西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441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4E4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A3F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9AA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280B4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B7F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9BAB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2E1A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198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1189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/>
            <w:vAlign w:val="center"/>
          </w:tcPr>
          <w:p w14:paraId="4EA7E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22F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4066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220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港中新村二区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425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宏成路南、港中路西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F30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36A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633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08B5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E07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3A3D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C0F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93D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8F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D530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12EA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6287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4A7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2FE6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669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✬港中新村三区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1BB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万兴里路北、学林路东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168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DCE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2EB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34C6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20D1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C5C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2A6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71D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7744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18A9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/>
            <w:vAlign w:val="center"/>
          </w:tcPr>
          <w:p w14:paraId="6CA8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1B3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3380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5D4F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丽景花苑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152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港中路西、万兴路北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C33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DE7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7A4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3AB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4D9B9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F47B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956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03A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84B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3E5E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/>
            <w:vAlign w:val="center"/>
          </w:tcPr>
          <w:p w14:paraId="45F5D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B90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76DA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DE42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港中新村东四区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5F06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宏成路北、圌中路南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ED7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BA94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C2D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C4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2A5D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08F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4F53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023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59DC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1E438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4C9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6C4C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2D897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A878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✬港中新村西四区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1B00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宏成路北、港口路东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A31C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7DD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86DC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9890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3708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823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5579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87C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4E4F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2D30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/>
            <w:vAlign w:val="center"/>
          </w:tcPr>
          <w:p w14:paraId="5F8C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760D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0696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362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✬港中新村五区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B31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宏成路南、赵声路东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7AF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09E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EFE5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8D1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F25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B30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C71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2B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6A0CE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6644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/>
            <w:vAlign w:val="center"/>
          </w:tcPr>
          <w:p w14:paraId="4685B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9FA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0D8B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A85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✬港中新村东七区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CBE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赵声路西宏成路南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09A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7FA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931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1223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0770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C2F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78C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323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5F8F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32C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723E1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43B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77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04B2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A81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港中新村西七区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24FD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港口路西宏成路南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43C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2CF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1DF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28F8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2C6C5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0A9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FB5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D416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91C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5BC2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6FE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276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2CE8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654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✬银杏家园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7116A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港口路西宏成路北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52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F0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34FD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4485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24FB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A9B9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56F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516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1C60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4F90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/>
            <w:vAlign w:val="center"/>
          </w:tcPr>
          <w:p w14:paraId="5887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571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771B0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F85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✬港湾花园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3181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港口路东临江路北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25C1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BB9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1032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9A2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0609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2280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91C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0AA5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429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24200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1F319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/>
            <w:vAlign w:val="center"/>
          </w:tcPr>
          <w:p w14:paraId="66A65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346A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7B552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5CE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紫荆花苑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034B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兴港西路44号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C96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2D6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463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57C1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6320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0F3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3C5AC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0FC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47A68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7E6D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/>
            <w:vAlign w:val="center"/>
          </w:tcPr>
          <w:p w14:paraId="7107B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3C4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78EB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842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怡人家园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5485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兴港西路16号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6A7F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F760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8CD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7943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2EA49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015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D83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835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248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0D20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/>
            <w:vAlign w:val="center"/>
          </w:tcPr>
          <w:p w14:paraId="648A0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3B15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02DB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6A63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万科金域铭居（南区）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 w14:paraId="041A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扬子江路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A2D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9007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2615A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0A90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7770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BFE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4FB4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575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06AA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1A8DF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3FF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BEF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0" w:type="dxa"/>
            <w:gridSpan w:val="3"/>
            <w:shd w:val="clear" w:color="auto" w:fill="auto"/>
            <w:noWrap/>
            <w:vAlign w:val="center"/>
          </w:tcPr>
          <w:p w14:paraId="0EC97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24FE7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AFB0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18880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31B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645" w:type="dxa"/>
            <w:shd w:val="clear" w:color="auto" w:fill="auto"/>
            <w:noWrap/>
            <w:vAlign w:val="center"/>
          </w:tcPr>
          <w:p w14:paraId="6BB4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shd w:val="clear" w:color="auto" w:fill="auto"/>
            <w:noWrap/>
            <w:vAlign w:val="center"/>
          </w:tcPr>
          <w:p w14:paraId="2E0B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D5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660" w:type="dxa"/>
            <w:shd w:val="clear" w:color="auto" w:fill="auto"/>
            <w:noWrap/>
            <w:vAlign w:val="center"/>
          </w:tcPr>
          <w:p w14:paraId="7A6C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4E5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 w14:paraId="3E0C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4FE5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1C8B9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</w:tr>
    </w:tbl>
    <w:p w14:paraId="0E3AA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527" w:firstLineChars="1617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</w:p>
    <w:p w14:paraId="4A150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3350A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包2</w:t>
      </w:r>
    </w:p>
    <w:tbl>
      <w:tblPr>
        <w:tblStyle w:val="5"/>
        <w:tblW w:w="14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295"/>
        <w:gridCol w:w="2505"/>
        <w:gridCol w:w="1095"/>
        <w:gridCol w:w="1080"/>
        <w:gridCol w:w="870"/>
        <w:gridCol w:w="600"/>
        <w:gridCol w:w="840"/>
        <w:gridCol w:w="720"/>
        <w:gridCol w:w="735"/>
        <w:gridCol w:w="630"/>
        <w:gridCol w:w="1125"/>
        <w:gridCol w:w="1078"/>
        <w:gridCol w:w="637"/>
      </w:tblGrid>
      <w:tr w14:paraId="0EC0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vMerge w:val="restart"/>
            <w:shd w:val="clear" w:color="auto" w:fill="auto"/>
            <w:vAlign w:val="center"/>
          </w:tcPr>
          <w:p w14:paraId="727E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vMerge w:val="restart"/>
            <w:shd w:val="clear" w:color="auto" w:fill="auto"/>
            <w:noWrap/>
            <w:vAlign w:val="center"/>
          </w:tcPr>
          <w:p w14:paraId="7494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2505" w:type="dxa"/>
            <w:vMerge w:val="restart"/>
            <w:shd w:val="clear" w:color="auto" w:fill="auto"/>
            <w:vAlign w:val="center"/>
          </w:tcPr>
          <w:p w14:paraId="416F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小区地址</w:t>
            </w:r>
          </w:p>
        </w:tc>
        <w:tc>
          <w:tcPr>
            <w:tcW w:w="1095" w:type="dxa"/>
            <w:vMerge w:val="restart"/>
            <w:shd w:val="clear" w:color="auto" w:fill="auto"/>
            <w:vAlign w:val="center"/>
          </w:tcPr>
          <w:p w14:paraId="669E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楼栋数（幢）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 w14:paraId="3FCB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住户数</w:t>
            </w:r>
          </w:p>
        </w:tc>
        <w:tc>
          <w:tcPr>
            <w:tcW w:w="3030" w:type="dxa"/>
            <w:gridSpan w:val="4"/>
            <w:shd w:val="clear" w:color="auto" w:fill="auto"/>
            <w:vAlign w:val="center"/>
          </w:tcPr>
          <w:p w14:paraId="6835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拟投放普通桶数量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14:paraId="419E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分类亭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5A1F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分类房</w:t>
            </w:r>
          </w:p>
        </w:tc>
        <w:tc>
          <w:tcPr>
            <w:tcW w:w="2203" w:type="dxa"/>
            <w:gridSpan w:val="2"/>
            <w:shd w:val="clear" w:color="auto" w:fill="auto"/>
            <w:noWrap/>
            <w:vAlign w:val="center"/>
          </w:tcPr>
          <w:p w14:paraId="5FC4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拟投放宣传设备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14:paraId="2432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督导员</w:t>
            </w:r>
          </w:p>
        </w:tc>
      </w:tr>
      <w:tr w14:paraId="4147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vMerge w:val="continue"/>
            <w:shd w:val="clear" w:color="auto" w:fill="auto"/>
            <w:vAlign w:val="center"/>
          </w:tcPr>
          <w:p w14:paraId="2591D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noWrap/>
            <w:vAlign w:val="center"/>
          </w:tcPr>
          <w:p w14:paraId="134E0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505" w:type="dxa"/>
            <w:vMerge w:val="continue"/>
            <w:shd w:val="clear" w:color="auto" w:fill="auto"/>
            <w:vAlign w:val="center"/>
          </w:tcPr>
          <w:p w14:paraId="5B339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95" w:type="dxa"/>
            <w:vMerge w:val="continue"/>
            <w:shd w:val="clear" w:color="auto" w:fill="auto"/>
            <w:vAlign w:val="center"/>
          </w:tcPr>
          <w:p w14:paraId="14CB3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noWrap/>
            <w:vAlign w:val="center"/>
          </w:tcPr>
          <w:p w14:paraId="411A5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34556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可回收桶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06C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有害桶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A1A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其他垃圾桶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270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厨余桶</w:t>
            </w: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 w14:paraId="73811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30" w:type="dxa"/>
            <w:vMerge w:val="continue"/>
            <w:shd w:val="clear" w:color="auto" w:fill="auto"/>
            <w:vAlign w:val="center"/>
          </w:tcPr>
          <w:p w14:paraId="0FA1D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131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信息栏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043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宣传栏</w:t>
            </w:r>
          </w:p>
        </w:tc>
        <w:tc>
          <w:tcPr>
            <w:tcW w:w="637" w:type="dxa"/>
            <w:vMerge w:val="continue"/>
            <w:shd w:val="clear" w:color="auto" w:fill="auto"/>
            <w:vAlign w:val="center"/>
          </w:tcPr>
          <w:p w14:paraId="52E11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10E08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7D66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BCE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✬皓月苑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B8C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扬子江路南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58C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280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2380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4D98D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3E3D1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561B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3E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9C1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47A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F08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685A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1C72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8D1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7FDB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178C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✬天星苑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FC2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扬子江路56号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459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EC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1242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42DE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366A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5EA3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9143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E58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5A7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71D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7F85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66DF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D6D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439E5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DAC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瑞鑫嘉园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C5B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银河路92号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7F2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BF5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4138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2DD28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7D9E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331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69E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120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0259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009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7A51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7C3D2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3867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578C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126B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✬银山鑫城铃兰苑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613C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港中路8号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EB7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04A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608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08C5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0C8A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6FA18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946A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08A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657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ECED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118B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restart"/>
            <w:shd w:val="clear" w:color="auto" w:fill="auto"/>
            <w:noWrap/>
            <w:vAlign w:val="center"/>
          </w:tcPr>
          <w:p w14:paraId="5214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7C4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4E86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0052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✬银山鑫城金香苑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A86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港中路8号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D07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B5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61A38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7442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609FF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948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B9A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6C3F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1858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6965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continue"/>
            <w:shd w:val="clear" w:color="auto" w:fill="auto"/>
            <w:noWrap/>
            <w:vAlign w:val="center"/>
          </w:tcPr>
          <w:p w14:paraId="2D6D3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3B7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1405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20FD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✬银山鑫城紫荆苑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DF3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港中路8号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BF1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10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630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4D7A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0140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6C80A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26E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49E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02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AED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67EB4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0B9C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FEAB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4D38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6A5B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✬银山鑫城米兰苑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39E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港中路8号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99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F6D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696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1238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5FE9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AEB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0AE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F12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4EC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A87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242F4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restart"/>
            <w:shd w:val="clear" w:color="auto" w:fill="auto"/>
            <w:noWrap/>
            <w:vAlign w:val="center"/>
          </w:tcPr>
          <w:p w14:paraId="5279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1C8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42EC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48F7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✬银山鑫城玉兰苑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CF2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港中路8号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44A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24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1248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0269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39BD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DA6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43A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801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371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4579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0028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continue"/>
            <w:shd w:val="clear" w:color="auto" w:fill="auto"/>
            <w:noWrap/>
            <w:vAlign w:val="center"/>
          </w:tcPr>
          <w:p w14:paraId="7A8D2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F88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897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817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✬翠竹苑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2D0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新禧路以南、赵声路以西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CBE8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699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2344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1710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5E197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02EB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C8C9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C82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5D84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EDF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1B17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0CA03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89C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3191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0B87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✬逸翠园小区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E0C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赵声路111号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53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56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1613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427C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5F4D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CE8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640C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084D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86F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776F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3531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744D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F00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06D0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E03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✬朗香郡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E31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港中路108号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3BA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88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7ADF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44792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FE8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DAA1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FA4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A18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E1E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66B2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7032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966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14FB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CB1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通都雅寓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DA5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通港路以西、铁路桥以南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5D9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D6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15682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538B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F5F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749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05B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AD88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95E5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64F5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restart"/>
            <w:shd w:val="clear" w:color="auto" w:fill="auto"/>
            <w:noWrap/>
            <w:vAlign w:val="center"/>
          </w:tcPr>
          <w:p w14:paraId="167A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C3D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C89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405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四海家园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3D8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通港路以东、铁路桥以北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1BD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8A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4EEE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590B7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554F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77A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B26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E808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836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790D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continue"/>
            <w:shd w:val="clear" w:color="auto" w:fill="auto"/>
            <w:noWrap/>
            <w:vAlign w:val="center"/>
          </w:tcPr>
          <w:p w14:paraId="2BD1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AD3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5C7D7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CD5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✬海德公园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4E98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赵声路1号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8A81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0F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1770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2804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29C26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D82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73C9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B2AC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FB5F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7D6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35BD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379EB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871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396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F5D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✬名人府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414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金港大道118号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0E0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F2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0183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64B4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484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6386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31E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6C9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301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5C19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restart"/>
            <w:shd w:val="clear" w:color="auto" w:fill="auto"/>
            <w:noWrap/>
            <w:vAlign w:val="center"/>
          </w:tcPr>
          <w:p w14:paraId="2E085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8E1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460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DD15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✬宝地名邸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E6E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银环路100号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EFA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CD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13B9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51B1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892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1F2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2FB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95C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C07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66DE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continue"/>
            <w:shd w:val="clear" w:color="auto" w:fill="auto"/>
            <w:noWrap/>
            <w:vAlign w:val="center"/>
          </w:tcPr>
          <w:p w14:paraId="0B2D8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4D8C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2728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A2D0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金港生活广场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7BD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通港路137-106号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F879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827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0753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62B6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5AB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6292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0D3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4E4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8EEE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415A6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continue"/>
            <w:shd w:val="clear" w:color="auto" w:fill="auto"/>
            <w:noWrap/>
            <w:vAlign w:val="center"/>
          </w:tcPr>
          <w:p w14:paraId="177C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E3F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4489C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26526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银山鑫城玫瑰苑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3CB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港中路8号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E73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B9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260AF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7587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48A8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D9F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49CA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3A6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E6C5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6FDE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restart"/>
            <w:shd w:val="clear" w:color="auto" w:fill="auto"/>
            <w:noWrap/>
            <w:vAlign w:val="center"/>
          </w:tcPr>
          <w:p w14:paraId="6A7DE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BD8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4EB5F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50AA6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✬银山鑫城牡丹苑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C73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港中路8号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14CD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18D9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6AED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0327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082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F67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E4C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E54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423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0D9E5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continue"/>
            <w:shd w:val="clear" w:color="auto" w:fill="auto"/>
            <w:noWrap/>
            <w:vAlign w:val="center"/>
          </w:tcPr>
          <w:p w14:paraId="1A9D9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58B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17FA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789D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银山鑫城新天地商铺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60E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港中南路8号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67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6A0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03B5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33567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815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8E5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F56F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306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1B7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0ACBA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continue"/>
            <w:shd w:val="clear" w:color="auto" w:fill="auto"/>
            <w:noWrap/>
            <w:vAlign w:val="center"/>
          </w:tcPr>
          <w:p w14:paraId="38E3A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1BCD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55A4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7643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✬港城尚府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693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赵声路226号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DBB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41E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649D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52FD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6B0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631D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A6B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2CA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492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204CD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restart"/>
            <w:shd w:val="clear" w:color="auto" w:fill="auto"/>
            <w:noWrap/>
            <w:vAlign w:val="center"/>
          </w:tcPr>
          <w:p w14:paraId="0449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77E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4AADA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3A00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✬铭庭苑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8427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赵声路228号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CF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6D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155F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7F020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18B6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B44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385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2232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74D5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2FE8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continue"/>
            <w:shd w:val="clear" w:color="auto" w:fill="auto"/>
            <w:noWrap/>
            <w:vAlign w:val="center"/>
          </w:tcPr>
          <w:p w14:paraId="52A61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74AB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4DD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534C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✬御景湾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8BAD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金港大道133号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850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53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7C4FC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3EC5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4C40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26D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BE03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7B5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B03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17A0C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433BE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0F38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4D5C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3F83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✬盛世家园荣域阁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DC4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赵声路123号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B89E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5B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44F5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0CB3F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ED5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24EC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B33C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B0A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785E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5CE7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restart"/>
            <w:shd w:val="clear" w:color="auto" w:fill="auto"/>
            <w:noWrap/>
            <w:vAlign w:val="center"/>
          </w:tcPr>
          <w:p w14:paraId="4A2AC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1C8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2B2B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20C10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✬盛世家园逸品居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13E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赵声路123号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993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1D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489C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6469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B81C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6D9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FF0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3C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E0A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03EEB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continue"/>
            <w:shd w:val="clear" w:color="auto" w:fill="auto"/>
            <w:noWrap/>
            <w:vAlign w:val="center"/>
          </w:tcPr>
          <w:p w14:paraId="18B68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16A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0CC7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7373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✬盛世家园湖韵轩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147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赵声路123号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A94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99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793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535A1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51A1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C73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C2E0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9AE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D5C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A91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7B37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vMerge w:val="continue"/>
            <w:shd w:val="clear" w:color="auto" w:fill="auto"/>
            <w:noWrap/>
            <w:vAlign w:val="center"/>
          </w:tcPr>
          <w:p w14:paraId="508B2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057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260B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5585C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九悦澜庭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219FF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港中路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641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E25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4033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09C70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72FC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0E0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FDC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542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F4F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59D0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5C65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5D0D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728D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95" w:type="dxa"/>
            <w:shd w:val="clear" w:color="auto" w:fill="auto"/>
            <w:noWrap/>
            <w:vAlign w:val="center"/>
          </w:tcPr>
          <w:p w14:paraId="7457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桂语兰庭</w:t>
            </w:r>
          </w:p>
        </w:tc>
        <w:tc>
          <w:tcPr>
            <w:tcW w:w="2505" w:type="dxa"/>
            <w:shd w:val="clear" w:color="auto" w:fill="auto"/>
            <w:noWrap/>
            <w:vAlign w:val="center"/>
          </w:tcPr>
          <w:p w14:paraId="7EC45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港南路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920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15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0399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6051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509E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4CB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7306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732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A33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02D7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7B7E0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DE1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5526" w:type="dxa"/>
            <w:gridSpan w:val="3"/>
            <w:shd w:val="clear" w:color="auto" w:fill="auto"/>
            <w:noWrap/>
            <w:vAlign w:val="center"/>
          </w:tcPr>
          <w:p w14:paraId="7B17B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27196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D8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23440</w:t>
            </w:r>
          </w:p>
        </w:tc>
        <w:tc>
          <w:tcPr>
            <w:tcW w:w="870" w:type="dxa"/>
            <w:shd w:val="clear" w:color="auto" w:fill="auto"/>
            <w:noWrap/>
            <w:vAlign w:val="center"/>
          </w:tcPr>
          <w:p w14:paraId="468CE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618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4616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2F142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83D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CEF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F42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2447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78" w:type="dxa"/>
            <w:shd w:val="clear" w:color="auto" w:fill="auto"/>
            <w:noWrap/>
            <w:vAlign w:val="center"/>
          </w:tcPr>
          <w:p w14:paraId="0504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 w14:paraId="6965B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</w:tr>
    </w:tbl>
    <w:p w14:paraId="65DB3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注：上述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标</w:t>
      </w:r>
      <w:r>
        <w:rPr>
          <w:rFonts w:hint="eastAsia" w:ascii="楷体" w:hAnsi="楷体" w:eastAsia="楷体" w:cs="楷体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✬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的小区为省级达标小区，采购包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的作业量汇总和采购需求为基本信息，仅供投标人参考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投标人应自行前往实地勘测核实并测算费用。</w:t>
      </w:r>
    </w:p>
    <w:p w14:paraId="2D4A8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sectPr>
          <w:pgSz w:w="16839" w:h="11907" w:orient="landscape"/>
          <w:pgMar w:top="1020" w:right="1020" w:bottom="1020" w:left="1020" w:header="720" w:footer="720" w:gutter="0"/>
          <w:pgNumType w:fmt="decimal"/>
          <w:cols w:space="1701" w:num="1"/>
          <w:docGrid w:linePitch="360" w:charSpace="0"/>
        </w:sectPr>
      </w:pPr>
    </w:p>
    <w:p w14:paraId="32E85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三、设备设施最低需求表</w:t>
      </w:r>
    </w:p>
    <w:tbl>
      <w:tblPr>
        <w:tblStyle w:val="5"/>
        <w:tblW w:w="10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516"/>
        <w:gridCol w:w="825"/>
        <w:gridCol w:w="801"/>
        <w:gridCol w:w="5421"/>
      </w:tblGrid>
      <w:tr w14:paraId="776DA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tblHeader/>
          <w:jc w:val="center"/>
        </w:trPr>
        <w:tc>
          <w:tcPr>
            <w:tcW w:w="616" w:type="dxa"/>
            <w:vMerge w:val="restart"/>
            <w:shd w:val="clear" w:color="auto" w:fill="auto"/>
            <w:noWrap w:val="0"/>
            <w:vAlign w:val="center"/>
          </w:tcPr>
          <w:p w14:paraId="145E6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516" w:type="dxa"/>
            <w:vMerge w:val="restart"/>
            <w:shd w:val="clear" w:color="auto" w:fill="auto"/>
            <w:noWrap w:val="0"/>
            <w:vAlign w:val="center"/>
          </w:tcPr>
          <w:p w14:paraId="676D2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1626" w:type="dxa"/>
            <w:gridSpan w:val="2"/>
            <w:shd w:val="clear" w:color="auto" w:fill="auto"/>
            <w:noWrap w:val="0"/>
            <w:vAlign w:val="center"/>
          </w:tcPr>
          <w:p w14:paraId="54CE2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5421" w:type="dxa"/>
            <w:vMerge w:val="restart"/>
            <w:shd w:val="clear" w:color="auto" w:fill="auto"/>
            <w:noWrap w:val="0"/>
            <w:vAlign w:val="center"/>
          </w:tcPr>
          <w:p w14:paraId="6658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</w:tr>
      <w:tr w14:paraId="2901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tblHeader/>
          <w:jc w:val="center"/>
        </w:trPr>
        <w:tc>
          <w:tcPr>
            <w:tcW w:w="616" w:type="dxa"/>
            <w:vMerge w:val="continue"/>
            <w:shd w:val="clear" w:color="auto" w:fill="auto"/>
            <w:noWrap w:val="0"/>
            <w:vAlign w:val="center"/>
          </w:tcPr>
          <w:p w14:paraId="2120B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16" w:type="dxa"/>
            <w:vMerge w:val="continue"/>
            <w:shd w:val="clear" w:color="auto" w:fill="auto"/>
            <w:noWrap w:val="0"/>
            <w:vAlign w:val="center"/>
          </w:tcPr>
          <w:p w14:paraId="04A7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40C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包1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5A6C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包2</w:t>
            </w:r>
          </w:p>
        </w:tc>
        <w:tc>
          <w:tcPr>
            <w:tcW w:w="5421" w:type="dxa"/>
            <w:vMerge w:val="continue"/>
            <w:shd w:val="clear" w:color="auto" w:fill="auto"/>
            <w:noWrap w:val="0"/>
            <w:vAlign w:val="center"/>
          </w:tcPr>
          <w:p w14:paraId="06036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958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4E37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4A39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可回收桶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BF4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457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75B0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618</w:t>
            </w:r>
          </w:p>
        </w:tc>
        <w:tc>
          <w:tcPr>
            <w:tcW w:w="5421" w:type="dxa"/>
            <w:shd w:val="clear" w:color="auto" w:fill="auto"/>
            <w:noWrap w:val="0"/>
            <w:vAlign w:val="center"/>
          </w:tcPr>
          <w:p w14:paraId="14C1C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按省标要求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配备，分配见上表。具体要求见1）</w:t>
            </w:r>
          </w:p>
        </w:tc>
      </w:tr>
      <w:tr w14:paraId="07D8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77BD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0FA52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有害桶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796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32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07337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33</w:t>
            </w:r>
          </w:p>
        </w:tc>
        <w:tc>
          <w:tcPr>
            <w:tcW w:w="5421" w:type="dxa"/>
            <w:shd w:val="clear" w:color="auto" w:fill="auto"/>
            <w:noWrap w:val="0"/>
            <w:vAlign w:val="center"/>
          </w:tcPr>
          <w:p w14:paraId="0271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按省标要求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配备，分配见上表，具体要求见2）</w:t>
            </w:r>
          </w:p>
        </w:tc>
      </w:tr>
      <w:tr w14:paraId="2039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31BC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7FB1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其他垃圾桶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DF31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457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363B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618</w:t>
            </w:r>
          </w:p>
        </w:tc>
        <w:tc>
          <w:tcPr>
            <w:tcW w:w="5421" w:type="dxa"/>
            <w:shd w:val="clear" w:color="auto" w:fill="auto"/>
            <w:noWrap w:val="0"/>
            <w:vAlign w:val="center"/>
          </w:tcPr>
          <w:p w14:paraId="1D8B0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按省标要求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配备，分配见上表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具体要求见3）</w:t>
            </w:r>
          </w:p>
        </w:tc>
      </w:tr>
      <w:tr w14:paraId="6BF5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65B4E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2A7CD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厨余桶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EAFA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45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535D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51</w:t>
            </w:r>
          </w:p>
        </w:tc>
        <w:tc>
          <w:tcPr>
            <w:tcW w:w="5421" w:type="dxa"/>
            <w:shd w:val="clear" w:color="auto" w:fill="auto"/>
            <w:noWrap w:val="0"/>
            <w:vAlign w:val="center"/>
          </w:tcPr>
          <w:p w14:paraId="550F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按省标要求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配备，分配见上表，具体要求见4）</w:t>
            </w:r>
          </w:p>
        </w:tc>
      </w:tr>
      <w:tr w14:paraId="5400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16" w:type="dxa"/>
            <w:vMerge w:val="restart"/>
            <w:shd w:val="clear" w:color="auto" w:fill="auto"/>
            <w:noWrap w:val="0"/>
            <w:vAlign w:val="center"/>
          </w:tcPr>
          <w:p w14:paraId="026F8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3FBD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垃圾分类房（已建）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B2D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43EEF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5421" w:type="dxa"/>
            <w:vMerge w:val="restart"/>
            <w:shd w:val="clear" w:color="auto" w:fill="auto"/>
            <w:noWrap w:val="0"/>
            <w:vAlign w:val="center"/>
          </w:tcPr>
          <w:p w14:paraId="77693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已建成的为上表中垃圾房数字，需日常运维；剩余则须按要求新建，具体要求见5）</w:t>
            </w:r>
          </w:p>
        </w:tc>
      </w:tr>
      <w:tr w14:paraId="41C7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16" w:type="dxa"/>
            <w:vMerge w:val="continue"/>
            <w:shd w:val="clear" w:color="auto" w:fill="auto"/>
            <w:noWrap w:val="0"/>
            <w:vAlign w:val="center"/>
          </w:tcPr>
          <w:p w14:paraId="77523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09AF1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垃圾分类房（新建）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569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66838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421" w:type="dxa"/>
            <w:vMerge w:val="continue"/>
            <w:shd w:val="clear" w:color="auto" w:fill="auto"/>
            <w:noWrap w:val="0"/>
            <w:vAlign w:val="center"/>
          </w:tcPr>
          <w:p w14:paraId="5E13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117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3D580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0160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垃圾袋（可降解）</w:t>
            </w:r>
          </w:p>
        </w:tc>
        <w:tc>
          <w:tcPr>
            <w:tcW w:w="1626" w:type="dxa"/>
            <w:gridSpan w:val="2"/>
            <w:shd w:val="clear" w:color="auto" w:fill="auto"/>
            <w:noWrap w:val="0"/>
            <w:vAlign w:val="center"/>
          </w:tcPr>
          <w:p w14:paraId="201E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按需</w:t>
            </w:r>
          </w:p>
        </w:tc>
        <w:tc>
          <w:tcPr>
            <w:tcW w:w="5421" w:type="dxa"/>
            <w:shd w:val="clear" w:color="auto" w:fill="auto"/>
            <w:noWrap w:val="0"/>
            <w:vAlign w:val="center"/>
          </w:tcPr>
          <w:p w14:paraId="1E4C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垃圾桶每天一个，一组4个；</w:t>
            </w:r>
          </w:p>
          <w:p w14:paraId="32F3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有害垃圾桶每月每桶2个。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具体要求见6）</w:t>
            </w:r>
          </w:p>
        </w:tc>
      </w:tr>
      <w:tr w14:paraId="082A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0E6A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7010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垃圾分类亭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5C78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54AD0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5421" w:type="dxa"/>
            <w:shd w:val="clear" w:color="auto" w:fill="auto"/>
            <w:noWrap w:val="0"/>
            <w:vAlign w:val="center"/>
          </w:tcPr>
          <w:p w14:paraId="6448C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日常维护</w:t>
            </w:r>
          </w:p>
        </w:tc>
      </w:tr>
      <w:tr w14:paraId="6D81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4400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67A8F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宣传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栏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97FA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6163A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28</w:t>
            </w:r>
          </w:p>
        </w:tc>
        <w:tc>
          <w:tcPr>
            <w:tcW w:w="5421" w:type="dxa"/>
            <w:vMerge w:val="restart"/>
            <w:shd w:val="clear" w:color="auto" w:fill="auto"/>
            <w:noWrap w:val="0"/>
            <w:vAlign w:val="center"/>
          </w:tcPr>
          <w:p w14:paraId="7267A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按省标要求，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信息栏、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宣传栏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分配见上表；具体要求见7）</w:t>
            </w:r>
          </w:p>
        </w:tc>
      </w:tr>
      <w:tr w14:paraId="0849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708A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7A3FE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信息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栏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8E4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56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2FB83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56</w:t>
            </w:r>
          </w:p>
        </w:tc>
        <w:tc>
          <w:tcPr>
            <w:tcW w:w="5421" w:type="dxa"/>
            <w:vMerge w:val="continue"/>
            <w:shd w:val="clear" w:color="auto" w:fill="auto"/>
            <w:noWrap w:val="0"/>
            <w:vAlign w:val="center"/>
          </w:tcPr>
          <w:p w14:paraId="0C80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087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4CA5C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49B7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宣传标语、指引牌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8C8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457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04C2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618</w:t>
            </w:r>
          </w:p>
        </w:tc>
        <w:tc>
          <w:tcPr>
            <w:tcW w:w="5421" w:type="dxa"/>
            <w:shd w:val="clear" w:color="auto" w:fill="auto"/>
            <w:noWrap w:val="0"/>
            <w:vAlign w:val="center"/>
          </w:tcPr>
          <w:p w14:paraId="647E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宣传标语每栋一个；指引牌按需设置。具体要求见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7）</w:t>
            </w:r>
          </w:p>
        </w:tc>
      </w:tr>
      <w:tr w14:paraId="4309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77E9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61C7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可回收物电动收集车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743D6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2487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421" w:type="dxa"/>
            <w:vMerge w:val="restart"/>
            <w:shd w:val="clear" w:color="auto" w:fill="auto"/>
            <w:noWrap w:val="0"/>
            <w:vAlign w:val="center"/>
          </w:tcPr>
          <w:p w14:paraId="3BF6D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具体要求见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8）</w:t>
            </w:r>
          </w:p>
        </w:tc>
      </w:tr>
      <w:tr w14:paraId="27C0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41DB0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64C26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有害垃圾电动收集车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08DD7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63990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421" w:type="dxa"/>
            <w:vMerge w:val="continue"/>
            <w:shd w:val="clear" w:color="auto" w:fill="auto"/>
            <w:noWrap w:val="0"/>
            <w:vAlign w:val="center"/>
          </w:tcPr>
          <w:p w14:paraId="6D127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EC5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6603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09107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  <w:t>厨余垃圾电动收集车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0B18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27018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421" w:type="dxa"/>
            <w:vMerge w:val="continue"/>
            <w:shd w:val="clear" w:color="auto" w:fill="auto"/>
            <w:noWrap w:val="0"/>
            <w:vAlign w:val="center"/>
          </w:tcPr>
          <w:p w14:paraId="0629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3414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0D8B3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19DA2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数据监控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5FE08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3E194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421" w:type="dxa"/>
            <w:shd w:val="clear" w:color="auto" w:fill="auto"/>
            <w:noWrap w:val="0"/>
            <w:vAlign w:val="center"/>
          </w:tcPr>
          <w:p w14:paraId="03011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具体要求见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）</w:t>
            </w:r>
          </w:p>
        </w:tc>
      </w:tr>
      <w:tr w14:paraId="7057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616" w:type="dxa"/>
            <w:shd w:val="clear" w:color="auto" w:fill="auto"/>
            <w:noWrap w:val="0"/>
            <w:vAlign w:val="center"/>
          </w:tcPr>
          <w:p w14:paraId="05BE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516" w:type="dxa"/>
            <w:shd w:val="clear" w:color="auto" w:fill="auto"/>
            <w:noWrap w:val="0"/>
            <w:vAlign w:val="center"/>
          </w:tcPr>
          <w:p w14:paraId="55724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分拣中心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F4E7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shd w:val="clear" w:color="auto" w:fill="auto"/>
            <w:noWrap w:val="0"/>
            <w:vAlign w:val="center"/>
          </w:tcPr>
          <w:p w14:paraId="7AB79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421" w:type="dxa"/>
            <w:shd w:val="clear" w:color="auto" w:fill="auto"/>
            <w:noWrap w:val="0"/>
            <w:vAlign w:val="center"/>
          </w:tcPr>
          <w:p w14:paraId="1D966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textAlignment w:val="auto"/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包1、包2可共用并平摊费用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，具体要求见1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Cs/>
                <w:color w:val="auto"/>
                <w:sz w:val="28"/>
                <w:szCs w:val="28"/>
                <w:highlight w:val="none"/>
              </w:rPr>
              <w:t>）</w:t>
            </w:r>
          </w:p>
        </w:tc>
      </w:tr>
    </w:tbl>
    <w:p w14:paraId="1CF8B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可回收桶</w:t>
      </w:r>
    </w:p>
    <w:p w14:paraId="09987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按照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江苏省城市生活垃圾分类设施设备配置和维护指南（苏建城管〔2023〕60号）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相关要求，可回收物容器为蓝色，色标为PANTONG647C，设置容量≥240L塑料容器，需满足项目运行服务需要。</w:t>
      </w:r>
    </w:p>
    <w:p w14:paraId="6646C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有害垃圾桶</w:t>
      </w:r>
    </w:p>
    <w:p w14:paraId="64D90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按照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江苏省城市生活垃圾分类设施设备配置和维护指南（苏建城管〔2023〕60号）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相关要求，有害垃圾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桶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为红色，色标为PANTONG703C，箱体尺寸不得小于：高1300mm 长 900mm 厚度 640mm</w:t>
      </w:r>
    </w:p>
    <w:p w14:paraId="0243A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产品要求：具有防盗功能的塑料容器，需有过期药品投放口、灯管灯泡投放口、废旧电池投放口、防盗锁、易识别标贴等。需满足项目运行服务需要。</w:t>
      </w:r>
    </w:p>
    <w:p w14:paraId="08719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3、其他垃圾桶</w:t>
      </w:r>
    </w:p>
    <w:p w14:paraId="1139D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按照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江苏省城市生活垃圾分类设施设备配置和维护指南（苏建城管〔2023〕60号）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相关要求，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其他垃圾桶为黑色，色标为PANTONG5477C；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设置容量≥240L塑料容器，需满足项目运行服务需要。</w:t>
      </w:r>
    </w:p>
    <w:p w14:paraId="79589E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4、厨余垃圾桶</w:t>
      </w:r>
    </w:p>
    <w:p w14:paraId="77164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按照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江苏省城市生活垃圾分类设施设备配置和维护指南（苏建城管〔2023〕60号）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相关要求，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厨余垃圾桶为绿色，色标为PANTONG562C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，设置容量≥240L塑料容器，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每桶配备破袋设施，投放点位配备简易洗手台，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需满足项目运行服务需要。</w:t>
      </w:r>
    </w:p>
    <w:p w14:paraId="7D4DF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5、垃圾分类房（新建）</w:t>
      </w:r>
    </w:p>
    <w:p w14:paraId="1FC78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根据省标要求，新建垃圾分类房的建设面积不少于10M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vertAlign w:val="superscript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，满足四分类要求，包含但不限于洗手池、冲洗池、垃圾桶、排风扇、臭氧机、紫外线灯、空气隔扇、水电表、垃圾房内外立面基本的垃圾分类宣传广告布置等，满足垃圾分类投放、收运、冲洗、消杀等需求，并符合安全建设要求，中标单位须考虑建设全过程的矛盾协调和安全问题，并全权处理问题矛盾协调，如出现一切问题由中标单位负责。</w:t>
      </w:r>
    </w:p>
    <w:p w14:paraId="66AA43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6、有害垃圾收纳袋</w:t>
      </w:r>
    </w:p>
    <w:p w14:paraId="50BC5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材质：90D牛津布，背板加厚</w:t>
      </w:r>
    </w:p>
    <w:p w14:paraId="37FA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尺寸：不低于350*600mm</w:t>
      </w:r>
    </w:p>
    <w:p w14:paraId="494E2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其他要求：表面胶印相关分类标识</w:t>
      </w:r>
    </w:p>
    <w:p w14:paraId="354DE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灯管收纳尺寸：350*160mm</w:t>
      </w:r>
    </w:p>
    <w:p w14:paraId="52B42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药品电池收纳尺寸：220*160mm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ab/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收纳废旧灯管、过期药品、电池。</w:t>
      </w:r>
    </w:p>
    <w:p w14:paraId="33C64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需满足项目运行服务需要。</w:t>
      </w:r>
    </w:p>
    <w:p w14:paraId="6B20E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7、宣传栏、公示栏、宣传标语、指引牌等</w:t>
      </w:r>
    </w:p>
    <w:p w14:paraId="7E259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按照省标要求设置宣传栏、公示栏以及宣传标语。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宣传栏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要求设置在小区主要活动场所、主出入口、人行主通道任意地点，展示垃圾分类基本情况，分类种类，分类投放点布局图，投放时间，分类收运方式，投诉举报，垃圾分类知识等。要求内容清晰完整，尺寸大小不低于1.2米*2米。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信息栏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要求设置在小区明显位置，内容包含物业、社区、环卫、桶边督导员等岗位职责网络图，小区基本信息、投放收运时间、激励红黑榜等。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宣传标语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要求每栋楼内或附近要设置至少一处宣传标语。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指引牌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要求按需设置，能有效指引居民找到分类投放点位置。</w:t>
      </w:r>
    </w:p>
    <w:p w14:paraId="1312E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8、垃圾分类收运车辆</w:t>
      </w:r>
    </w:p>
    <w:p w14:paraId="3756A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每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个采购包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配有2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辆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可回收物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收运车、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1辆有害垃圾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收运车、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1辆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厨余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垃圾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收运车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，按照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江苏省城市生活垃圾分类设施设备配置和维护指南（苏建城管〔2023〕60号）中的收运车辆要求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车辆外观符合垃圾分类标志，密闭运输，容量符合采购包需求，安装定位系统，并可接入监管平台。</w:t>
      </w:r>
    </w:p>
    <w:p w14:paraId="611D3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9、数据监控</w:t>
      </w:r>
    </w:p>
    <w:p w14:paraId="136BC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在垃圾分类房安装实时监控，能够清晰了解垃圾分类房投放情况，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端口开放方便采购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随时查看。</w:t>
      </w:r>
    </w:p>
    <w:p w14:paraId="067D4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10、分拣中心(含有害垃圾暂存库）</w:t>
      </w:r>
    </w:p>
    <w:p w14:paraId="511AF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中标人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需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购买或租赁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可回收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分拣中心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含有害垃圾暂存库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），并完成基础装修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，要求面积不低于100m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vertAlign w:val="superscript"/>
        </w:rPr>
        <w:t>2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，提供分拣中心设备、安装和运营维护。其中分拣中心内必须含：分拣平台、分拣传送带、打包机、叉车（含托盘）、场地监控等。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包1、2可共用，可平摊费用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  <w:t>）</w:t>
      </w:r>
    </w:p>
    <w:p w14:paraId="0E052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具体参数要求：</w:t>
      </w:r>
    </w:p>
    <w:p w14:paraId="3A8FAE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处理规模：8t/d。</w:t>
      </w:r>
    </w:p>
    <w:p w14:paraId="60F31F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处理对象及进料成分：分类收集的混合可回收物，主要包括纸张、塑料、金属、玻璃等。</w:t>
      </w:r>
    </w:p>
    <w:p w14:paraId="7FF38A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土建及水电按工艺配置：电子磅房、临时储存区、分拣车间、资源仓库。</w:t>
      </w:r>
    </w:p>
    <w:p w14:paraId="29DDBD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符合垃圾减量化、无害化和资源化的“三化”原则。</w:t>
      </w:r>
    </w:p>
    <w:p w14:paraId="6A7001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所选设备适应于服务区域垃圾的特性。</w:t>
      </w:r>
    </w:p>
    <w:p w14:paraId="58A998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设备选型、结构设计合理，同时兼顾节约投资，降低能耗和运行成本的要求，力求简单实用，尽可能提高垃圾处理设备的自动化程度，减少工人操作的劳动强度。</w:t>
      </w:r>
    </w:p>
    <w:p w14:paraId="2A0309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所有设备维护、检修方便；易于磨损、腐蚀、老化或需要调整、检查和更换的零部件要求拆卸方便，易于更换及修理。</w:t>
      </w:r>
    </w:p>
    <w:p w14:paraId="63FF2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81" w:firstLineChars="100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五、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人员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最低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配备要求</w:t>
      </w:r>
    </w:p>
    <w:tbl>
      <w:tblPr>
        <w:tblStyle w:val="5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901"/>
        <w:gridCol w:w="2299"/>
        <w:gridCol w:w="2089"/>
        <w:gridCol w:w="21"/>
      </w:tblGrid>
      <w:tr w14:paraId="52F3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  <w:jc w:val="center"/>
        </w:trPr>
        <w:tc>
          <w:tcPr>
            <w:tcW w:w="1227" w:type="dxa"/>
            <w:vMerge w:val="restart"/>
            <w:shd w:val="clear" w:color="auto" w:fill="auto"/>
            <w:noWrap w:val="0"/>
            <w:vAlign w:val="center"/>
          </w:tcPr>
          <w:p w14:paraId="2FF5D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901" w:type="dxa"/>
            <w:vMerge w:val="restart"/>
            <w:shd w:val="clear" w:color="auto" w:fill="auto"/>
            <w:noWrap w:val="0"/>
            <w:vAlign w:val="center"/>
          </w:tcPr>
          <w:p w14:paraId="55103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highlight w:val="none"/>
              </w:rPr>
              <w:t>人员类型</w:t>
            </w:r>
          </w:p>
        </w:tc>
        <w:tc>
          <w:tcPr>
            <w:tcW w:w="4409" w:type="dxa"/>
            <w:gridSpan w:val="3"/>
            <w:shd w:val="clear" w:color="auto" w:fill="auto"/>
            <w:noWrap w:val="0"/>
            <w:vAlign w:val="center"/>
          </w:tcPr>
          <w:p w14:paraId="5555A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highlight w:val="none"/>
              </w:rPr>
              <w:t>数量</w:t>
            </w:r>
          </w:p>
        </w:tc>
      </w:tr>
      <w:tr w14:paraId="637B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27" w:type="dxa"/>
            <w:vMerge w:val="continue"/>
            <w:shd w:val="clear" w:color="auto" w:fill="auto"/>
            <w:noWrap w:val="0"/>
            <w:vAlign w:val="center"/>
          </w:tcPr>
          <w:p w14:paraId="0E29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901" w:type="dxa"/>
            <w:vMerge w:val="continue"/>
            <w:shd w:val="clear" w:color="auto" w:fill="auto"/>
            <w:noWrap w:val="0"/>
            <w:vAlign w:val="center"/>
          </w:tcPr>
          <w:p w14:paraId="1633E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99" w:type="dxa"/>
            <w:shd w:val="clear" w:color="auto" w:fill="auto"/>
            <w:noWrap w:val="0"/>
            <w:vAlign w:val="center"/>
          </w:tcPr>
          <w:p w14:paraId="6D5F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包1</w:t>
            </w:r>
          </w:p>
        </w:tc>
        <w:tc>
          <w:tcPr>
            <w:tcW w:w="2110" w:type="dxa"/>
            <w:gridSpan w:val="2"/>
            <w:shd w:val="clear" w:color="auto" w:fill="auto"/>
            <w:noWrap w:val="0"/>
            <w:vAlign w:val="center"/>
          </w:tcPr>
          <w:p w14:paraId="7F892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包2</w:t>
            </w:r>
          </w:p>
        </w:tc>
      </w:tr>
      <w:tr w14:paraId="6840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42" w:hRule="atLeast"/>
          <w:jc w:val="center"/>
        </w:trPr>
        <w:tc>
          <w:tcPr>
            <w:tcW w:w="1227" w:type="dxa"/>
            <w:shd w:val="clear" w:color="auto" w:fill="auto"/>
            <w:noWrap w:val="0"/>
            <w:vAlign w:val="center"/>
          </w:tcPr>
          <w:p w14:paraId="2567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901" w:type="dxa"/>
            <w:shd w:val="clear" w:color="auto" w:fill="auto"/>
            <w:noWrap w:val="0"/>
            <w:vAlign w:val="center"/>
          </w:tcPr>
          <w:p w14:paraId="22A1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管理人员</w:t>
            </w:r>
          </w:p>
        </w:tc>
        <w:tc>
          <w:tcPr>
            <w:tcW w:w="2299" w:type="dxa"/>
            <w:shd w:val="clear" w:color="auto" w:fill="auto"/>
            <w:noWrap w:val="0"/>
            <w:vAlign w:val="center"/>
          </w:tcPr>
          <w:p w14:paraId="134D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 w14:paraId="450F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2558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42" w:hRule="atLeast"/>
          <w:jc w:val="center"/>
        </w:trPr>
        <w:tc>
          <w:tcPr>
            <w:tcW w:w="1227" w:type="dxa"/>
            <w:shd w:val="clear" w:color="auto" w:fill="auto"/>
            <w:noWrap w:val="0"/>
            <w:vAlign w:val="center"/>
          </w:tcPr>
          <w:p w14:paraId="4CF78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901" w:type="dxa"/>
            <w:shd w:val="clear" w:color="auto" w:fill="auto"/>
            <w:noWrap w:val="0"/>
            <w:vAlign w:val="center"/>
          </w:tcPr>
          <w:p w14:paraId="0D61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督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导员</w:t>
            </w:r>
          </w:p>
        </w:tc>
        <w:tc>
          <w:tcPr>
            <w:tcW w:w="2299" w:type="dxa"/>
            <w:shd w:val="clear" w:color="auto" w:fill="auto"/>
            <w:noWrap w:val="0"/>
            <w:vAlign w:val="center"/>
          </w:tcPr>
          <w:p w14:paraId="35A3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 w14:paraId="44ED4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</w:tr>
      <w:tr w14:paraId="142E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42" w:hRule="atLeast"/>
          <w:jc w:val="center"/>
        </w:trPr>
        <w:tc>
          <w:tcPr>
            <w:tcW w:w="1227" w:type="dxa"/>
            <w:shd w:val="clear" w:color="auto" w:fill="auto"/>
            <w:noWrap w:val="0"/>
            <w:vAlign w:val="center"/>
          </w:tcPr>
          <w:p w14:paraId="7C5E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901" w:type="dxa"/>
            <w:shd w:val="clear" w:color="auto" w:fill="auto"/>
            <w:noWrap w:val="0"/>
            <w:vAlign w:val="center"/>
          </w:tcPr>
          <w:p w14:paraId="0228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运输人员</w:t>
            </w:r>
          </w:p>
        </w:tc>
        <w:tc>
          <w:tcPr>
            <w:tcW w:w="2299" w:type="dxa"/>
            <w:shd w:val="clear" w:color="auto" w:fill="auto"/>
            <w:noWrap w:val="0"/>
            <w:vAlign w:val="center"/>
          </w:tcPr>
          <w:p w14:paraId="1DD6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 w14:paraId="77D03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 w14:paraId="40D3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42" w:hRule="atLeast"/>
          <w:jc w:val="center"/>
        </w:trPr>
        <w:tc>
          <w:tcPr>
            <w:tcW w:w="1227" w:type="dxa"/>
            <w:shd w:val="clear" w:color="auto" w:fill="auto"/>
            <w:noWrap w:val="0"/>
            <w:vAlign w:val="center"/>
          </w:tcPr>
          <w:p w14:paraId="739A2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901" w:type="dxa"/>
            <w:shd w:val="clear" w:color="auto" w:fill="auto"/>
            <w:noWrap w:val="0"/>
            <w:vAlign w:val="center"/>
          </w:tcPr>
          <w:p w14:paraId="3507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分拣中心人员</w:t>
            </w:r>
          </w:p>
        </w:tc>
        <w:tc>
          <w:tcPr>
            <w:tcW w:w="2299" w:type="dxa"/>
            <w:shd w:val="clear" w:color="auto" w:fill="auto"/>
            <w:noWrap w:val="0"/>
            <w:vAlign w:val="center"/>
          </w:tcPr>
          <w:p w14:paraId="1A756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 w14:paraId="036A8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 w14:paraId="3379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51" w:hRule="atLeast"/>
          <w:jc w:val="center"/>
        </w:trPr>
        <w:tc>
          <w:tcPr>
            <w:tcW w:w="5128" w:type="dxa"/>
            <w:gridSpan w:val="2"/>
            <w:shd w:val="clear" w:color="auto" w:fill="auto"/>
            <w:noWrap w:val="0"/>
            <w:vAlign w:val="center"/>
          </w:tcPr>
          <w:p w14:paraId="2D80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2299" w:type="dxa"/>
            <w:shd w:val="clear" w:color="auto" w:fill="auto"/>
            <w:noWrap w:val="0"/>
            <w:vAlign w:val="center"/>
          </w:tcPr>
          <w:p w14:paraId="2BA0E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25</w:t>
            </w:r>
          </w:p>
        </w:tc>
        <w:tc>
          <w:tcPr>
            <w:tcW w:w="2089" w:type="dxa"/>
            <w:shd w:val="clear" w:color="auto" w:fill="auto"/>
            <w:noWrap w:val="0"/>
            <w:vAlign w:val="center"/>
          </w:tcPr>
          <w:p w14:paraId="1910A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24</w:t>
            </w:r>
          </w:p>
        </w:tc>
      </w:tr>
    </w:tbl>
    <w:p w14:paraId="0BF4B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六、运营模式、宣传活动和收运要求：</w:t>
      </w:r>
    </w:p>
    <w:p w14:paraId="3BAA2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1、运营模式：</w:t>
      </w:r>
    </w:p>
    <w:p w14:paraId="18D0E1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为小区居民建立用户账户，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登记投递信息，并根据投递情况建立居民投放档案。</w:t>
      </w:r>
    </w:p>
    <w:p w14:paraId="38CB815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按照省标要求，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在集中收集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点配备督导员，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按照定时定点投放原则，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负责点位内日常维护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以及投放时间内的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分类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宣传、督导和登记工作。</w:t>
      </w:r>
    </w:p>
    <w:p w14:paraId="3BA30A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按照省标要求，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负责小区内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各类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分类宣传活动，包括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但不限于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制作横幅、标语、垃圾分类入户宣传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、地面宣传、微信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业主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群宣传、积分兑换活动等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，用来引导居民参与垃圾分类，活动规模视小区规模而定。必须积极参与我区关于垃圾分类的各项宣传、教育培训等工作。</w:t>
      </w:r>
    </w:p>
    <w:p w14:paraId="4763E2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各小区市场化运作后，可回收物、有害垃圾以及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厨余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垃圾由投标方负责收运和处置。投标方需对可回收物、有害垃圾以及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厨余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垃圾建立台账数据，定期上报给招标方。</w:t>
      </w:r>
    </w:p>
    <w:p w14:paraId="10D02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2、宣传活动：</w:t>
      </w:r>
    </w:p>
    <w:p w14:paraId="07A0D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项目相关人员制定分类宣传方案，做到年度有方案，月度有计划，每月有总结。宣传方式包含但不限于入户宣传、媒体宣传、广场活动、微信推送等多种途径开展生活垃圾分类宣传引导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活动正常。</w:t>
      </w:r>
    </w:p>
    <w:p w14:paraId="647F4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在小区醒目位置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设置公示栏，内容公示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小区垃圾分类责任人，社区、物业、环卫、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桶边督导员等岗位职责网络图，投放时间，激励红黑榜。要求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职责清晰合理，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每月更新。</w:t>
      </w:r>
    </w:p>
    <w:p w14:paraId="7107D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2）在小区主要活动场所、主出入口、人行主通道任意地点设置垃圾分类宣传栏，展示垃圾分类基本情况，分类种类，分类投放点布局图，投放时间，分类收运方式，投诉举报，垃圾分类知识等。要求内容清晰完整，尺寸大小不低于1.2米*2米。</w:t>
      </w:r>
    </w:p>
    <w:p w14:paraId="6F539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在小区内组织人员开展入户宣传，向用户发放分类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物料（包含但不限于分类手册、积分卡等）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，传播垃圾分类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信息、投放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知识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、投放位置、普法教育等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，引导居民参与小区生活垃圾分类活动。（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每季度入户宣传不少于实际入住户数的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25%，记录完整工作台账。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）</w:t>
      </w:r>
    </w:p>
    <w:p w14:paraId="19355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其他宣传活动：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可采用以下方式进行宣传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）</w:t>
      </w:r>
    </w:p>
    <w:p w14:paraId="0A31F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微信宣传：在小区业主微信群里，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每月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至少发布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2次垃圾分类宣传信息，内容包含投放设施位置、呼吁居民参与、普及分类知识等。</w:t>
      </w:r>
    </w:p>
    <w:p w14:paraId="33102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地面宣传：在小区每季度开展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不少于1次的垃圾分类各种形式的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地面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宣传活动（不含入户宣传），每年需举行不少于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场大型垃圾分类宣传活动，相关活动方案需提前提交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甲方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进行审核。</w:t>
      </w:r>
    </w:p>
    <w:p w14:paraId="20E14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积分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激励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可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在小区内进行投放积分奖励兑换，根据可回收物市场价折算积分，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1积分等于1分钱。厨余垃圾每天每户两次，每次每户不低于5分。有害垃圾每天每户最多两次，每次每户不低于5分。以此正向引导激励居民参与垃圾分类。</w:t>
      </w:r>
    </w:p>
    <w:p w14:paraId="24085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其他多元化宣传手段。</w:t>
      </w:r>
    </w:p>
    <w:p w14:paraId="3CAD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收运要求：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br w:type="textWrapping"/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    1）可回收物：可回收物由投标方负责收运，收运车辆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按照每小区2次/天收运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提供收运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时间表和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线路图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  <w:t>），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并在分拣中心进行二次分拣处置，中标后需与有资质的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第三方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物回公司签订可回收物处置合同。整个收运流程，工作人员要详细记录回收情况，建立规范的收运台账，并保留数据资料，以便总结经验和计量核算。</w:t>
      </w:r>
    </w:p>
    <w:p w14:paraId="5DF91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2）有害垃圾：有害垃圾由投标方负责收运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收运车辆按照每小区1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次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/周收运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提供收运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时间表和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线路图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，并运输至指定地点，中标后需与有资质的第三方签订处置合同，并承担处置费用。整个收运流程，工作人员要详细记录回收情况，建立规范的收运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台账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，并保留数据资料，以便总结经验和计量核算。</w:t>
      </w:r>
    </w:p>
    <w:p w14:paraId="2435D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80" w:firstLineChars="1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  3）厨余垃圾：厨余垃圾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由投标方负责收运，收运车辆按照每小区1次/天收运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(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提供收运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时间表和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线路图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中标单位需与有资质的第三方签订处置合同，并承担处置费用。整个收运流程，工作人员要详细记录回收情况，建立规范的收运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台账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，并保留数据资料，以便总结经验和计量核算。</w:t>
      </w:r>
    </w:p>
    <w:p w14:paraId="3CCF1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80" w:firstLineChars="1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  4）其他垃圾：小区内其他垃圾由原环卫收运单位进行收运。</w:t>
      </w:r>
    </w:p>
    <w:p w14:paraId="7191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280" w:firstLineChars="1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 xml:space="preserve">  5）工作人员在作业期间，要保证垃圾箱摆放整齐，无残缺、破损，封闭性好、外观整洁，箱内无积存。并定期对分类箱、分类亭及周边进行维护保养清洗，保持其干净、无污渍、正常运行（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定期对分类收集容器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进行清洗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分类亭每季度至少除锈刷漆一次）。</w:t>
      </w:r>
    </w:p>
    <w:p w14:paraId="78D1C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七、服务质量要求</w:t>
      </w:r>
    </w:p>
    <w:p w14:paraId="6D3B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根据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国家发展改革委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、住建部《生活垃圾分类制度实施方案》以及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江苏省城市生活垃圾分类设施设备配置和维护指南（苏建城管〔2023〕60号）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办法，实施垃圾分类投放、分类收集、分类运输、分类处置全链条服务。主要包括内容如下：</w:t>
      </w:r>
    </w:p>
    <w:p w14:paraId="31EA0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可回收物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适宜回收利用的生活垃圾，包括纸类、塑料、金属、玻璃、织物等。</w:t>
      </w:r>
    </w:p>
    <w:p w14:paraId="41BAB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有害垃圾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：《国家危险废物名录》中的家庭源危险废物，包括灯管、家用化学品和电池等。</w:t>
      </w:r>
    </w:p>
    <w:p w14:paraId="63EA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厨余垃圾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：易腐烂的、含有机质的生活垃圾，包括家庭厨余垃圾、餐厨垃圾和其他厨余垃圾等。</w:t>
      </w:r>
    </w:p>
    <w:p w14:paraId="3FAFD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其他垃圾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：除可回收物、有害垃圾、厨余垃圾外的生活垃圾。</w:t>
      </w:r>
    </w:p>
    <w:p w14:paraId="70149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5、可回收物分拣中心：对可回收物进行分选、拆解、剪切、破碎、清洗、打包、储存等专业化和规模化初加工，为利用企业提供合格再生原料的场所。</w:t>
      </w:r>
    </w:p>
    <w:p w14:paraId="4B0D4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  <w:t>进行减量化考核，要求对照分类前，实行垃圾分类后要逐年减量。</w:t>
      </w:r>
    </w:p>
    <w:p w14:paraId="4933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居民垃圾分类知晓率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参与率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、正确率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均需达到省市区相关要求。</w:t>
      </w:r>
    </w:p>
    <w:p w14:paraId="48FEE4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八、对参与本项目投标人的其他要求</w:t>
      </w:r>
    </w:p>
    <w:p w14:paraId="11E5C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参与本项目投标人除具备投标人应具备的条件外，还应符合下列条件（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</w:rPr>
        <w:t>请在投标文件中提供相应证明资料或承诺，承诺函格式自拟）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：</w:t>
      </w:r>
    </w:p>
    <w:p w14:paraId="62613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1、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具备对投标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采购包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实施生活垃圾分类的作业能力和相关人员、作业设备、机具。</w:t>
      </w:r>
    </w:p>
    <w:p w14:paraId="06AD5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详见《设备设施最低需求表》《项目人员配备表》</w:t>
      </w:r>
    </w:p>
    <w:p w14:paraId="09690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对需求表中要求配备的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车辆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需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完全满足采购人要求，各项参数达标，能正常使用，投标人拟投入车辆必须在合同签订后一个月内到位。车辆购置期间，中标人应自行调配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其他同类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车辆以保证项目正常实施。</w:t>
      </w:r>
    </w:p>
    <w:p w14:paraId="615E997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本项目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包1包2的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项目人员工资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待遇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应符合劳动、社保等各类法律法规的相关规定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 w14:paraId="48EC3E4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本项目应合理安排作业类型的人员与车辆，保证作业质量达到《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江苏省垃圾分类小区评价标准（修订版）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》要求。且中标方必须优先考虑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接收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中标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采购包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上现有的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垃圾分类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人员并提供承诺。</w:t>
      </w:r>
    </w:p>
    <w:p w14:paraId="0AD1987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作业车辆、机械设备均具有防抛洒滴漏、臭味扬溢扩散和安全警示装置，分类运输车辆严格按照《江苏省城市居民生活垃圾分类投放和收运设施配置指南（试行）》喷涂颜色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按照《江苏省城市生活垃圾分类设施设备配置和维护指南》（苏建城管〔2023〕60号）设置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标志。</w:t>
      </w:r>
    </w:p>
    <w:p w14:paraId="01E0652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合同期内，因拆迁、施工等原因，而减少作业量的需及时上报采购人认可（15日内），不得自行停工，或改变作业时间与方式。如有不报或上报不及时，其减少作业量的时间由采购人确定。</w:t>
      </w:r>
    </w:p>
    <w:p w14:paraId="2F51ECD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具备健全的技术、质量、安全监管制度，能在实际工作中得到有效执行。</w:t>
      </w:r>
    </w:p>
    <w:p w14:paraId="2E0AE27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投标人需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具有独立承担民事责任的能力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 w14:paraId="4D8FBB9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项目经理具备大专以上（含大专）文化程度，必须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与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投标文件中项目经理一致，如确有原因需调换的，必须及时向甲方书面汇报，取得甲方同意后进行调换。</w:t>
      </w:r>
    </w:p>
    <w:p w14:paraId="001FDAE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执行月度考核，考核标准参照省市区相关标准和考核细则，如在区级考核中评分连续两次低于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85分；或在市级考核中采购包小区平均成绩累计2次排名低于前三名的；或位列全省平均成绩以下的，采购方有权终止合同，不予支付当年运营费用。</w:t>
      </w:r>
    </w:p>
    <w:p w14:paraId="604CE5D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服务期满后，相关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分类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设施设备按照折旧年限，由甲方、乙方及下一中标方三方确认后实行移交。乙方需提前提交移交方案供甲方审核。</w:t>
      </w:r>
    </w:p>
    <w:p w14:paraId="5EEF598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中标单位的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数据监控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分类垃圾房、分拣中心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必须满足招标方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参数要求，并征得招标方同意。</w:t>
      </w:r>
    </w:p>
    <w:p w14:paraId="068E966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highlight w:val="none"/>
        </w:rPr>
        <w:t>凡投标文件中提供的相关材料必须真实有效，不得作假。一经发现作假，取消其本次投标资格。</w:t>
      </w:r>
    </w:p>
    <w:p w14:paraId="461346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/>
        </w:rPr>
        <w:t>九、项目报价要求</w:t>
      </w:r>
    </w:p>
    <w:p w14:paraId="5E988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1、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本项目反对不正当竞争（恶意低价或哄抬高价）。投标人需提供报价明细表和收支预算分析表，并配合收运方案说明经费计算的合理性。如投标报价明显低于成本，而投标人又不能作出合理说明及提供相关证明材料的，其投标将被拒绝。</w:t>
      </w:r>
    </w:p>
    <w:p w14:paraId="22219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2、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投标人在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val="en-US" w:eastAsia="zh-CN"/>
        </w:rPr>
        <w:t>包1、包2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作业人数安排不得低于采购人的最低人数要求，在项目实施过程中，采购人不会就作业人数增补而增加合同总额。</w:t>
      </w:r>
    </w:p>
    <w:p w14:paraId="6B83F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3.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由于工程施工、各类活动、突击迎检、节假日期间等因素导致的费用，不论这些因素是可预测或不可预测的，均已包含在投标报价中。除采购人要求外，不作调整。</w:t>
      </w:r>
    </w:p>
    <w:p w14:paraId="493B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4、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在本项目实施过程中，中标人需严格遵守和执行《中华人民共和国劳动法》等相关法律法规，并就安全生产和职业道德加强对所有工作人员的教育，合同期中发生的一切事故、纠纷由中标人承担，采购人不承担任何责任。</w:t>
      </w:r>
    </w:p>
    <w:p w14:paraId="56A99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eastAsia="zh-CN"/>
        </w:rPr>
        <w:t>5、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val="en-US" w:eastAsia="zh-CN"/>
        </w:rPr>
        <w:t>用水、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用电：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本项目分类亭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val="en-US" w:eastAsia="zh-CN"/>
        </w:rPr>
        <w:t>分类房等相关设施设备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的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val="en-US" w:eastAsia="zh-CN"/>
        </w:rPr>
        <w:t>接水、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接电由中标单位自行设置并承担全部费用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。中标单位对分类设施的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  <w:lang w:val="en-US" w:eastAsia="zh-CN"/>
        </w:rPr>
        <w:t>用水、</w:t>
      </w:r>
      <w:r>
        <w:rPr>
          <w:rFonts w:hint="eastAsia" w:ascii="楷体" w:hAnsi="楷体" w:eastAsia="楷体" w:cs="楷体"/>
          <w:b w:val="0"/>
          <w:bCs/>
          <w:color w:val="auto"/>
          <w:sz w:val="28"/>
          <w:szCs w:val="28"/>
          <w:highlight w:val="none"/>
        </w:rPr>
        <w:t>用电承担管理责任，如在使用过程中出现任何安全问题，由中标单位自行承担。</w:t>
      </w:r>
    </w:p>
    <w:p w14:paraId="3C7AD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分拣中心相关费用：本项目的分拣中心由中标单位自行建设，相关设备采购及一切产生的水电、办公经费等由中标单位承担。中标单位对分拣中心承担安全管理责任，如在使用过程中出现任何安全问题，由中标单位自行承担。该项费用需在报价中体现，所有费用应提供相应计算式。</w:t>
      </w:r>
    </w:p>
    <w:p w14:paraId="7699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val="en-US" w:eastAsia="zh-CN"/>
        </w:rPr>
        <w:t>7、数据监控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的购买、安装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val="en-US" w:eastAsia="zh-CN"/>
        </w:rPr>
        <w:t>数据存储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以及后期维护费用均由中标单位按要求安装使用并承担费用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eastAsia="zh-CN"/>
        </w:rPr>
        <w:t>。</w:t>
      </w:r>
    </w:p>
    <w:p w14:paraId="04C1B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val="en-US" w:eastAsia="zh-CN"/>
        </w:rPr>
        <w:t>8、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投标单位要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eastAsia="zh-CN"/>
        </w:rPr>
        <w:t>充分考虑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分类垃圾设施在使用过程中的损耗率，并在报价中体现。</w:t>
      </w:r>
    </w:p>
    <w:p w14:paraId="0C0B4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val="en-US" w:eastAsia="zh-CN"/>
        </w:rPr>
        <w:t>9、根据苏财购〔2025〕62号《关于推动解决政府采购异常低价问题相关工作的通知》的文件精神，对采购需求中的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各项内容按照有关规定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val="en-US" w:eastAsia="zh-CN"/>
        </w:rPr>
        <w:t>和市场行业标准进行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测算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val="en-US" w:eastAsia="zh-CN"/>
        </w:rPr>
        <w:t>如出现异常低价，将根据文件启动异常低价投标（响应）审查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。</w:t>
      </w:r>
    </w:p>
    <w:p w14:paraId="636013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val="en-US" w:eastAsia="zh-CN"/>
        </w:rPr>
        <w:t>10、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投标人应作出承诺：已充分考虑各风险因素（包括市场波动、政府规费、工资保险政策性上调、材料设备调整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val="en-US" w:eastAsia="zh-CN"/>
        </w:rPr>
        <w:t>分类设施技术改造或更新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等），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val="en-US" w:eastAsia="zh-CN"/>
        </w:rPr>
        <w:t>并在报价中有所体现，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如造成费用增减，投标总价不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  <w:lang w:eastAsia="zh-CN"/>
        </w:rPr>
        <w:t>作</w:t>
      </w:r>
      <w:r>
        <w:rPr>
          <w:rFonts w:hint="eastAsia" w:ascii="楷体" w:hAnsi="楷体" w:eastAsia="楷体" w:cs="楷体"/>
          <w:b w:val="0"/>
          <w:bCs/>
          <w:iCs/>
          <w:color w:val="auto"/>
          <w:sz w:val="28"/>
          <w:szCs w:val="28"/>
          <w:highlight w:val="none"/>
        </w:rPr>
        <w:t>调整。</w:t>
      </w:r>
    </w:p>
    <w:p w14:paraId="00C76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zh-CN" w:eastAsia="zh-CN" w:bidi="ar-SA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en-US" w:eastAsia="zh-CN" w:bidi="ar-SA"/>
        </w:rPr>
        <w:t>十、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  <w:highlight w:val="none"/>
          <w:lang w:val="zh-CN" w:eastAsia="zh-CN" w:bidi="ar-SA"/>
        </w:rPr>
        <w:t>商务要求</w:t>
      </w:r>
    </w:p>
    <w:p w14:paraId="52A37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</w:pP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  <w:lang w:val="en-US" w:eastAsia="zh-CN"/>
        </w:rPr>
        <w:t>1、服务周期：包1、包2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  <w:t>均为三年（合同一年一签）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  <w:lang w:val="en-US" w:eastAsia="zh-CN"/>
        </w:rPr>
        <w:t>,</w:t>
      </w:r>
      <w:r>
        <w:rPr>
          <w:rFonts w:hint="eastAsia" w:ascii="楷体" w:hAnsi="楷体" w:eastAsia="楷体" w:cs="楷体"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次年合同在前一年度履约良好的情况下续签下一年度的合同。</w:t>
      </w:r>
    </w:p>
    <w:p w14:paraId="2125F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auto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  <w:lang w:val="en-US" w:eastAsia="zh-CN"/>
        </w:rPr>
        <w:t>2、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  <w:t>项目资金结算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  <w:t>中标人的作业经费按月结算，其中每月作业经费的60%作为正常运作经费直接支付给中标人，剩余40%为考核经费，按《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  <w:lang w:eastAsia="zh-CN"/>
        </w:rPr>
        <w:t>江苏省垃圾分类小区评价标准（修订版）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  <w:t>》规定发生扣款后再支付给中标人。当月作业经费需在次月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  <w:lang w:eastAsia="zh-CN"/>
        </w:rPr>
        <w:t>15日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  <w:t>前支付给中标人。</w:t>
      </w:r>
    </w:p>
    <w:p w14:paraId="48BA9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</w:pP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  <w:lang w:val="en-US" w:eastAsia="zh-CN"/>
        </w:rPr>
        <w:t>3、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  <w:t>项目进场时间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  <w:t>中标人中标后，最迟于合同签订生效后7天内进场，未能在规定时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  <w:lang w:eastAsia="zh-CN"/>
        </w:rPr>
        <w:t>间内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  <w:t>进场作业的，采购人有权终止承包合同。</w:t>
      </w:r>
    </w:p>
    <w:p w14:paraId="6F54A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</w:pP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  <w:lang w:val="en-US" w:eastAsia="zh-CN"/>
        </w:rPr>
        <w:t>4、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  <w:t>项目分包及转让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  <w:t>中标人应当按照合同约定履行义务、如实完成中标项目的服务。中标人不得向他人转让本项目，也不得将本项目肢解后向他人分包，否则，采购人有权终止承包合同。</w:t>
      </w:r>
    </w:p>
    <w:p w14:paraId="54D7D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b/>
          <w:bCs/>
          <w:i w:val="0"/>
          <w:iCs/>
          <w:color w:val="auto"/>
          <w:sz w:val="28"/>
          <w:szCs w:val="28"/>
          <w:highlight w:val="none"/>
          <w:u w:val="none"/>
          <w:lang w:val="zh-CN" w:eastAsia="zh-CN"/>
        </w:rPr>
      </w:pPr>
      <w:r>
        <w:rPr>
          <w:rFonts w:hint="eastAsia" w:ascii="楷体" w:hAnsi="楷体" w:eastAsia="楷体" w:cs="楷体"/>
          <w:b/>
          <w:bCs/>
          <w:i w:val="0"/>
          <w:iCs/>
          <w:color w:val="auto"/>
          <w:sz w:val="28"/>
          <w:szCs w:val="28"/>
          <w:highlight w:val="none"/>
          <w:u w:val="none"/>
          <w:lang w:val="en-US" w:eastAsia="zh-CN"/>
        </w:rPr>
        <w:t>十一、</w:t>
      </w:r>
      <w:r>
        <w:rPr>
          <w:rFonts w:hint="eastAsia" w:ascii="楷体" w:hAnsi="楷体" w:eastAsia="楷体" w:cs="楷体"/>
          <w:b/>
          <w:bCs/>
          <w:i w:val="0"/>
          <w:iCs/>
          <w:color w:val="auto"/>
          <w:sz w:val="28"/>
          <w:szCs w:val="28"/>
          <w:highlight w:val="none"/>
          <w:u w:val="none"/>
          <w:lang w:val="zh-CN" w:eastAsia="zh-CN"/>
        </w:rPr>
        <w:t>验收标准</w:t>
      </w:r>
    </w:p>
    <w:p w14:paraId="29128EA2"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  <w:t>供应商按照本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  <w:lang w:eastAsia="zh-CN"/>
        </w:rPr>
        <w:t>招标</w:t>
      </w:r>
      <w:r>
        <w:rPr>
          <w:rFonts w:hint="eastAsia" w:ascii="楷体" w:hAnsi="楷体" w:eastAsia="楷体" w:cs="楷体"/>
          <w:i w:val="0"/>
          <w:iCs/>
          <w:color w:val="auto"/>
          <w:sz w:val="28"/>
          <w:szCs w:val="28"/>
          <w:highlight w:val="none"/>
          <w:u w:val="none"/>
        </w:rPr>
        <w:t>文件中所含的采购需求和指标，并以用户的实际需求为唯一标准进行验收。包括项目总体实施效果是否完备、正确、满足用户的需求，是否达到预期；验收不合格或不符合质量要求，供应商除无条件退货、返工外，还应承担采购人的一切损失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833AE">
    <w:pPr>
      <w:pStyle w:val="8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AD43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9AD43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6DAFE5"/>
    <w:multiLevelType w:val="singleLevel"/>
    <w:tmpl w:val="E36DAFE5"/>
    <w:lvl w:ilvl="0" w:tentative="0">
      <w:start w:val="1"/>
      <w:numFmt w:val="lowerLetter"/>
      <w:suff w:val="nothing"/>
      <w:lvlText w:val="%1、"/>
      <w:lvlJc w:val="left"/>
    </w:lvl>
  </w:abstractNum>
  <w:abstractNum w:abstractNumId="1">
    <w:nsid w:val="22EDF13E"/>
    <w:multiLevelType w:val="singleLevel"/>
    <w:tmpl w:val="22EDF13E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4BF49566"/>
    <w:multiLevelType w:val="singleLevel"/>
    <w:tmpl w:val="4BF49566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8A69B9E"/>
    <w:multiLevelType w:val="singleLevel"/>
    <w:tmpl w:val="58A69B9E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D401E"/>
    <w:rsid w:val="17DD401E"/>
    <w:rsid w:val="470A4433"/>
    <w:rsid w:val="594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hint="default" w:ascii="宋体" w:hAnsi="Times New Roman" w:eastAsia="宋体" w:cs="Times New Roman"/>
      <w:sz w:val="22"/>
      <w:szCs w:val="22"/>
      <w:lang w:val="zh-CN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/>
    </w:pPr>
  </w:style>
  <w:style w:type="paragraph" w:styleId="4">
    <w:name w:val="footer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2026-01-21T09:36:00Z</dcterms:created>
  <dc:creator>zhuhaizhen</dc:creator>
  <cp:lastModifiedBy>zhuhaizhen</cp:lastModifiedBy>
  <dcterms:modified xsi:type="dcterms:W3CDTF">2026-01-21T09:38:09Z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274B5DFA1FD64A9F9F6D2F79FD73307B_11</vt:lpwstr>
  </property>
  <property fmtid="{D5CDD505-2E9C-101B-9397-08002B2CF9AE}" pid="4" name="KSOTemplateDocerSaveRecord">
    <vt:lpwstr>eyJoZGlkIjoiNWY0NjEyNGUzZTk2YjBkNjE3NmFjODZlOWRkNjMxMGMiLCJ1c2VySWQiOiIyODQxNDY2MTAifQ==</vt:lpwstr>
  </property>
</Properties>
</file>