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B558A">
      <w:pPr>
        <w:jc w:val="center"/>
        <w:rPr>
          <w:rFonts w:hint="eastAsia" w:ascii="楷体" w:hAnsi="楷体" w:eastAsia="楷体" w:cs="楷体"/>
          <w:b/>
          <w:bCs/>
          <w:sz w:val="36"/>
          <w:szCs w:val="36"/>
          <w:lang w:val="en-US" w:eastAsia="zh-CN"/>
        </w:rPr>
      </w:pPr>
      <w:bookmarkStart w:id="0" w:name="_GoBack"/>
      <w:r>
        <w:rPr>
          <w:rFonts w:hint="eastAsia" w:ascii="楷体" w:hAnsi="楷体" w:eastAsia="楷体" w:cs="楷体"/>
          <w:b/>
          <w:bCs/>
          <w:sz w:val="36"/>
          <w:szCs w:val="36"/>
          <w:lang w:val="en-US" w:eastAsia="zh-CN"/>
        </w:rPr>
        <w:t>采购需求</w:t>
      </w:r>
    </w:p>
    <w:bookmarkEnd w:id="0"/>
    <w:p w14:paraId="39C63E71">
      <w:pPr>
        <w:spacing w:line="360" w:lineRule="auto"/>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一、工程概况：</w:t>
      </w:r>
    </w:p>
    <w:p w14:paraId="316D8732">
      <w:pPr>
        <w:spacing w:line="360" w:lineRule="auto"/>
        <w:ind w:firstLine="548" w:firstLineChars="196"/>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本项目主要对润州区直管公房进行修缮，云台房管处共修缮面积3391.14平方米，涉及户数128户。本项目主要实施内容包括渗水屋面翻修、地面维修、墙体维修、更换木楼梯、门窗更换及老化水管电线的更换，适当增加部分安全设施等。直管公房大多分布在老城区巷道内，施工地点零星分散、工程地点狭小，受周边居民和既有建筑的影响及限制较多。</w:t>
      </w:r>
    </w:p>
    <w:p w14:paraId="63A65113">
      <w:pPr>
        <w:spacing w:line="360" w:lineRule="auto"/>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二、工程招标范围：</w:t>
      </w:r>
    </w:p>
    <w:p w14:paraId="19130A60">
      <w:pPr>
        <w:spacing w:line="360" w:lineRule="auto"/>
        <w:ind w:firstLine="560" w:firstLineChars="200"/>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本次招标范围为工程量清单范围内的修缮土建工程及修缮水电安装工程等。</w:t>
      </w:r>
    </w:p>
    <w:p w14:paraId="46C1CD8C">
      <w:pPr>
        <w:spacing w:line="360" w:lineRule="auto"/>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三、工程量清单编制依据：</w:t>
      </w:r>
    </w:p>
    <w:p w14:paraId="3C10A7AF">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1、建设单位确认的工程量清单;</w:t>
      </w:r>
    </w:p>
    <w:p w14:paraId="799FA73C">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2、本工程采用工程量清单计价方式,执行《建设工程工程量清单计价规范》（GB50500-2013）、2009年《江苏修缮建筑定额》、2009年《江苏修缮安装定额》、2014年《江苏省建筑与装饰工程计价表》、2014年《江苏省安装工程计价表》2014年《江苏省建设工程费用定额》等。</w:t>
      </w:r>
    </w:p>
    <w:p w14:paraId="375ED877">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3、执行截止202</w:t>
      </w:r>
      <w:r>
        <w:rPr>
          <w:rFonts w:hint="eastAsia" w:ascii="楷体" w:hAnsi="楷体" w:eastAsia="楷体" w:cs="楷体"/>
          <w:color w:val="000000"/>
          <w:sz w:val="28"/>
          <w:szCs w:val="28"/>
          <w:highlight w:val="none"/>
          <w:lang w:val="en-US" w:eastAsia="zh-CN"/>
        </w:rPr>
        <w:t>5</w:t>
      </w:r>
      <w:r>
        <w:rPr>
          <w:rFonts w:hint="eastAsia" w:ascii="楷体" w:hAnsi="楷体" w:eastAsia="楷体" w:cs="楷体"/>
          <w:color w:val="000000"/>
          <w:sz w:val="28"/>
          <w:szCs w:val="28"/>
          <w:highlight w:val="none"/>
        </w:rPr>
        <w:t>年</w:t>
      </w:r>
      <w:r>
        <w:rPr>
          <w:rFonts w:hint="eastAsia" w:ascii="楷体" w:hAnsi="楷体" w:eastAsia="楷体" w:cs="楷体"/>
          <w:color w:val="000000"/>
          <w:sz w:val="28"/>
          <w:szCs w:val="28"/>
          <w:highlight w:val="none"/>
          <w:lang w:val="en-US" w:eastAsia="zh-CN"/>
        </w:rPr>
        <w:t>6</w:t>
      </w:r>
      <w:r>
        <w:rPr>
          <w:rFonts w:hint="eastAsia" w:ascii="楷体" w:hAnsi="楷体" w:eastAsia="楷体" w:cs="楷体"/>
          <w:color w:val="000000"/>
          <w:sz w:val="28"/>
          <w:szCs w:val="28"/>
          <w:highlight w:val="none"/>
        </w:rPr>
        <w:t>月</w:t>
      </w:r>
      <w:r>
        <w:rPr>
          <w:rFonts w:hint="eastAsia" w:ascii="楷体" w:hAnsi="楷体" w:eastAsia="楷体" w:cs="楷体"/>
          <w:color w:val="000000"/>
          <w:sz w:val="28"/>
          <w:szCs w:val="28"/>
          <w:highlight w:val="none"/>
          <w:lang w:val="en-US" w:eastAsia="zh-CN"/>
        </w:rPr>
        <w:t>25</w:t>
      </w:r>
      <w:r>
        <w:rPr>
          <w:rFonts w:hint="eastAsia" w:ascii="楷体" w:hAnsi="楷体" w:eastAsia="楷体" w:cs="楷体"/>
          <w:color w:val="000000"/>
          <w:sz w:val="28"/>
          <w:szCs w:val="28"/>
          <w:highlight w:val="none"/>
        </w:rPr>
        <w:t>日前省、市有关工程造价计价文件。</w:t>
      </w:r>
    </w:p>
    <w:p w14:paraId="54079621">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4、苏建价[2016]154号省住房城乡建设厅关于建筑业实施营改增后江苏省建设工程计价依据调整的通知、江苏苏省建设厅公告[2018]第24号文、苏建函价〔2019〕178号关于建筑业增值税计价政策调整的通知。</w:t>
      </w:r>
    </w:p>
    <w:p w14:paraId="6F7A03A9">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5、其他相关文件。</w:t>
      </w:r>
    </w:p>
    <w:p w14:paraId="2B30EA83">
      <w:pPr>
        <w:spacing w:line="360" w:lineRule="auto"/>
        <w:rPr>
          <w:rFonts w:hint="eastAsia" w:ascii="楷体" w:hAnsi="楷体" w:eastAsia="楷体" w:cs="楷体"/>
          <w:color w:val="000000"/>
          <w:sz w:val="28"/>
          <w:szCs w:val="28"/>
          <w:highlight w:val="none"/>
        </w:rPr>
      </w:pPr>
      <w:r>
        <w:rPr>
          <w:rFonts w:hint="eastAsia" w:ascii="楷体" w:hAnsi="楷体" w:eastAsia="楷体" w:cs="楷体"/>
          <w:b/>
          <w:bCs/>
          <w:color w:val="000000"/>
          <w:sz w:val="28"/>
          <w:szCs w:val="28"/>
          <w:highlight w:val="none"/>
        </w:rPr>
        <w:t>四、工程质量：</w:t>
      </w:r>
      <w:r>
        <w:rPr>
          <w:rFonts w:hint="eastAsia" w:ascii="楷体" w:hAnsi="楷体" w:eastAsia="楷体" w:cs="楷体"/>
          <w:color w:val="000000"/>
          <w:sz w:val="28"/>
          <w:szCs w:val="28"/>
          <w:highlight w:val="none"/>
        </w:rPr>
        <w:t>详见招标文件。</w:t>
      </w:r>
    </w:p>
    <w:p w14:paraId="67EEB284">
      <w:pPr>
        <w:spacing w:line="360" w:lineRule="auto"/>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五、工程类别及取费标准：</w:t>
      </w:r>
    </w:p>
    <w:p w14:paraId="7C1F4F09">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1、土建工程按修缮土建工程取费，安装工程按修缮安装工程取费。现场安全文明施工措施费、各项规费、综合税金按镇江市规定费率计取，建筑工人实名制费用按关于建筑工人实名制费用计取方法的公告（2019）第19号厅公告计取，其余由各投标单位自主报价。各项费率（%）如下：</w:t>
      </w:r>
    </w:p>
    <w:tbl>
      <w:tblPr>
        <w:tblStyle w:val="4"/>
        <w:tblW w:w="100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25"/>
        <w:gridCol w:w="945"/>
        <w:gridCol w:w="990"/>
        <w:gridCol w:w="1637"/>
        <w:gridCol w:w="967"/>
        <w:gridCol w:w="969"/>
        <w:gridCol w:w="806"/>
        <w:gridCol w:w="969"/>
        <w:gridCol w:w="837"/>
      </w:tblGrid>
      <w:tr w14:paraId="63B4FC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1925" w:type="dxa"/>
            <w:vMerge w:val="restart"/>
            <w:noWrap w:val="0"/>
            <w:vAlign w:val="center"/>
          </w:tcPr>
          <w:p w14:paraId="4261C8D8">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名称</w:t>
            </w:r>
          </w:p>
        </w:tc>
        <w:tc>
          <w:tcPr>
            <w:tcW w:w="3572" w:type="dxa"/>
            <w:gridSpan w:val="3"/>
            <w:noWrap w:val="0"/>
            <w:vAlign w:val="center"/>
          </w:tcPr>
          <w:p w14:paraId="7B878290">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安全文明施工措施费</w:t>
            </w:r>
          </w:p>
        </w:tc>
        <w:tc>
          <w:tcPr>
            <w:tcW w:w="967" w:type="dxa"/>
            <w:vMerge w:val="restart"/>
            <w:noWrap w:val="0"/>
            <w:vAlign w:val="center"/>
          </w:tcPr>
          <w:p w14:paraId="057C953E">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按质论价费</w:t>
            </w:r>
          </w:p>
        </w:tc>
        <w:tc>
          <w:tcPr>
            <w:tcW w:w="969" w:type="dxa"/>
            <w:vMerge w:val="restart"/>
            <w:noWrap w:val="0"/>
            <w:vAlign w:val="center"/>
          </w:tcPr>
          <w:p w14:paraId="1ED51B60">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社会保障费</w:t>
            </w:r>
          </w:p>
        </w:tc>
        <w:tc>
          <w:tcPr>
            <w:tcW w:w="806" w:type="dxa"/>
            <w:vMerge w:val="restart"/>
            <w:noWrap w:val="0"/>
            <w:vAlign w:val="center"/>
          </w:tcPr>
          <w:p w14:paraId="77F5F9F6">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公积金</w:t>
            </w:r>
          </w:p>
        </w:tc>
        <w:tc>
          <w:tcPr>
            <w:tcW w:w="969" w:type="dxa"/>
            <w:vMerge w:val="restart"/>
            <w:noWrap w:val="0"/>
            <w:vAlign w:val="center"/>
          </w:tcPr>
          <w:p w14:paraId="0C7467C1">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环境保护税</w:t>
            </w:r>
          </w:p>
        </w:tc>
        <w:tc>
          <w:tcPr>
            <w:tcW w:w="837" w:type="dxa"/>
            <w:vMerge w:val="restart"/>
            <w:noWrap w:val="0"/>
            <w:vAlign w:val="center"/>
          </w:tcPr>
          <w:p w14:paraId="6020475F">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税金</w:t>
            </w:r>
          </w:p>
        </w:tc>
      </w:tr>
      <w:tr w14:paraId="369837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59" w:hRule="atLeast"/>
          <w:jc w:val="center"/>
        </w:trPr>
        <w:tc>
          <w:tcPr>
            <w:tcW w:w="1925" w:type="dxa"/>
            <w:vMerge w:val="continue"/>
            <w:noWrap w:val="0"/>
            <w:vAlign w:val="center"/>
          </w:tcPr>
          <w:p w14:paraId="49592953">
            <w:pPr>
              <w:widowControl/>
              <w:spacing w:line="360" w:lineRule="auto"/>
              <w:jc w:val="center"/>
              <w:rPr>
                <w:rFonts w:hint="eastAsia" w:ascii="楷体" w:hAnsi="楷体" w:eastAsia="楷体" w:cs="楷体"/>
                <w:color w:val="000000"/>
                <w:kern w:val="0"/>
                <w:sz w:val="28"/>
                <w:szCs w:val="28"/>
                <w:highlight w:val="none"/>
              </w:rPr>
            </w:pPr>
          </w:p>
        </w:tc>
        <w:tc>
          <w:tcPr>
            <w:tcW w:w="945" w:type="dxa"/>
            <w:noWrap w:val="0"/>
            <w:vAlign w:val="center"/>
          </w:tcPr>
          <w:p w14:paraId="3F232EA9">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基本费</w:t>
            </w:r>
          </w:p>
        </w:tc>
        <w:tc>
          <w:tcPr>
            <w:tcW w:w="990" w:type="dxa"/>
            <w:noWrap w:val="0"/>
            <w:vAlign w:val="center"/>
          </w:tcPr>
          <w:p w14:paraId="6F0BDCE9">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增加费</w:t>
            </w:r>
          </w:p>
        </w:tc>
        <w:tc>
          <w:tcPr>
            <w:tcW w:w="1637" w:type="dxa"/>
            <w:noWrap w:val="0"/>
            <w:vAlign w:val="center"/>
          </w:tcPr>
          <w:p w14:paraId="6F767C13">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扬尘污染防治增加费</w:t>
            </w:r>
          </w:p>
        </w:tc>
        <w:tc>
          <w:tcPr>
            <w:tcW w:w="967" w:type="dxa"/>
            <w:vMerge w:val="continue"/>
            <w:noWrap w:val="0"/>
            <w:vAlign w:val="center"/>
          </w:tcPr>
          <w:p w14:paraId="6E30342B">
            <w:pPr>
              <w:widowControl/>
              <w:spacing w:line="360" w:lineRule="auto"/>
              <w:jc w:val="center"/>
              <w:rPr>
                <w:rFonts w:hint="eastAsia" w:ascii="楷体" w:hAnsi="楷体" w:eastAsia="楷体" w:cs="楷体"/>
                <w:color w:val="000000"/>
                <w:kern w:val="0"/>
                <w:sz w:val="28"/>
                <w:szCs w:val="28"/>
                <w:highlight w:val="none"/>
              </w:rPr>
            </w:pPr>
          </w:p>
        </w:tc>
        <w:tc>
          <w:tcPr>
            <w:tcW w:w="969" w:type="dxa"/>
            <w:vMerge w:val="continue"/>
            <w:noWrap w:val="0"/>
            <w:vAlign w:val="center"/>
          </w:tcPr>
          <w:p w14:paraId="5853B9F5">
            <w:pPr>
              <w:widowControl/>
              <w:spacing w:line="360" w:lineRule="auto"/>
              <w:jc w:val="center"/>
              <w:rPr>
                <w:rFonts w:hint="eastAsia" w:ascii="楷体" w:hAnsi="楷体" w:eastAsia="楷体" w:cs="楷体"/>
                <w:color w:val="000000"/>
                <w:kern w:val="0"/>
                <w:sz w:val="28"/>
                <w:szCs w:val="28"/>
                <w:highlight w:val="none"/>
              </w:rPr>
            </w:pPr>
          </w:p>
        </w:tc>
        <w:tc>
          <w:tcPr>
            <w:tcW w:w="806" w:type="dxa"/>
            <w:vMerge w:val="continue"/>
            <w:noWrap w:val="0"/>
            <w:vAlign w:val="center"/>
          </w:tcPr>
          <w:p w14:paraId="6DC6987F">
            <w:pPr>
              <w:widowControl/>
              <w:spacing w:line="360" w:lineRule="auto"/>
              <w:jc w:val="center"/>
              <w:rPr>
                <w:rFonts w:hint="eastAsia" w:ascii="楷体" w:hAnsi="楷体" w:eastAsia="楷体" w:cs="楷体"/>
                <w:color w:val="000000"/>
                <w:kern w:val="0"/>
                <w:sz w:val="28"/>
                <w:szCs w:val="28"/>
                <w:highlight w:val="none"/>
              </w:rPr>
            </w:pPr>
          </w:p>
        </w:tc>
        <w:tc>
          <w:tcPr>
            <w:tcW w:w="969" w:type="dxa"/>
            <w:vMerge w:val="continue"/>
            <w:noWrap w:val="0"/>
            <w:vAlign w:val="center"/>
          </w:tcPr>
          <w:p w14:paraId="37067E2F">
            <w:pPr>
              <w:widowControl/>
              <w:spacing w:line="360" w:lineRule="auto"/>
              <w:jc w:val="center"/>
              <w:rPr>
                <w:rFonts w:hint="eastAsia" w:ascii="楷体" w:hAnsi="楷体" w:eastAsia="楷体" w:cs="楷体"/>
                <w:color w:val="000000"/>
                <w:kern w:val="0"/>
                <w:sz w:val="28"/>
                <w:szCs w:val="28"/>
                <w:highlight w:val="none"/>
              </w:rPr>
            </w:pPr>
          </w:p>
        </w:tc>
        <w:tc>
          <w:tcPr>
            <w:tcW w:w="837" w:type="dxa"/>
            <w:vMerge w:val="continue"/>
            <w:noWrap w:val="0"/>
            <w:vAlign w:val="center"/>
          </w:tcPr>
          <w:p w14:paraId="030846EA">
            <w:pPr>
              <w:widowControl/>
              <w:spacing w:line="360" w:lineRule="auto"/>
              <w:jc w:val="center"/>
              <w:rPr>
                <w:rFonts w:hint="eastAsia" w:ascii="楷体" w:hAnsi="楷体" w:eastAsia="楷体" w:cs="楷体"/>
                <w:color w:val="000000"/>
                <w:kern w:val="0"/>
                <w:sz w:val="28"/>
                <w:szCs w:val="28"/>
                <w:highlight w:val="none"/>
              </w:rPr>
            </w:pPr>
          </w:p>
        </w:tc>
      </w:tr>
      <w:tr w14:paraId="21E9C2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2" w:hRule="atLeast"/>
          <w:jc w:val="center"/>
        </w:trPr>
        <w:tc>
          <w:tcPr>
            <w:tcW w:w="1925" w:type="dxa"/>
            <w:noWrap w:val="0"/>
            <w:vAlign w:val="center"/>
          </w:tcPr>
          <w:p w14:paraId="43A8023B">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sz w:val="28"/>
                <w:szCs w:val="28"/>
                <w:highlight w:val="none"/>
              </w:rPr>
              <w:t>修缮建筑工程</w:t>
            </w:r>
          </w:p>
        </w:tc>
        <w:tc>
          <w:tcPr>
            <w:tcW w:w="945" w:type="dxa"/>
            <w:noWrap w:val="0"/>
            <w:vAlign w:val="center"/>
          </w:tcPr>
          <w:p w14:paraId="52BE4C6E">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1.5</w:t>
            </w:r>
          </w:p>
        </w:tc>
        <w:tc>
          <w:tcPr>
            <w:tcW w:w="990" w:type="dxa"/>
            <w:noWrap w:val="0"/>
            <w:vAlign w:val="center"/>
          </w:tcPr>
          <w:p w14:paraId="05F11CCA">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w:t>
            </w:r>
          </w:p>
        </w:tc>
        <w:tc>
          <w:tcPr>
            <w:tcW w:w="1637" w:type="dxa"/>
            <w:noWrap w:val="0"/>
            <w:vAlign w:val="center"/>
          </w:tcPr>
          <w:p w14:paraId="2C57CC9A">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0.21</w:t>
            </w:r>
          </w:p>
        </w:tc>
        <w:tc>
          <w:tcPr>
            <w:tcW w:w="967" w:type="dxa"/>
            <w:noWrap w:val="0"/>
            <w:vAlign w:val="center"/>
          </w:tcPr>
          <w:p w14:paraId="451C086F">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w:t>
            </w:r>
          </w:p>
        </w:tc>
        <w:tc>
          <w:tcPr>
            <w:tcW w:w="969" w:type="dxa"/>
            <w:noWrap w:val="0"/>
            <w:vAlign w:val="center"/>
          </w:tcPr>
          <w:p w14:paraId="267E34D6">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3.8</w:t>
            </w:r>
          </w:p>
        </w:tc>
        <w:tc>
          <w:tcPr>
            <w:tcW w:w="806" w:type="dxa"/>
            <w:noWrap w:val="0"/>
            <w:vAlign w:val="center"/>
          </w:tcPr>
          <w:p w14:paraId="0F760C1D">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0.67</w:t>
            </w:r>
          </w:p>
        </w:tc>
        <w:tc>
          <w:tcPr>
            <w:tcW w:w="969" w:type="dxa"/>
            <w:noWrap w:val="0"/>
            <w:vAlign w:val="center"/>
          </w:tcPr>
          <w:p w14:paraId="209F33A4">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w:t>
            </w:r>
          </w:p>
        </w:tc>
        <w:tc>
          <w:tcPr>
            <w:tcW w:w="837" w:type="dxa"/>
            <w:noWrap w:val="0"/>
            <w:vAlign w:val="center"/>
          </w:tcPr>
          <w:p w14:paraId="24AE6F53">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9</w:t>
            </w:r>
          </w:p>
        </w:tc>
      </w:tr>
      <w:tr w14:paraId="38B6C8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2" w:hRule="atLeast"/>
          <w:jc w:val="center"/>
        </w:trPr>
        <w:tc>
          <w:tcPr>
            <w:tcW w:w="1925" w:type="dxa"/>
            <w:noWrap w:val="0"/>
            <w:vAlign w:val="center"/>
          </w:tcPr>
          <w:p w14:paraId="17EEBC7E">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sz w:val="28"/>
                <w:szCs w:val="28"/>
                <w:highlight w:val="none"/>
              </w:rPr>
              <w:t>修缮安装工程</w:t>
            </w:r>
          </w:p>
        </w:tc>
        <w:tc>
          <w:tcPr>
            <w:tcW w:w="945" w:type="dxa"/>
            <w:noWrap w:val="0"/>
            <w:vAlign w:val="center"/>
          </w:tcPr>
          <w:p w14:paraId="5053F277">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1.5</w:t>
            </w:r>
          </w:p>
        </w:tc>
        <w:tc>
          <w:tcPr>
            <w:tcW w:w="990" w:type="dxa"/>
            <w:noWrap w:val="0"/>
            <w:vAlign w:val="center"/>
          </w:tcPr>
          <w:p w14:paraId="3EE3B970">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w:t>
            </w:r>
          </w:p>
        </w:tc>
        <w:tc>
          <w:tcPr>
            <w:tcW w:w="1637" w:type="dxa"/>
            <w:noWrap w:val="0"/>
            <w:vAlign w:val="center"/>
          </w:tcPr>
          <w:p w14:paraId="29A14A24">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0.21</w:t>
            </w:r>
          </w:p>
        </w:tc>
        <w:tc>
          <w:tcPr>
            <w:tcW w:w="967" w:type="dxa"/>
            <w:noWrap w:val="0"/>
            <w:vAlign w:val="center"/>
          </w:tcPr>
          <w:p w14:paraId="698C19F7">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w:t>
            </w:r>
          </w:p>
        </w:tc>
        <w:tc>
          <w:tcPr>
            <w:tcW w:w="969" w:type="dxa"/>
            <w:noWrap w:val="0"/>
            <w:vAlign w:val="center"/>
          </w:tcPr>
          <w:p w14:paraId="4A1CD8D0">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3.8</w:t>
            </w:r>
          </w:p>
        </w:tc>
        <w:tc>
          <w:tcPr>
            <w:tcW w:w="806" w:type="dxa"/>
            <w:noWrap w:val="0"/>
            <w:vAlign w:val="center"/>
          </w:tcPr>
          <w:p w14:paraId="61A3D7BF">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0.67</w:t>
            </w:r>
          </w:p>
        </w:tc>
        <w:tc>
          <w:tcPr>
            <w:tcW w:w="969" w:type="dxa"/>
            <w:noWrap w:val="0"/>
            <w:vAlign w:val="center"/>
          </w:tcPr>
          <w:p w14:paraId="7EB520E9">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w:t>
            </w:r>
          </w:p>
        </w:tc>
        <w:tc>
          <w:tcPr>
            <w:tcW w:w="837" w:type="dxa"/>
            <w:noWrap w:val="0"/>
            <w:vAlign w:val="center"/>
          </w:tcPr>
          <w:p w14:paraId="52C39FCB">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9</w:t>
            </w:r>
          </w:p>
        </w:tc>
      </w:tr>
    </w:tbl>
    <w:p w14:paraId="75C00CA2">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2、本项目投标人应根据施工组织设计需要并自行前往踏勘现场，充分了解地形、现场状况，投标报价中应充分考虑各方面因素及施工过程中采取的必要措施，除措施项目清单中所立项目外，可自行调整、补充并自主报价。</w:t>
      </w:r>
    </w:p>
    <w:p w14:paraId="54AE1CFB">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3、二次搬运费控制价按城建[2020]第224号文进标，投标人须踏勘施工现场，综合考虑材料运输、余方弃置等发生的二次或多次搬运所发生的费用，自主报价。</w:t>
      </w:r>
    </w:p>
    <w:p w14:paraId="76156613">
      <w:pPr>
        <w:spacing w:line="360" w:lineRule="auto"/>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六、人工、材料、机械费：</w:t>
      </w:r>
    </w:p>
    <w:p w14:paraId="233C6B60">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1、人工费按苏建函价[202</w:t>
      </w:r>
      <w:r>
        <w:rPr>
          <w:rFonts w:hint="eastAsia" w:ascii="楷体" w:hAnsi="楷体" w:eastAsia="楷体" w:cs="楷体"/>
          <w:color w:val="000000"/>
          <w:sz w:val="28"/>
          <w:szCs w:val="28"/>
          <w:highlight w:val="none"/>
          <w:lang w:val="en-US" w:eastAsia="zh-CN"/>
        </w:rPr>
        <w:t>5</w:t>
      </w:r>
      <w:r>
        <w:rPr>
          <w:rFonts w:hint="eastAsia" w:ascii="楷体" w:hAnsi="楷体" w:eastAsia="楷体" w:cs="楷体"/>
          <w:color w:val="000000"/>
          <w:sz w:val="28"/>
          <w:szCs w:val="28"/>
          <w:highlight w:val="none"/>
        </w:rPr>
        <w:t>]</w:t>
      </w:r>
      <w:r>
        <w:rPr>
          <w:rFonts w:hint="eastAsia" w:ascii="楷体" w:hAnsi="楷体" w:eastAsia="楷体" w:cs="楷体"/>
          <w:color w:val="000000"/>
          <w:sz w:val="28"/>
          <w:szCs w:val="28"/>
          <w:highlight w:val="none"/>
          <w:lang w:val="en-US" w:eastAsia="zh-CN"/>
        </w:rPr>
        <w:t>66</w:t>
      </w:r>
      <w:r>
        <w:rPr>
          <w:rFonts w:hint="eastAsia" w:ascii="楷体" w:hAnsi="楷体" w:eastAsia="楷体" w:cs="楷体"/>
          <w:color w:val="000000"/>
          <w:sz w:val="28"/>
          <w:szCs w:val="28"/>
          <w:highlight w:val="none"/>
        </w:rPr>
        <w:t>号文执行。</w:t>
      </w:r>
    </w:p>
    <w:p w14:paraId="2BC4318E">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2、材料、机械费：控制价中材料价格参考202</w:t>
      </w:r>
      <w:r>
        <w:rPr>
          <w:rFonts w:hint="eastAsia" w:ascii="楷体" w:hAnsi="楷体" w:eastAsia="楷体" w:cs="楷体"/>
          <w:color w:val="000000"/>
          <w:sz w:val="28"/>
          <w:szCs w:val="28"/>
          <w:highlight w:val="none"/>
          <w:lang w:val="en-US" w:eastAsia="zh-CN"/>
        </w:rPr>
        <w:t>5</w:t>
      </w:r>
      <w:r>
        <w:rPr>
          <w:rFonts w:hint="eastAsia" w:ascii="楷体" w:hAnsi="楷体" w:eastAsia="楷体" w:cs="楷体"/>
          <w:color w:val="000000"/>
          <w:sz w:val="28"/>
          <w:szCs w:val="28"/>
          <w:highlight w:val="none"/>
        </w:rPr>
        <w:t>年镇江市造价管理部门发布的《镇江工程造价信息》第</w:t>
      </w:r>
      <w:r>
        <w:rPr>
          <w:rFonts w:hint="eastAsia" w:ascii="楷体" w:hAnsi="楷体" w:eastAsia="楷体" w:cs="楷体"/>
          <w:color w:val="000000"/>
          <w:sz w:val="28"/>
          <w:szCs w:val="28"/>
          <w:highlight w:val="none"/>
          <w:lang w:val="en-US" w:eastAsia="zh-CN"/>
        </w:rPr>
        <w:t>4</w:t>
      </w:r>
      <w:r>
        <w:rPr>
          <w:rFonts w:hint="eastAsia" w:ascii="楷体" w:hAnsi="楷体" w:eastAsia="楷体" w:cs="楷体"/>
          <w:color w:val="000000"/>
          <w:sz w:val="28"/>
          <w:szCs w:val="28"/>
          <w:highlight w:val="none"/>
        </w:rPr>
        <w:t>期价格并结合市场行情。</w:t>
      </w:r>
    </w:p>
    <w:p w14:paraId="4031677B">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3、垃圾外运由于巷道狭窄，每处施工工作量不大，无法直接倒入渣土场，运输工具为电动三轮车运到附近的</w:t>
      </w:r>
      <w:r>
        <w:rPr>
          <w:rFonts w:hint="eastAsia" w:ascii="楷体" w:hAnsi="楷体" w:eastAsia="楷体" w:cs="楷体"/>
          <w:color w:val="000000"/>
          <w:sz w:val="28"/>
          <w:szCs w:val="28"/>
          <w:highlight w:val="none"/>
          <w:lang w:val="en-US" w:eastAsia="zh-CN"/>
        </w:rPr>
        <w:t>收费</w:t>
      </w:r>
      <w:r>
        <w:rPr>
          <w:rFonts w:hint="eastAsia" w:ascii="楷体" w:hAnsi="楷体" w:eastAsia="楷体" w:cs="楷体"/>
          <w:color w:val="000000"/>
          <w:sz w:val="28"/>
          <w:szCs w:val="28"/>
          <w:highlight w:val="none"/>
        </w:rPr>
        <w:t>倒土点。</w:t>
      </w:r>
    </w:p>
    <w:p w14:paraId="201D0338">
      <w:pPr>
        <w:spacing w:line="360" w:lineRule="auto"/>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七、其他项目费：</w:t>
      </w:r>
    </w:p>
    <w:p w14:paraId="2EA8B64D">
      <w:pPr>
        <w:spacing w:line="360" w:lineRule="auto"/>
        <w:rPr>
          <w:rFonts w:hint="eastAsia" w:ascii="楷体" w:hAnsi="楷体" w:eastAsia="楷体" w:cs="楷体"/>
          <w:color w:val="000000"/>
          <w:sz w:val="28"/>
          <w:szCs w:val="28"/>
          <w:highlight w:val="none"/>
          <w:lang w:val="en-US" w:eastAsia="zh-CN"/>
        </w:rPr>
      </w:pPr>
      <w:r>
        <w:rPr>
          <w:rFonts w:hint="eastAsia" w:ascii="楷体" w:hAnsi="楷体" w:eastAsia="楷体" w:cs="楷体"/>
          <w:color w:val="000000"/>
          <w:sz w:val="28"/>
          <w:szCs w:val="28"/>
          <w:highlight w:val="none"/>
        </w:rPr>
        <w:t>1、暂列金额：</w:t>
      </w:r>
      <w:r>
        <w:rPr>
          <w:rFonts w:hint="eastAsia" w:ascii="楷体" w:hAnsi="楷体" w:eastAsia="楷体" w:cs="楷体"/>
          <w:color w:val="000000"/>
          <w:sz w:val="28"/>
          <w:szCs w:val="28"/>
          <w:highlight w:val="none"/>
          <w:lang w:val="en-US" w:eastAsia="zh-CN"/>
        </w:rPr>
        <w:t>无</w:t>
      </w:r>
    </w:p>
    <w:p w14:paraId="1EEAFB4D">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2、专业工程暂估价：无</w:t>
      </w:r>
    </w:p>
    <w:p w14:paraId="0222D811">
      <w:pPr>
        <w:spacing w:line="360" w:lineRule="auto"/>
        <w:rPr>
          <w:rFonts w:hint="eastAsia" w:ascii="楷体" w:hAnsi="楷体" w:eastAsia="楷体" w:cs="楷体"/>
          <w:color w:val="000000"/>
          <w:sz w:val="28"/>
          <w:szCs w:val="28"/>
          <w:highlight w:val="none"/>
          <w:lang w:val="en-US" w:eastAsia="zh-CN"/>
        </w:rPr>
      </w:pPr>
      <w:r>
        <w:rPr>
          <w:rFonts w:hint="eastAsia" w:ascii="楷体" w:hAnsi="楷体" w:eastAsia="楷体" w:cs="楷体"/>
          <w:color w:val="000000"/>
          <w:sz w:val="28"/>
          <w:szCs w:val="28"/>
          <w:highlight w:val="none"/>
        </w:rPr>
        <w:t>3、零星点工：60工日*</w:t>
      </w:r>
      <w:r>
        <w:rPr>
          <w:rFonts w:hint="eastAsia" w:ascii="楷体" w:hAnsi="楷体" w:eastAsia="楷体" w:cs="楷体"/>
          <w:color w:val="000000"/>
          <w:sz w:val="28"/>
          <w:szCs w:val="28"/>
          <w:highlight w:val="none"/>
          <w:lang w:val="en-US" w:eastAsia="zh-CN"/>
        </w:rPr>
        <w:t>135</w:t>
      </w:r>
      <w:r>
        <w:rPr>
          <w:rFonts w:hint="eastAsia" w:ascii="楷体" w:hAnsi="楷体" w:eastAsia="楷体" w:cs="楷体"/>
          <w:color w:val="000000"/>
          <w:sz w:val="28"/>
          <w:szCs w:val="28"/>
          <w:highlight w:val="none"/>
        </w:rPr>
        <w:t>元/工日=</w:t>
      </w:r>
      <w:r>
        <w:rPr>
          <w:rFonts w:hint="eastAsia" w:ascii="楷体" w:hAnsi="楷体" w:eastAsia="楷体" w:cs="楷体"/>
          <w:color w:val="000000"/>
          <w:sz w:val="28"/>
          <w:szCs w:val="28"/>
          <w:highlight w:val="none"/>
          <w:lang w:val="en-US" w:eastAsia="zh-CN"/>
        </w:rPr>
        <w:t>810</w:t>
      </w:r>
      <w:r>
        <w:rPr>
          <w:rFonts w:hint="eastAsia" w:ascii="楷体" w:hAnsi="楷体" w:eastAsia="楷体" w:cs="楷体"/>
          <w:color w:val="000000"/>
          <w:sz w:val="28"/>
          <w:szCs w:val="28"/>
          <w:highlight w:val="none"/>
        </w:rPr>
        <w:t>0元</w:t>
      </w:r>
      <w:r>
        <w:rPr>
          <w:rFonts w:hint="eastAsia" w:ascii="楷体" w:hAnsi="楷体" w:eastAsia="楷体" w:cs="楷体"/>
          <w:color w:val="000000"/>
          <w:sz w:val="28"/>
          <w:szCs w:val="28"/>
          <w:highlight w:val="none"/>
          <w:lang w:eastAsia="zh-CN"/>
        </w:rPr>
        <w:t>，</w:t>
      </w:r>
      <w:r>
        <w:rPr>
          <w:rFonts w:hint="eastAsia" w:ascii="楷体" w:hAnsi="楷体" w:eastAsia="楷体" w:cs="楷体"/>
          <w:color w:val="000000"/>
          <w:sz w:val="28"/>
          <w:szCs w:val="28"/>
          <w:highlight w:val="none"/>
          <w:lang w:val="en-US" w:eastAsia="zh-CN"/>
        </w:rPr>
        <w:t>列入其他项目费中</w:t>
      </w:r>
    </w:p>
    <w:p w14:paraId="7864321F">
      <w:pPr>
        <w:spacing w:line="360" w:lineRule="auto"/>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八、其他说明：</w:t>
      </w:r>
    </w:p>
    <w:p w14:paraId="5831D047">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1、本清单工作量为暂估工作量，在实际施工时承包人与发包人应对每一处施工现场已完内容进行界定并书面确认。施工范围按发包人要求进行，工程量结算时按实调整。</w:t>
      </w:r>
    </w:p>
    <w:p w14:paraId="07DDE6AC">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2、除以下确定品牌材料外，其他材料施工单位在进场前应与建设单位、监理单位确定材料的品牌、色彩后方可采购，否则造成的后果由施工单位承担。</w:t>
      </w:r>
    </w:p>
    <w:p w14:paraId="370523CF">
      <w:pPr>
        <w:spacing w:line="360" w:lineRule="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lang w:val="en-US" w:eastAsia="zh-CN"/>
        </w:rPr>
        <w:t>3</w:t>
      </w:r>
      <w:r>
        <w:rPr>
          <w:rFonts w:hint="eastAsia" w:ascii="楷体" w:hAnsi="楷体" w:eastAsia="楷体" w:cs="楷体"/>
          <w:color w:val="000000"/>
          <w:sz w:val="28"/>
          <w:szCs w:val="28"/>
          <w:highlight w:val="none"/>
        </w:rPr>
        <w:t>、对于有关造价方面文件和相关规定，请各投标单位向造价管理部门咨询。</w:t>
      </w:r>
    </w:p>
    <w:tbl>
      <w:tblPr>
        <w:tblStyle w:val="4"/>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2916"/>
        <w:gridCol w:w="4046"/>
        <w:gridCol w:w="1240"/>
      </w:tblGrid>
      <w:tr w14:paraId="6336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20" w:type="dxa"/>
            <w:gridSpan w:val="4"/>
            <w:noWrap w:val="0"/>
            <w:vAlign w:val="center"/>
          </w:tcPr>
          <w:p w14:paraId="455CEBF9">
            <w:pPr>
              <w:widowControl/>
              <w:spacing w:line="360" w:lineRule="auto"/>
              <w:jc w:val="center"/>
              <w:rPr>
                <w:rFonts w:hint="eastAsia" w:ascii="楷体" w:hAnsi="楷体" w:eastAsia="楷体" w:cs="楷体"/>
                <w:b/>
                <w:bCs/>
                <w:color w:val="000000"/>
                <w:kern w:val="0"/>
                <w:sz w:val="28"/>
                <w:szCs w:val="28"/>
                <w:highlight w:val="none"/>
              </w:rPr>
            </w:pPr>
            <w:r>
              <w:rPr>
                <w:rFonts w:hint="eastAsia" w:ascii="楷体" w:hAnsi="楷体" w:eastAsia="楷体" w:cs="楷体"/>
                <w:b/>
                <w:bCs/>
                <w:color w:val="000000"/>
                <w:kern w:val="0"/>
                <w:sz w:val="28"/>
                <w:szCs w:val="28"/>
                <w:highlight w:val="none"/>
              </w:rPr>
              <w:t>202</w:t>
            </w:r>
            <w:r>
              <w:rPr>
                <w:rFonts w:hint="eastAsia" w:ascii="楷体" w:hAnsi="楷体" w:eastAsia="楷体" w:cs="楷体"/>
                <w:b/>
                <w:bCs/>
                <w:color w:val="000000"/>
                <w:kern w:val="0"/>
                <w:sz w:val="28"/>
                <w:szCs w:val="28"/>
                <w:highlight w:val="none"/>
                <w:lang w:val="en-US" w:eastAsia="zh-CN"/>
              </w:rPr>
              <w:t>5</w:t>
            </w:r>
            <w:r>
              <w:rPr>
                <w:rFonts w:hint="eastAsia" w:ascii="楷体" w:hAnsi="楷体" w:eastAsia="楷体" w:cs="楷体"/>
                <w:b/>
                <w:bCs/>
                <w:color w:val="000000"/>
                <w:kern w:val="0"/>
                <w:sz w:val="28"/>
                <w:szCs w:val="28"/>
                <w:highlight w:val="none"/>
              </w:rPr>
              <w:t>年云台</w:t>
            </w:r>
            <w:r>
              <w:rPr>
                <w:rFonts w:hint="eastAsia" w:ascii="楷体" w:hAnsi="楷体" w:eastAsia="楷体" w:cs="楷体"/>
                <w:b/>
                <w:bCs/>
                <w:color w:val="000000"/>
                <w:kern w:val="0"/>
                <w:sz w:val="28"/>
                <w:szCs w:val="28"/>
                <w:highlight w:val="none"/>
                <w:lang w:val="en-US" w:eastAsia="zh-CN"/>
              </w:rPr>
              <w:t>直管</w:t>
            </w:r>
            <w:r>
              <w:rPr>
                <w:rFonts w:hint="eastAsia" w:ascii="楷体" w:hAnsi="楷体" w:eastAsia="楷体" w:cs="楷体"/>
                <w:b/>
                <w:bCs/>
                <w:color w:val="000000"/>
                <w:kern w:val="0"/>
                <w:sz w:val="28"/>
                <w:szCs w:val="28"/>
                <w:highlight w:val="none"/>
              </w:rPr>
              <w:t>公房修缮工程材料品牌表</w:t>
            </w:r>
          </w:p>
        </w:tc>
      </w:tr>
      <w:tr w14:paraId="18D1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8" w:type="dxa"/>
            <w:shd w:val="clear" w:color="FFFFFF" w:fill="FFFFFF"/>
            <w:noWrap w:val="0"/>
            <w:vAlign w:val="center"/>
          </w:tcPr>
          <w:p w14:paraId="4B574BA5">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序号</w:t>
            </w:r>
          </w:p>
        </w:tc>
        <w:tc>
          <w:tcPr>
            <w:tcW w:w="2916" w:type="dxa"/>
            <w:shd w:val="clear" w:color="FFFFFF" w:fill="FFFFFF"/>
            <w:noWrap w:val="0"/>
            <w:vAlign w:val="center"/>
          </w:tcPr>
          <w:p w14:paraId="3D1C8592">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xml:space="preserve">材料名称规格 </w:t>
            </w:r>
          </w:p>
        </w:tc>
        <w:tc>
          <w:tcPr>
            <w:tcW w:w="4046" w:type="dxa"/>
            <w:shd w:val="clear" w:color="FFFFFF" w:fill="FFFFFF"/>
            <w:noWrap w:val="0"/>
            <w:vAlign w:val="center"/>
          </w:tcPr>
          <w:p w14:paraId="4A672EE7">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品牌</w:t>
            </w:r>
          </w:p>
        </w:tc>
        <w:tc>
          <w:tcPr>
            <w:tcW w:w="1240" w:type="dxa"/>
            <w:shd w:val="clear" w:color="FFFFFF" w:fill="FFFFFF"/>
            <w:noWrap w:val="0"/>
            <w:vAlign w:val="center"/>
          </w:tcPr>
          <w:p w14:paraId="4C506C5D">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备注</w:t>
            </w:r>
          </w:p>
        </w:tc>
      </w:tr>
      <w:tr w14:paraId="445A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8" w:type="dxa"/>
            <w:noWrap w:val="0"/>
            <w:vAlign w:val="center"/>
          </w:tcPr>
          <w:p w14:paraId="310B2169">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1</w:t>
            </w:r>
          </w:p>
        </w:tc>
        <w:tc>
          <w:tcPr>
            <w:tcW w:w="2916" w:type="dxa"/>
            <w:noWrap w:val="0"/>
            <w:vAlign w:val="center"/>
          </w:tcPr>
          <w:p w14:paraId="60BB838B">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普通硅酸盐水泥</w:t>
            </w:r>
          </w:p>
        </w:tc>
        <w:tc>
          <w:tcPr>
            <w:tcW w:w="4046" w:type="dxa"/>
            <w:noWrap/>
            <w:vAlign w:val="center"/>
          </w:tcPr>
          <w:p w14:paraId="027338E1">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鹤林</w:t>
            </w:r>
          </w:p>
        </w:tc>
        <w:tc>
          <w:tcPr>
            <w:tcW w:w="1240" w:type="dxa"/>
            <w:noWrap w:val="0"/>
            <w:vAlign w:val="center"/>
          </w:tcPr>
          <w:p w14:paraId="5C285016">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w:t>
            </w:r>
          </w:p>
        </w:tc>
      </w:tr>
      <w:tr w14:paraId="3AC3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18" w:type="dxa"/>
            <w:noWrap w:val="0"/>
            <w:vAlign w:val="center"/>
          </w:tcPr>
          <w:p w14:paraId="3B0EEC83">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2</w:t>
            </w:r>
          </w:p>
        </w:tc>
        <w:tc>
          <w:tcPr>
            <w:tcW w:w="2916" w:type="dxa"/>
            <w:noWrap w:val="0"/>
            <w:vAlign w:val="center"/>
          </w:tcPr>
          <w:p w14:paraId="7EE200A6">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9.5mm厚纸面石膏板</w:t>
            </w:r>
          </w:p>
        </w:tc>
        <w:tc>
          <w:tcPr>
            <w:tcW w:w="4046" w:type="dxa"/>
            <w:noWrap w:val="0"/>
            <w:vAlign w:val="center"/>
          </w:tcPr>
          <w:p w14:paraId="762E2B3B">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北新龙牌、可耐福、大王椰</w:t>
            </w:r>
          </w:p>
        </w:tc>
        <w:tc>
          <w:tcPr>
            <w:tcW w:w="1240" w:type="dxa"/>
            <w:noWrap w:val="0"/>
            <w:vAlign w:val="center"/>
          </w:tcPr>
          <w:p w14:paraId="79BDD8B6">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w:t>
            </w:r>
          </w:p>
        </w:tc>
      </w:tr>
      <w:tr w14:paraId="489C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8" w:type="dxa"/>
            <w:noWrap w:val="0"/>
            <w:vAlign w:val="center"/>
          </w:tcPr>
          <w:p w14:paraId="7A330D51">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3</w:t>
            </w:r>
          </w:p>
        </w:tc>
        <w:tc>
          <w:tcPr>
            <w:tcW w:w="2916" w:type="dxa"/>
            <w:noWrap w:val="0"/>
            <w:vAlign w:val="center"/>
          </w:tcPr>
          <w:p w14:paraId="42284B3A">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lang w:val="en-US" w:eastAsia="zh-CN"/>
              </w:rPr>
              <w:t>3</w:t>
            </w:r>
            <w:r>
              <w:rPr>
                <w:rFonts w:hint="eastAsia" w:ascii="楷体" w:hAnsi="楷体" w:eastAsia="楷体" w:cs="楷体"/>
                <w:color w:val="000000"/>
                <w:kern w:val="0"/>
                <w:sz w:val="28"/>
                <w:szCs w:val="28"/>
                <w:highlight w:val="none"/>
              </w:rPr>
              <w:t>mmSBS卷材</w:t>
            </w:r>
          </w:p>
        </w:tc>
        <w:tc>
          <w:tcPr>
            <w:tcW w:w="4046" w:type="dxa"/>
            <w:noWrap/>
            <w:vAlign w:val="center"/>
          </w:tcPr>
          <w:p w14:paraId="15102FD8">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lang w:val="en-US" w:eastAsia="zh-CN"/>
              </w:rPr>
              <w:t>东方</w:t>
            </w:r>
            <w:r>
              <w:rPr>
                <w:rFonts w:hint="eastAsia" w:ascii="楷体" w:hAnsi="楷体" w:eastAsia="楷体" w:cs="楷体"/>
                <w:color w:val="000000"/>
                <w:kern w:val="0"/>
                <w:sz w:val="28"/>
                <w:szCs w:val="28"/>
                <w:highlight w:val="none"/>
              </w:rPr>
              <w:t>雨虹、卓宝</w:t>
            </w:r>
          </w:p>
        </w:tc>
        <w:tc>
          <w:tcPr>
            <w:tcW w:w="1240" w:type="dxa"/>
            <w:noWrap w:val="0"/>
            <w:vAlign w:val="center"/>
          </w:tcPr>
          <w:p w14:paraId="73B21F0C">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lang w:val="en-US" w:eastAsia="zh-CN"/>
              </w:rPr>
              <w:t>平屋面</w:t>
            </w:r>
            <w:r>
              <w:rPr>
                <w:rFonts w:hint="eastAsia" w:ascii="楷体" w:hAnsi="楷体" w:eastAsia="楷体" w:cs="楷体"/>
                <w:color w:val="000000"/>
                <w:kern w:val="0"/>
                <w:sz w:val="28"/>
                <w:szCs w:val="28"/>
                <w:highlight w:val="none"/>
              </w:rPr>
              <w:t>　</w:t>
            </w:r>
          </w:p>
        </w:tc>
      </w:tr>
      <w:tr w14:paraId="1D9B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8" w:type="dxa"/>
            <w:noWrap w:val="0"/>
            <w:vAlign w:val="center"/>
          </w:tcPr>
          <w:p w14:paraId="36DB617B">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4</w:t>
            </w:r>
          </w:p>
        </w:tc>
        <w:tc>
          <w:tcPr>
            <w:tcW w:w="2916" w:type="dxa"/>
            <w:noWrap/>
            <w:vAlign w:val="center"/>
          </w:tcPr>
          <w:p w14:paraId="2D75935C">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铜芯线</w:t>
            </w:r>
          </w:p>
        </w:tc>
        <w:tc>
          <w:tcPr>
            <w:tcW w:w="4046" w:type="dxa"/>
            <w:noWrap/>
            <w:vAlign w:val="center"/>
          </w:tcPr>
          <w:p w14:paraId="72DACFBD">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菊花牌、上上、远东</w:t>
            </w:r>
          </w:p>
        </w:tc>
        <w:tc>
          <w:tcPr>
            <w:tcW w:w="1240" w:type="dxa"/>
            <w:noWrap w:val="0"/>
            <w:vAlign w:val="center"/>
          </w:tcPr>
          <w:p w14:paraId="7150ABC2">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w:t>
            </w:r>
          </w:p>
        </w:tc>
      </w:tr>
      <w:tr w14:paraId="7605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8" w:type="dxa"/>
            <w:noWrap w:val="0"/>
            <w:vAlign w:val="center"/>
          </w:tcPr>
          <w:p w14:paraId="19802C29">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5</w:t>
            </w:r>
          </w:p>
        </w:tc>
        <w:tc>
          <w:tcPr>
            <w:tcW w:w="2916" w:type="dxa"/>
            <w:noWrap/>
            <w:vAlign w:val="center"/>
          </w:tcPr>
          <w:p w14:paraId="5E86A6CB">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单管日光灯</w:t>
            </w:r>
          </w:p>
        </w:tc>
        <w:tc>
          <w:tcPr>
            <w:tcW w:w="4046" w:type="dxa"/>
            <w:noWrap/>
            <w:vAlign w:val="center"/>
          </w:tcPr>
          <w:p w14:paraId="72F06019">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飞利浦、西门子、施耐德</w:t>
            </w:r>
          </w:p>
        </w:tc>
        <w:tc>
          <w:tcPr>
            <w:tcW w:w="1240" w:type="dxa"/>
            <w:noWrap w:val="0"/>
            <w:vAlign w:val="center"/>
          </w:tcPr>
          <w:p w14:paraId="3ACA4030">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w:t>
            </w:r>
          </w:p>
        </w:tc>
      </w:tr>
      <w:tr w14:paraId="40DD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8" w:type="dxa"/>
            <w:noWrap w:val="0"/>
            <w:vAlign w:val="center"/>
          </w:tcPr>
          <w:p w14:paraId="6A0D98C8">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6</w:t>
            </w:r>
          </w:p>
        </w:tc>
        <w:tc>
          <w:tcPr>
            <w:tcW w:w="2916" w:type="dxa"/>
            <w:noWrap/>
            <w:vAlign w:val="center"/>
          </w:tcPr>
          <w:p w14:paraId="277CCAFC">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PVC钙塑排水管</w:t>
            </w:r>
          </w:p>
        </w:tc>
        <w:tc>
          <w:tcPr>
            <w:tcW w:w="4046" w:type="dxa"/>
            <w:noWrap/>
            <w:vAlign w:val="center"/>
          </w:tcPr>
          <w:p w14:paraId="656C47A8">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公元牌、鸿雁、联塑</w:t>
            </w:r>
          </w:p>
        </w:tc>
        <w:tc>
          <w:tcPr>
            <w:tcW w:w="1240" w:type="dxa"/>
            <w:noWrap w:val="0"/>
            <w:vAlign w:val="center"/>
          </w:tcPr>
          <w:p w14:paraId="7E2858F8">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w:t>
            </w:r>
          </w:p>
        </w:tc>
      </w:tr>
      <w:tr w14:paraId="2FC3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8" w:type="dxa"/>
            <w:noWrap w:val="0"/>
            <w:vAlign w:val="center"/>
          </w:tcPr>
          <w:p w14:paraId="7E11D411">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7</w:t>
            </w:r>
          </w:p>
        </w:tc>
        <w:tc>
          <w:tcPr>
            <w:tcW w:w="2916" w:type="dxa"/>
            <w:noWrap/>
            <w:vAlign w:val="center"/>
          </w:tcPr>
          <w:p w14:paraId="527490DB">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PP-R热水管水管</w:t>
            </w:r>
          </w:p>
        </w:tc>
        <w:tc>
          <w:tcPr>
            <w:tcW w:w="4046" w:type="dxa"/>
            <w:noWrap/>
            <w:vAlign w:val="center"/>
          </w:tcPr>
          <w:p w14:paraId="6AE52680">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公元牌、联塑、中财</w:t>
            </w:r>
          </w:p>
        </w:tc>
        <w:tc>
          <w:tcPr>
            <w:tcW w:w="1240" w:type="dxa"/>
            <w:noWrap w:val="0"/>
            <w:vAlign w:val="center"/>
          </w:tcPr>
          <w:p w14:paraId="3CB60569">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w:t>
            </w:r>
          </w:p>
        </w:tc>
      </w:tr>
      <w:tr w14:paraId="549A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8" w:type="dxa"/>
            <w:noWrap w:val="0"/>
            <w:vAlign w:val="center"/>
          </w:tcPr>
          <w:p w14:paraId="09DE36E8">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8</w:t>
            </w:r>
          </w:p>
        </w:tc>
        <w:tc>
          <w:tcPr>
            <w:tcW w:w="2916" w:type="dxa"/>
            <w:noWrap/>
            <w:vAlign w:val="center"/>
          </w:tcPr>
          <w:p w14:paraId="3291BAF9">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PVC阻燃管</w:t>
            </w:r>
          </w:p>
        </w:tc>
        <w:tc>
          <w:tcPr>
            <w:tcW w:w="4046" w:type="dxa"/>
            <w:noWrap/>
            <w:vAlign w:val="center"/>
          </w:tcPr>
          <w:p w14:paraId="5A006ACC">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公元牌、联塑、中财</w:t>
            </w:r>
          </w:p>
        </w:tc>
        <w:tc>
          <w:tcPr>
            <w:tcW w:w="1240" w:type="dxa"/>
            <w:noWrap w:val="0"/>
            <w:vAlign w:val="center"/>
          </w:tcPr>
          <w:p w14:paraId="7DAB2D12">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w:t>
            </w:r>
          </w:p>
        </w:tc>
      </w:tr>
      <w:tr w14:paraId="24F6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8" w:type="dxa"/>
            <w:noWrap w:val="0"/>
            <w:vAlign w:val="center"/>
          </w:tcPr>
          <w:p w14:paraId="7733DE46">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9</w:t>
            </w:r>
          </w:p>
        </w:tc>
        <w:tc>
          <w:tcPr>
            <w:tcW w:w="2916" w:type="dxa"/>
            <w:noWrap/>
            <w:vAlign w:val="center"/>
          </w:tcPr>
          <w:p w14:paraId="62323184">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铝合金推拉窗型材</w:t>
            </w:r>
          </w:p>
        </w:tc>
        <w:tc>
          <w:tcPr>
            <w:tcW w:w="4046" w:type="dxa"/>
            <w:noWrap/>
            <w:vAlign w:val="center"/>
          </w:tcPr>
          <w:p w14:paraId="2D803035">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凤铝、伟昌</w:t>
            </w:r>
          </w:p>
        </w:tc>
        <w:tc>
          <w:tcPr>
            <w:tcW w:w="1240" w:type="dxa"/>
            <w:noWrap w:val="0"/>
            <w:vAlign w:val="center"/>
          </w:tcPr>
          <w:p w14:paraId="7C33170C">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w:t>
            </w:r>
          </w:p>
        </w:tc>
      </w:tr>
      <w:tr w14:paraId="3BF5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8" w:type="dxa"/>
            <w:noWrap w:val="0"/>
            <w:vAlign w:val="center"/>
          </w:tcPr>
          <w:p w14:paraId="7B979EFF">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10</w:t>
            </w:r>
          </w:p>
        </w:tc>
        <w:tc>
          <w:tcPr>
            <w:tcW w:w="2916" w:type="dxa"/>
            <w:noWrap/>
            <w:vAlign w:val="center"/>
          </w:tcPr>
          <w:p w14:paraId="23B252D0">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开关插座</w:t>
            </w:r>
          </w:p>
        </w:tc>
        <w:tc>
          <w:tcPr>
            <w:tcW w:w="4046" w:type="dxa"/>
            <w:noWrap/>
            <w:vAlign w:val="center"/>
          </w:tcPr>
          <w:p w14:paraId="6E2E9D81">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正泰、西门子、施耐德</w:t>
            </w:r>
          </w:p>
        </w:tc>
        <w:tc>
          <w:tcPr>
            <w:tcW w:w="1240" w:type="dxa"/>
            <w:noWrap w:val="0"/>
            <w:vAlign w:val="center"/>
          </w:tcPr>
          <w:p w14:paraId="6E900302">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w:t>
            </w:r>
          </w:p>
        </w:tc>
      </w:tr>
      <w:tr w14:paraId="0A00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18" w:type="dxa"/>
            <w:noWrap w:val="0"/>
            <w:vAlign w:val="center"/>
          </w:tcPr>
          <w:p w14:paraId="5C23A61E">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11</w:t>
            </w:r>
          </w:p>
        </w:tc>
        <w:tc>
          <w:tcPr>
            <w:tcW w:w="2916" w:type="dxa"/>
            <w:noWrap/>
            <w:vAlign w:val="center"/>
          </w:tcPr>
          <w:p w14:paraId="4FF855AA">
            <w:pPr>
              <w:widowControl/>
              <w:spacing w:line="360" w:lineRule="auto"/>
              <w:jc w:val="left"/>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配电箱及内配置</w:t>
            </w:r>
          </w:p>
        </w:tc>
        <w:tc>
          <w:tcPr>
            <w:tcW w:w="4046" w:type="dxa"/>
            <w:noWrap/>
            <w:vAlign w:val="center"/>
          </w:tcPr>
          <w:p w14:paraId="4A1868C6">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正泰、西门子、施耐德</w:t>
            </w:r>
          </w:p>
        </w:tc>
        <w:tc>
          <w:tcPr>
            <w:tcW w:w="1240" w:type="dxa"/>
            <w:noWrap w:val="0"/>
            <w:vAlign w:val="center"/>
          </w:tcPr>
          <w:p w14:paraId="4F781171">
            <w:pPr>
              <w:widowControl/>
              <w:spacing w:line="360" w:lineRule="auto"/>
              <w:jc w:val="center"/>
              <w:rPr>
                <w:rFonts w:hint="eastAsia" w:ascii="楷体" w:hAnsi="楷体" w:eastAsia="楷体" w:cs="楷体"/>
                <w:color w:val="000000"/>
                <w:kern w:val="0"/>
                <w:sz w:val="28"/>
                <w:szCs w:val="28"/>
                <w:highlight w:val="none"/>
              </w:rPr>
            </w:pPr>
            <w:r>
              <w:rPr>
                <w:rFonts w:hint="eastAsia" w:ascii="楷体" w:hAnsi="楷体" w:eastAsia="楷体" w:cs="楷体"/>
                <w:color w:val="000000"/>
                <w:kern w:val="0"/>
                <w:sz w:val="28"/>
                <w:szCs w:val="28"/>
                <w:highlight w:val="none"/>
              </w:rPr>
              <w:t>　</w:t>
            </w:r>
          </w:p>
        </w:tc>
      </w:tr>
    </w:tbl>
    <w:p w14:paraId="6C2E2224">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楷体" w:hAnsi="楷体" w:eastAsia="楷体" w:cs="楷体"/>
          <w:b/>
          <w:bCs/>
          <w:color w:val="000000"/>
          <w:sz w:val="28"/>
          <w:szCs w:val="28"/>
          <w:highlight w:val="none"/>
          <w:lang w:val="en-US" w:eastAsia="zh-CN"/>
        </w:rPr>
      </w:pPr>
      <w:r>
        <w:rPr>
          <w:rFonts w:hint="eastAsia" w:ascii="楷体" w:hAnsi="楷体" w:eastAsia="楷体" w:cs="楷体"/>
          <w:b/>
          <w:bCs/>
          <w:color w:val="000000"/>
          <w:sz w:val="28"/>
          <w:szCs w:val="28"/>
          <w:highlight w:val="none"/>
          <w:lang w:val="en-US" w:eastAsia="zh-CN"/>
        </w:rPr>
        <w:t>注：上述技术要求中如出现具体产品的品牌、型号、参数等，仅供投标人更好地理解采购人对设备的需求，不能理解为唯一指定，只要优于或符合其技术参数及功能要求的，均可视为响应。</w:t>
      </w:r>
    </w:p>
    <w:p w14:paraId="1A217871">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楷体" w:hAnsi="楷体" w:eastAsia="楷体" w:cs="楷体"/>
          <w:b/>
          <w:bCs/>
          <w:color w:val="000000"/>
          <w:sz w:val="28"/>
          <w:szCs w:val="28"/>
          <w:highlight w:val="none"/>
          <w:lang w:val="en-US" w:eastAsia="zh-CN"/>
        </w:rPr>
      </w:pPr>
      <w:r>
        <w:rPr>
          <w:rFonts w:hint="eastAsia" w:ascii="楷体" w:hAnsi="楷体" w:eastAsia="楷体" w:cs="楷体"/>
          <w:b/>
          <w:bCs/>
          <w:color w:val="000000"/>
          <w:sz w:val="28"/>
          <w:szCs w:val="28"/>
          <w:highlight w:val="none"/>
          <w:lang w:val="en-US" w:eastAsia="zh-CN"/>
        </w:rPr>
        <w:t>九、技术要求</w:t>
      </w:r>
    </w:p>
    <w:p w14:paraId="2BA9FDD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楷体" w:hAnsi="楷体" w:eastAsia="楷体" w:cs="楷体"/>
          <w:b w:val="0"/>
          <w:bCs w:val="0"/>
          <w:color w:val="000000"/>
          <w:sz w:val="28"/>
          <w:szCs w:val="28"/>
          <w:highlight w:val="none"/>
          <w:lang w:val="en-US" w:eastAsia="zh-CN"/>
        </w:rPr>
      </w:pPr>
      <w:r>
        <w:rPr>
          <w:rFonts w:hint="eastAsia" w:ascii="楷体" w:hAnsi="楷体" w:eastAsia="楷体" w:cs="楷体"/>
          <w:b w:val="0"/>
          <w:bCs w:val="0"/>
          <w:color w:val="000000"/>
          <w:sz w:val="28"/>
          <w:szCs w:val="28"/>
          <w:highlight w:val="none"/>
          <w:lang w:val="en-US" w:eastAsia="zh-CN"/>
        </w:rPr>
        <w:t>1、工程量清单详见附件</w:t>
      </w:r>
    </w:p>
    <w:p w14:paraId="168FBEC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楷体" w:hAnsi="楷体" w:eastAsia="楷体" w:cs="楷体"/>
          <w:b w:val="0"/>
          <w:bCs w:val="0"/>
          <w:color w:val="000000"/>
          <w:sz w:val="28"/>
          <w:szCs w:val="28"/>
          <w:highlight w:val="none"/>
          <w:lang w:val="en-US" w:eastAsia="zh-CN"/>
        </w:rPr>
      </w:pPr>
      <w:r>
        <w:rPr>
          <w:rFonts w:hint="eastAsia" w:ascii="楷体" w:hAnsi="楷体" w:eastAsia="楷体" w:cs="楷体"/>
          <w:b w:val="0"/>
          <w:bCs w:val="0"/>
          <w:color w:val="000000"/>
          <w:sz w:val="28"/>
          <w:szCs w:val="28"/>
          <w:highlight w:val="none"/>
          <w:lang w:val="en-US" w:eastAsia="zh-CN"/>
        </w:rPr>
        <w:t>2、供应商所投产品材料规格、型号必须响应工程量清单及设计图纸中相关采购要求。磋商响应文件须根据工程量清单及设计图纸中所提到的材料详列出材料分析表，即本工程中拟使用材料的具体品牌、型号、规格，如取得成交资格后未经采购人同意不得随意变更调整。</w:t>
      </w:r>
    </w:p>
    <w:p w14:paraId="774CBF55">
      <w:pPr>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lang w:val="en-US" w:eastAsia="zh-CN"/>
        </w:rPr>
        <w:t>十</w:t>
      </w:r>
      <w:r>
        <w:rPr>
          <w:rFonts w:hint="eastAsia" w:ascii="楷体" w:hAnsi="楷体" w:eastAsia="楷体" w:cs="楷体"/>
          <w:b/>
          <w:bCs/>
          <w:color w:val="000000"/>
          <w:sz w:val="28"/>
          <w:szCs w:val="28"/>
          <w:highlight w:val="none"/>
        </w:rPr>
        <w:t>、工期</w:t>
      </w:r>
      <w:r>
        <w:rPr>
          <w:rFonts w:hint="eastAsia" w:ascii="楷体" w:hAnsi="楷体" w:eastAsia="楷体" w:cs="楷体"/>
          <w:b/>
          <w:bCs/>
          <w:color w:val="000000"/>
          <w:sz w:val="28"/>
          <w:szCs w:val="28"/>
          <w:highlight w:val="none"/>
          <w:lang w:val="en-US" w:eastAsia="zh-CN"/>
        </w:rPr>
        <w:t>要求</w:t>
      </w:r>
      <w:r>
        <w:rPr>
          <w:rFonts w:hint="eastAsia" w:ascii="楷体" w:hAnsi="楷体" w:eastAsia="楷体" w:cs="楷体"/>
          <w:b/>
          <w:bCs/>
          <w:color w:val="000000"/>
          <w:sz w:val="28"/>
          <w:szCs w:val="28"/>
          <w:highlight w:val="none"/>
        </w:rPr>
        <w:t>及服务地点</w:t>
      </w:r>
    </w:p>
    <w:p w14:paraId="558DF38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楷体" w:hAnsi="楷体" w:eastAsia="楷体" w:cs="楷体"/>
          <w:b w:val="0"/>
          <w:bCs w:val="0"/>
          <w:color w:val="000000"/>
          <w:sz w:val="28"/>
          <w:szCs w:val="28"/>
          <w:highlight w:val="none"/>
          <w:lang w:eastAsia="zh-CN"/>
        </w:rPr>
      </w:pPr>
      <w:r>
        <w:rPr>
          <w:rFonts w:hint="eastAsia" w:ascii="楷体" w:hAnsi="楷体" w:eastAsia="楷体" w:cs="楷体"/>
          <w:b w:val="0"/>
          <w:bCs w:val="0"/>
          <w:color w:val="000000"/>
          <w:sz w:val="28"/>
          <w:szCs w:val="28"/>
          <w:highlight w:val="none"/>
          <w:lang w:val="en-US" w:eastAsia="zh-CN"/>
        </w:rPr>
        <w:t>1、</w:t>
      </w:r>
      <w:r>
        <w:rPr>
          <w:rFonts w:hint="eastAsia" w:ascii="楷体" w:hAnsi="楷体" w:eastAsia="楷体" w:cs="楷体"/>
          <w:b w:val="0"/>
          <w:bCs w:val="0"/>
          <w:color w:val="000000"/>
          <w:sz w:val="28"/>
          <w:szCs w:val="28"/>
          <w:highlight w:val="none"/>
        </w:rPr>
        <w:t>工期：</w:t>
      </w:r>
      <w:r>
        <w:rPr>
          <w:rFonts w:hint="eastAsia" w:ascii="楷体" w:hAnsi="楷体" w:eastAsia="楷体" w:cs="楷体"/>
          <w:b w:val="0"/>
          <w:bCs w:val="0"/>
          <w:color w:val="000000"/>
          <w:kern w:val="0"/>
          <w:sz w:val="28"/>
          <w:szCs w:val="28"/>
          <w:highlight w:val="none"/>
          <w:lang w:val="en-US" w:eastAsia="zh-CN"/>
        </w:rPr>
        <w:t>合同签订之日起至2025年12月10日之前完工</w:t>
      </w:r>
      <w:r>
        <w:rPr>
          <w:rFonts w:hint="eastAsia" w:ascii="楷体" w:hAnsi="楷体" w:eastAsia="楷体" w:cs="楷体"/>
          <w:b w:val="0"/>
          <w:bCs w:val="0"/>
          <w:color w:val="000000"/>
          <w:kern w:val="0"/>
          <w:sz w:val="28"/>
          <w:szCs w:val="28"/>
          <w:highlight w:val="none"/>
          <w:lang w:eastAsia="zh-CN"/>
        </w:rPr>
        <w:t>。</w:t>
      </w:r>
    </w:p>
    <w:p w14:paraId="61374B8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lang w:val="en-US" w:eastAsia="zh-CN"/>
        </w:rPr>
        <w:t>2、</w:t>
      </w:r>
      <w:r>
        <w:rPr>
          <w:rFonts w:hint="eastAsia" w:ascii="楷体" w:hAnsi="楷体" w:eastAsia="楷体" w:cs="楷体"/>
          <w:b w:val="0"/>
          <w:bCs w:val="0"/>
          <w:color w:val="000000"/>
          <w:sz w:val="28"/>
          <w:szCs w:val="28"/>
          <w:highlight w:val="none"/>
        </w:rPr>
        <w:t>服务地点：采购人指定地点。</w:t>
      </w:r>
    </w:p>
    <w:p w14:paraId="26E3C2BF">
      <w:pPr>
        <w:pStyle w:val="2"/>
        <w:keepNext w:val="0"/>
        <w:keepLines w:val="0"/>
        <w:pageBreakBefore w:val="0"/>
        <w:kinsoku/>
        <w:wordWrap/>
        <w:overflowPunct/>
        <w:topLinePunct w:val="0"/>
        <w:bidi w:val="0"/>
        <w:adjustRightInd/>
        <w:snapToGrid/>
        <w:spacing w:line="360" w:lineRule="auto"/>
        <w:ind w:firstLine="0"/>
        <w:textAlignment w:val="auto"/>
        <w:rPr>
          <w:rFonts w:hint="eastAsia" w:ascii="楷体" w:hAnsi="楷体" w:eastAsia="楷体" w:cs="楷体"/>
          <w:b/>
          <w:bCs/>
          <w:color w:val="000000"/>
          <w:sz w:val="28"/>
          <w:szCs w:val="28"/>
          <w:highlight w:val="none"/>
          <w:lang w:val="en-US" w:eastAsia="zh-CN"/>
        </w:rPr>
      </w:pPr>
      <w:r>
        <w:rPr>
          <w:rFonts w:hint="eastAsia" w:ascii="楷体" w:hAnsi="楷体" w:eastAsia="楷体" w:cs="楷体"/>
          <w:b/>
          <w:bCs/>
          <w:color w:val="000000"/>
          <w:sz w:val="28"/>
          <w:szCs w:val="28"/>
          <w:highlight w:val="none"/>
          <w:lang w:val="en-US" w:eastAsia="zh-CN"/>
        </w:rPr>
        <w:t>十一、施工要求</w:t>
      </w:r>
    </w:p>
    <w:p w14:paraId="58211FB4">
      <w:pPr>
        <w:spacing w:line="360" w:lineRule="auto"/>
        <w:rPr>
          <w:rFonts w:hint="eastAsia" w:ascii="楷体" w:hAnsi="楷体" w:eastAsia="楷体" w:cs="楷体"/>
          <w:color w:val="000000"/>
          <w:sz w:val="28"/>
          <w:szCs w:val="28"/>
          <w:highlight w:val="none"/>
          <w:lang w:val="en-US" w:eastAsia="zh-CN"/>
        </w:rPr>
      </w:pPr>
      <w:r>
        <w:rPr>
          <w:rFonts w:hint="eastAsia" w:ascii="楷体" w:hAnsi="楷体" w:eastAsia="楷体" w:cs="楷体"/>
          <w:color w:val="000000"/>
          <w:sz w:val="28"/>
          <w:szCs w:val="28"/>
          <w:highlight w:val="none"/>
          <w:lang w:val="en-US" w:eastAsia="zh-CN"/>
        </w:rPr>
        <w:t>1、在施工过程中，主要材料的技术参数及性能等不得低于编标依据，供货前主要材料设备须经采购人认可并书面确认，否则，采购人有权拒收且保留甲供材的权利。</w:t>
      </w:r>
    </w:p>
    <w:p w14:paraId="2C8E276A">
      <w:pPr>
        <w:spacing w:line="360" w:lineRule="auto"/>
        <w:rPr>
          <w:rFonts w:hint="eastAsia" w:ascii="楷体" w:hAnsi="楷体" w:eastAsia="楷体" w:cs="楷体"/>
          <w:color w:val="000000"/>
          <w:sz w:val="28"/>
          <w:szCs w:val="28"/>
          <w:highlight w:val="none"/>
          <w:lang w:val="en-US" w:eastAsia="zh-CN"/>
        </w:rPr>
      </w:pPr>
      <w:r>
        <w:rPr>
          <w:rFonts w:hint="eastAsia" w:ascii="楷体" w:hAnsi="楷体" w:eastAsia="楷体" w:cs="楷体"/>
          <w:color w:val="000000"/>
          <w:sz w:val="28"/>
          <w:szCs w:val="28"/>
          <w:highlight w:val="none"/>
          <w:lang w:val="en-US" w:eastAsia="zh-CN"/>
        </w:rPr>
        <w:t>2、供应商对该工程所使用的全部材料及工程质量负责，工程的质量保修期应按《建设工程质量管理条例》及有关规定执行，请具体注明子项质保年限。从工程验收合格之日起计算，免费质保期间除人为损坏，其他质量问题 48 小时内到位维修。</w:t>
      </w:r>
    </w:p>
    <w:p w14:paraId="470E78B2">
      <w:pPr>
        <w:pStyle w:val="2"/>
        <w:keepNext w:val="0"/>
        <w:keepLines w:val="0"/>
        <w:pageBreakBefore w:val="0"/>
        <w:kinsoku/>
        <w:wordWrap/>
        <w:overflowPunct/>
        <w:topLinePunct w:val="0"/>
        <w:bidi w:val="0"/>
        <w:adjustRightInd/>
        <w:snapToGrid/>
        <w:spacing w:line="360" w:lineRule="auto"/>
        <w:ind w:firstLine="0"/>
        <w:textAlignment w:val="auto"/>
        <w:rPr>
          <w:rFonts w:hint="eastAsia" w:ascii="楷体" w:hAnsi="楷体" w:eastAsia="楷体" w:cs="楷体"/>
          <w:b/>
          <w:bCs/>
          <w:color w:val="000000"/>
          <w:sz w:val="28"/>
          <w:szCs w:val="28"/>
          <w:highlight w:val="none"/>
          <w:lang w:val="en-US"/>
        </w:rPr>
      </w:pPr>
      <w:r>
        <w:rPr>
          <w:rFonts w:hint="eastAsia" w:ascii="楷体" w:hAnsi="楷体" w:eastAsia="楷体" w:cs="楷体"/>
          <w:b/>
          <w:bCs/>
          <w:color w:val="000000"/>
          <w:sz w:val="28"/>
          <w:szCs w:val="28"/>
          <w:highlight w:val="none"/>
          <w:lang w:val="en-US" w:eastAsia="zh-CN"/>
        </w:rPr>
        <w:t>十二、</w:t>
      </w:r>
      <w:r>
        <w:rPr>
          <w:rFonts w:hint="eastAsia" w:ascii="楷体" w:hAnsi="楷体" w:eastAsia="楷体" w:cs="楷体"/>
          <w:b/>
          <w:bCs/>
          <w:color w:val="000000"/>
          <w:sz w:val="28"/>
          <w:szCs w:val="28"/>
          <w:highlight w:val="none"/>
          <w:lang w:val="en-US"/>
        </w:rPr>
        <w:t>服务要求</w:t>
      </w:r>
    </w:p>
    <w:p w14:paraId="4AAD5DA4">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楷体" w:hAnsi="楷体" w:eastAsia="楷体" w:cs="楷体"/>
          <w:color w:val="000000"/>
          <w:sz w:val="28"/>
          <w:szCs w:val="28"/>
          <w:highlight w:val="none"/>
          <w:lang w:val="en-US" w:eastAsia="zh-CN"/>
        </w:rPr>
      </w:pPr>
      <w:r>
        <w:rPr>
          <w:rFonts w:hint="eastAsia" w:ascii="楷体" w:hAnsi="楷体" w:eastAsia="楷体" w:cs="楷体"/>
          <w:color w:val="000000"/>
          <w:sz w:val="28"/>
          <w:szCs w:val="28"/>
          <w:highlight w:val="none"/>
          <w:lang w:val="en-US" w:eastAsia="zh-CN"/>
        </w:rPr>
        <w:t>1、供应商须在响应磋商文件前进行现场踏勘。</w:t>
      </w:r>
    </w:p>
    <w:p w14:paraId="184B66EB">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楷体" w:hAnsi="楷体" w:eastAsia="楷体" w:cs="楷体"/>
          <w:bCs/>
          <w:color w:val="000000"/>
          <w:sz w:val="28"/>
          <w:szCs w:val="28"/>
          <w:highlight w:val="none"/>
        </w:rPr>
      </w:pPr>
      <w:r>
        <w:rPr>
          <w:rFonts w:hint="eastAsia" w:ascii="楷体" w:hAnsi="楷体" w:eastAsia="楷体" w:cs="楷体"/>
          <w:color w:val="000000"/>
          <w:sz w:val="28"/>
          <w:szCs w:val="28"/>
          <w:highlight w:val="none"/>
          <w:lang w:val="en-US" w:eastAsia="zh-CN"/>
        </w:rPr>
        <w:t>2</w:t>
      </w:r>
      <w:r>
        <w:rPr>
          <w:rFonts w:hint="eastAsia" w:ascii="楷体" w:hAnsi="楷体" w:eastAsia="楷体" w:cs="楷体"/>
          <w:color w:val="000000"/>
          <w:sz w:val="28"/>
          <w:szCs w:val="28"/>
          <w:highlight w:val="none"/>
        </w:rPr>
        <w:t>、本工程质量应达到最新国家质量评定合格标准。</w:t>
      </w:r>
      <w:r>
        <w:rPr>
          <w:rFonts w:hint="eastAsia" w:ascii="楷体" w:hAnsi="楷体" w:eastAsia="楷体" w:cs="楷体"/>
          <w:bCs/>
          <w:color w:val="000000"/>
          <w:sz w:val="28"/>
          <w:szCs w:val="28"/>
          <w:highlight w:val="none"/>
        </w:rPr>
        <w:t>所供的项目服务必须遵守国家颁布标准和有关规定。</w:t>
      </w:r>
    </w:p>
    <w:p w14:paraId="4B17F334">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lang w:val="en-US" w:eastAsia="zh-CN"/>
        </w:rPr>
        <w:t>3</w:t>
      </w:r>
      <w:r>
        <w:rPr>
          <w:rFonts w:hint="eastAsia" w:ascii="楷体" w:hAnsi="楷体" w:eastAsia="楷体" w:cs="楷体"/>
          <w:color w:val="000000"/>
          <w:sz w:val="28"/>
          <w:szCs w:val="28"/>
          <w:highlight w:val="none"/>
        </w:rPr>
        <w:t>、中标单位的项目经理必须每天要在现场全面负责本项目的施工。</w:t>
      </w:r>
    </w:p>
    <w:p w14:paraId="3D814D22">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lang w:val="en-US" w:eastAsia="zh-CN"/>
        </w:rPr>
        <w:t>4</w:t>
      </w:r>
      <w:r>
        <w:rPr>
          <w:rFonts w:hint="eastAsia" w:ascii="楷体" w:hAnsi="楷体" w:eastAsia="楷体" w:cs="楷体"/>
          <w:color w:val="000000"/>
          <w:sz w:val="28"/>
          <w:szCs w:val="28"/>
          <w:highlight w:val="none"/>
        </w:rPr>
        <w:t>、在免费质保期内，供应商须对由于工程本身质量原因造成的任何缺损进行免费修补或更换。</w:t>
      </w:r>
    </w:p>
    <w:p w14:paraId="03ECE6A4">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lang w:val="en-US" w:eastAsia="zh-CN"/>
        </w:rPr>
        <w:t>5</w:t>
      </w:r>
      <w:r>
        <w:rPr>
          <w:rFonts w:hint="eastAsia" w:ascii="楷体" w:hAnsi="楷体" w:eastAsia="楷体" w:cs="楷体"/>
          <w:color w:val="000000"/>
          <w:sz w:val="28"/>
          <w:szCs w:val="28"/>
          <w:highlight w:val="none"/>
        </w:rPr>
        <w:t>、甲乙双方应及时办理隐蔽工程和中间工程的检查与验收手续。甲方不按时参加隐蔽工程和中间工程验收，乙方可自行验收，甲方应予承认。若甲方要求复验，乙方应按要求办理复验。若复验合格，甲方应承担复验费用由此造成停工，工期顺延；若复验不合格，其复验及返工费用由乙方承担，但工期也予顺延。</w:t>
      </w:r>
      <w:r>
        <w:rPr>
          <w:rFonts w:hint="eastAsia" w:ascii="楷体" w:hAnsi="楷体" w:eastAsia="楷体" w:cs="楷体"/>
          <w:bCs/>
          <w:color w:val="000000"/>
          <w:sz w:val="28"/>
          <w:szCs w:val="28"/>
          <w:highlight w:val="none"/>
        </w:rPr>
        <w:t>须按采购人要求项目的所有工作内容在规定的时间内实施完毕。</w:t>
      </w:r>
    </w:p>
    <w:p w14:paraId="26A69495">
      <w:pPr>
        <w:keepNext w:val="0"/>
        <w:keepLines w:val="0"/>
        <w:pageBreakBefore w:val="0"/>
        <w:widowControl w:val="0"/>
        <w:tabs>
          <w:tab w:val="left" w:pos="0"/>
        </w:tabs>
        <w:kinsoku/>
        <w:wordWrap/>
        <w:overflowPunct/>
        <w:topLinePunct w:val="0"/>
        <w:autoSpaceDE w:val="0"/>
        <w:autoSpaceDN w:val="0"/>
        <w:bidi w:val="0"/>
        <w:adjustRightInd/>
        <w:spacing w:line="360" w:lineRule="auto"/>
        <w:textAlignment w:val="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lang w:val="en-US" w:eastAsia="zh-CN"/>
        </w:rPr>
        <w:t>6</w:t>
      </w:r>
      <w:r>
        <w:rPr>
          <w:rFonts w:hint="eastAsia" w:ascii="楷体" w:hAnsi="楷体" w:eastAsia="楷体" w:cs="楷体"/>
          <w:color w:val="000000"/>
          <w:sz w:val="28"/>
          <w:szCs w:val="28"/>
          <w:highlight w:val="none"/>
        </w:rPr>
        <w:t>、由于乙方原因造成质量事故，其返工费用由乙方承担，工期不顺延。</w:t>
      </w:r>
    </w:p>
    <w:p w14:paraId="53728BF3">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lang w:val="en-US" w:eastAsia="zh-CN"/>
        </w:rPr>
        <w:t>7</w:t>
      </w:r>
      <w:r>
        <w:rPr>
          <w:rFonts w:hint="eastAsia" w:ascii="楷体" w:hAnsi="楷体" w:eastAsia="楷体" w:cs="楷体"/>
          <w:color w:val="000000"/>
          <w:sz w:val="28"/>
          <w:szCs w:val="28"/>
          <w:highlight w:val="none"/>
        </w:rPr>
        <w:t>、工程竣工后，乙方应通知甲方验收，甲方自接到验收通知</w:t>
      </w:r>
      <w:r>
        <w:rPr>
          <w:rFonts w:hint="eastAsia" w:ascii="楷体" w:hAnsi="楷体" w:eastAsia="楷体" w:cs="楷体"/>
          <w:color w:val="000000"/>
          <w:sz w:val="28"/>
          <w:szCs w:val="28"/>
          <w:highlight w:val="none"/>
          <w:u w:val="single"/>
        </w:rPr>
        <w:t xml:space="preserve"> 15 </w:t>
      </w:r>
      <w:r>
        <w:rPr>
          <w:rFonts w:hint="eastAsia" w:ascii="楷体" w:hAnsi="楷体" w:eastAsia="楷体" w:cs="楷体"/>
          <w:color w:val="000000"/>
          <w:sz w:val="28"/>
          <w:szCs w:val="28"/>
          <w:highlight w:val="none"/>
        </w:rPr>
        <w:t>日内组织验收，并办理验收、移交手续。如甲方在规定时间内未能组织验收，需及时通知乙方，另定验收日期。但甲方应承认乙方竣工日期。</w:t>
      </w:r>
      <w:r>
        <w:rPr>
          <w:rFonts w:hint="eastAsia" w:ascii="楷体" w:hAnsi="楷体" w:eastAsia="楷体" w:cs="楷体"/>
          <w:bCs/>
          <w:color w:val="000000"/>
          <w:sz w:val="28"/>
          <w:szCs w:val="28"/>
          <w:highlight w:val="none"/>
        </w:rPr>
        <w:t>提交项目验收的所需的全部技术资料。</w:t>
      </w:r>
    </w:p>
    <w:p w14:paraId="4A0EAAAC">
      <w:pPr>
        <w:keepNext w:val="0"/>
        <w:keepLines w:val="0"/>
        <w:pageBreakBefore w:val="0"/>
        <w:widowControl w:val="0"/>
        <w:tabs>
          <w:tab w:val="left" w:pos="0"/>
        </w:tabs>
        <w:kinsoku/>
        <w:wordWrap/>
        <w:overflowPunct/>
        <w:topLinePunct w:val="0"/>
        <w:autoSpaceDE w:val="0"/>
        <w:autoSpaceDN w:val="0"/>
        <w:bidi w:val="0"/>
        <w:adjustRightInd/>
        <w:spacing w:line="360" w:lineRule="auto"/>
        <w:textAlignment w:val="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lang w:val="en-US" w:eastAsia="zh-CN"/>
        </w:rPr>
        <w:t>8</w:t>
      </w:r>
      <w:r>
        <w:rPr>
          <w:rFonts w:hint="eastAsia" w:ascii="楷体" w:hAnsi="楷体" w:eastAsia="楷体" w:cs="楷体"/>
          <w:color w:val="000000"/>
          <w:sz w:val="28"/>
          <w:szCs w:val="28"/>
          <w:highlight w:val="none"/>
        </w:rPr>
        <w:t>、本工程应符合国家环保质量要求,否则应承担违约责任并赔偿甲方损失。</w:t>
      </w:r>
    </w:p>
    <w:p w14:paraId="6C5DDD91">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lang w:val="en-US" w:eastAsia="zh-CN"/>
        </w:rPr>
        <w:t>9</w:t>
      </w:r>
      <w:r>
        <w:rPr>
          <w:rFonts w:hint="eastAsia" w:ascii="楷体" w:hAnsi="楷体" w:eastAsia="楷体" w:cs="楷体"/>
          <w:color w:val="000000"/>
          <w:sz w:val="28"/>
          <w:szCs w:val="28"/>
          <w:highlight w:val="none"/>
        </w:rPr>
        <w:t>、</w:t>
      </w:r>
      <w:r>
        <w:rPr>
          <w:rFonts w:hint="eastAsia" w:ascii="楷体" w:hAnsi="楷体" w:eastAsia="楷体" w:cs="楷体"/>
          <w:bCs/>
          <w:color w:val="000000"/>
          <w:sz w:val="28"/>
          <w:szCs w:val="28"/>
          <w:highlight w:val="none"/>
        </w:rPr>
        <w:t>对甲方发现的问题及时补充修改。</w:t>
      </w:r>
      <w:r>
        <w:rPr>
          <w:rFonts w:hint="eastAsia" w:ascii="楷体" w:hAnsi="楷体" w:eastAsia="楷体" w:cs="楷体"/>
          <w:color w:val="000000"/>
          <w:sz w:val="28"/>
          <w:szCs w:val="28"/>
          <w:highlight w:val="none"/>
        </w:rPr>
        <w:t>工程交付尚未使用期间凡属工程遗留问题，乙方在接到甲方书面通知后三天内组织整改。逾期甲方将组织整改，一切费用由乙方承担。</w:t>
      </w:r>
    </w:p>
    <w:p w14:paraId="63545238">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楷体" w:hAnsi="楷体" w:eastAsia="楷体" w:cs="楷体"/>
          <w:bCs/>
          <w:color w:val="000000"/>
          <w:sz w:val="28"/>
          <w:szCs w:val="28"/>
          <w:highlight w:val="none"/>
        </w:rPr>
      </w:pPr>
      <w:r>
        <w:rPr>
          <w:rFonts w:hint="eastAsia" w:ascii="楷体" w:hAnsi="楷体" w:eastAsia="楷体" w:cs="楷体"/>
          <w:bCs/>
          <w:color w:val="000000"/>
          <w:sz w:val="28"/>
          <w:szCs w:val="28"/>
          <w:highlight w:val="none"/>
          <w:lang w:val="en-US" w:eastAsia="zh-CN"/>
        </w:rPr>
        <w:t>10</w:t>
      </w:r>
      <w:r>
        <w:rPr>
          <w:rFonts w:hint="eastAsia" w:ascii="楷体" w:hAnsi="楷体" w:eastAsia="楷体" w:cs="楷体"/>
          <w:bCs/>
          <w:color w:val="000000"/>
          <w:sz w:val="28"/>
          <w:szCs w:val="28"/>
          <w:highlight w:val="none"/>
        </w:rPr>
        <w:t>、中标人在履行合同过程中，一切事故的责任由中标单位自行承担。</w:t>
      </w:r>
    </w:p>
    <w:p w14:paraId="0852274C">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楷体" w:hAnsi="楷体" w:eastAsia="楷体" w:cs="楷体"/>
          <w:color w:val="000000"/>
          <w:sz w:val="28"/>
          <w:szCs w:val="28"/>
          <w:highlight w:val="none"/>
        </w:rPr>
      </w:pPr>
      <w:r>
        <w:rPr>
          <w:rFonts w:hint="eastAsia" w:ascii="楷体" w:hAnsi="楷体" w:eastAsia="楷体" w:cs="楷体"/>
          <w:bCs/>
          <w:color w:val="000000"/>
          <w:sz w:val="28"/>
          <w:szCs w:val="28"/>
          <w:highlight w:val="none"/>
        </w:rPr>
        <w:t>1</w:t>
      </w:r>
      <w:r>
        <w:rPr>
          <w:rFonts w:hint="eastAsia" w:ascii="楷体" w:hAnsi="楷体" w:eastAsia="楷体" w:cs="楷体"/>
          <w:bCs/>
          <w:color w:val="000000"/>
          <w:sz w:val="28"/>
          <w:szCs w:val="28"/>
          <w:highlight w:val="none"/>
          <w:lang w:val="en-US" w:eastAsia="zh-CN"/>
        </w:rPr>
        <w:t>1</w:t>
      </w:r>
      <w:r>
        <w:rPr>
          <w:rFonts w:hint="eastAsia" w:ascii="楷体" w:hAnsi="楷体" w:eastAsia="楷体" w:cs="楷体"/>
          <w:bCs/>
          <w:color w:val="000000"/>
          <w:sz w:val="28"/>
          <w:szCs w:val="28"/>
          <w:highlight w:val="none"/>
        </w:rPr>
        <w:t>、</w:t>
      </w:r>
      <w:r>
        <w:rPr>
          <w:rFonts w:hint="eastAsia" w:ascii="楷体" w:hAnsi="楷体" w:eastAsia="楷体" w:cs="楷体"/>
          <w:color w:val="000000"/>
          <w:sz w:val="28"/>
          <w:szCs w:val="28"/>
          <w:highlight w:val="none"/>
        </w:rPr>
        <w:t>供应商对该工程所使用的全部材料、配件及工程质量负责，提供的全免费质保期与主合同保持一致，从工程验收合格之日起计算，免费质保期间除人为损坏，其他质量问题 24 小时内到位维修。</w:t>
      </w:r>
    </w:p>
    <w:p w14:paraId="1050CABB">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楷体" w:hAnsi="楷体" w:eastAsia="楷体" w:cs="楷体"/>
          <w:b/>
          <w:bCs/>
          <w:color w:val="000000"/>
          <w:sz w:val="28"/>
          <w:szCs w:val="28"/>
          <w:highlight w:val="none"/>
          <w:lang w:val="en-US" w:eastAsia="zh-CN"/>
        </w:rPr>
      </w:pPr>
      <w:r>
        <w:rPr>
          <w:rFonts w:hint="eastAsia" w:ascii="楷体" w:hAnsi="楷体" w:eastAsia="楷体" w:cs="楷体"/>
          <w:color w:val="000000"/>
          <w:sz w:val="28"/>
          <w:szCs w:val="28"/>
          <w:highlight w:val="none"/>
        </w:rPr>
        <w:t>1</w:t>
      </w:r>
      <w:r>
        <w:rPr>
          <w:rFonts w:hint="eastAsia" w:ascii="楷体" w:hAnsi="楷体" w:eastAsia="楷体" w:cs="楷体"/>
          <w:color w:val="000000"/>
          <w:sz w:val="28"/>
          <w:szCs w:val="28"/>
          <w:highlight w:val="none"/>
          <w:lang w:val="en-US" w:eastAsia="zh-CN"/>
        </w:rPr>
        <w:t>2</w:t>
      </w:r>
      <w:r>
        <w:rPr>
          <w:rFonts w:hint="eastAsia" w:ascii="楷体" w:hAnsi="楷体" w:eastAsia="楷体" w:cs="楷体"/>
          <w:color w:val="000000"/>
          <w:sz w:val="28"/>
          <w:szCs w:val="28"/>
          <w:highlight w:val="none"/>
        </w:rPr>
        <w:t>、通过验收后5个工作日内乙方必须将施工队伍、施工机具、周转材料等全部撤清，所有建筑垃圾等必须清运，保持施工现场平整、整洁，塔吊、井架基础等清理完成，如不清运，甲方委托清运，费用由乙方承担在决算中扣除；甲方提供的现场设施应完好，损坏需赔偿。</w:t>
      </w:r>
    </w:p>
    <w:p w14:paraId="035699DD">
      <w:pPr>
        <w:rPr>
          <w:rFonts w:hint="eastAsia" w:ascii="楷体" w:hAnsi="楷体" w:eastAsia="楷体" w:cs="楷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E11B3"/>
    <w:rsid w:val="101E11B3"/>
    <w:rsid w:val="470A4433"/>
    <w:rsid w:val="594F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Times New Roman" w:hAnsi="Times New Roman" w:cs="Times New Roman"/>
      <w:sz w:val="20"/>
      <w:szCs w:val="20"/>
    </w:rPr>
  </w:style>
  <w:style w:type="paragraph" w:styleId="3">
    <w:name w:val="Body Text"/>
    <w:basedOn w:val="1"/>
    <w:qFormat/>
    <w:uiPriority w:val="99"/>
    <w:pPr>
      <w:spacing w:before="129"/>
      <w:ind w:left="10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2025-08-14T02:42:00Z</dcterms:created>
  <dc:creator>a1</dc:creator>
  <cp:lastModifiedBy>a1</cp:lastModifiedBy>
  <dcterms:modified xsi:type="dcterms:W3CDTF">2025-08-14T02:43:49Z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EC5833E4AB824FC69AE7F33CF2EDD1C0_11</vt:lpwstr>
  </property>
  <property fmtid="{D5CDD505-2E9C-101B-9397-08002B2CF9AE}" pid="4" name="KSOTemplateDocerSaveRecord">
    <vt:lpwstr>eyJoZGlkIjoiNWY0NjEyNGUzZTk2YjBkNjE3NmFjODZlOWRkNjMxMGMifQ==</vt:lpwstr>
  </property>
</Properties>
</file>