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4"/>
        <w:shd w:val="clear" w:color="auto" w:fill="auto"/>
        <w:rPr>
          <w:rFonts w:hint="eastAsia" w:ascii="宋体" w:hAnsi="宋体" w:cs="宋体"/>
          <w:color w:val="000000"/>
          <w:sz w:val="36"/>
          <w:highlight w:val="none"/>
        </w:rPr>
      </w:pPr>
      <w:r>
        <w:rPr>
          <w:rFonts w:hint="eastAsia" w:ascii="宋体" w:hAnsi="宋体" w:cs="宋体"/>
          <w:color w:val="000000"/>
          <w:sz w:val="36"/>
          <w:highlight w:val="none"/>
        </w:rPr>
      </w:r>
      <w:r/>
    </w:p>
    <w:p>
      <w:pPr>
        <w:pStyle w:val="744"/>
        <w:jc w:val="center"/>
        <w:shd w:val="clear" w:color="auto" w:fill="auto"/>
        <w:rPr>
          <w:rFonts w:hint="eastAsia" w:ascii="宋体" w:hAnsi="宋体" w:cs="宋体"/>
          <w:color w:val="000000"/>
          <w:sz w:val="36"/>
          <w:highlight w:val="none"/>
        </w:rPr>
      </w:pPr>
      <w:r>
        <w:rPr>
          <w:rFonts w:hint="eastAsia" w:ascii="宋体" w:hAnsi="宋体" w:cs="宋体"/>
          <w:color w:val="000000"/>
          <w:sz w:val="36"/>
          <w:highlight w:val="none"/>
        </w:rPr>
      </w:r>
      <w:r/>
    </w:p>
    <w:p>
      <w:pPr>
        <w:pStyle w:val="744"/>
        <w:jc w:val="center"/>
        <w:shd w:val="clear" w:color="auto" w:fill="auto"/>
        <w:rPr>
          <w:rFonts w:hint="eastAsia" w:ascii="宋体" w:hAnsi="宋体" w:cs="宋体"/>
          <w:color w:val="000000"/>
          <w:sz w:val="36"/>
          <w:highlight w:val="none"/>
        </w:rPr>
      </w:pPr>
      <w:r>
        <w:rPr>
          <w:rFonts w:hint="eastAsia" w:ascii="宋体" w:hAnsi="宋体" w:cs="宋体"/>
          <w:color w:val="000000"/>
          <w:sz w:val="36"/>
          <w:highlight w:val="none"/>
        </w:rPr>
      </w:r>
      <w:r/>
    </w:p>
    <w:p>
      <w:pPr>
        <w:pStyle w:val="744"/>
        <w:jc w:val="center"/>
        <w:shd w:val="clear" w:color="auto" w:fill="auto"/>
        <w:rPr>
          <w:rFonts w:hint="eastAsia" w:ascii="宋体" w:hAnsi="宋体" w:cs="宋体"/>
          <w:b/>
          <w:color w:val="000000"/>
          <w:sz w:val="84"/>
          <w:highlight w:val="none"/>
        </w:rPr>
      </w:pPr>
      <w:r>
        <w:rPr>
          <w:rFonts w:hint="eastAsia" w:ascii="宋体" w:hAnsi="宋体" w:cs="宋体"/>
          <w:bCs/>
          <w:color w:val="000000"/>
          <w:sz w:val="84"/>
          <w:highlight w:val="none"/>
        </w:rPr>
        <w:t xml:space="preserve">招 标 文 件</w:t>
      </w:r>
      <w:r>
        <w:rPr>
          <w:rFonts w:hint="eastAsia" w:ascii="宋体" w:hAnsi="宋体" w:cs="宋体"/>
          <w:b/>
          <w:color w:val="000000"/>
          <w:sz w:val="84"/>
          <w:highlight w:val="none"/>
        </w:rPr>
      </w:r>
      <w:r/>
    </w:p>
    <w:p>
      <w:pPr>
        <w:pStyle w:val="744"/>
        <w:shd w:val="clear" w:color="auto" w:fill="auto"/>
        <w:rPr>
          <w:rFonts w:hint="eastAsia" w:ascii="宋体" w:hAnsi="宋体" w:cs="宋体"/>
          <w:b/>
          <w:color w:val="000000"/>
          <w:sz w:val="32"/>
          <w:highlight w:val="none"/>
        </w:rPr>
      </w:pPr>
      <w:r>
        <w:rPr>
          <w:rFonts w:hint="eastAsia" w:ascii="宋体" w:hAnsi="宋体" w:cs="宋体"/>
          <w:b/>
          <w:color w:val="000000"/>
          <w:sz w:val="32"/>
          <w:highlight w:val="none"/>
        </w:rPr>
      </w:r>
      <w:r/>
    </w:p>
    <w:p>
      <w:pPr>
        <w:pStyle w:val="744"/>
        <w:jc w:val="center"/>
        <w:shd w:val="clear" w:color="auto" w:fill="auto"/>
        <w:rPr>
          <w:rFonts w:hint="eastAsia" w:ascii="宋体" w:hAnsi="宋体" w:cs="宋体"/>
          <w:b/>
          <w:color w:val="000000"/>
          <w:sz w:val="32"/>
          <w:highlight w:val="none"/>
        </w:rPr>
      </w:pPr>
      <w:r>
        <w:rPr>
          <w:rFonts w:hint="eastAsia" w:ascii="宋体" w:hAnsi="宋体" w:cs="宋体"/>
          <w:b/>
          <w:color w:val="000000"/>
          <w:sz w:val="32"/>
          <w:highlight w:val="none"/>
        </w:rPr>
      </w:r>
      <w:r/>
    </w:p>
    <w:p>
      <w:pPr>
        <w:pStyle w:val="744"/>
        <w:jc w:val="center"/>
        <w:shd w:val="clear" w:color="auto" w:fill="auto"/>
        <w:rPr>
          <w:rFonts w:hint="eastAsia" w:ascii="宋体" w:hAnsi="宋体" w:cs="宋体"/>
          <w:b/>
          <w:color w:val="000000"/>
          <w:sz w:val="32"/>
          <w:highlight w:val="none"/>
        </w:rPr>
      </w:pPr>
      <w:r>
        <w:rPr>
          <w:rFonts w:hint="eastAsia" w:ascii="宋体" w:hAnsi="宋体" w:cs="宋体"/>
          <w:b/>
          <w:color w:val="000000"/>
          <w:sz w:val="32"/>
          <w:highlight w:val="none"/>
        </w:rPr>
      </w:r>
      <w:r/>
    </w:p>
    <w:p>
      <w:pPr>
        <w:pStyle w:val="744"/>
        <w:jc w:val="center"/>
        <w:shd w:val="clear" w:color="auto" w:fill="auto"/>
        <w:rPr>
          <w:rFonts w:hint="eastAsia" w:ascii="宋体" w:hAnsi="宋体" w:cs="宋体"/>
          <w:b/>
          <w:color w:val="000000"/>
          <w:sz w:val="36"/>
          <w:szCs w:val="36"/>
          <w:highlight w:val="none"/>
        </w:rPr>
      </w:pPr>
      <w:r>
        <w:rPr>
          <w:rFonts w:hint="eastAsia" w:ascii="宋体" w:hAnsi="宋体" w:cs="宋体"/>
          <w:b/>
          <w:color w:val="000000"/>
          <w:sz w:val="36"/>
          <w:szCs w:val="36"/>
          <w:highlight w:val="none"/>
        </w:rPr>
        <w:t xml:space="preserve">项目名称：盐城市大丰区2024年下半年重大动物疫病强制免疫疫苗、耳标采购项目</w:t>
      </w:r>
      <w:r>
        <w:rPr>
          <w:rFonts w:hint="eastAsia" w:ascii="宋体" w:hAnsi="宋体" w:cs="宋体"/>
          <w:b/>
          <w:color w:val="000000"/>
          <w:sz w:val="36"/>
          <w:szCs w:val="36"/>
          <w:highlight w:val="none"/>
        </w:rPr>
      </w:r>
      <w:r/>
    </w:p>
    <w:p>
      <w:pPr>
        <w:pStyle w:val="744"/>
        <w:ind w:firstLine="2244"/>
        <w:shd w:val="clear" w:color="auto" w:fill="auto"/>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744"/>
        <w:shd w:val="clear" w:color="auto" w:fill="auto"/>
        <w:rPr>
          <w:rFonts w:hint="eastAsia" w:ascii="宋体" w:hAnsi="宋体" w:cs="宋体"/>
          <w:b/>
          <w:color w:val="000000"/>
          <w:sz w:val="32"/>
          <w:highlight w:val="none"/>
        </w:rPr>
      </w:pPr>
      <w:r>
        <w:rPr>
          <w:rFonts w:hint="eastAsia" w:ascii="宋体" w:hAnsi="宋体" w:cs="宋体"/>
          <w:b/>
          <w:color w:val="000000"/>
          <w:sz w:val="32"/>
          <w:highlight w:val="none"/>
        </w:rPr>
      </w:r>
      <w:r/>
    </w:p>
    <w:p>
      <w:pPr>
        <w:pStyle w:val="744"/>
        <w:shd w:val="clear" w:color="auto" w:fill="auto"/>
        <w:rPr>
          <w:rFonts w:hint="eastAsia" w:ascii="宋体" w:hAnsi="宋体" w:cs="宋体"/>
          <w:b/>
          <w:color w:val="000000"/>
          <w:sz w:val="32"/>
          <w:highlight w:val="none"/>
        </w:rPr>
      </w:pPr>
      <w:r>
        <w:rPr>
          <w:rFonts w:hint="eastAsia" w:ascii="宋体" w:hAnsi="宋体" w:cs="宋体"/>
          <w:b/>
          <w:color w:val="000000"/>
          <w:sz w:val="32"/>
          <w:highlight w:val="none"/>
        </w:rPr>
      </w:r>
      <w:r/>
    </w:p>
    <w:p>
      <w:pPr>
        <w:pStyle w:val="803"/>
        <w:shd w:val="clear" w:color="auto" w:fill="auto"/>
        <w:rPr>
          <w:rFonts w:hint="eastAsia" w:cs="宋体"/>
          <w:color w:val="000000"/>
          <w:highlight w:val="none"/>
        </w:rPr>
      </w:pPr>
      <w:r>
        <w:rPr>
          <w:rFonts w:hint="eastAsia" w:cs="宋体"/>
          <w:color w:val="000000"/>
          <w:highlight w:val="none"/>
        </w:rPr>
      </w:r>
      <w:r/>
    </w:p>
    <w:p>
      <w:pPr>
        <w:pStyle w:val="744"/>
        <w:shd w:val="clear" w:color="auto" w:fill="auto"/>
        <w:rPr>
          <w:rFonts w:hint="eastAsia" w:ascii="宋体" w:hAnsi="宋体" w:cs="宋体"/>
          <w:b/>
          <w:color w:val="000000"/>
          <w:sz w:val="32"/>
          <w:highlight w:val="none"/>
        </w:rPr>
      </w:pPr>
      <w:r>
        <w:rPr>
          <w:rFonts w:hint="eastAsia" w:ascii="宋体" w:hAnsi="宋体" w:cs="宋体"/>
          <w:b/>
          <w:color w:val="000000"/>
          <w:sz w:val="32"/>
          <w:highlight w:val="none"/>
        </w:rPr>
      </w:r>
      <w:r/>
    </w:p>
    <w:p>
      <w:pPr>
        <w:pStyle w:val="744"/>
        <w:jc w:val="center"/>
        <w:spacing w:before="120" w:after="120" w:line="700" w:lineRule="exact"/>
        <w:shd w:val="clear" w:color="auto" w:fill="auto"/>
        <w:rPr>
          <w:rFonts w:hint="eastAsia" w:ascii="宋体" w:hAnsi="宋体" w:cs="宋体"/>
          <w:bCs/>
          <w:color w:val="000000"/>
          <w:sz w:val="36"/>
          <w:szCs w:val="36"/>
          <w:highlight w:val="none"/>
        </w:rPr>
      </w:pPr>
      <w:r>
        <w:rPr>
          <w:rFonts w:hint="eastAsia" w:ascii="宋体" w:hAnsi="宋体" w:cs="宋体"/>
          <w:bCs/>
          <w:color w:val="000000"/>
          <w:sz w:val="36"/>
          <w:szCs w:val="36"/>
          <w:highlight w:val="none"/>
        </w:rPr>
        <w:t xml:space="preserve">盐城市大丰区农业农村局</w:t>
      </w:r>
      <w:r>
        <w:rPr>
          <w:rFonts w:hint="eastAsia" w:ascii="宋体" w:hAnsi="宋体" w:cs="宋体"/>
          <w:bCs/>
          <w:color w:val="000000"/>
          <w:sz w:val="36"/>
          <w:szCs w:val="36"/>
          <w:highlight w:val="none"/>
        </w:rPr>
      </w:r>
      <w:r/>
    </w:p>
    <w:p>
      <w:pPr>
        <w:pStyle w:val="744"/>
        <w:jc w:val="center"/>
        <w:spacing w:before="120" w:after="120" w:line="700" w:lineRule="exact"/>
        <w:shd w:val="clear" w:color="auto" w:fill="auto"/>
        <w:rPr>
          <w:rFonts w:hint="eastAsia" w:ascii="宋体" w:hAnsi="宋体" w:cs="宋体"/>
          <w:bCs/>
          <w:color w:val="000000"/>
          <w:sz w:val="36"/>
          <w:szCs w:val="36"/>
          <w:highlight w:val="none"/>
        </w:rPr>
      </w:pPr>
      <w:r>
        <w:rPr>
          <w:rFonts w:hint="eastAsia" w:ascii="宋体" w:hAnsi="宋体" w:cs="宋体"/>
          <w:bCs/>
          <w:color w:val="000000"/>
          <w:sz w:val="36"/>
          <w:szCs w:val="36"/>
          <w:highlight w:val="none"/>
        </w:rPr>
        <w:t xml:space="preserve">江苏昱丰华项目管理有限公司</w:t>
      </w:r>
      <w:r>
        <w:rPr>
          <w:rFonts w:hint="eastAsia" w:ascii="宋体" w:hAnsi="宋体" w:cs="宋体"/>
          <w:bCs/>
          <w:color w:val="000000"/>
          <w:sz w:val="36"/>
          <w:szCs w:val="36"/>
          <w:highlight w:val="none"/>
        </w:rPr>
      </w:r>
      <w:r/>
    </w:p>
    <w:p>
      <w:pPr>
        <w:pStyle w:val="744"/>
        <w:jc w:val="center"/>
        <w:shd w:val="clear" w:color="auto" w:fill="auto"/>
        <w:rPr>
          <w:rFonts w:hint="eastAsia" w:ascii="宋体" w:hAnsi="宋体" w:cs="宋体"/>
          <w:color w:val="000000"/>
          <w:sz w:val="36"/>
          <w:szCs w:val="36"/>
          <w:highlight w:val="none"/>
        </w:rPr>
      </w:pPr>
      <w:r>
        <w:rPr>
          <w:rFonts w:hint="eastAsia" w:ascii="宋体" w:hAnsi="宋体" w:cs="宋体"/>
          <w:color w:val="000000"/>
          <w:sz w:val="36"/>
          <w:szCs w:val="36"/>
          <w:highlight w:val="none"/>
        </w:rPr>
        <w:t xml:space="preserve">202</w:t>
      </w:r>
      <w:r>
        <w:rPr>
          <w:rFonts w:ascii="宋体" w:hAnsi="宋体" w:cs="宋体"/>
          <w:color w:val="000000"/>
          <w:sz w:val="36"/>
          <w:szCs w:val="36"/>
          <w:highlight w:val="none"/>
        </w:rPr>
        <w:t xml:space="preserve">4</w:t>
      </w:r>
      <w:r>
        <w:rPr>
          <w:rFonts w:hint="eastAsia" w:ascii="宋体" w:hAnsi="宋体" w:cs="宋体"/>
          <w:color w:val="000000"/>
          <w:sz w:val="36"/>
          <w:szCs w:val="36"/>
          <w:highlight w:val="none"/>
        </w:rPr>
        <w:t xml:space="preserve">年12月</w:t>
      </w:r>
      <w:r>
        <w:rPr>
          <w:rFonts w:hint="eastAsia" w:ascii="宋体" w:hAnsi="宋体" w:cs="宋体"/>
          <w:color w:val="000000"/>
          <w:sz w:val="36"/>
          <w:szCs w:val="36"/>
          <w:highlight w:val="none"/>
        </w:rPr>
      </w:r>
      <w:r/>
    </w:p>
    <w:p>
      <w:pPr>
        <w:pStyle w:val="744"/>
        <w:jc w:val="center"/>
        <w:spacing w:line="480" w:lineRule="auto"/>
        <w:shd w:val="clear" w:color="auto" w:fill="auto"/>
        <w:rPr>
          <w:rFonts w:hint="eastAsia" w:ascii="宋体" w:hAnsi="宋体" w:cs="宋体"/>
          <w:b/>
          <w:color w:val="000000"/>
          <w:sz w:val="44"/>
          <w:highlight w:val="none"/>
        </w:rPr>
        <w:sectPr>
          <w:footerReference w:type="first" r:id="rId10"/>
          <w:footnotePr/>
          <w:endnotePr/>
          <w:type w:val="nextPage"/>
          <w:pgSz w:w="11906" w:h="16838" w:orient="portrait"/>
          <w:pgMar w:top="1440" w:right="1800" w:bottom="1440" w:left="1800" w:header="851" w:footer="992" w:gutter="0"/>
          <w:cols w:num="1" w:sep="0" w:space="1701" w:equalWidth="1"/>
          <w:docGrid w:linePitch="360"/>
        </w:sectPr>
        <w:outlineLvl w:val="0"/>
      </w:pPr>
      <w:r/>
      <w:bookmarkStart w:id="0" w:name="_Toc120614210"/>
      <w:r/>
      <w:bookmarkStart w:id="1" w:name="_Toc16938516"/>
      <w:r/>
      <w:bookmarkStart w:id="2" w:name="_Toc20823272"/>
      <w:r/>
      <w:bookmarkStart w:id="3" w:name="_Toc479757206"/>
      <w:r/>
      <w:bookmarkStart w:id="4" w:name="_Toc523127445"/>
      <w:r/>
      <w:bookmarkStart w:id="5" w:name="_Toc513029200"/>
      <w:r>
        <w:rPr>
          <w:rFonts w:hint="eastAsia" w:ascii="宋体" w:hAnsi="宋体" w:cs="宋体"/>
          <w:b/>
          <w:color w:val="000000"/>
          <w:sz w:val="44"/>
          <w:highlight w:val="none"/>
        </w:rPr>
      </w:r>
      <w:r/>
    </w:p>
    <w:p>
      <w:pPr>
        <w:pStyle w:val="744"/>
        <w:jc w:val="center"/>
        <w:spacing w:line="480" w:lineRule="auto"/>
        <w:shd w:val="clear" w:color="auto" w:fill="auto"/>
        <w:rPr>
          <w:rFonts w:hint="eastAsia" w:ascii="宋体" w:hAnsi="宋体" w:cs="宋体"/>
          <w:b/>
          <w:color w:val="000000"/>
          <w:sz w:val="44"/>
          <w:highlight w:val="none"/>
        </w:rPr>
        <w:outlineLvl w:val="0"/>
      </w:pPr>
      <w:r>
        <w:rPr>
          <w:rFonts w:hint="eastAsia" w:ascii="宋体" w:hAnsi="宋体" w:cs="宋体"/>
          <w:b/>
          <w:color w:val="000000"/>
          <w:sz w:val="44"/>
          <w:highlight w:val="none"/>
        </w:rPr>
        <w:t xml:space="preserve">总  目  录</w:t>
      </w:r>
      <w:r>
        <w:rPr>
          <w:rFonts w:hint="eastAsia" w:ascii="宋体" w:hAnsi="宋体" w:cs="宋体"/>
          <w:b/>
          <w:color w:val="000000"/>
          <w:sz w:val="44"/>
          <w:highlight w:val="none"/>
        </w:rPr>
      </w:r>
      <w:r/>
    </w:p>
    <w:p>
      <w:pPr>
        <w:pStyle w:val="744"/>
        <w:spacing w:line="480" w:lineRule="auto"/>
        <w:shd w:val="clear" w:color="auto" w:fill="auto"/>
        <w:rPr>
          <w:rFonts w:hint="eastAsia" w:ascii="宋体" w:hAnsi="宋体" w:cs="宋体"/>
          <w:b/>
          <w:color w:val="000000"/>
          <w:sz w:val="28"/>
          <w:highlight w:val="none"/>
        </w:rPr>
      </w:pPr>
      <w:r>
        <w:rPr>
          <w:rFonts w:hint="eastAsia" w:ascii="宋体" w:hAnsi="宋体" w:cs="宋体"/>
          <w:b/>
          <w:color w:val="000000"/>
          <w:sz w:val="28"/>
          <w:highlight w:val="none"/>
        </w:rPr>
      </w:r>
      <w:r/>
    </w:p>
    <w:p>
      <w:pPr>
        <w:pStyle w:val="744"/>
        <w:numPr>
          <w:ilvl w:val="0"/>
          <w:numId w:val="4"/>
        </w:numPr>
        <w:spacing w:line="480" w:lineRule="auto"/>
        <w:shd w:val="clear" w:color="auto" w:fill="auto"/>
        <w:tabs>
          <w:tab w:val="left" w:pos="1440" w:leader="none"/>
        </w:tabs>
        <w:rPr>
          <w:rFonts w:hint="eastAsia" w:ascii="宋体" w:hAnsi="宋体" w:cs="宋体"/>
          <w:color w:val="000000"/>
          <w:sz w:val="32"/>
          <w:highlight w:val="none"/>
        </w:rPr>
        <w:outlineLvl w:val="0"/>
      </w:pPr>
      <w:r>
        <w:rPr>
          <w:rFonts w:hint="eastAsia" w:ascii="宋体" w:hAnsi="宋体" w:cs="宋体"/>
          <w:color w:val="000000"/>
          <w:sz w:val="36"/>
          <w:highlight w:val="none"/>
        </w:rPr>
        <w:t xml:space="preserve">招标公告……………………………………</w:t>
      </w:r>
      <w:r>
        <w:rPr>
          <w:rFonts w:hint="eastAsia" w:ascii="宋体" w:hAnsi="宋体" w:cs="宋体"/>
          <w:color w:val="000000"/>
          <w:sz w:val="36"/>
          <w:highlight w:val="none"/>
          <w:lang w:val="en-US" w:eastAsia="zh-CN"/>
        </w:rPr>
        <w:t xml:space="preserve">1</w:t>
      </w:r>
      <w:r>
        <w:rPr>
          <w:rFonts w:hint="eastAsia" w:ascii="宋体" w:hAnsi="宋体" w:cs="宋体"/>
          <w:color w:val="000000"/>
          <w:sz w:val="32"/>
          <w:highlight w:val="none"/>
        </w:rPr>
      </w:r>
      <w:r/>
    </w:p>
    <w:p>
      <w:pPr>
        <w:pStyle w:val="744"/>
        <w:numPr>
          <w:ilvl w:val="0"/>
          <w:numId w:val="4"/>
        </w:numPr>
        <w:spacing w:line="480" w:lineRule="auto"/>
        <w:shd w:val="clear" w:color="auto" w:fill="auto"/>
        <w:tabs>
          <w:tab w:val="left" w:pos="1440" w:leader="none"/>
        </w:tabs>
        <w:rPr>
          <w:rFonts w:hint="eastAsia" w:ascii="宋体" w:hAnsi="宋体" w:cs="宋体"/>
          <w:color w:val="000000"/>
          <w:sz w:val="36"/>
          <w:highlight w:val="none"/>
        </w:rPr>
        <w:outlineLvl w:val="0"/>
      </w:pPr>
      <w:r>
        <w:rPr>
          <w:rFonts w:hint="eastAsia" w:ascii="宋体" w:hAnsi="宋体" w:cs="宋体"/>
          <w:bCs/>
          <w:color w:val="000000"/>
          <w:sz w:val="36"/>
          <w:szCs w:val="36"/>
          <w:highlight w:val="none"/>
        </w:rPr>
        <w:t xml:space="preserve">投标人须知</w:t>
      </w:r>
      <w:r>
        <w:rPr>
          <w:rFonts w:hint="eastAsia" w:ascii="宋体" w:hAnsi="宋体" w:cs="宋体"/>
          <w:color w:val="000000"/>
          <w:sz w:val="36"/>
          <w:szCs w:val="36"/>
          <w:highlight w:val="none"/>
        </w:rPr>
        <w:t xml:space="preserve">…</w:t>
      </w:r>
      <w:r>
        <w:rPr>
          <w:rFonts w:hint="eastAsia" w:ascii="宋体" w:hAnsi="宋体" w:cs="宋体"/>
          <w:color w:val="000000"/>
          <w:sz w:val="36"/>
          <w:highlight w:val="none"/>
        </w:rPr>
        <w:t xml:space="preserve">………………………………</w:t>
      </w:r>
      <w:r>
        <w:rPr>
          <w:rFonts w:hint="eastAsia" w:ascii="宋体" w:hAnsi="宋体" w:cs="宋体"/>
          <w:color w:val="000000"/>
          <w:sz w:val="36"/>
          <w:highlight w:val="none"/>
          <w:lang w:val="en-US" w:eastAsia="zh-CN"/>
        </w:rPr>
        <w:t xml:space="preserve">5</w:t>
      </w:r>
      <w:r>
        <w:rPr>
          <w:rFonts w:hint="eastAsia" w:ascii="宋体" w:hAnsi="宋体" w:cs="宋体"/>
          <w:color w:val="000000"/>
          <w:sz w:val="36"/>
          <w:highlight w:val="none"/>
        </w:rPr>
      </w:r>
      <w:r/>
    </w:p>
    <w:p>
      <w:pPr>
        <w:pStyle w:val="744"/>
        <w:numPr>
          <w:ilvl w:val="0"/>
          <w:numId w:val="4"/>
        </w:numPr>
        <w:spacing w:line="480" w:lineRule="auto"/>
        <w:shd w:val="clear" w:color="auto" w:fill="auto"/>
        <w:tabs>
          <w:tab w:val="left" w:pos="1440" w:leader="none"/>
        </w:tabs>
        <w:rPr>
          <w:rFonts w:hint="eastAsia" w:ascii="宋体" w:hAnsi="宋体" w:cs="宋体"/>
          <w:color w:val="000000"/>
          <w:sz w:val="36"/>
          <w:highlight w:val="none"/>
        </w:rPr>
        <w:outlineLvl w:val="0"/>
      </w:pPr>
      <w:r>
        <w:rPr>
          <w:rFonts w:hint="eastAsia" w:ascii="宋体" w:hAnsi="宋体" w:cs="宋体"/>
          <w:color w:val="000000"/>
          <w:sz w:val="36"/>
          <w:highlight w:val="none"/>
        </w:rPr>
        <w:t xml:space="preserve">合同条款及格式……………………………</w:t>
      </w:r>
      <w:r>
        <w:rPr>
          <w:rFonts w:ascii="宋体" w:hAnsi="宋体" w:cs="宋体"/>
          <w:color w:val="000000"/>
          <w:sz w:val="36"/>
          <w:highlight w:val="none"/>
        </w:rPr>
        <w:t xml:space="preserve">1</w:t>
      </w:r>
      <w:r>
        <w:rPr>
          <w:rFonts w:hint="eastAsia" w:ascii="宋体" w:hAnsi="宋体" w:cs="宋体"/>
          <w:color w:val="000000"/>
          <w:sz w:val="36"/>
          <w:highlight w:val="none"/>
          <w:lang w:val="en-US" w:eastAsia="zh-CN"/>
        </w:rPr>
        <w:t xml:space="preserve">8</w:t>
      </w:r>
      <w:r>
        <w:rPr>
          <w:rFonts w:hint="eastAsia" w:ascii="宋体" w:hAnsi="宋体" w:cs="宋体"/>
          <w:color w:val="000000"/>
          <w:sz w:val="36"/>
          <w:highlight w:val="none"/>
        </w:rPr>
      </w:r>
      <w:r/>
    </w:p>
    <w:p>
      <w:pPr>
        <w:pStyle w:val="744"/>
        <w:numPr>
          <w:ilvl w:val="0"/>
          <w:numId w:val="4"/>
        </w:numPr>
        <w:spacing w:line="480" w:lineRule="auto"/>
        <w:shd w:val="clear" w:color="auto" w:fill="auto"/>
        <w:tabs>
          <w:tab w:val="left" w:pos="1440" w:leader="none"/>
        </w:tabs>
        <w:rPr>
          <w:rFonts w:hint="eastAsia" w:ascii="宋体" w:hAnsi="宋体" w:cs="宋体"/>
          <w:color w:val="000000"/>
          <w:sz w:val="36"/>
          <w:highlight w:val="none"/>
        </w:rPr>
        <w:outlineLvl w:val="0"/>
      </w:pPr>
      <w:r>
        <w:rPr>
          <w:rFonts w:hint="eastAsia" w:ascii="宋体" w:hAnsi="宋体" w:cs="宋体"/>
          <w:color w:val="000000"/>
          <w:sz w:val="36"/>
          <w:highlight w:val="none"/>
        </w:rPr>
        <w:t xml:space="preserve">服务需求……………………………………</w:t>
      </w:r>
      <w:r>
        <w:rPr>
          <w:rFonts w:hint="eastAsia" w:ascii="宋体" w:hAnsi="宋体" w:cs="宋体"/>
          <w:color w:val="000000"/>
          <w:sz w:val="36"/>
          <w:highlight w:val="none"/>
          <w:lang w:val="en-US" w:eastAsia="zh-CN"/>
        </w:rPr>
        <w:t xml:space="preserve">28</w:t>
      </w:r>
      <w:r>
        <w:rPr>
          <w:rFonts w:hint="eastAsia" w:ascii="宋体" w:hAnsi="宋体" w:cs="宋体"/>
          <w:color w:val="000000"/>
          <w:sz w:val="36"/>
          <w:highlight w:val="none"/>
        </w:rPr>
      </w:r>
      <w:r/>
    </w:p>
    <w:p>
      <w:pPr>
        <w:pStyle w:val="744"/>
        <w:numPr>
          <w:ilvl w:val="0"/>
          <w:numId w:val="4"/>
        </w:numPr>
        <w:spacing w:line="480" w:lineRule="auto"/>
        <w:shd w:val="clear" w:color="auto" w:fill="auto"/>
        <w:tabs>
          <w:tab w:val="left" w:pos="1440" w:leader="none"/>
        </w:tabs>
        <w:rPr>
          <w:rFonts w:hint="eastAsia" w:ascii="宋体" w:hAnsi="宋体" w:cs="宋体"/>
          <w:color w:val="000000"/>
          <w:sz w:val="36"/>
          <w:highlight w:val="none"/>
        </w:rPr>
        <w:outlineLvl w:val="0"/>
      </w:pPr>
      <w:r>
        <w:rPr>
          <w:rFonts w:hint="eastAsia" w:ascii="宋体" w:hAnsi="宋体" w:cs="宋体"/>
          <w:bCs/>
          <w:color w:val="000000"/>
          <w:sz w:val="36"/>
          <w:szCs w:val="36"/>
          <w:highlight w:val="none"/>
        </w:rPr>
        <w:t xml:space="preserve">评标方法与评标标准</w:t>
      </w:r>
      <w:r>
        <w:rPr>
          <w:rFonts w:hint="eastAsia" w:ascii="宋体" w:hAnsi="宋体" w:cs="宋体"/>
          <w:color w:val="000000"/>
          <w:sz w:val="36"/>
          <w:highlight w:val="none"/>
        </w:rPr>
        <w:t xml:space="preserve">………………………</w:t>
      </w:r>
      <w:r>
        <w:rPr>
          <w:rFonts w:hint="eastAsia" w:ascii="宋体" w:hAnsi="宋体" w:cs="宋体"/>
          <w:color w:val="000000"/>
          <w:sz w:val="36"/>
          <w:highlight w:val="none"/>
          <w:lang w:val="en-US" w:eastAsia="zh-CN"/>
        </w:rPr>
        <w:t xml:space="preserve">35</w:t>
      </w:r>
      <w:r>
        <w:rPr>
          <w:rFonts w:hint="eastAsia" w:ascii="宋体" w:hAnsi="宋体" w:cs="宋体"/>
          <w:color w:val="000000"/>
          <w:sz w:val="36"/>
          <w:highlight w:val="none"/>
        </w:rPr>
      </w:r>
      <w:r/>
    </w:p>
    <w:p>
      <w:pPr>
        <w:pStyle w:val="744"/>
        <w:numPr>
          <w:ilvl w:val="0"/>
          <w:numId w:val="4"/>
        </w:numPr>
        <w:spacing w:line="480" w:lineRule="auto"/>
        <w:shd w:val="clear" w:color="auto" w:fill="auto"/>
        <w:tabs>
          <w:tab w:val="left" w:pos="1440" w:leader="none"/>
        </w:tabs>
        <w:rPr>
          <w:rFonts w:ascii="宋体" w:hAnsi="宋体" w:cs="宋体"/>
          <w:color w:val="000000"/>
          <w:sz w:val="36"/>
          <w:highlight w:val="none"/>
          <w:lang w:val="en-US"/>
        </w:rPr>
        <w:outlineLvl w:val="0"/>
      </w:pPr>
      <w:r>
        <w:rPr>
          <w:rFonts w:hint="eastAsia" w:ascii="宋体" w:hAnsi="宋体" w:cs="宋体"/>
          <w:color w:val="000000"/>
          <w:sz w:val="36"/>
          <w:highlight w:val="none"/>
        </w:rPr>
        <w:t xml:space="preserve">投标文件格式………………………………</w:t>
      </w:r>
      <w:r>
        <w:rPr>
          <w:rFonts w:hint="eastAsia" w:ascii="宋体" w:hAnsi="宋体" w:cs="宋体"/>
          <w:color w:val="000000"/>
          <w:sz w:val="36"/>
          <w:highlight w:val="none"/>
          <w:lang w:val="en-US" w:eastAsia="zh-CN"/>
        </w:rPr>
        <w:t xml:space="preserve">39</w:t>
      </w:r>
      <w:r>
        <w:rPr>
          <w:rFonts w:ascii="宋体" w:hAnsi="宋体" w:cs="宋体"/>
          <w:color w:val="000000"/>
          <w:sz w:val="36"/>
          <w:highlight w:val="none"/>
          <w:lang w:val="en-US"/>
        </w:rPr>
      </w:r>
      <w:r/>
    </w:p>
    <w:p>
      <w:pPr>
        <w:pStyle w:val="744"/>
        <w:shd w:val="clear" w:color="auto" w:fill="auto"/>
        <w:rPr>
          <w:rFonts w:hint="eastAsia" w:ascii="宋体" w:hAnsi="宋体" w:cs="宋体"/>
          <w:color w:val="000000"/>
          <w:highlight w:val="none"/>
        </w:rPr>
        <w:sectPr>
          <w:footerReference w:type="default" r:id="rId11"/>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cs="宋体"/>
          <w:color w:val="000000"/>
          <w:highlight w:val="none"/>
        </w:rPr>
      </w:r>
      <w:r/>
    </w:p>
    <w:p>
      <w:pPr>
        <w:pStyle w:val="745"/>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44"/>
          <w:szCs w:val="44"/>
          <w:highlight w:val="none"/>
        </w:rPr>
        <w:t xml:space="preserve">第一章  </w:t>
      </w:r>
      <w:bookmarkEnd w:id="0"/>
      <w:r>
        <w:rPr>
          <w:rFonts w:hint="eastAsia" w:ascii="宋体" w:hAnsi="宋体" w:eastAsia="宋体" w:cs="宋体"/>
          <w:color w:val="000000"/>
          <w:sz w:val="44"/>
          <w:szCs w:val="44"/>
          <w:highlight w:val="none"/>
        </w:rPr>
        <w:t xml:space="preserve">招标公告</w:t>
      </w:r>
      <w:r>
        <w:rPr>
          <w:rFonts w:hint="eastAsia" w:ascii="宋体" w:hAnsi="宋体" w:eastAsia="宋体" w:cs="宋体"/>
          <w:color w:val="000000"/>
          <w:sz w:val="24"/>
          <w:szCs w:val="24"/>
          <w:highlight w:val="none"/>
        </w:rPr>
      </w:r>
      <w:r/>
    </w:p>
    <w:p>
      <w:pPr>
        <w:pStyle w:val="744"/>
        <w:ind w:firstLine="480"/>
        <w:spacing w:line="360" w:lineRule="auto"/>
        <w:shd w:val="clear" w:color="auto" w:fill="auto"/>
        <w:rPr>
          <w:rFonts w:hint="eastAsia" w:ascii="宋体" w:hAnsi="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highlight w:val="none"/>
        </w:rPr>
        <w:t xml:space="preserve">项目概况</w:t>
      </w:r>
      <w:r>
        <w:rPr>
          <w:rFonts w:hint="eastAsia" w:ascii="宋体" w:hAnsi="宋体" w:cs="宋体"/>
          <w:color w:val="000000"/>
          <w:sz w:val="24"/>
          <w:szCs w:val="24"/>
          <w:highlight w:val="none"/>
        </w:rPr>
      </w:r>
      <w:r/>
    </w:p>
    <w:p>
      <w:pPr>
        <w:pStyle w:val="744"/>
        <w:ind w:firstLine="480"/>
        <w:spacing w:line="360" w:lineRule="auto"/>
        <w:shd w:val="clear" w:color="auto" w:fill="auto"/>
        <w:rPr>
          <w:rFonts w:hint="eastAsia" w:ascii="宋体" w:hAnsi="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highlight w:val="none"/>
          <w:u w:val="single"/>
        </w:rPr>
        <w:t xml:space="preserve">盐城市大丰区2024年下半年重大动物疫病强制免疫疫苗、耳标采购项目</w:t>
      </w:r>
      <w:r>
        <w:rPr>
          <w:rFonts w:hint="eastAsia" w:ascii="宋体" w:hAnsi="宋体" w:cs="宋体"/>
          <w:color w:val="000000"/>
          <w:sz w:val="24"/>
          <w:szCs w:val="24"/>
          <w:highlight w:val="none"/>
        </w:rPr>
        <w:t xml:space="preserve">的潜在投标人应在</w:t>
      </w:r>
      <w:r>
        <w:rPr>
          <w:rFonts w:hint="eastAsia" w:ascii="宋体" w:hAnsi="宋体"/>
          <w:color w:val="000000"/>
          <w:sz w:val="24"/>
          <w:szCs w:val="24"/>
          <w:highlight w:val="none"/>
          <w:u w:val="none"/>
          <w:lang w:eastAsia="zh-CN"/>
        </w:rPr>
        <w:t xml:space="preserve">“</w:t>
      </w:r>
      <w:r>
        <w:rPr>
          <w:rFonts w:hint="eastAsia" w:ascii="宋体" w:hAnsi="宋体"/>
          <w:color w:val="000000"/>
          <w:sz w:val="24"/>
          <w:szCs w:val="24"/>
          <w:highlight w:val="none"/>
          <w:u w:val="none"/>
          <w:lang w:val="en-US" w:eastAsia="zh-CN"/>
        </w:rPr>
        <w:t xml:space="preserve">苏采云</w:t>
      </w:r>
      <w:r>
        <w:rPr>
          <w:rFonts w:hint="eastAsia" w:ascii="宋体" w:hAnsi="宋体"/>
          <w:color w:val="000000"/>
          <w:sz w:val="24"/>
          <w:szCs w:val="24"/>
          <w:highlight w:val="none"/>
          <w:u w:val="none"/>
          <w:lang w:eastAsia="zh-CN"/>
        </w:rPr>
        <w:t xml:space="preserve">”</w:t>
      </w:r>
      <w:r>
        <w:rPr>
          <w:rFonts w:hint="eastAsia" w:ascii="宋体" w:hAnsi="宋体"/>
          <w:color w:val="000000"/>
          <w:sz w:val="24"/>
          <w:szCs w:val="24"/>
          <w:highlight w:val="none"/>
          <w:u w:val="none"/>
          <w:lang w:val="en-US" w:eastAsia="zh-CN"/>
        </w:rPr>
        <w:t xml:space="preserve">系统内免费下载（投标人必必须在苏采云系统中获取采购文件，方能参与政府采购项目）</w:t>
      </w:r>
      <w:r>
        <w:rPr>
          <w:rFonts w:hint="eastAsia" w:ascii="宋体" w:hAnsi="宋体" w:cs="宋体"/>
          <w:color w:val="000000"/>
          <w:sz w:val="24"/>
          <w:szCs w:val="24"/>
          <w:highlight w:val="none"/>
        </w:rPr>
        <w:t xml:space="preserve">获取招标文件，并于</w:t>
      </w:r>
      <w:r>
        <w:rPr>
          <w:rFonts w:hint="eastAsia" w:ascii="宋体" w:hAnsi="宋体" w:cs="宋体"/>
          <w:color w:val="000000"/>
          <w:sz w:val="24"/>
          <w:szCs w:val="24"/>
          <w:highlight w:val="none"/>
          <w:u w:val="single"/>
        </w:rPr>
        <w:t xml:space="preserve">202</w:t>
      </w:r>
      <w:r>
        <w:rPr>
          <w:rFonts w:hint="eastAsia" w:ascii="宋体" w:hAnsi="宋体" w:cs="宋体"/>
          <w:color w:val="000000"/>
          <w:sz w:val="24"/>
          <w:szCs w:val="24"/>
          <w:highlight w:val="none"/>
          <w:u w:val="single"/>
          <w:lang w:val="en-US" w:eastAsia="zh-CN"/>
        </w:rPr>
        <w:t xml:space="preserve">5</w:t>
      </w:r>
      <w:r>
        <w:rPr>
          <w:rFonts w:hint="eastAsia" w:ascii="宋体" w:hAnsi="宋体" w:cs="宋体"/>
          <w:bCs/>
          <w:color w:val="000000"/>
          <w:sz w:val="24"/>
          <w:szCs w:val="24"/>
          <w:highlight w:val="none"/>
          <w:u w:val="single"/>
        </w:rPr>
        <w:t xml:space="preserve">年</w:t>
      </w:r>
      <w:r>
        <w:rPr>
          <w:rFonts w:hint="eastAsia" w:ascii="宋体" w:hAnsi="宋体" w:cs="宋体"/>
          <w:bCs/>
          <w:color w:val="000000"/>
          <w:sz w:val="24"/>
          <w:szCs w:val="24"/>
          <w:highlight w:val="none"/>
          <w:u w:val="single"/>
          <w:lang w:val="en-US" w:eastAsia="zh-CN"/>
        </w:rPr>
        <w:t xml:space="preserve">1</w:t>
      </w:r>
      <w:r>
        <w:rPr>
          <w:rFonts w:hint="eastAsia" w:ascii="宋体" w:hAnsi="宋体" w:cs="宋体"/>
          <w:bCs/>
          <w:color w:val="000000"/>
          <w:sz w:val="24"/>
          <w:szCs w:val="24"/>
          <w:highlight w:val="none"/>
          <w:u w:val="single"/>
        </w:rPr>
        <w:t xml:space="preserve">月</w:t>
      </w:r>
      <w:r>
        <w:rPr>
          <w:rFonts w:hint="eastAsia" w:ascii="宋体" w:hAnsi="宋体" w:cs="宋体"/>
          <w:bCs/>
          <w:color w:val="000000"/>
          <w:sz w:val="24"/>
          <w:szCs w:val="24"/>
          <w:highlight w:val="none"/>
          <w:u w:val="single"/>
          <w:lang w:val="en-US" w:eastAsia="zh-CN"/>
        </w:rPr>
        <w:t xml:space="preserve">2</w:t>
      </w:r>
      <w:r>
        <w:rPr>
          <w:rFonts w:hint="eastAsia" w:ascii="宋体" w:hAnsi="宋体" w:cs="宋体"/>
          <w:bCs/>
          <w:color w:val="000000"/>
          <w:sz w:val="24"/>
          <w:szCs w:val="24"/>
          <w:highlight w:val="none"/>
          <w:u w:val="single"/>
        </w:rPr>
        <w:t xml:space="preserve">日9点00分（</w:t>
      </w:r>
      <w:r>
        <w:rPr>
          <w:rFonts w:hint="eastAsia" w:ascii="宋体" w:hAnsi="宋体" w:cs="宋体"/>
          <w:bCs/>
          <w:color w:val="000000"/>
          <w:sz w:val="24"/>
          <w:szCs w:val="24"/>
          <w:highlight w:val="none"/>
        </w:rPr>
        <w:t xml:space="preserve">北京时间）前递交投标文件</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744"/>
        <w:ind w:firstLine="480"/>
        <w:spacing w:line="480" w:lineRule="exact"/>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一、项目基本情况</w:t>
      </w:r>
      <w:r>
        <w:rPr>
          <w:rFonts w:ascii="宋体" w:hAnsi="宋体"/>
          <w:color w:val="000000"/>
          <w:sz w:val="24"/>
          <w:szCs w:val="24"/>
          <w:highlight w:val="none"/>
        </w:rPr>
      </w:r>
      <w:r/>
    </w:p>
    <w:p>
      <w:pPr>
        <w:pStyle w:val="744"/>
        <w:ind w:firstLine="480"/>
        <w:spacing w:line="480" w:lineRule="exact"/>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项目编号：JSZC-320904-JSYF-G2024-0023</w:t>
      </w:r>
      <w:r>
        <w:rPr>
          <w:rFonts w:ascii="宋体" w:hAnsi="宋体"/>
          <w:color w:val="000000"/>
          <w:sz w:val="24"/>
          <w:szCs w:val="24"/>
          <w:highlight w:val="none"/>
        </w:rPr>
      </w:r>
      <w:r/>
    </w:p>
    <w:p>
      <w:pPr>
        <w:pStyle w:val="744"/>
        <w:ind w:firstLine="480"/>
        <w:spacing w:line="48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项目名称：盐城市大丰区2024年下半年重大动物疫病强制免疫疫苗、耳标采购项目</w:t>
      </w:r>
      <w:r>
        <w:rPr>
          <w:rFonts w:hint="eastAsia" w:ascii="宋体" w:hAnsi="宋体"/>
          <w:color w:val="000000"/>
          <w:sz w:val="24"/>
          <w:szCs w:val="24"/>
          <w:highlight w:val="none"/>
        </w:rPr>
      </w:r>
      <w:r/>
    </w:p>
    <w:p>
      <w:pPr>
        <w:pStyle w:val="744"/>
        <w:ind w:firstLine="480"/>
        <w:spacing w:line="360" w:lineRule="auto"/>
        <w:shd w:val="clear" w:color="auto" w:fill="auto"/>
        <w:rPr>
          <w:rFonts w:cs="宋体"/>
          <w:color w:val="000000"/>
          <w:sz w:val="24"/>
          <w:szCs w:val="24"/>
          <w:highlight w:val="none"/>
        </w:rPr>
      </w:pPr>
      <w:r>
        <w:rPr>
          <w:rFonts w:hint="eastAsia" w:ascii="宋体" w:hAnsi="宋体"/>
          <w:color w:val="000000"/>
          <w:sz w:val="24"/>
          <w:szCs w:val="24"/>
          <w:highlight w:val="none"/>
        </w:rPr>
        <w:t xml:space="preserve">预算金额：147.79万元</w:t>
      </w:r>
      <w:r>
        <w:rPr>
          <w:rFonts w:hint="eastAsia"/>
          <w:color w:val="000000"/>
          <w:sz w:val="24"/>
          <w:szCs w:val="24"/>
          <w:highlight w:val="none"/>
        </w:rPr>
        <w:t xml:space="preserve">，分五个包（其中分包一：</w:t>
      </w:r>
      <w:r>
        <w:rPr>
          <w:rFonts w:hint="eastAsia" w:ascii="宋体" w:hAnsi="宋体"/>
          <w:color w:val="000000"/>
          <w:sz w:val="24"/>
          <w:szCs w:val="24"/>
          <w:highlight w:val="none"/>
        </w:rPr>
        <w:t xml:space="preserve">50</w:t>
      </w:r>
      <w:r>
        <w:rPr>
          <w:rFonts w:ascii="宋体" w:hAnsi="宋体"/>
          <w:color w:val="000000"/>
          <w:sz w:val="24"/>
          <w:szCs w:val="24"/>
          <w:highlight w:val="none"/>
        </w:rPr>
        <w:t xml:space="preserve">万元</w:t>
      </w:r>
      <w:r>
        <w:rPr>
          <w:rFonts w:hint="eastAsia"/>
          <w:color w:val="000000"/>
          <w:sz w:val="24"/>
          <w:szCs w:val="24"/>
          <w:highlight w:val="none"/>
        </w:rPr>
        <w:t xml:space="preserve">，分包二：</w:t>
      </w:r>
      <w:r>
        <w:rPr>
          <w:rFonts w:hint="eastAsia" w:ascii="宋体" w:hAnsi="宋体"/>
          <w:color w:val="000000"/>
          <w:sz w:val="24"/>
          <w:szCs w:val="24"/>
          <w:highlight w:val="none"/>
        </w:rPr>
        <w:t xml:space="preserve">15</w:t>
      </w:r>
      <w:r>
        <w:rPr>
          <w:rFonts w:hint="eastAsia"/>
          <w:color w:val="000000"/>
          <w:sz w:val="24"/>
          <w:szCs w:val="24"/>
          <w:highlight w:val="none"/>
        </w:rPr>
        <w:t xml:space="preserve">万元，分包三：</w:t>
      </w:r>
      <w:r>
        <w:rPr>
          <w:rFonts w:hint="eastAsia" w:ascii="宋体" w:hAnsi="宋体"/>
          <w:color w:val="000000"/>
          <w:sz w:val="24"/>
          <w:szCs w:val="24"/>
          <w:highlight w:val="none"/>
        </w:rPr>
        <w:t xml:space="preserve">5</w:t>
      </w:r>
      <w:r>
        <w:rPr>
          <w:rFonts w:hint="eastAsia"/>
          <w:color w:val="000000"/>
          <w:sz w:val="24"/>
          <w:szCs w:val="24"/>
          <w:highlight w:val="none"/>
        </w:rPr>
        <w:t xml:space="preserve">万元，分包四：</w:t>
      </w:r>
      <w:r>
        <w:rPr>
          <w:rFonts w:hint="eastAsia" w:ascii="宋体" w:hAnsi="宋体"/>
          <w:color w:val="000000"/>
          <w:sz w:val="24"/>
          <w:szCs w:val="24"/>
          <w:highlight w:val="none"/>
        </w:rPr>
        <w:t xml:space="preserve">10</w:t>
      </w:r>
      <w:r>
        <w:rPr>
          <w:rFonts w:ascii="宋体" w:hAnsi="宋体"/>
          <w:color w:val="000000"/>
          <w:sz w:val="24"/>
          <w:szCs w:val="24"/>
          <w:highlight w:val="none"/>
        </w:rPr>
        <w:t xml:space="preserve">万元</w:t>
      </w:r>
      <w:r>
        <w:rPr>
          <w:rFonts w:hint="eastAsia" w:ascii="宋体" w:hAnsi="宋体"/>
          <w:color w:val="000000"/>
          <w:sz w:val="24"/>
          <w:szCs w:val="24"/>
          <w:highlight w:val="none"/>
        </w:rPr>
        <w:t xml:space="preserve">，</w:t>
      </w:r>
      <w:r>
        <w:rPr>
          <w:rFonts w:hint="eastAsia"/>
          <w:color w:val="000000"/>
          <w:sz w:val="24"/>
          <w:szCs w:val="24"/>
          <w:highlight w:val="none"/>
        </w:rPr>
        <w:t xml:space="preserve">分包五：</w:t>
      </w:r>
      <w:r>
        <w:rPr>
          <w:rFonts w:hint="eastAsia" w:ascii="宋体" w:hAnsi="宋体"/>
          <w:color w:val="000000"/>
          <w:sz w:val="24"/>
          <w:szCs w:val="24"/>
          <w:highlight w:val="none"/>
        </w:rPr>
        <w:t xml:space="preserve">67.79</w:t>
      </w:r>
      <w:r>
        <w:rPr>
          <w:rFonts w:ascii="宋体" w:hAnsi="宋体"/>
          <w:color w:val="000000"/>
          <w:sz w:val="24"/>
          <w:szCs w:val="24"/>
          <w:highlight w:val="none"/>
        </w:rPr>
        <w:t xml:space="preserve">万元</w:t>
      </w:r>
      <w:r>
        <w:rPr>
          <w:rFonts w:hint="eastAsia"/>
          <w:color w:val="000000"/>
          <w:sz w:val="24"/>
          <w:szCs w:val="24"/>
          <w:highlight w:val="none"/>
        </w:rPr>
        <w:t xml:space="preserve">）</w:t>
      </w:r>
      <w:r>
        <w:rPr>
          <w:rFonts w:hint="eastAsia" w:ascii="宋体" w:hAnsi="宋体"/>
          <w:color w:val="000000"/>
          <w:sz w:val="24"/>
          <w:highlight w:val="none"/>
        </w:rPr>
        <w:t xml:space="preserve">，全部足额采购。</w:t>
      </w:r>
      <w:r>
        <w:rPr>
          <w:rFonts w:cs="宋体"/>
          <w:color w:val="000000"/>
          <w:sz w:val="24"/>
          <w:szCs w:val="24"/>
          <w:highlight w:val="none"/>
        </w:rPr>
      </w:r>
      <w:r/>
    </w:p>
    <w:p>
      <w:pPr>
        <w:pStyle w:val="744"/>
        <w:ind w:firstLine="480"/>
        <w:spacing w:line="360" w:lineRule="auto"/>
        <w:shd w:val="clear" w:color="auto" w:fill="auto"/>
        <w:rPr>
          <w:b/>
          <w:bCs/>
          <w:color w:val="000000"/>
          <w:sz w:val="24"/>
          <w:szCs w:val="24"/>
          <w:highlight w:val="none"/>
        </w:rPr>
      </w:pPr>
      <w:r>
        <w:rPr>
          <w:rFonts w:hint="eastAsia" w:ascii="宋体" w:hAnsi="宋体"/>
          <w:color w:val="000000"/>
          <w:sz w:val="24"/>
          <w:szCs w:val="24"/>
          <w:highlight w:val="none"/>
        </w:rPr>
        <w:t xml:space="preserve">最高限价：本项目设定最高限价单价，</w:t>
      </w:r>
      <w:r>
        <w:rPr>
          <w:rFonts w:hint="eastAsia"/>
          <w:color w:val="000000"/>
          <w:sz w:val="24"/>
          <w:szCs w:val="24"/>
          <w:highlight w:val="none"/>
        </w:rPr>
        <w:t xml:space="preserve">分</w:t>
      </w:r>
      <w:r>
        <w:rPr>
          <w:rFonts w:hint="eastAsia" w:ascii="宋体" w:hAnsi="宋体"/>
          <w:color w:val="000000"/>
          <w:sz w:val="24"/>
          <w:szCs w:val="24"/>
          <w:highlight w:val="none"/>
        </w:rPr>
        <w:t xml:space="preserve">包1最高限价单价为0.28元/毫升；</w:t>
      </w:r>
      <w:r>
        <w:rPr>
          <w:rFonts w:hint="eastAsia"/>
          <w:color w:val="000000"/>
          <w:sz w:val="24"/>
          <w:szCs w:val="24"/>
          <w:highlight w:val="none"/>
        </w:rPr>
        <w:t xml:space="preserve">分</w:t>
      </w:r>
      <w:r>
        <w:rPr>
          <w:rFonts w:hint="eastAsia" w:ascii="宋体" w:hAnsi="宋体"/>
          <w:color w:val="000000"/>
          <w:sz w:val="24"/>
          <w:szCs w:val="24"/>
          <w:highlight w:val="none"/>
        </w:rPr>
        <w:t xml:space="preserve">包2最高限价单价为2元/毫升；</w:t>
      </w:r>
      <w:r>
        <w:rPr>
          <w:rFonts w:hint="eastAsia"/>
          <w:color w:val="000000"/>
          <w:sz w:val="24"/>
          <w:szCs w:val="24"/>
          <w:highlight w:val="none"/>
        </w:rPr>
        <w:t xml:space="preserve">分</w:t>
      </w:r>
      <w:r>
        <w:rPr>
          <w:rFonts w:hint="eastAsia" w:ascii="宋体" w:hAnsi="宋体"/>
          <w:color w:val="000000"/>
          <w:sz w:val="24"/>
          <w:szCs w:val="24"/>
          <w:highlight w:val="none"/>
        </w:rPr>
        <w:t xml:space="preserve">3最高限价单价为1.6元/毫升；</w:t>
      </w:r>
      <w:r>
        <w:rPr>
          <w:rFonts w:hint="eastAsia"/>
          <w:color w:val="000000"/>
          <w:sz w:val="24"/>
          <w:szCs w:val="24"/>
          <w:highlight w:val="none"/>
        </w:rPr>
        <w:t xml:space="preserve">分</w:t>
      </w:r>
      <w:r>
        <w:rPr>
          <w:rFonts w:hint="eastAsia" w:ascii="宋体" w:hAnsi="宋体"/>
          <w:color w:val="000000"/>
          <w:sz w:val="24"/>
          <w:szCs w:val="24"/>
          <w:highlight w:val="none"/>
        </w:rPr>
        <w:t xml:space="preserve">4最高限价单价为0.49元/头份；</w:t>
      </w:r>
      <w:r>
        <w:rPr>
          <w:rFonts w:hint="eastAsia"/>
          <w:color w:val="000000"/>
          <w:sz w:val="24"/>
          <w:szCs w:val="24"/>
          <w:highlight w:val="none"/>
        </w:rPr>
        <w:t xml:space="preserve">分</w:t>
      </w:r>
      <w:r>
        <w:rPr>
          <w:rFonts w:hint="eastAsia" w:ascii="宋体" w:hAnsi="宋体"/>
          <w:color w:val="000000"/>
          <w:sz w:val="24"/>
          <w:szCs w:val="24"/>
          <w:highlight w:val="none"/>
        </w:rPr>
        <w:t xml:space="preserve">5中猪耳标最高限价单价为0.31元/套，羊耳标最高限价单价为0.35元/套。（每分包预算总价不变，报单价，超过最高限价单价为无效响应）。</w:t>
      </w:r>
      <w:r>
        <w:rPr>
          <w:rFonts w:hint="eastAsia"/>
          <w:color w:val="000000"/>
          <w:sz w:val="24"/>
          <w:szCs w:val="24"/>
          <w:highlight w:val="none"/>
        </w:rPr>
        <w:t xml:space="preserve">全部足额采购。</w:t>
      </w:r>
      <w:r>
        <w:rPr>
          <w:b/>
          <w:bCs/>
          <w:color w:val="000000"/>
          <w:sz w:val="24"/>
          <w:szCs w:val="24"/>
          <w:highlight w:val="none"/>
        </w:rPr>
      </w:r>
      <w:r/>
    </w:p>
    <w:p>
      <w:pPr>
        <w:pStyle w:val="744"/>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olor w:val="000000"/>
          <w:sz w:val="24"/>
          <w:szCs w:val="24"/>
          <w:highlight w:val="none"/>
        </w:rPr>
        <w:t xml:space="preserve">服务需求：盐城市大丰区2024年度重大动物疫病强制免疫所需的疫苗、耳标一批及相关配套服务、疫苗配套稀释液等</w:t>
      </w:r>
      <w:r>
        <w:rPr>
          <w:rFonts w:hint="eastAsia"/>
          <w:color w:val="000000"/>
          <w:sz w:val="24"/>
          <w:szCs w:val="24"/>
          <w:highlight w:val="none"/>
        </w:rPr>
        <w:t xml:space="preserve">。分包1采购内容：重组禽流感病毒(H5+H7)三价灭活疫苗；分包2采购内容：口蹄疫O型、A型二价灭活疫苗；分包3采购内容：猪口蹄疫O型合成肽疫苗；分包4采购内容：小反刍兽疫活疫苗（或含小反刍）；分包5采购内容：猪耳标、羊耳标。</w:t>
      </w:r>
      <w:r>
        <w:rPr>
          <w:rFonts w:hint="eastAsia" w:cs="宋体"/>
          <w:color w:val="000000"/>
          <w:sz w:val="24"/>
          <w:szCs w:val="24"/>
          <w:highlight w:val="none"/>
        </w:rPr>
        <w:t xml:space="preserve">详细内容见本招标文件第四章</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744"/>
        <w:ind w:firstLine="480"/>
        <w:spacing w:line="360" w:lineRule="auto"/>
        <w:shd w:val="clear" w:color="auto" w:fill="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本次招标项目共分5个包，每个投标人可以参加各包投标，投标人投某一包时，必须对该包的全部内容进行投标，否则，采购人不予接受。但每个供应商仅能中一个包，定包顺序为1包→2包→3包→4包→5包，在上一包评审中被确定为中标人的投标人，不再被推荐为下一包的中标人。不因前面1包的开标、评标确认的第一中标候选人因质疑、投诉、复议被取消第一中标候选人（或中标人）资格，而改变后面开标、评标确定的中标候选人结果。如果一个投标人同时投5个包，投标文件需要分标段单独编制。</w:t>
      </w:r>
      <w:r>
        <w:rPr>
          <w:rFonts w:hint="eastAsia" w:ascii="宋体" w:hAnsi="宋体" w:cs="宋体"/>
          <w:color w:val="000000"/>
          <w:sz w:val="28"/>
          <w:szCs w:val="28"/>
          <w:highlight w:val="none"/>
        </w:rPr>
      </w:r>
      <w:r/>
    </w:p>
    <w:p>
      <w:pPr>
        <w:pStyle w:val="744"/>
        <w:ind w:firstLine="480"/>
        <w:spacing w:line="48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合同履行期限：合同签订后半年。</w:t>
      </w:r>
      <w:r>
        <w:rPr>
          <w:rFonts w:hint="eastAsia" w:ascii="宋体" w:hAnsi="宋体"/>
          <w:color w:val="000000"/>
          <w:sz w:val="24"/>
          <w:szCs w:val="24"/>
          <w:highlight w:val="none"/>
        </w:rPr>
      </w:r>
      <w:r/>
    </w:p>
    <w:p>
      <w:pPr>
        <w:pStyle w:val="744"/>
        <w:ind w:firstLine="480"/>
        <w:spacing w:line="480" w:lineRule="exact"/>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本项目不接受联合体投标。</w:t>
      </w:r>
      <w:r>
        <w:rPr>
          <w:rFonts w:ascii="宋体" w:hAnsi="宋体"/>
          <w:color w:val="000000"/>
          <w:sz w:val="24"/>
          <w:szCs w:val="24"/>
          <w:highlight w:val="none"/>
        </w:rPr>
      </w:r>
      <w:r/>
    </w:p>
    <w:p>
      <w:pPr>
        <w:pStyle w:val="744"/>
        <w:ind w:firstLine="480"/>
        <w:spacing w:line="480" w:lineRule="exact"/>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二、申请人的资格要求：</w:t>
      </w:r>
      <w:r>
        <w:rPr>
          <w:rFonts w:ascii="宋体" w:hAnsi="宋体"/>
          <w:color w:val="000000"/>
          <w:sz w:val="24"/>
          <w:szCs w:val="24"/>
          <w:highlight w:val="none"/>
        </w:rPr>
      </w:r>
      <w:r/>
    </w:p>
    <w:p>
      <w:pPr>
        <w:pStyle w:val="744"/>
        <w:ind w:firstLine="480"/>
        <w:spacing w:line="480" w:lineRule="exact"/>
        <w:shd w:val="clear" w:color="auto" w:fill="auto"/>
        <w:rPr>
          <w:rFonts w:ascii="宋体" w:hAnsi="宋体"/>
          <w:color w:val="000000"/>
          <w:sz w:val="24"/>
          <w:szCs w:val="24"/>
          <w:highlight w:val="none"/>
        </w:rPr>
      </w:pPr>
      <w:r>
        <w:rPr>
          <w:rFonts w:ascii="宋体" w:hAnsi="宋体"/>
          <w:color w:val="000000"/>
          <w:sz w:val="24"/>
          <w:szCs w:val="24"/>
          <w:highlight w:val="none"/>
        </w:rPr>
        <w:t xml:space="preserve">1.满足《中华人民共和国政府采购法》第二十二条规定，并提供下列材料；</w:t>
      </w:r>
      <w:r>
        <w:rPr>
          <w:rFonts w:ascii="宋体" w:hAnsi="宋体"/>
          <w:color w:val="000000"/>
          <w:sz w:val="24"/>
          <w:szCs w:val="24"/>
          <w:highlight w:val="none"/>
        </w:rPr>
      </w:r>
      <w:r/>
    </w:p>
    <w:p>
      <w:pPr>
        <w:pStyle w:val="744"/>
        <w:ind w:firstLine="480"/>
        <w:spacing w:line="480" w:lineRule="exact"/>
        <w:shd w:val="clear" w:color="auto" w:fill="auto"/>
        <w:rPr>
          <w:rFonts w:ascii="宋体" w:hAnsi="宋体"/>
          <w:color w:val="000000"/>
          <w:sz w:val="24"/>
          <w:szCs w:val="24"/>
          <w:highlight w:val="none"/>
        </w:rPr>
      </w:pPr>
      <w:r>
        <w:rPr>
          <w:rFonts w:ascii="宋体" w:hAnsi="宋体"/>
          <w:color w:val="000000"/>
          <w:sz w:val="24"/>
          <w:szCs w:val="24"/>
          <w:highlight w:val="none"/>
        </w:rPr>
        <w:t xml:space="preserve">(1)法人或者其他组织的营业执照等证明文件，自然人的身份证明；</w:t>
      </w:r>
      <w:r>
        <w:rPr>
          <w:rFonts w:ascii="宋体" w:hAnsi="宋体"/>
          <w:color w:val="000000"/>
          <w:sz w:val="24"/>
          <w:szCs w:val="24"/>
          <w:highlight w:val="none"/>
        </w:rPr>
      </w:r>
      <w:r/>
    </w:p>
    <w:p>
      <w:pPr>
        <w:pStyle w:val="744"/>
        <w:ind w:firstLine="480"/>
        <w:spacing w:line="480" w:lineRule="exact"/>
        <w:shd w:val="clear" w:color="auto" w:fill="auto"/>
        <w:rPr>
          <w:rFonts w:ascii="宋体" w:hAnsi="宋体"/>
          <w:color w:val="000000"/>
          <w:sz w:val="24"/>
          <w:szCs w:val="24"/>
          <w:highlight w:val="none"/>
        </w:rPr>
      </w:pPr>
      <w:r>
        <w:rPr>
          <w:rFonts w:ascii="宋体" w:hAnsi="宋体"/>
          <w:color w:val="000000"/>
          <w:sz w:val="24"/>
          <w:szCs w:val="24"/>
          <w:highlight w:val="none"/>
        </w:rPr>
        <w:t xml:space="preserve">(2)上一年度的财务报表（成立不满一年不需提供）；</w:t>
      </w:r>
      <w:r>
        <w:rPr>
          <w:rFonts w:ascii="宋体" w:hAnsi="宋体"/>
          <w:color w:val="000000"/>
          <w:sz w:val="24"/>
          <w:szCs w:val="24"/>
          <w:highlight w:val="none"/>
        </w:rPr>
      </w:r>
      <w:r/>
    </w:p>
    <w:p>
      <w:pPr>
        <w:pStyle w:val="744"/>
        <w:ind w:firstLine="480"/>
        <w:spacing w:line="480" w:lineRule="exact"/>
        <w:shd w:val="clear" w:color="auto" w:fill="auto"/>
        <w:rPr>
          <w:rFonts w:ascii="宋体" w:hAnsi="宋体"/>
          <w:color w:val="000000"/>
          <w:sz w:val="24"/>
          <w:szCs w:val="24"/>
          <w:highlight w:val="none"/>
        </w:rPr>
      </w:pPr>
      <w:r>
        <w:rPr>
          <w:rFonts w:ascii="宋体" w:hAnsi="宋体"/>
          <w:color w:val="000000"/>
          <w:sz w:val="24"/>
          <w:szCs w:val="24"/>
          <w:highlight w:val="none"/>
        </w:rPr>
        <w:t xml:space="preserve">(3)具备履行合同所必需的设备和专业技术能力的书面声明；</w:t>
      </w:r>
      <w:r>
        <w:rPr>
          <w:rFonts w:ascii="宋体" w:hAnsi="宋体"/>
          <w:color w:val="000000"/>
          <w:sz w:val="24"/>
          <w:szCs w:val="24"/>
          <w:highlight w:val="none"/>
        </w:rPr>
      </w:r>
      <w:r/>
    </w:p>
    <w:p>
      <w:pPr>
        <w:pStyle w:val="744"/>
        <w:ind w:firstLine="480"/>
        <w:spacing w:line="480" w:lineRule="exact"/>
        <w:shd w:val="clear" w:color="auto" w:fill="auto"/>
        <w:rPr>
          <w:rFonts w:ascii="宋体" w:hAnsi="宋体"/>
          <w:color w:val="000000"/>
          <w:sz w:val="24"/>
          <w:szCs w:val="24"/>
          <w:highlight w:val="none"/>
        </w:rPr>
      </w:pPr>
      <w:r>
        <w:rPr>
          <w:rFonts w:ascii="宋体" w:hAnsi="宋体"/>
          <w:color w:val="000000"/>
          <w:sz w:val="24"/>
          <w:szCs w:val="24"/>
          <w:highlight w:val="none"/>
        </w:rPr>
        <w:t xml:space="preserve">(4)依法缴纳税收和社会保障资金的相关材料</w:t>
      </w:r>
      <w:r>
        <w:rPr>
          <w:rFonts w:hint="eastAsia" w:ascii="宋体" w:hAnsi="宋体"/>
          <w:color w:val="000000"/>
          <w:sz w:val="24"/>
          <w:szCs w:val="24"/>
          <w:highlight w:val="none"/>
        </w:rPr>
        <w:t xml:space="preserve">（提供提交响应文件截止时间前一年内至少一个月依法缴纳税收及缴纳社会保障资金的证明材料。供应商依法享受缓缴、免缴税收、社会保障资金的提供证明材料。）</w:t>
      </w:r>
      <w:r>
        <w:rPr>
          <w:rFonts w:ascii="宋体" w:hAnsi="宋体"/>
          <w:color w:val="000000"/>
          <w:sz w:val="24"/>
          <w:szCs w:val="24"/>
          <w:highlight w:val="none"/>
        </w:rPr>
        <w:t xml:space="preserve">；</w:t>
      </w:r>
      <w:r>
        <w:rPr>
          <w:rFonts w:ascii="宋体" w:hAnsi="宋体"/>
          <w:color w:val="000000"/>
          <w:sz w:val="24"/>
          <w:szCs w:val="24"/>
          <w:highlight w:val="none"/>
        </w:rPr>
      </w:r>
      <w:r/>
    </w:p>
    <w:p>
      <w:pPr>
        <w:pStyle w:val="744"/>
        <w:ind w:firstLine="480"/>
        <w:spacing w:line="480" w:lineRule="exact"/>
        <w:shd w:val="clear" w:color="auto" w:fill="auto"/>
        <w:rPr>
          <w:rFonts w:ascii="宋体" w:hAnsi="宋体"/>
          <w:color w:val="000000"/>
          <w:sz w:val="24"/>
          <w:szCs w:val="24"/>
          <w:highlight w:val="none"/>
        </w:rPr>
      </w:pPr>
      <w:r/>
      <w:bookmarkStart w:id="6" w:name="_Hlk151391965"/>
      <w:r>
        <w:rPr>
          <w:rFonts w:ascii="宋体" w:hAnsi="宋体"/>
          <w:color w:val="000000"/>
          <w:sz w:val="24"/>
          <w:szCs w:val="24"/>
          <w:highlight w:val="none"/>
        </w:rPr>
        <w:t xml:space="preserve">(5)</w:t>
      </w:r>
      <w:bookmarkEnd w:id="6"/>
      <w:r>
        <w:rPr>
          <w:rFonts w:ascii="宋体" w:hAnsi="宋体"/>
          <w:color w:val="000000"/>
          <w:sz w:val="24"/>
          <w:szCs w:val="24"/>
          <w:highlight w:val="none"/>
        </w:rPr>
        <w:t xml:space="preserve">参加政府采购活动前3年内在经营活动中没有重大违法记录的书面声明；</w:t>
      </w:r>
      <w:r>
        <w:rPr>
          <w:rFonts w:ascii="宋体" w:hAnsi="宋体"/>
          <w:color w:val="000000"/>
          <w:sz w:val="24"/>
          <w:szCs w:val="24"/>
          <w:highlight w:val="none"/>
        </w:rPr>
      </w:r>
      <w:r/>
    </w:p>
    <w:p>
      <w:pPr>
        <w:pStyle w:val="744"/>
        <w:ind w:firstLine="480"/>
        <w:spacing w:line="480" w:lineRule="exact"/>
        <w:shd w:val="clear" w:color="auto" w:fill="auto"/>
        <w:rPr>
          <w:rFonts w:hint="eastAsia" w:ascii="宋体" w:hAnsi="宋体"/>
          <w:color w:val="000000"/>
          <w:sz w:val="24"/>
          <w:szCs w:val="24"/>
          <w:highlight w:val="none"/>
        </w:rPr>
      </w:pPr>
      <w:r>
        <w:rPr>
          <w:rFonts w:ascii="宋体" w:hAnsi="宋体"/>
          <w:color w:val="000000"/>
          <w:sz w:val="24"/>
          <w:szCs w:val="24"/>
          <w:highlight w:val="none"/>
        </w:rPr>
        <w:t xml:space="preserve">(6)</w:t>
      </w:r>
      <w:r>
        <w:rPr>
          <w:rFonts w:hint="eastAsia" w:ascii="宋体" w:hAnsi="宋体"/>
          <w:color w:val="000000"/>
          <w:sz w:val="24"/>
          <w:szCs w:val="24"/>
          <w:highlight w:val="none"/>
        </w:rPr>
        <w:t xml:space="preserve">法律、行政法规规定的其他条件。</w:t>
      </w:r>
      <w:r>
        <w:rPr>
          <w:rFonts w:hint="eastAsia" w:ascii="宋体" w:hAnsi="宋体"/>
          <w:color w:val="000000"/>
          <w:sz w:val="24"/>
          <w:szCs w:val="24"/>
          <w:highlight w:val="none"/>
        </w:rPr>
      </w:r>
      <w:r/>
    </w:p>
    <w:p>
      <w:pPr>
        <w:pStyle w:val="744"/>
        <w:ind w:firstLine="480"/>
        <w:spacing w:line="480" w:lineRule="exact"/>
        <w:shd w:val="clear" w:color="auto" w:fill="auto"/>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7</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宋体" w:hAnsi="宋体"/>
          <w:color w:val="000000"/>
          <w:sz w:val="24"/>
          <w:szCs w:val="24"/>
          <w:highlight w:val="none"/>
        </w:rPr>
      </w:r>
      <w:r/>
    </w:p>
    <w:p>
      <w:pPr>
        <w:pStyle w:val="744"/>
        <w:ind w:firstLine="480"/>
        <w:spacing w:line="480" w:lineRule="exact"/>
        <w:shd w:val="clear" w:color="auto" w:fill="auto"/>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8</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单位负责人为同一人或者存在直接控股、管理关系的不同供应商，不得参加同一合同项下的政府采购活动。</w:t>
      </w:r>
      <w:r>
        <w:rPr>
          <w:rFonts w:hint="eastAsia" w:ascii="宋体" w:hAnsi="宋体"/>
          <w:color w:val="000000"/>
          <w:sz w:val="24"/>
          <w:szCs w:val="24"/>
          <w:highlight w:val="none"/>
        </w:rPr>
      </w:r>
      <w:r/>
    </w:p>
    <w:p>
      <w:pPr>
        <w:pStyle w:val="744"/>
        <w:ind w:firstLine="480"/>
        <w:spacing w:line="480" w:lineRule="exact"/>
        <w:shd w:val="clear" w:color="auto" w:fill="auto"/>
        <w:rPr>
          <w:rFonts w:ascii="宋体" w:hAnsi="宋体"/>
          <w:color w:val="000000"/>
          <w:sz w:val="24"/>
          <w:szCs w:val="24"/>
          <w:highlight w:val="none"/>
        </w:rPr>
      </w:pPr>
      <w:r>
        <w:rPr>
          <w:rFonts w:ascii="宋体" w:hAnsi="宋体"/>
          <w:color w:val="000000"/>
          <w:sz w:val="24"/>
          <w:szCs w:val="24"/>
          <w:highlight w:val="none"/>
        </w:rPr>
        <w:t xml:space="preserve">2.落实政府采购政策需满足的资格要求：</w:t>
      </w:r>
      <w:r>
        <w:rPr>
          <w:rFonts w:hint="eastAsia" w:ascii="宋体" w:hAnsi="宋体"/>
          <w:color w:val="000000"/>
          <w:sz w:val="24"/>
          <w:szCs w:val="24"/>
          <w:highlight w:val="none"/>
        </w:rPr>
        <w:t xml:space="preserve">无</w:t>
      </w:r>
      <w:r>
        <w:rPr>
          <w:rFonts w:ascii="宋体" w:hAnsi="宋体"/>
          <w:color w:val="000000"/>
          <w:sz w:val="24"/>
          <w:szCs w:val="24"/>
          <w:highlight w:val="none"/>
        </w:rPr>
        <w:t xml:space="preserve">。</w:t>
      </w:r>
      <w:r>
        <w:rPr>
          <w:rFonts w:ascii="宋体" w:hAnsi="宋体"/>
          <w:color w:val="000000"/>
          <w:sz w:val="24"/>
          <w:szCs w:val="24"/>
          <w:highlight w:val="none"/>
        </w:rPr>
      </w:r>
      <w:r/>
    </w:p>
    <w:p>
      <w:pPr>
        <w:pStyle w:val="744"/>
        <w:ind w:firstLine="480"/>
        <w:spacing w:line="480" w:lineRule="exact"/>
        <w:shd w:val="clear" w:color="auto" w:fill="auto"/>
        <w:rPr>
          <w:rFonts w:ascii="宋体" w:hAnsi="宋体"/>
          <w:color w:val="000000"/>
          <w:sz w:val="24"/>
          <w:szCs w:val="24"/>
          <w:highlight w:val="none"/>
        </w:rPr>
      </w:pPr>
      <w:r>
        <w:rPr>
          <w:rFonts w:ascii="宋体" w:hAnsi="宋体"/>
          <w:color w:val="000000"/>
          <w:sz w:val="24"/>
          <w:szCs w:val="24"/>
          <w:highlight w:val="none"/>
        </w:rPr>
        <w:t xml:space="preserve">3.本项目的特定资格要求：</w:t>
      </w:r>
      <w:r>
        <w:rPr>
          <w:rFonts w:ascii="宋体" w:hAnsi="宋体"/>
          <w:color w:val="000000"/>
          <w:sz w:val="24"/>
          <w:szCs w:val="24"/>
          <w:highlight w:val="none"/>
        </w:rPr>
      </w:r>
      <w:r/>
    </w:p>
    <w:p>
      <w:pPr>
        <w:pStyle w:val="744"/>
        <w:ind w:firstLine="480"/>
        <w:spacing w:line="480" w:lineRule="exact"/>
        <w:shd w:val="clear" w:color="auto" w:fill="auto"/>
        <w:rPr>
          <w:rFonts w:hint="eastAsia" w:ascii="宋体" w:hAnsi="宋体" w:cs="宋体"/>
          <w:color w:val="000000"/>
          <w:sz w:val="24"/>
          <w:szCs w:val="24"/>
          <w:highlight w:val="none"/>
        </w:rPr>
      </w:pPr>
      <w:r>
        <w:rPr>
          <w:rFonts w:ascii="宋体" w:hAnsi="宋体"/>
          <w:color w:val="000000"/>
          <w:sz w:val="24"/>
          <w:szCs w:val="24"/>
          <w:highlight w:val="none"/>
        </w:rPr>
        <w:t xml:space="preserve">(1)</w:t>
      </w:r>
      <w:r>
        <w:rPr>
          <w:rFonts w:hint="eastAsia" w:ascii="宋体" w:hAnsi="宋体" w:cs="宋体"/>
          <w:color w:val="000000"/>
          <w:sz w:val="24"/>
          <w:szCs w:val="24"/>
          <w:highlight w:val="none"/>
        </w:rPr>
        <w:t xml:space="preserve">本项目只接受生产厂家报名不接受经销商报名。</w:t>
      </w:r>
      <w:r>
        <w:rPr>
          <w:rFonts w:hint="eastAsia" w:ascii="宋体" w:hAnsi="宋体" w:cs="宋体"/>
          <w:color w:val="000000"/>
          <w:sz w:val="24"/>
          <w:szCs w:val="24"/>
          <w:highlight w:val="none"/>
        </w:rPr>
      </w:r>
      <w:r/>
    </w:p>
    <w:p>
      <w:pPr>
        <w:pStyle w:val="744"/>
        <w:ind w:firstLine="480"/>
        <w:spacing w:line="480" w:lineRule="exact"/>
        <w:shd w:val="clear" w:color="auto" w:fill="auto"/>
        <w:rPr>
          <w:rFonts w:hint="eastAsia" w:ascii="宋体" w:hAnsi="宋体" w:cs="宋体"/>
          <w:color w:val="000000"/>
          <w:sz w:val="24"/>
          <w:szCs w:val="24"/>
          <w:highlight w:val="none"/>
        </w:rPr>
      </w:pPr>
      <w:r>
        <w:rPr>
          <w:rFonts w:ascii="宋体" w:hAnsi="宋体"/>
          <w:color w:val="000000"/>
          <w:sz w:val="24"/>
          <w:szCs w:val="24"/>
          <w:highlight w:val="none"/>
        </w:rPr>
        <w:t xml:space="preserve">(2)</w:t>
      </w:r>
      <w:r>
        <w:rPr>
          <w:rFonts w:hint="eastAsia" w:ascii="宋体" w:hAnsi="宋体" w:cs="宋体"/>
          <w:color w:val="000000"/>
          <w:sz w:val="24"/>
          <w:szCs w:val="24"/>
          <w:highlight w:val="none"/>
        </w:rPr>
        <w:t xml:space="preserve">分包1、分包2、分包3、分包4：投标单位须具有所投产品的有效兽药生产许可证及兽药GMP证书，扫描件上传至电子标书。</w:t>
      </w:r>
      <w:r>
        <w:rPr>
          <w:rFonts w:hint="eastAsia" w:ascii="宋体" w:hAnsi="宋体" w:cs="宋体"/>
          <w:color w:val="000000"/>
          <w:sz w:val="24"/>
          <w:szCs w:val="24"/>
          <w:highlight w:val="none"/>
        </w:rPr>
      </w:r>
      <w:r/>
    </w:p>
    <w:p>
      <w:pPr>
        <w:pStyle w:val="744"/>
        <w:ind w:firstLine="480"/>
        <w:spacing w:line="480" w:lineRule="exact"/>
        <w:shd w:val="clear" w:color="auto" w:fill="auto"/>
        <w:rPr>
          <w:rFonts w:ascii="宋体" w:hAnsi="宋体"/>
          <w:color w:val="000000"/>
          <w:sz w:val="24"/>
          <w:szCs w:val="24"/>
          <w:highlight w:val="none"/>
        </w:rPr>
      </w:pPr>
      <w:r>
        <w:rPr>
          <w:rFonts w:hint="eastAsia" w:ascii="宋体" w:hAnsi="宋体" w:cs="宋体"/>
          <w:color w:val="000000"/>
          <w:sz w:val="24"/>
          <w:szCs w:val="24"/>
          <w:highlight w:val="none"/>
        </w:rPr>
        <w:t xml:space="preserve">分包5：投标单位为在中国动物疫病预防控制中心登记的二维码耳标厂商，网站截图上传至电子标书。</w:t>
      </w:r>
      <w:r>
        <w:rPr>
          <w:rFonts w:ascii="宋体" w:hAnsi="宋体"/>
          <w:color w:val="000000"/>
          <w:sz w:val="24"/>
          <w:szCs w:val="24"/>
          <w:highlight w:val="none"/>
        </w:rPr>
      </w:r>
      <w:r/>
    </w:p>
    <w:p>
      <w:pPr>
        <w:pStyle w:val="744"/>
        <w:ind w:firstLine="480"/>
        <w:spacing w:line="480" w:lineRule="exact"/>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三、获取招标文件</w:t>
      </w:r>
      <w:r>
        <w:rPr>
          <w:rFonts w:ascii="宋体" w:hAnsi="宋体"/>
          <w:color w:val="000000"/>
          <w:sz w:val="24"/>
          <w:szCs w:val="24"/>
          <w:highlight w:val="none"/>
        </w:rPr>
      </w:r>
      <w:r/>
    </w:p>
    <w:p>
      <w:pPr>
        <w:pStyle w:val="744"/>
        <w:ind w:firstLine="480"/>
        <w:spacing w:line="48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1.招标文件获取截止时间：自招标文件公告发布之日至投标文件提交截止之日。</w:t>
      </w:r>
      <w:r>
        <w:rPr>
          <w:rFonts w:hint="eastAsia" w:ascii="宋体" w:hAnsi="宋体"/>
          <w:color w:val="000000"/>
          <w:sz w:val="24"/>
          <w:szCs w:val="24"/>
          <w:highlight w:val="none"/>
        </w:rPr>
      </w:r>
      <w:r/>
    </w:p>
    <w:p>
      <w:pPr>
        <w:pStyle w:val="744"/>
        <w:ind w:firstLine="480"/>
        <w:spacing w:line="48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2.地点：苏采云系统内免费下载，（投标人必必须在苏采云系统中获取采购文件，方能参与政府采购项目）。</w:t>
      </w:r>
      <w:r>
        <w:rPr>
          <w:rFonts w:hint="eastAsia" w:ascii="宋体" w:hAnsi="宋体"/>
          <w:color w:val="000000"/>
          <w:sz w:val="24"/>
          <w:szCs w:val="24"/>
          <w:highlight w:val="none"/>
        </w:rPr>
      </w:r>
      <w:r/>
    </w:p>
    <w:p>
      <w:pPr>
        <w:pStyle w:val="744"/>
        <w:ind w:firstLine="480"/>
        <w:spacing w:line="48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3.获取方式：</w:t>
      </w:r>
      <w:r>
        <w:rPr>
          <w:rFonts w:hint="eastAsia" w:ascii="宋体" w:hAnsi="宋体" w:cs="宋体"/>
          <w:color w:val="000000"/>
          <w:sz w:val="24"/>
          <w:highlight w:val="none"/>
        </w:rPr>
        <w:t xml:space="preserve">本项目采用网上注册登记方式。</w:t>
      </w:r>
      <w:r>
        <w:rPr>
          <w:rFonts w:hint="eastAsia" w:ascii="宋体" w:hAnsi="宋体"/>
          <w:color w:val="000000"/>
          <w:sz w:val="24"/>
          <w:szCs w:val="24"/>
          <w:highlight w:val="none"/>
        </w:rPr>
      </w:r>
      <w:r/>
    </w:p>
    <w:p>
      <w:pPr>
        <w:pStyle w:val="744"/>
        <w:ind w:firstLine="480"/>
        <w:spacing w:line="48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3.1潜在供应商访问电子招标响应交易平台的网络地址和方法：“苏采云”系统用户注册--获取“CA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 </w:t>
      </w:r>
      <w:r>
        <w:rPr>
          <w:rFonts w:hint="eastAsia" w:ascii="宋体" w:hAnsi="宋体"/>
          <w:color w:val="000000"/>
          <w:sz w:val="24"/>
          <w:szCs w:val="24"/>
          <w:highlight w:val="none"/>
        </w:rPr>
      </w:r>
      <w:r/>
    </w:p>
    <w:p>
      <w:pPr>
        <w:pStyle w:val="744"/>
        <w:ind w:firstLine="480"/>
        <w:spacing w:line="48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3.2潜在投标人访问“苏采云”系统方法：江苏省政府采购网首页-“苏采云”链接。 </w:t>
      </w:r>
      <w:r>
        <w:rPr>
          <w:rFonts w:hint="eastAsia" w:ascii="宋体" w:hAnsi="宋体"/>
          <w:color w:val="000000"/>
          <w:sz w:val="24"/>
          <w:szCs w:val="24"/>
          <w:highlight w:val="none"/>
        </w:rPr>
      </w:r>
      <w:r/>
    </w:p>
    <w:p>
      <w:pPr>
        <w:pStyle w:val="744"/>
        <w:ind w:firstLine="480"/>
        <w:spacing w:line="48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3.3“CA 数字证书”的获取：供应商需办理 CA 锁，“苏采云”系统目前仅支持政务 CA，省内各地区办理的用于“苏采云”平台的政务 CA 全省通用。盐城地区政务 CA 办理请至亭湖区政务服务中心二楼 226 窗口办理，联系电话：15051556883。 </w:t>
      </w:r>
      <w:r>
        <w:rPr>
          <w:rFonts w:hint="eastAsia" w:ascii="宋体" w:hAnsi="宋体"/>
          <w:color w:val="000000"/>
          <w:sz w:val="24"/>
          <w:szCs w:val="24"/>
          <w:highlight w:val="none"/>
        </w:rPr>
      </w:r>
      <w:r/>
    </w:p>
    <w:p>
      <w:pPr>
        <w:pStyle w:val="744"/>
        <w:ind w:firstLine="480"/>
        <w:spacing w:line="48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3.4采购文件（后缀名为“.kedt”）、供应商操作手册及政府采购客户端工具可通过“苏采云”系统相应链接进行下载。 </w:t>
      </w:r>
      <w:r>
        <w:rPr>
          <w:rFonts w:hint="eastAsia" w:ascii="宋体" w:hAnsi="宋体"/>
          <w:color w:val="000000"/>
          <w:sz w:val="24"/>
          <w:szCs w:val="24"/>
          <w:highlight w:val="none"/>
        </w:rPr>
      </w:r>
      <w:r/>
    </w:p>
    <w:p>
      <w:pPr>
        <w:pStyle w:val="744"/>
        <w:ind w:firstLine="480"/>
        <w:spacing w:line="48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3.5招标代理机构（采购代理机构）将数据电文形式的采购文件加载至“苏采云”系统，供潜在供应商下载或者查阅。 </w:t>
      </w:r>
      <w:r>
        <w:rPr>
          <w:rFonts w:hint="eastAsia" w:ascii="宋体" w:hAnsi="宋体"/>
          <w:color w:val="000000"/>
          <w:sz w:val="24"/>
          <w:szCs w:val="24"/>
          <w:highlight w:val="none"/>
        </w:rPr>
      </w:r>
      <w:r/>
    </w:p>
    <w:p>
      <w:pPr>
        <w:pStyle w:val="744"/>
        <w:ind w:firstLine="480"/>
        <w:spacing w:line="48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3.6请潜在投标单位提前安装相应的控件（详见《“苏采云”系统供应商操作手册》）并使用谷歌浏览器登录“苏采云”系统参与不见面开评标。如潜在投标人未按上述要求操作，将自行承担所产生的风险。</w:t>
      </w:r>
      <w:r>
        <w:rPr>
          <w:rFonts w:hint="eastAsia" w:ascii="宋体" w:hAnsi="宋体"/>
          <w:color w:val="000000"/>
          <w:sz w:val="24"/>
          <w:szCs w:val="24"/>
          <w:highlight w:val="none"/>
        </w:rPr>
      </w:r>
      <w:r/>
    </w:p>
    <w:p>
      <w:pPr>
        <w:pStyle w:val="744"/>
        <w:ind w:firstLine="480"/>
        <w:spacing w:line="48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4.售价：免费。</w:t>
      </w:r>
      <w:r>
        <w:rPr>
          <w:rFonts w:hint="eastAsia" w:ascii="宋体" w:hAnsi="宋体"/>
          <w:color w:val="000000"/>
          <w:sz w:val="24"/>
          <w:szCs w:val="24"/>
          <w:highlight w:val="none"/>
        </w:rPr>
      </w:r>
      <w:r/>
    </w:p>
    <w:p>
      <w:pPr>
        <w:pStyle w:val="744"/>
        <w:ind w:firstLine="480"/>
        <w:spacing w:line="480" w:lineRule="exact"/>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四、提交投标文件截止时间、开标时间和地点</w:t>
      </w:r>
      <w:r>
        <w:rPr>
          <w:rFonts w:ascii="宋体" w:hAnsi="宋体"/>
          <w:color w:val="000000"/>
          <w:sz w:val="24"/>
          <w:szCs w:val="24"/>
          <w:highlight w:val="none"/>
        </w:rPr>
      </w:r>
      <w:r/>
    </w:p>
    <w:p>
      <w:pPr>
        <w:pStyle w:val="744"/>
        <w:ind w:firstLine="480"/>
        <w:spacing w:line="48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1.时间：202</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年</w:t>
      </w: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rPr>
        <w:t xml:space="preserve">月</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日9点00分（北京时间）</w:t>
      </w:r>
      <w:r>
        <w:rPr>
          <w:rFonts w:hint="eastAsia" w:ascii="宋体" w:hAnsi="宋体"/>
          <w:color w:val="000000"/>
          <w:sz w:val="24"/>
          <w:szCs w:val="24"/>
          <w:highlight w:val="none"/>
        </w:rPr>
      </w:r>
      <w:r/>
    </w:p>
    <w:p>
      <w:pPr>
        <w:pStyle w:val="744"/>
        <w:ind w:firstLine="480"/>
        <w:spacing w:line="48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2.地点：“苏采云”政府采购交易系统网上开标大厅。</w:t>
      </w:r>
      <w:r>
        <w:rPr>
          <w:rFonts w:hint="eastAsia" w:ascii="宋体" w:hAnsi="宋体"/>
          <w:color w:val="000000"/>
          <w:sz w:val="24"/>
          <w:szCs w:val="24"/>
          <w:highlight w:val="none"/>
        </w:rPr>
      </w:r>
      <w:r/>
    </w:p>
    <w:p>
      <w:pPr>
        <w:pStyle w:val="744"/>
        <w:ind w:firstLine="480"/>
        <w:spacing w:line="480" w:lineRule="exact"/>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五、公告期限</w:t>
      </w:r>
      <w:r>
        <w:rPr>
          <w:rFonts w:ascii="宋体" w:hAnsi="宋体"/>
          <w:color w:val="000000"/>
          <w:sz w:val="24"/>
          <w:szCs w:val="24"/>
          <w:highlight w:val="none"/>
        </w:rPr>
      </w:r>
      <w:r/>
    </w:p>
    <w:p>
      <w:pPr>
        <w:pStyle w:val="744"/>
        <w:ind w:firstLine="480"/>
        <w:spacing w:line="480" w:lineRule="exact"/>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自本公告发布之日起</w:t>
      </w:r>
      <w:r>
        <w:rPr>
          <w:rFonts w:ascii="宋体" w:hAnsi="宋体"/>
          <w:color w:val="000000"/>
          <w:sz w:val="24"/>
          <w:szCs w:val="24"/>
          <w:highlight w:val="none"/>
        </w:rPr>
        <w:t xml:space="preserve">5个工作日。</w:t>
      </w:r>
      <w:r>
        <w:rPr>
          <w:rFonts w:ascii="宋体" w:hAnsi="宋体"/>
          <w:color w:val="000000"/>
          <w:sz w:val="24"/>
          <w:szCs w:val="24"/>
          <w:highlight w:val="none"/>
        </w:rPr>
      </w:r>
      <w:r/>
    </w:p>
    <w:p>
      <w:pPr>
        <w:pStyle w:val="744"/>
        <w:ind w:firstLine="480"/>
        <w:spacing w:line="480" w:lineRule="exact"/>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六、其他补充事宜</w:t>
      </w:r>
      <w:r>
        <w:rPr>
          <w:rFonts w:ascii="宋体" w:hAnsi="宋体"/>
          <w:color w:val="000000"/>
          <w:sz w:val="24"/>
          <w:szCs w:val="24"/>
          <w:highlight w:val="none"/>
        </w:rPr>
      </w:r>
      <w:r/>
    </w:p>
    <w:p>
      <w:pPr>
        <w:pStyle w:val="744"/>
        <w:ind w:firstLine="480"/>
        <w:spacing w:line="48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1.各投标人在投标截止时间前应当每天都上网查询，以便获取更新的澄清、修改、补充内容。凡涉及到该项目的补充说明和修改，均以中国政府采购网、江苏政府采购网、盐城市政府采购网上的更正或补充通知为准。</w:t>
      </w:r>
      <w:r>
        <w:rPr>
          <w:rFonts w:hint="eastAsia" w:ascii="宋体" w:hAnsi="宋体"/>
          <w:color w:val="000000"/>
          <w:sz w:val="24"/>
          <w:szCs w:val="24"/>
          <w:highlight w:val="none"/>
        </w:rPr>
      </w:r>
      <w:r/>
    </w:p>
    <w:p>
      <w:pPr>
        <w:pStyle w:val="744"/>
        <w:ind w:firstLine="480"/>
        <w:spacing w:line="48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2.投标人不得提供虚假材料谋取中标成交的或采取不正当手段诋毁、排挤其他供应商。</w:t>
      </w:r>
      <w:r>
        <w:rPr>
          <w:rFonts w:hint="eastAsia" w:ascii="宋体" w:hAnsi="宋体"/>
          <w:color w:val="000000"/>
          <w:sz w:val="24"/>
          <w:szCs w:val="24"/>
          <w:highlight w:val="none"/>
        </w:rPr>
      </w:r>
      <w:r/>
    </w:p>
    <w:p>
      <w:pPr>
        <w:pStyle w:val="744"/>
        <w:ind w:firstLine="480"/>
        <w:spacing w:line="48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3.投标人存在串通投标、以他人名义投标、弄虚作假等违法违规行为，或者无正当理由放弃投标、中标资格，造成项目招标失败的，不得参加该项目重新招标的投标。</w:t>
      </w:r>
      <w:r>
        <w:rPr>
          <w:rFonts w:hint="eastAsia" w:ascii="宋体" w:hAnsi="宋体"/>
          <w:color w:val="000000"/>
          <w:sz w:val="24"/>
          <w:szCs w:val="24"/>
          <w:highlight w:val="none"/>
        </w:rPr>
      </w:r>
      <w:r/>
    </w:p>
    <w:p>
      <w:pPr>
        <w:pStyle w:val="744"/>
        <w:ind w:firstLine="480"/>
        <w:spacing w:line="48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4.因供应商的系统环境、操作等原因导致项目参与、开评标过程中出现问题由供应商自行承担负责。</w:t>
      </w:r>
      <w:r>
        <w:rPr>
          <w:rFonts w:hint="eastAsia" w:ascii="宋体" w:hAnsi="宋体"/>
          <w:color w:val="000000"/>
          <w:sz w:val="24"/>
          <w:szCs w:val="24"/>
          <w:highlight w:val="none"/>
        </w:rPr>
      </w:r>
      <w:r/>
    </w:p>
    <w:p>
      <w:pPr>
        <w:pStyle w:val="744"/>
        <w:ind w:firstLine="480"/>
        <w:spacing w:line="48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5.本次招标不收取投标保证金，不收取质量保证金。</w:t>
      </w:r>
      <w:r>
        <w:rPr>
          <w:rFonts w:hint="eastAsia" w:ascii="宋体" w:hAnsi="宋体"/>
          <w:color w:val="000000"/>
          <w:sz w:val="24"/>
          <w:szCs w:val="24"/>
          <w:highlight w:val="none"/>
        </w:rPr>
      </w:r>
      <w:r/>
    </w:p>
    <w:p>
      <w:pPr>
        <w:pStyle w:val="744"/>
        <w:ind w:firstLine="480"/>
        <w:spacing w:line="480" w:lineRule="exact"/>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七、对本次招标提出询问，请按以下方式联系。</w:t>
      </w:r>
      <w:r>
        <w:rPr>
          <w:rFonts w:ascii="宋体" w:hAnsi="宋体"/>
          <w:color w:val="000000"/>
          <w:sz w:val="24"/>
          <w:szCs w:val="24"/>
          <w:highlight w:val="none"/>
        </w:rPr>
      </w:r>
      <w:r/>
    </w:p>
    <w:p>
      <w:pPr>
        <w:pStyle w:val="744"/>
        <w:ind w:firstLine="480"/>
        <w:spacing w:line="48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1.采购人信息</w:t>
      </w:r>
      <w:r>
        <w:rPr>
          <w:rFonts w:hint="eastAsia" w:ascii="宋体" w:hAnsi="宋体" w:cs="宋体"/>
          <w:color w:val="000000"/>
          <w:sz w:val="24"/>
          <w:szCs w:val="24"/>
          <w:highlight w:val="none"/>
        </w:rPr>
      </w:r>
      <w:r/>
    </w:p>
    <w:p>
      <w:pPr>
        <w:pStyle w:val="744"/>
        <w:ind w:firstLine="480"/>
        <w:spacing w:line="48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名    称：盐城市大丰区农业农村局</w:t>
      </w:r>
      <w:r>
        <w:rPr>
          <w:rFonts w:hint="eastAsia" w:ascii="宋体" w:hAnsi="宋体" w:cs="宋体"/>
          <w:color w:val="000000"/>
          <w:sz w:val="24"/>
          <w:szCs w:val="24"/>
          <w:highlight w:val="none"/>
        </w:rPr>
      </w:r>
      <w:r/>
    </w:p>
    <w:p>
      <w:pPr>
        <w:pStyle w:val="744"/>
        <w:ind w:firstLine="480"/>
        <w:spacing w:line="48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    址：江苏省盐城市大丰区健康西路15号</w:t>
      </w:r>
      <w:r>
        <w:rPr>
          <w:rFonts w:hint="eastAsia" w:ascii="宋体" w:hAnsi="宋体" w:cs="宋体"/>
          <w:color w:val="000000"/>
          <w:sz w:val="24"/>
          <w:szCs w:val="24"/>
          <w:highlight w:val="none"/>
        </w:rPr>
      </w:r>
      <w:r/>
    </w:p>
    <w:p>
      <w:pPr>
        <w:pStyle w:val="744"/>
        <w:ind w:firstLine="480"/>
        <w:spacing w:line="48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联系人：陈先生             </w:t>
      </w:r>
      <w:r>
        <w:rPr>
          <w:rFonts w:hint="eastAsia" w:ascii="宋体" w:hAnsi="宋体" w:cs="宋体"/>
          <w:color w:val="000000"/>
          <w:sz w:val="24"/>
          <w:szCs w:val="24"/>
          <w:highlight w:val="none"/>
        </w:rPr>
      </w:r>
      <w:r/>
    </w:p>
    <w:p>
      <w:pPr>
        <w:pStyle w:val="744"/>
        <w:ind w:firstLine="480"/>
        <w:spacing w:line="48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联系电话：051569698535</w:t>
      </w:r>
      <w:r>
        <w:rPr>
          <w:rFonts w:hint="eastAsia" w:ascii="宋体" w:hAnsi="宋体" w:cs="宋体"/>
          <w:color w:val="000000"/>
          <w:sz w:val="24"/>
          <w:szCs w:val="24"/>
          <w:highlight w:val="none"/>
        </w:rPr>
      </w:r>
      <w:r/>
    </w:p>
    <w:p>
      <w:pPr>
        <w:pStyle w:val="744"/>
        <w:ind w:firstLine="480"/>
        <w:spacing w:line="48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2.采购代理机构信息</w:t>
      </w:r>
      <w:r>
        <w:rPr>
          <w:rFonts w:hint="eastAsia" w:ascii="宋体" w:hAnsi="宋体" w:cs="宋体"/>
          <w:color w:val="000000"/>
          <w:sz w:val="24"/>
          <w:szCs w:val="24"/>
          <w:highlight w:val="none"/>
        </w:rPr>
      </w:r>
      <w:r/>
    </w:p>
    <w:p>
      <w:pPr>
        <w:pStyle w:val="744"/>
        <w:ind w:firstLine="480"/>
        <w:spacing w:line="48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名    称：江苏昱丰华项目管理有限公司</w:t>
      </w:r>
      <w:r>
        <w:rPr>
          <w:rFonts w:hint="eastAsia" w:ascii="宋体" w:hAnsi="宋体" w:cs="宋体"/>
          <w:color w:val="000000"/>
          <w:sz w:val="24"/>
          <w:szCs w:val="24"/>
          <w:highlight w:val="none"/>
        </w:rPr>
      </w:r>
      <w:r/>
    </w:p>
    <w:p>
      <w:pPr>
        <w:pStyle w:val="744"/>
        <w:ind w:firstLine="480"/>
        <w:spacing w:line="48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    址：大丰区人民北路与通港大道交汇处（丰尚国际17层）</w:t>
      </w:r>
      <w:r>
        <w:rPr>
          <w:rFonts w:hint="eastAsia" w:ascii="宋体" w:hAnsi="宋体" w:cs="宋体"/>
          <w:color w:val="000000"/>
          <w:sz w:val="24"/>
          <w:szCs w:val="24"/>
          <w:highlight w:val="none"/>
        </w:rPr>
      </w:r>
      <w:r/>
    </w:p>
    <w:p>
      <w:pPr>
        <w:pStyle w:val="744"/>
        <w:ind w:firstLine="480"/>
        <w:spacing w:line="48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联系人：龚星杰</w:t>
      </w:r>
      <w:r>
        <w:rPr>
          <w:rFonts w:hint="eastAsia" w:ascii="宋体" w:hAnsi="宋体" w:cs="宋体"/>
          <w:color w:val="000000"/>
          <w:sz w:val="24"/>
          <w:szCs w:val="24"/>
          <w:highlight w:val="none"/>
        </w:rPr>
      </w:r>
      <w:r/>
    </w:p>
    <w:p>
      <w:pPr>
        <w:pStyle w:val="744"/>
        <w:ind w:firstLine="480"/>
        <w:spacing w:line="48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联系电话：18118943865 </w:t>
      </w:r>
      <w:r>
        <w:rPr>
          <w:rFonts w:hint="eastAsia" w:ascii="宋体" w:hAnsi="宋体" w:cs="宋体"/>
          <w:color w:val="000000"/>
          <w:sz w:val="24"/>
          <w:szCs w:val="24"/>
          <w:highlight w:val="none"/>
        </w:rPr>
      </w:r>
      <w:r/>
    </w:p>
    <w:p>
      <w:pPr>
        <w:pStyle w:val="744"/>
        <w:ind w:firstLine="480"/>
        <w:spacing w:line="48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3.项目联系方式</w:t>
      </w:r>
      <w:r>
        <w:rPr>
          <w:rFonts w:hint="eastAsia" w:ascii="宋体" w:hAnsi="宋体" w:cs="宋体"/>
          <w:color w:val="000000"/>
          <w:sz w:val="24"/>
          <w:szCs w:val="24"/>
          <w:highlight w:val="none"/>
        </w:rPr>
      </w:r>
      <w:r/>
    </w:p>
    <w:p>
      <w:pPr>
        <w:pStyle w:val="744"/>
        <w:ind w:firstLine="480"/>
        <w:spacing w:line="48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联系人：龚星杰</w:t>
      </w:r>
      <w:r>
        <w:rPr>
          <w:rFonts w:hint="eastAsia" w:ascii="宋体" w:hAnsi="宋体" w:cs="宋体"/>
          <w:color w:val="000000"/>
          <w:sz w:val="24"/>
          <w:szCs w:val="24"/>
          <w:highlight w:val="none"/>
        </w:rPr>
      </w:r>
      <w:r/>
    </w:p>
    <w:p>
      <w:pPr>
        <w:pStyle w:val="744"/>
        <w:ind w:firstLine="480"/>
        <w:spacing w:line="480" w:lineRule="exact"/>
        <w:shd w:val="clear" w:color="auto" w:fill="auto"/>
        <w:rPr>
          <w:rFonts w:hint="eastAsia" w:ascii="宋体" w:hAnsi="宋体" w:cs="宋体"/>
          <w:bCs/>
          <w:color w:val="000000"/>
          <w:highlight w:val="none"/>
        </w:rPr>
      </w:pPr>
      <w:r>
        <w:rPr>
          <w:rFonts w:hint="eastAsia" w:ascii="宋体" w:hAnsi="宋体" w:cs="宋体"/>
          <w:color w:val="000000"/>
          <w:sz w:val="24"/>
          <w:szCs w:val="24"/>
          <w:highlight w:val="none"/>
        </w:rPr>
        <w:t xml:space="preserve">联系电话：18118943865</w:t>
      </w:r>
      <w:r>
        <w:rPr>
          <w:rFonts w:hint="eastAsia" w:ascii="宋体" w:hAnsi="宋体" w:cs="宋体"/>
          <w:bCs/>
          <w:color w:val="000000"/>
          <w:highlight w:val="none"/>
        </w:rPr>
        <w:t xml:space="preserve"> </w:t>
      </w:r>
      <w:r>
        <w:rPr>
          <w:rFonts w:hint="eastAsia" w:ascii="宋体" w:hAnsi="宋体" w:cs="宋体"/>
          <w:bCs/>
          <w:color w:val="000000"/>
          <w:highlight w:val="none"/>
        </w:rPr>
      </w:r>
      <w:r/>
    </w:p>
    <w:p>
      <w:pPr>
        <w:pStyle w:val="746"/>
        <w:shd w:val="clear" w:color="auto" w:fill="auto"/>
        <w:rPr>
          <w:rFonts w:hint="eastAsia" w:ascii="宋体" w:hAnsi="宋体" w:eastAsia="宋体" w:cs="宋体"/>
          <w:color w:val="000000"/>
          <w:highlight w:val="none"/>
        </w:rPr>
        <w:sectPr>
          <w:headerReference w:type="default" r:id="rId9"/>
          <w:footerReference w:type="default" r:id="rId12"/>
          <w:footerReference w:type="even" r:id="rId13"/>
          <w:footerReference w:type="first" r:id="rId14"/>
          <w:footnotePr/>
          <w:endnotePr/>
          <w:type w:val="nextPage"/>
          <w:pgSz w:w="11906" w:h="16838" w:orient="portrait"/>
          <w:pgMar w:top="1418" w:right="1588" w:bottom="1418" w:left="1365" w:header="851" w:footer="907" w:gutter="0"/>
          <w:pgNumType w:start="1"/>
          <w:cols w:num="1" w:sep="0" w:space="1701" w:equalWidth="1"/>
          <w:docGrid w:linePitch="360"/>
          <w:titlePg/>
        </w:sectPr>
      </w:pPr>
      <w:r/>
      <w:bookmarkStart w:id="7" w:name="_Toc120614211"/>
      <w:r>
        <w:rPr>
          <w:rFonts w:hint="eastAsia" w:ascii="宋体" w:hAnsi="宋体" w:eastAsia="宋体" w:cs="宋体"/>
          <w:color w:val="000000"/>
          <w:highlight w:val="none"/>
        </w:rPr>
      </w:r>
      <w:r/>
    </w:p>
    <w:p>
      <w:pPr>
        <w:pStyle w:val="746"/>
        <w:shd w:val="clear" w:color="auto" w:fill="auto"/>
        <w:rPr>
          <w:rFonts w:hint="eastAsia" w:ascii="宋体" w:hAnsi="宋体" w:eastAsia="宋体" w:cs="宋体"/>
          <w:b w:val="0"/>
          <w:bCs w:val="0"/>
          <w:color w:val="000000"/>
          <w:highlight w:val="none"/>
        </w:rPr>
      </w:pPr>
      <w:r>
        <w:rPr>
          <w:rFonts w:hint="eastAsia" w:ascii="宋体" w:hAnsi="宋体" w:eastAsia="宋体" w:cs="宋体"/>
          <w:color w:val="000000"/>
          <w:highlight w:val="none"/>
        </w:rPr>
        <w:t xml:space="preserve">第二章  </w:t>
      </w:r>
      <w:bookmarkEnd w:id="1"/>
      <w:r/>
      <w:bookmarkEnd w:id="2"/>
      <w:r/>
      <w:bookmarkEnd w:id="3"/>
      <w:r/>
      <w:bookmarkEnd w:id="4"/>
      <w:r/>
      <w:bookmarkEnd w:id="5"/>
      <w:r/>
      <w:bookmarkEnd w:id="7"/>
      <w:r/>
      <w:bookmarkStart w:id="8" w:name="_Toc513029202"/>
      <w:r/>
      <w:bookmarkStart w:id="9" w:name="_Toc120614213"/>
      <w:r/>
      <w:bookmarkStart w:id="10" w:name="_Toc20823274"/>
      <w:r/>
      <w:bookmarkStart w:id="11" w:name="_Toc16938518"/>
      <w:r>
        <w:rPr>
          <w:rFonts w:hint="eastAsia" w:ascii="宋体" w:hAnsi="宋体" w:eastAsia="宋体" w:cs="宋体"/>
          <w:color w:val="000000"/>
          <w:highlight w:val="none"/>
        </w:rPr>
        <w:t xml:space="preserve">投标人须知</w:t>
      </w:r>
      <w:bookmarkEnd w:id="8"/>
      <w:r/>
      <w:bookmarkEnd w:id="9"/>
      <w:r/>
      <w:bookmarkEnd w:id="10"/>
      <w:r/>
      <w:bookmarkEnd w:id="11"/>
      <w:r>
        <w:rPr>
          <w:rFonts w:hint="eastAsia" w:ascii="宋体" w:hAnsi="宋体" w:eastAsia="宋体" w:cs="宋体"/>
          <w:b w:val="0"/>
          <w:bCs w:val="0"/>
          <w:color w:val="000000"/>
          <w:highlight w:val="none"/>
        </w:rPr>
      </w:r>
      <w:r/>
    </w:p>
    <w:p>
      <w:pPr>
        <w:pStyle w:val="747"/>
        <w:ind w:firstLine="321"/>
        <w:spacing w:before="145" w:after="145" w:line="360" w:lineRule="auto"/>
        <w:shd w:val="clear" w:color="auto" w:fill="auto"/>
        <w:rPr>
          <w:rFonts w:hint="eastAsia" w:ascii="宋体" w:hAnsi="宋体" w:cs="宋体"/>
          <w:color w:val="000000"/>
          <w:highlight w:val="none"/>
        </w:rPr>
      </w:pPr>
      <w:r/>
      <w:bookmarkStart w:id="12" w:name="_Toc16938519"/>
      <w:r/>
      <w:bookmarkStart w:id="13" w:name="_Toc20823275"/>
      <w:r/>
      <w:bookmarkStart w:id="14" w:name="_Toc120614214"/>
      <w:r/>
      <w:bookmarkStart w:id="15" w:name="_Toc513029203"/>
      <w:r>
        <w:rPr>
          <w:rFonts w:hint="eastAsia" w:ascii="宋体" w:hAnsi="宋体" w:cs="宋体"/>
          <w:color w:val="000000"/>
          <w:highlight w:val="none"/>
        </w:rPr>
        <w:t xml:space="preserve">一、总则</w:t>
      </w:r>
      <w:bookmarkEnd w:id="12"/>
      <w:r/>
      <w:bookmarkEnd w:id="13"/>
      <w:r/>
      <w:bookmarkEnd w:id="14"/>
      <w:r/>
      <w:bookmarkEnd w:id="15"/>
      <w:r>
        <w:rPr>
          <w:rFonts w:hint="eastAsia" w:ascii="宋体" w:hAnsi="宋体" w:cs="宋体"/>
          <w:color w:val="000000"/>
          <w:highlight w:val="none"/>
        </w:rPr>
      </w:r>
      <w:r/>
    </w:p>
    <w:p>
      <w:pPr>
        <w:pStyle w:val="748"/>
        <w:ind w:firstLine="420"/>
        <w:spacing w:before="0" w:after="0" w:line="240" w:lineRule="auto"/>
        <w:shd w:val="clear" w:color="auto" w:fill="auto"/>
        <w:rPr>
          <w:rFonts w:hint="eastAsia" w:ascii="宋体" w:hAnsi="宋体" w:eastAsia="宋体" w:cs="宋体"/>
          <w:b w:val="0"/>
          <w:bCs w:val="0"/>
          <w:color w:val="000000"/>
          <w:highlight w:val="none"/>
        </w:rPr>
      </w:pPr>
      <w:r/>
      <w:bookmarkStart w:id="16" w:name="_Hlt16619475"/>
      <w:r/>
      <w:bookmarkEnd w:id="16"/>
      <w:r/>
      <w:bookmarkStart w:id="17" w:name="_Toc458694821"/>
      <w:r/>
      <w:bookmarkStart w:id="18" w:name="_Toc513029204"/>
      <w:r/>
      <w:bookmarkStart w:id="19" w:name="_Toc20823276"/>
      <w:r/>
      <w:bookmarkStart w:id="20" w:name="_Toc16938520"/>
      <w:r>
        <w:rPr>
          <w:rFonts w:hint="eastAsia" w:ascii="宋体" w:hAnsi="宋体" w:eastAsia="宋体" w:cs="宋体"/>
          <w:b w:val="0"/>
          <w:bCs w:val="0"/>
          <w:color w:val="000000"/>
          <w:highlight w:val="none"/>
        </w:rPr>
        <w:t xml:space="preserve">1</w:t>
      </w:r>
      <w:bookmarkEnd w:id="17"/>
      <w:r>
        <w:rPr>
          <w:rFonts w:hint="eastAsia" w:ascii="宋体" w:hAnsi="宋体" w:eastAsia="宋体" w:cs="宋体"/>
          <w:b w:val="0"/>
          <w:bCs w:val="0"/>
          <w:color w:val="000000"/>
          <w:highlight w:val="none"/>
        </w:rPr>
        <w:t xml:space="preserve">、招标方式</w:t>
      </w:r>
      <w:bookmarkEnd w:id="18"/>
      <w:r/>
      <w:bookmarkEnd w:id="19"/>
      <w:r/>
      <w:bookmarkEnd w:id="20"/>
      <w:r>
        <w:rPr>
          <w:rFonts w:hint="eastAsia" w:ascii="宋体" w:hAnsi="宋体" w:eastAsia="宋体" w:cs="宋体"/>
          <w:b w:val="0"/>
          <w:bCs w:val="0"/>
          <w:color w:val="000000"/>
          <w:highlight w:val="none"/>
        </w:rPr>
      </w:r>
      <w:r/>
    </w:p>
    <w:p>
      <w:pPr>
        <w:pStyle w:val="74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1.1 本次招标采取公开招标方式，本招标文件仅适用于招标公告中所述项目。</w:t>
      </w:r>
      <w:r>
        <w:rPr>
          <w:rFonts w:hint="eastAsia" w:ascii="宋体" w:hAnsi="宋体" w:cs="宋体"/>
          <w:color w:val="000000"/>
          <w:sz w:val="24"/>
          <w:highlight w:val="none"/>
        </w:rPr>
      </w:r>
      <w:r/>
    </w:p>
    <w:p>
      <w:pPr>
        <w:pStyle w:val="748"/>
        <w:ind w:firstLine="420"/>
        <w:spacing w:before="0" w:after="0" w:line="240" w:lineRule="auto"/>
        <w:shd w:val="clear" w:color="auto" w:fill="auto"/>
        <w:rPr>
          <w:rFonts w:hint="eastAsia" w:ascii="宋体" w:hAnsi="宋体" w:eastAsia="宋体" w:cs="宋体"/>
          <w:b w:val="0"/>
          <w:bCs w:val="0"/>
          <w:color w:val="000000"/>
          <w:highlight w:val="none"/>
        </w:rPr>
      </w:pPr>
      <w:r/>
      <w:bookmarkStart w:id="21" w:name="_Toc20823277"/>
      <w:r/>
      <w:bookmarkStart w:id="22" w:name="_Toc16938521"/>
      <w:r/>
      <w:bookmarkStart w:id="23" w:name="_Toc513029205"/>
      <w:r>
        <w:rPr>
          <w:rFonts w:hint="eastAsia" w:ascii="宋体" w:hAnsi="宋体" w:eastAsia="宋体" w:cs="宋体"/>
          <w:b w:val="0"/>
          <w:bCs w:val="0"/>
          <w:color w:val="000000"/>
          <w:highlight w:val="none"/>
        </w:rPr>
        <w:t xml:space="preserve">2、合格的投标人</w:t>
      </w:r>
      <w:bookmarkEnd w:id="21"/>
      <w:r/>
      <w:bookmarkEnd w:id="22"/>
      <w:r/>
      <w:bookmarkEnd w:id="23"/>
      <w:r>
        <w:rPr>
          <w:rFonts w:hint="eastAsia" w:ascii="宋体" w:hAnsi="宋体" w:eastAsia="宋体" w:cs="宋体"/>
          <w:b w:val="0"/>
          <w:bCs w:val="0"/>
          <w:color w:val="000000"/>
          <w:highlight w:val="none"/>
        </w:rPr>
      </w:r>
      <w:r/>
    </w:p>
    <w:p>
      <w:pPr>
        <w:pStyle w:val="744"/>
        <w:ind w:firstLine="480"/>
        <w:spacing w:line="40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2.1满足招标公告中供应商的资格要求的规定。</w:t>
      </w:r>
      <w:r>
        <w:rPr>
          <w:rFonts w:hint="eastAsia" w:ascii="宋体" w:hAnsi="宋体" w:cs="宋体"/>
          <w:color w:val="000000"/>
          <w:sz w:val="24"/>
          <w:szCs w:val="24"/>
          <w:highlight w:val="none"/>
        </w:rPr>
      </w:r>
      <w:r/>
    </w:p>
    <w:p>
      <w:pPr>
        <w:pStyle w:val="744"/>
        <w:ind w:firstLine="480"/>
        <w:spacing w:line="40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2.2 满足本文件实质性条款的规定。</w:t>
      </w:r>
      <w:r>
        <w:rPr>
          <w:rFonts w:hint="eastAsia" w:ascii="宋体" w:hAnsi="宋体" w:cs="宋体"/>
          <w:color w:val="000000"/>
          <w:sz w:val="24"/>
          <w:szCs w:val="24"/>
          <w:highlight w:val="none"/>
        </w:rPr>
      </w:r>
      <w:r/>
    </w:p>
    <w:p>
      <w:pPr>
        <w:pStyle w:val="748"/>
        <w:ind w:firstLine="420"/>
        <w:spacing w:before="0" w:after="0" w:line="240" w:lineRule="auto"/>
        <w:shd w:val="clear" w:color="auto" w:fill="auto"/>
        <w:rPr>
          <w:rFonts w:hint="eastAsia" w:ascii="宋体" w:hAnsi="宋体" w:eastAsia="宋体" w:cs="宋体"/>
          <w:b w:val="0"/>
          <w:bCs w:val="0"/>
          <w:color w:val="000000"/>
          <w:highlight w:val="none"/>
        </w:rPr>
      </w:pPr>
      <w:r/>
      <w:bookmarkStart w:id="24" w:name="_Toc16938522"/>
      <w:r/>
      <w:bookmarkStart w:id="25" w:name="_Toc20823278"/>
      <w:r/>
      <w:bookmarkStart w:id="26" w:name="_Toc513029206"/>
      <w:r>
        <w:rPr>
          <w:rFonts w:hint="eastAsia" w:ascii="宋体" w:hAnsi="宋体" w:eastAsia="宋体" w:cs="宋体"/>
          <w:b w:val="0"/>
          <w:bCs w:val="0"/>
          <w:color w:val="000000"/>
          <w:highlight w:val="none"/>
        </w:rPr>
        <w:t xml:space="preserve">3、适用法律</w:t>
      </w:r>
      <w:bookmarkEnd w:id="24"/>
      <w:r/>
      <w:bookmarkEnd w:id="25"/>
      <w:r/>
      <w:bookmarkEnd w:id="26"/>
      <w:r>
        <w:rPr>
          <w:rFonts w:hint="eastAsia" w:ascii="宋体" w:hAnsi="宋体" w:eastAsia="宋体" w:cs="宋体"/>
          <w:b w:val="0"/>
          <w:bCs w:val="0"/>
          <w:color w:val="000000"/>
          <w:highlight w:val="none"/>
        </w:rPr>
      </w:r>
      <w:r/>
    </w:p>
    <w:p>
      <w:pPr>
        <w:pStyle w:val="744"/>
        <w:ind w:firstLine="480"/>
        <w:spacing w:line="4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3.1 本次招标及由此产生的合同受中华人民共和国有关的法律法规制约和保护。</w:t>
      </w:r>
      <w:r>
        <w:rPr>
          <w:rFonts w:hint="eastAsia" w:ascii="宋体" w:hAnsi="宋体" w:cs="宋体"/>
          <w:color w:val="000000"/>
          <w:sz w:val="24"/>
          <w:highlight w:val="none"/>
        </w:rPr>
      </w:r>
      <w:r/>
    </w:p>
    <w:p>
      <w:pPr>
        <w:pStyle w:val="748"/>
        <w:ind w:firstLine="420"/>
        <w:spacing w:before="0" w:after="0" w:line="240" w:lineRule="auto"/>
        <w:shd w:val="clear" w:color="auto" w:fill="auto"/>
        <w:rPr>
          <w:rFonts w:hint="eastAsia" w:ascii="宋体" w:hAnsi="宋体" w:eastAsia="宋体" w:cs="宋体"/>
          <w:b w:val="0"/>
          <w:bCs w:val="0"/>
          <w:color w:val="000000"/>
          <w:highlight w:val="none"/>
        </w:rPr>
      </w:pPr>
      <w:r/>
      <w:bookmarkStart w:id="27" w:name="_Toc462564067"/>
      <w:r/>
      <w:bookmarkStart w:id="28" w:name="_Toc513029207"/>
      <w:r/>
      <w:bookmarkStart w:id="29" w:name="_Toc16938523"/>
      <w:r/>
      <w:bookmarkStart w:id="30" w:name="_Toc20823279"/>
      <w:r>
        <w:rPr>
          <w:rFonts w:hint="eastAsia" w:ascii="宋体" w:hAnsi="宋体" w:eastAsia="宋体" w:cs="宋体"/>
          <w:b w:val="0"/>
          <w:bCs w:val="0"/>
          <w:color w:val="000000"/>
          <w:highlight w:val="none"/>
        </w:rPr>
        <w:t xml:space="preserve">4、投标费用</w:t>
      </w:r>
      <w:bookmarkEnd w:id="27"/>
      <w:r/>
      <w:bookmarkEnd w:id="28"/>
      <w:r/>
      <w:bookmarkEnd w:id="29"/>
      <w:r/>
      <w:bookmarkEnd w:id="30"/>
      <w:r>
        <w:rPr>
          <w:rFonts w:hint="eastAsia" w:ascii="宋体" w:hAnsi="宋体" w:eastAsia="宋体" w:cs="宋体"/>
          <w:b w:val="0"/>
          <w:bCs w:val="0"/>
          <w:color w:val="000000"/>
          <w:highlight w:val="none"/>
        </w:rPr>
      </w:r>
      <w:r/>
    </w:p>
    <w:p>
      <w:pPr>
        <w:pStyle w:val="74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4.1 投标人应自行承担所有与参加投标有关的费用，无论投标过程中的做法和结果如何，采购人在任何情况下均无义务和责任承担这些费用。</w:t>
      </w:r>
      <w:r>
        <w:rPr>
          <w:rFonts w:hint="eastAsia" w:ascii="宋体" w:hAnsi="宋体" w:cs="宋体"/>
          <w:color w:val="000000"/>
          <w:sz w:val="24"/>
          <w:highlight w:val="none"/>
        </w:rPr>
      </w:r>
      <w:r/>
    </w:p>
    <w:p>
      <w:pPr>
        <w:pStyle w:val="744"/>
        <w:ind w:firstLine="480"/>
        <w:spacing w:line="5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4.2本次招标采购，采购人不收取标书工本费。</w:t>
      </w:r>
      <w:r>
        <w:rPr>
          <w:rFonts w:ascii="宋体" w:hAnsi="宋体" w:cs="宋体"/>
          <w:color w:val="000000"/>
          <w:sz w:val="24"/>
          <w:highlight w:val="none"/>
        </w:rPr>
      </w:r>
      <w:r/>
    </w:p>
    <w:p>
      <w:pPr>
        <w:pStyle w:val="74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ascii="宋体" w:hAnsi="宋体" w:cs="宋体"/>
          <w:color w:val="000000"/>
          <w:sz w:val="24"/>
          <w:highlight w:val="none"/>
        </w:rPr>
        <w:t xml:space="preserve">.3</w:t>
      </w:r>
      <w:r>
        <w:rPr>
          <w:rFonts w:hint="eastAsia" w:ascii="宋体" w:hAnsi="宋体" w:cs="宋体"/>
          <w:color w:val="000000"/>
          <w:sz w:val="24"/>
          <w:highlight w:val="none"/>
        </w:rPr>
        <w:t xml:space="preserve">本项目招标代理费向中标单位收取，本项目各分包招标代理费按苏招协【2022】002号文件标准的40%收取，各投标单位报价时，须考虑以上费用。</w:t>
      </w:r>
      <w:r>
        <w:rPr>
          <w:rFonts w:hint="eastAsia" w:ascii="宋体" w:hAnsi="宋体" w:cs="宋体"/>
          <w:color w:val="000000"/>
          <w:sz w:val="24"/>
          <w:highlight w:val="none"/>
        </w:rPr>
      </w:r>
      <w:r/>
    </w:p>
    <w:p>
      <w:pPr>
        <w:pStyle w:val="748"/>
        <w:ind w:firstLine="452"/>
        <w:spacing w:before="0" w:after="0" w:line="480" w:lineRule="exact"/>
        <w:shd w:val="clear" w:color="auto" w:fill="auto"/>
        <w:rPr>
          <w:rFonts w:hint="eastAsia" w:ascii="宋体" w:hAnsi="宋体" w:eastAsia="宋体" w:cs="宋体"/>
          <w:b w:val="0"/>
          <w:bCs w:val="0"/>
          <w:color w:val="000000"/>
          <w:highlight w:val="none"/>
        </w:rPr>
      </w:pPr>
      <w:r>
        <w:rPr>
          <w:rFonts w:hint="eastAsia" w:ascii="宋体" w:hAnsi="宋体" w:eastAsia="宋体" w:cs="宋体"/>
          <w:color w:val="000000"/>
          <w:sz w:val="30"/>
          <w:highlight w:val="none"/>
        </w:rPr>
        <w:t xml:space="preserve">5、</w:t>
      </w:r>
      <w:r>
        <w:rPr>
          <w:rFonts w:hint="eastAsia" w:ascii="宋体" w:hAnsi="宋体" w:eastAsia="宋体" w:cs="宋体"/>
          <w:b w:val="0"/>
          <w:bCs w:val="0"/>
          <w:color w:val="000000"/>
          <w:highlight w:val="none"/>
        </w:rPr>
        <w:t xml:space="preserve">招标文件的约束力</w:t>
      </w:r>
      <w:r>
        <w:rPr>
          <w:rFonts w:hint="eastAsia" w:ascii="宋体" w:hAnsi="宋体" w:eastAsia="宋体" w:cs="宋体"/>
          <w:b w:val="0"/>
          <w:bCs w:val="0"/>
          <w:color w:val="000000"/>
          <w:highlight w:val="none"/>
        </w:rPr>
      </w:r>
      <w:r/>
    </w:p>
    <w:p>
      <w:pPr>
        <w:pStyle w:val="744"/>
        <w:ind w:firstLine="480"/>
        <w:spacing w:line="480" w:lineRule="exact"/>
        <w:shd w:val="clear" w:color="auto" w:fill="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5.1</w:t>
      </w:r>
      <w:r>
        <w:rPr>
          <w:rFonts w:hint="eastAsia" w:ascii="宋体" w:hAnsi="宋体" w:cs="宋体"/>
          <w:color w:val="000000"/>
          <w:sz w:val="24"/>
          <w:szCs w:val="24"/>
          <w:highlight w:val="none"/>
        </w:rPr>
        <w:t xml:space="preserve"> 投标人一旦参加本项目采购活动，即被认为接受了本招标文件的规定和约束，并且视为自招标公告期限届满之日起知道或应当知道自身权益是否受到了损害。</w:t>
      </w:r>
      <w:r>
        <w:rPr>
          <w:rFonts w:hint="eastAsia" w:ascii="宋体" w:hAnsi="宋体" w:cs="宋体"/>
          <w:color w:val="000000"/>
          <w:sz w:val="24"/>
          <w:szCs w:val="24"/>
          <w:highlight w:val="none"/>
        </w:rPr>
      </w:r>
      <w:r/>
    </w:p>
    <w:p>
      <w:pPr>
        <w:pStyle w:val="748"/>
        <w:ind w:firstLine="420"/>
        <w:spacing w:before="0" w:after="0" w:line="480" w:lineRule="exact"/>
        <w:shd w:val="clear" w:color="auto" w:fill="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6、招标文件的解释</w:t>
      </w:r>
      <w:r>
        <w:rPr>
          <w:rFonts w:hint="eastAsia" w:ascii="宋体" w:hAnsi="宋体" w:eastAsia="宋体" w:cs="宋体"/>
          <w:b w:val="0"/>
          <w:bCs w:val="0"/>
          <w:color w:val="000000"/>
          <w:highlight w:val="none"/>
        </w:rPr>
      </w:r>
      <w:r/>
    </w:p>
    <w:p>
      <w:pPr>
        <w:pStyle w:val="744"/>
        <w:ind w:firstLine="480"/>
        <w:spacing w:line="480" w:lineRule="exact"/>
        <w:shd w:val="clear" w:color="auto" w:fill="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6.1 本招标文件由</w:t>
      </w:r>
      <w:r>
        <w:rPr>
          <w:rFonts w:hint="eastAsia" w:ascii="宋体" w:hAnsi="宋体" w:cs="宋体"/>
          <w:bCs/>
          <w:color w:val="000000"/>
          <w:sz w:val="24"/>
          <w:highlight w:val="none"/>
        </w:rPr>
        <w:t xml:space="preserve">采购人</w:t>
      </w:r>
      <w:r>
        <w:rPr>
          <w:rFonts w:hint="eastAsia" w:ascii="宋体" w:hAnsi="宋体" w:cs="宋体"/>
          <w:bCs/>
          <w:color w:val="000000"/>
          <w:sz w:val="24"/>
          <w:szCs w:val="24"/>
          <w:highlight w:val="none"/>
        </w:rPr>
        <w:t xml:space="preserve">负责解释。</w:t>
      </w:r>
      <w:r>
        <w:rPr>
          <w:rFonts w:hint="eastAsia" w:ascii="宋体" w:hAnsi="宋体" w:cs="宋体"/>
          <w:bCs/>
          <w:color w:val="000000"/>
          <w:sz w:val="24"/>
          <w:szCs w:val="24"/>
          <w:highlight w:val="none"/>
        </w:rPr>
      </w:r>
      <w:r/>
    </w:p>
    <w:p>
      <w:pPr>
        <w:pStyle w:val="747"/>
        <w:ind w:firstLine="321"/>
        <w:spacing w:before="145" w:after="145" w:line="360" w:lineRule="auto"/>
        <w:shd w:val="clear" w:color="auto" w:fill="auto"/>
        <w:rPr>
          <w:rFonts w:hint="eastAsia" w:ascii="宋体" w:hAnsi="宋体" w:cs="宋体"/>
          <w:color w:val="000000"/>
          <w:highlight w:val="none"/>
        </w:rPr>
      </w:pPr>
      <w:r/>
      <w:bookmarkStart w:id="31" w:name="_Toc513029209"/>
      <w:r/>
      <w:bookmarkStart w:id="32" w:name="_Toc120614215"/>
      <w:r/>
      <w:bookmarkStart w:id="33" w:name="_Toc16938525"/>
      <w:r/>
      <w:bookmarkStart w:id="34" w:name="_Toc20823281"/>
      <w:r>
        <w:rPr>
          <w:rFonts w:hint="eastAsia" w:ascii="宋体" w:hAnsi="宋体" w:cs="宋体"/>
          <w:color w:val="000000"/>
          <w:highlight w:val="none"/>
        </w:rPr>
        <w:t xml:space="preserve">二、招标文件</w:t>
      </w:r>
      <w:bookmarkEnd w:id="31"/>
      <w:r/>
      <w:bookmarkEnd w:id="32"/>
      <w:r/>
      <w:bookmarkEnd w:id="33"/>
      <w:r/>
      <w:bookmarkEnd w:id="34"/>
      <w:r>
        <w:rPr>
          <w:rFonts w:hint="eastAsia" w:ascii="宋体" w:hAnsi="宋体" w:cs="宋体"/>
          <w:color w:val="000000"/>
          <w:highlight w:val="none"/>
        </w:rPr>
      </w:r>
      <w:r/>
    </w:p>
    <w:p>
      <w:pPr>
        <w:pStyle w:val="748"/>
        <w:ind w:firstLine="420"/>
        <w:spacing w:before="0" w:after="0" w:line="240" w:lineRule="auto"/>
        <w:shd w:val="clear" w:color="auto" w:fill="auto"/>
        <w:rPr>
          <w:rFonts w:hint="eastAsia" w:ascii="宋体" w:hAnsi="宋体" w:eastAsia="宋体" w:cs="宋体"/>
          <w:b w:val="0"/>
          <w:bCs w:val="0"/>
          <w:color w:val="000000"/>
          <w:highlight w:val="none"/>
        </w:rPr>
      </w:pPr>
      <w:r/>
      <w:bookmarkStart w:id="35" w:name="_Toc513029210"/>
      <w:r/>
      <w:bookmarkStart w:id="36" w:name="_Toc16938526"/>
      <w:r/>
      <w:bookmarkStart w:id="37" w:name="_Toc20823282"/>
      <w:r>
        <w:rPr>
          <w:rFonts w:hint="eastAsia" w:ascii="宋体" w:hAnsi="宋体" w:eastAsia="宋体" w:cs="宋体"/>
          <w:b w:val="0"/>
          <w:bCs w:val="0"/>
          <w:color w:val="000000"/>
          <w:highlight w:val="none"/>
        </w:rPr>
        <w:t xml:space="preserve">7、招标文件构成</w:t>
      </w:r>
      <w:bookmarkEnd w:id="35"/>
      <w:r/>
      <w:bookmarkEnd w:id="36"/>
      <w:r/>
      <w:bookmarkEnd w:id="37"/>
      <w:r>
        <w:rPr>
          <w:rFonts w:hint="eastAsia" w:ascii="宋体" w:hAnsi="宋体" w:eastAsia="宋体" w:cs="宋体"/>
          <w:b w:val="0"/>
          <w:bCs w:val="0"/>
          <w:color w:val="000000"/>
          <w:highlight w:val="none"/>
        </w:rPr>
      </w:r>
      <w:r/>
    </w:p>
    <w:p>
      <w:pPr>
        <w:pStyle w:val="74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7.1 招标文件有以下部分组成：</w:t>
      </w:r>
      <w:r>
        <w:rPr>
          <w:rFonts w:hint="eastAsia" w:ascii="宋体" w:hAnsi="宋体" w:cs="宋体"/>
          <w:color w:val="000000"/>
          <w:sz w:val="24"/>
          <w:highlight w:val="none"/>
        </w:rPr>
      </w:r>
      <w:r/>
    </w:p>
    <w:p>
      <w:pPr>
        <w:pStyle w:val="74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（1）招标公告</w:t>
      </w:r>
      <w:r>
        <w:rPr>
          <w:rFonts w:hint="eastAsia" w:ascii="宋体" w:hAnsi="宋体" w:cs="宋体"/>
          <w:color w:val="000000"/>
          <w:sz w:val="24"/>
          <w:highlight w:val="none"/>
        </w:rPr>
      </w:r>
      <w:r/>
    </w:p>
    <w:p>
      <w:pPr>
        <w:pStyle w:val="74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（2）投标人须知</w:t>
      </w:r>
      <w:r>
        <w:rPr>
          <w:rFonts w:hint="eastAsia" w:ascii="宋体" w:hAnsi="宋体" w:cs="宋体"/>
          <w:color w:val="000000"/>
          <w:sz w:val="24"/>
          <w:highlight w:val="none"/>
        </w:rPr>
      </w:r>
      <w:r/>
    </w:p>
    <w:p>
      <w:pPr>
        <w:pStyle w:val="74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（3）合同条款及格式</w:t>
      </w:r>
      <w:r>
        <w:rPr>
          <w:rFonts w:hint="eastAsia" w:ascii="宋体" w:hAnsi="宋体" w:cs="宋体"/>
          <w:color w:val="000000"/>
          <w:sz w:val="24"/>
          <w:highlight w:val="none"/>
        </w:rPr>
      </w:r>
      <w:r/>
    </w:p>
    <w:p>
      <w:pPr>
        <w:pStyle w:val="74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（4）项目需求</w:t>
      </w:r>
      <w:r>
        <w:rPr>
          <w:rFonts w:hint="eastAsia" w:ascii="宋体" w:hAnsi="宋体" w:cs="宋体"/>
          <w:color w:val="000000"/>
          <w:sz w:val="24"/>
          <w:highlight w:val="none"/>
        </w:rPr>
      </w:r>
      <w:r/>
    </w:p>
    <w:p>
      <w:pPr>
        <w:pStyle w:val="74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（5）评标方法与评标标准</w:t>
      </w:r>
      <w:r>
        <w:rPr>
          <w:rFonts w:hint="eastAsia" w:ascii="宋体" w:hAnsi="宋体" w:cs="宋体"/>
          <w:color w:val="000000"/>
          <w:sz w:val="24"/>
          <w:highlight w:val="none"/>
        </w:rPr>
      </w:r>
      <w:r/>
    </w:p>
    <w:p>
      <w:pPr>
        <w:pStyle w:val="74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（6）投标文件格式</w:t>
      </w:r>
      <w:r>
        <w:rPr>
          <w:rFonts w:hint="eastAsia" w:ascii="宋体" w:hAnsi="宋体" w:cs="宋体"/>
          <w:color w:val="000000"/>
          <w:sz w:val="24"/>
          <w:highlight w:val="none"/>
        </w:rPr>
      </w:r>
      <w:r/>
    </w:p>
    <w:p>
      <w:pPr>
        <w:pStyle w:val="74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请仔细检查招标文件是否齐全，如有缺漏请立即与采购人联系解决。</w:t>
      </w:r>
      <w:r>
        <w:rPr>
          <w:rFonts w:hint="eastAsia" w:ascii="宋体" w:hAnsi="宋体" w:cs="宋体"/>
          <w:color w:val="000000"/>
          <w:sz w:val="24"/>
          <w:highlight w:val="none"/>
        </w:rPr>
      </w:r>
      <w:r/>
    </w:p>
    <w:p>
      <w:pPr>
        <w:pStyle w:val="744"/>
        <w:ind w:firstLine="480"/>
        <w:spacing w:line="500" w:lineRule="exact"/>
        <w:shd w:val="clear" w:color="auto" w:fill="auto"/>
        <w:rPr>
          <w:rFonts w:hint="eastAsia" w:ascii="宋体" w:hAnsi="宋体" w:cs="宋体"/>
          <w:color w:val="000000"/>
          <w:sz w:val="24"/>
          <w:highlight w:val="none"/>
        </w:rPr>
      </w:pPr>
      <w:r>
        <w:rPr>
          <w:rFonts w:hint="eastAsia" w:ascii="宋体" w:hAnsi="宋体" w:cs="宋体"/>
          <w:bCs/>
          <w:color w:val="000000"/>
          <w:sz w:val="24"/>
          <w:highlight w:val="none"/>
        </w:rPr>
        <w:t xml:space="preserve">7.2</w:t>
      </w:r>
      <w:r>
        <w:rPr>
          <w:rFonts w:hint="eastAsia" w:ascii="宋体" w:hAnsi="宋体" w:cs="宋体"/>
          <w:color w:val="000000"/>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s="宋体"/>
          <w:color w:val="000000"/>
          <w:sz w:val="24"/>
          <w:highlight w:val="none"/>
        </w:rPr>
      </w:r>
      <w:r/>
    </w:p>
    <w:p>
      <w:pPr>
        <w:pStyle w:val="748"/>
        <w:ind w:firstLine="420"/>
        <w:spacing w:before="0" w:after="0" w:line="240" w:lineRule="auto"/>
        <w:shd w:val="clear" w:color="auto" w:fill="auto"/>
        <w:rPr>
          <w:rFonts w:hint="eastAsia" w:ascii="宋体" w:hAnsi="宋体" w:eastAsia="宋体" w:cs="宋体"/>
          <w:b w:val="0"/>
          <w:bCs w:val="0"/>
          <w:color w:val="000000"/>
          <w:highlight w:val="none"/>
        </w:rPr>
      </w:pPr>
      <w:r/>
      <w:bookmarkStart w:id="38" w:name="_Toc513029211"/>
      <w:r/>
      <w:bookmarkStart w:id="39" w:name="_Toc20823283"/>
      <w:r/>
      <w:bookmarkStart w:id="40" w:name="_Toc462564070"/>
      <w:r/>
      <w:bookmarkStart w:id="41" w:name="_Toc16938527"/>
      <w:r>
        <w:rPr>
          <w:rFonts w:hint="eastAsia" w:ascii="宋体" w:hAnsi="宋体" w:eastAsia="宋体" w:cs="宋体"/>
          <w:b w:val="0"/>
          <w:bCs w:val="0"/>
          <w:color w:val="000000"/>
          <w:highlight w:val="none"/>
        </w:rPr>
        <w:t xml:space="preserve">8、招标文件的</w:t>
      </w:r>
      <w:bookmarkEnd w:id="38"/>
      <w:r/>
      <w:bookmarkEnd w:id="39"/>
      <w:r/>
      <w:bookmarkEnd w:id="40"/>
      <w:r/>
      <w:bookmarkEnd w:id="41"/>
      <w:r>
        <w:rPr>
          <w:rFonts w:hint="eastAsia" w:ascii="宋体" w:hAnsi="宋体" w:eastAsia="宋体" w:cs="宋体"/>
          <w:b w:val="0"/>
          <w:bCs w:val="0"/>
          <w:color w:val="000000"/>
          <w:highlight w:val="none"/>
        </w:rPr>
        <w:t xml:space="preserve">询问</w:t>
      </w:r>
      <w:r>
        <w:rPr>
          <w:rFonts w:hint="eastAsia" w:ascii="宋体" w:hAnsi="宋体" w:eastAsia="宋体" w:cs="宋体"/>
          <w:b w:val="0"/>
          <w:bCs w:val="0"/>
          <w:color w:val="000000"/>
          <w:highlight w:val="none"/>
        </w:rPr>
      </w:r>
      <w:r/>
    </w:p>
    <w:p>
      <w:pPr>
        <w:pStyle w:val="744"/>
        <w:ind w:firstLine="480"/>
        <w:spacing w:line="480" w:lineRule="exact"/>
        <w:shd w:val="clear" w:color="auto" w:fill="auto"/>
        <w:rPr>
          <w:rFonts w:hint="eastAsia" w:ascii="宋体" w:hAnsi="宋体" w:cs="宋体"/>
          <w:color w:val="000000"/>
          <w:sz w:val="24"/>
          <w:szCs w:val="24"/>
          <w:highlight w:val="none"/>
        </w:rPr>
      </w:pPr>
      <w:r>
        <w:rPr>
          <w:rFonts w:hint="eastAsia" w:ascii="宋体" w:hAnsi="宋体" w:cs="宋体"/>
          <w:bCs/>
          <w:color w:val="000000"/>
          <w:sz w:val="24"/>
          <w:highlight w:val="none"/>
        </w:rPr>
        <w:t xml:space="preserve">8.1</w:t>
      </w:r>
      <w:r>
        <w:rPr>
          <w:rFonts w:hint="eastAsia" w:ascii="宋体" w:hAnsi="宋体" w:cs="宋体"/>
          <w:color w:val="000000"/>
          <w:sz w:val="24"/>
          <w:highlight w:val="none"/>
        </w:rPr>
        <w:t xml:space="preserve"> 任何要求对招标文件进行询问的投标人，应在投标截止日期</w:t>
      </w:r>
      <w:r>
        <w:rPr>
          <w:rFonts w:hint="eastAsia" w:ascii="宋体" w:hAnsi="宋体" w:cs="宋体"/>
          <w:b/>
          <w:color w:val="000000"/>
          <w:sz w:val="24"/>
          <w:szCs w:val="24"/>
          <w:highlight w:val="none"/>
        </w:rPr>
        <w:t xml:space="preserve">十日</w:t>
      </w:r>
      <w:r>
        <w:rPr>
          <w:rFonts w:hint="eastAsia" w:ascii="宋体" w:hAnsi="宋体" w:cs="宋体"/>
          <w:color w:val="000000"/>
          <w:sz w:val="24"/>
          <w:szCs w:val="24"/>
          <w:highlight w:val="none"/>
        </w:rPr>
        <w:t xml:space="preserve">前</w:t>
      </w:r>
      <w:r>
        <w:rPr>
          <w:rFonts w:hint="eastAsia" w:ascii="宋体" w:hAnsi="宋体" w:cs="宋体"/>
          <w:color w:val="000000"/>
          <w:sz w:val="24"/>
          <w:highlight w:val="none"/>
        </w:rPr>
        <w:t xml:space="preserve">按招标公告中的通讯地址，向采购人提出。</w:t>
      </w:r>
      <w:r>
        <w:rPr>
          <w:rFonts w:hint="eastAsia" w:ascii="宋体" w:hAnsi="宋体" w:cs="宋体"/>
          <w:color w:val="000000"/>
          <w:sz w:val="24"/>
          <w:szCs w:val="24"/>
          <w:highlight w:val="none"/>
        </w:rPr>
      </w:r>
      <w:r/>
    </w:p>
    <w:p>
      <w:pPr>
        <w:pStyle w:val="748"/>
        <w:ind w:firstLine="420"/>
        <w:spacing w:before="0" w:after="0" w:line="240" w:lineRule="auto"/>
        <w:shd w:val="clear" w:color="auto" w:fill="auto"/>
        <w:rPr>
          <w:rFonts w:hint="eastAsia" w:ascii="宋体" w:hAnsi="宋体" w:eastAsia="宋体" w:cs="宋体"/>
          <w:b w:val="0"/>
          <w:bCs w:val="0"/>
          <w:color w:val="000000"/>
          <w:highlight w:val="none"/>
        </w:rPr>
      </w:pPr>
      <w:r/>
      <w:bookmarkStart w:id="42" w:name="_Toc462564071"/>
      <w:r/>
      <w:bookmarkStart w:id="43" w:name="_Toc16938528"/>
      <w:r/>
      <w:bookmarkStart w:id="44" w:name="_Toc513029212"/>
      <w:r/>
      <w:bookmarkStart w:id="45" w:name="_Toc20823284"/>
      <w:r>
        <w:rPr>
          <w:rFonts w:hint="eastAsia" w:ascii="宋体" w:hAnsi="宋体" w:eastAsia="宋体" w:cs="宋体"/>
          <w:b w:val="0"/>
          <w:bCs w:val="0"/>
          <w:color w:val="000000"/>
          <w:highlight w:val="none"/>
        </w:rPr>
        <w:t xml:space="preserve">9、招标文件的修改</w:t>
      </w:r>
      <w:bookmarkEnd w:id="42"/>
      <w:r/>
      <w:bookmarkEnd w:id="43"/>
      <w:r/>
      <w:bookmarkEnd w:id="44"/>
      <w:r/>
      <w:bookmarkEnd w:id="45"/>
      <w:r>
        <w:rPr>
          <w:rFonts w:hint="eastAsia" w:ascii="宋体" w:hAnsi="宋体" w:eastAsia="宋体" w:cs="宋体"/>
          <w:b w:val="0"/>
          <w:bCs w:val="0"/>
          <w:color w:val="000000"/>
          <w:highlight w:val="none"/>
        </w:rPr>
      </w:r>
      <w:r/>
    </w:p>
    <w:p>
      <w:pPr>
        <w:pStyle w:val="74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9.1 在投标截止时间前，采购人可以对招标文件进行修改。</w:t>
      </w:r>
      <w:r>
        <w:rPr>
          <w:rFonts w:hint="eastAsia" w:ascii="宋体" w:hAnsi="宋体" w:cs="宋体"/>
          <w:color w:val="000000"/>
          <w:sz w:val="24"/>
          <w:highlight w:val="none"/>
        </w:rPr>
      </w:r>
      <w:r/>
    </w:p>
    <w:p>
      <w:pPr>
        <w:pStyle w:val="74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9.2采购人有权依法推迟投标截止日期和开标日期。</w:t>
      </w:r>
      <w:r>
        <w:rPr>
          <w:rFonts w:hint="eastAsia" w:ascii="宋体" w:hAnsi="宋体" w:cs="宋体"/>
          <w:color w:val="000000"/>
          <w:sz w:val="24"/>
          <w:highlight w:val="none"/>
        </w:rPr>
      </w:r>
      <w:r/>
    </w:p>
    <w:p>
      <w:pPr>
        <w:pStyle w:val="74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9.3招标文件的澄清或者修改的内容将在</w:t>
      </w:r>
      <w:r>
        <w:rPr>
          <w:rFonts w:hint="eastAsia" w:ascii="宋体" w:hAnsi="宋体"/>
          <w:color w:val="000000"/>
          <w:sz w:val="24"/>
          <w:szCs w:val="24"/>
          <w:highlight w:val="none"/>
        </w:rPr>
        <w:t xml:space="preserve">“中国政府采购网”、 “江苏政府采购网”、“盐城市政府采购网”</w:t>
      </w:r>
      <w:r>
        <w:rPr>
          <w:rFonts w:hint="eastAsia" w:ascii="宋体" w:hAnsi="宋体" w:cs="宋体"/>
          <w:color w:val="000000"/>
          <w:sz w:val="24"/>
          <w:highlight w:val="none"/>
        </w:rPr>
        <w:t xml:space="preserve">公布，澄清或者修改的内容将作为招标文件的组成部分，并对投标人具有约束力。</w:t>
      </w:r>
      <w:r>
        <w:rPr>
          <w:rFonts w:hint="eastAsia" w:ascii="宋体" w:hAnsi="宋体" w:cs="宋体"/>
          <w:color w:val="000000"/>
          <w:sz w:val="24"/>
          <w:highlight w:val="none"/>
        </w:rPr>
      </w:r>
      <w:r/>
    </w:p>
    <w:p>
      <w:pPr>
        <w:pStyle w:val="747"/>
        <w:ind w:firstLine="321"/>
        <w:spacing w:before="145" w:after="145" w:line="360" w:lineRule="auto"/>
        <w:shd w:val="clear" w:color="auto" w:fill="auto"/>
        <w:rPr>
          <w:rFonts w:hint="eastAsia" w:ascii="宋体" w:hAnsi="宋体" w:cs="宋体"/>
          <w:color w:val="000000"/>
          <w:highlight w:val="none"/>
        </w:rPr>
      </w:pPr>
      <w:r/>
      <w:bookmarkStart w:id="46" w:name="_Toc462564072"/>
      <w:r/>
      <w:bookmarkStart w:id="47" w:name="_Toc16938529"/>
      <w:r/>
      <w:bookmarkStart w:id="48" w:name="_Toc513029213"/>
      <w:r/>
      <w:bookmarkStart w:id="49" w:name="_Toc120614216"/>
      <w:r/>
      <w:bookmarkStart w:id="50" w:name="_Toc20823285"/>
      <w:r>
        <w:rPr>
          <w:rFonts w:hint="eastAsia" w:ascii="宋体" w:hAnsi="宋体" w:cs="宋体"/>
          <w:color w:val="000000"/>
          <w:highlight w:val="none"/>
        </w:rPr>
        <w:t xml:space="preserve">三、投标文件的编制</w:t>
      </w:r>
      <w:bookmarkEnd w:id="46"/>
      <w:r/>
      <w:bookmarkEnd w:id="47"/>
      <w:r/>
      <w:bookmarkEnd w:id="48"/>
      <w:r/>
      <w:bookmarkEnd w:id="49"/>
      <w:r/>
      <w:bookmarkEnd w:id="50"/>
      <w:r>
        <w:rPr>
          <w:rFonts w:hint="eastAsia" w:ascii="宋体" w:hAnsi="宋体" w:cs="宋体"/>
          <w:color w:val="000000"/>
          <w:highlight w:val="none"/>
        </w:rPr>
      </w:r>
      <w:r/>
    </w:p>
    <w:p>
      <w:pPr>
        <w:pStyle w:val="748"/>
        <w:ind w:firstLine="420"/>
        <w:spacing w:before="0" w:after="0" w:line="240" w:lineRule="auto"/>
        <w:shd w:val="clear" w:color="auto" w:fill="auto"/>
        <w:rPr>
          <w:rFonts w:hint="eastAsia" w:ascii="宋体" w:hAnsi="宋体" w:eastAsia="宋体" w:cs="宋体"/>
          <w:bCs w:val="0"/>
          <w:color w:val="000000"/>
          <w:highlight w:val="none"/>
        </w:rPr>
      </w:pPr>
      <w:r/>
      <w:bookmarkStart w:id="51" w:name="_Toc20823286"/>
      <w:r/>
      <w:bookmarkStart w:id="52" w:name="_Toc16938530"/>
      <w:r/>
      <w:bookmarkStart w:id="53" w:name="_Toc462564073"/>
      <w:r/>
      <w:bookmarkStart w:id="54" w:name="_Toc513029214"/>
      <w:r>
        <w:rPr>
          <w:rFonts w:hint="eastAsia" w:ascii="宋体" w:hAnsi="宋体" w:eastAsia="宋体" w:cs="宋体"/>
          <w:b w:val="0"/>
          <w:bCs w:val="0"/>
          <w:color w:val="000000"/>
          <w:highlight w:val="none"/>
        </w:rPr>
        <w:t xml:space="preserve">10、投标文件的语言及度量衡单位</w:t>
      </w:r>
      <w:bookmarkEnd w:id="51"/>
      <w:r/>
      <w:bookmarkEnd w:id="52"/>
      <w:r/>
      <w:bookmarkEnd w:id="53"/>
      <w:r/>
      <w:bookmarkEnd w:id="54"/>
      <w:r>
        <w:rPr>
          <w:rFonts w:hint="eastAsia" w:ascii="宋体" w:hAnsi="宋体" w:eastAsia="宋体" w:cs="宋体"/>
          <w:bCs w:val="0"/>
          <w:color w:val="000000"/>
          <w:highlight w:val="none"/>
        </w:rPr>
      </w:r>
      <w:r/>
    </w:p>
    <w:p>
      <w:pPr>
        <w:pStyle w:val="744"/>
        <w:ind w:firstLine="480"/>
        <w:spacing w:line="500" w:lineRule="exact"/>
        <w:shd w:val="clear" w:color="auto" w:fill="auto"/>
        <w:rPr>
          <w:rFonts w:hint="eastAsia" w:ascii="宋体" w:hAnsi="宋体" w:cs="宋体"/>
          <w:color w:val="000000"/>
          <w:sz w:val="24"/>
          <w:highlight w:val="none"/>
        </w:rPr>
      </w:pPr>
      <w:r>
        <w:rPr>
          <w:rFonts w:hint="eastAsia" w:ascii="宋体" w:hAnsi="宋体" w:cs="宋体"/>
          <w:bCs/>
          <w:color w:val="000000"/>
          <w:sz w:val="24"/>
          <w:highlight w:val="none"/>
        </w:rPr>
        <w:t xml:space="preserve">10.1</w:t>
      </w:r>
      <w:r>
        <w:rPr>
          <w:rFonts w:hint="eastAsia" w:ascii="宋体" w:hAnsi="宋体" w:cs="宋体"/>
          <w:color w:val="000000"/>
          <w:sz w:val="24"/>
          <w:highlight w:val="none"/>
        </w:rPr>
        <w:t xml:space="preserve"> 投标人提交的投标文件以及投标人与采购人就有关投标的所有来往通知、函件和文件均应使用</w:t>
      </w:r>
      <w:r>
        <w:rPr>
          <w:rFonts w:hint="eastAsia" w:ascii="宋体" w:hAnsi="宋体" w:cs="宋体"/>
          <w:b/>
          <w:bCs/>
          <w:color w:val="000000"/>
          <w:sz w:val="24"/>
          <w:highlight w:val="none"/>
        </w:rPr>
        <w:t xml:space="preserve">简体中文</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744"/>
        <w:ind w:firstLine="480"/>
        <w:spacing w:line="500" w:lineRule="exact"/>
        <w:shd w:val="clear" w:color="auto" w:fill="auto"/>
        <w:rPr>
          <w:rFonts w:hint="eastAsia" w:ascii="宋体" w:hAnsi="宋体" w:cs="宋体"/>
          <w:color w:val="000000"/>
          <w:sz w:val="24"/>
          <w:highlight w:val="none"/>
        </w:rPr>
      </w:pPr>
      <w:r>
        <w:rPr>
          <w:rFonts w:hint="eastAsia" w:ascii="宋体" w:hAnsi="宋体" w:cs="宋体"/>
          <w:bCs/>
          <w:color w:val="000000"/>
          <w:sz w:val="24"/>
          <w:highlight w:val="none"/>
        </w:rPr>
        <w:t xml:space="preserve">10.2</w:t>
      </w:r>
      <w:r>
        <w:rPr>
          <w:rFonts w:hint="eastAsia" w:ascii="宋体" w:hAnsi="宋体" w:cs="宋体"/>
          <w:color w:val="000000"/>
          <w:sz w:val="24"/>
          <w:highlight w:val="none"/>
        </w:rPr>
        <w:t xml:space="preserve"> 除技术性能另有规定外，投标文件所使用的度量衡单位，均须采用国家法定计量单位。</w:t>
      </w:r>
      <w:r>
        <w:rPr>
          <w:rFonts w:hint="eastAsia" w:ascii="宋体" w:hAnsi="宋体" w:cs="宋体"/>
          <w:color w:val="000000"/>
          <w:sz w:val="24"/>
          <w:highlight w:val="none"/>
        </w:rPr>
      </w:r>
      <w:r/>
    </w:p>
    <w:p>
      <w:pPr>
        <w:pStyle w:val="748"/>
        <w:ind w:firstLine="420"/>
        <w:spacing w:before="0" w:after="0" w:line="240" w:lineRule="auto"/>
        <w:shd w:val="clear" w:color="auto" w:fill="auto"/>
        <w:rPr>
          <w:rFonts w:hint="eastAsia" w:ascii="宋体" w:hAnsi="宋体" w:eastAsia="宋体" w:cs="宋体"/>
          <w:b w:val="0"/>
          <w:bCs w:val="0"/>
          <w:color w:val="000000"/>
          <w:highlight w:val="none"/>
        </w:rPr>
      </w:pPr>
      <w:r/>
      <w:bookmarkStart w:id="55" w:name="_Toc16938531"/>
      <w:r/>
      <w:bookmarkStart w:id="56" w:name="_Toc20823287"/>
      <w:r/>
      <w:bookmarkStart w:id="57" w:name="_Toc513029215"/>
      <w:r/>
      <w:bookmarkStart w:id="58" w:name="_Toc462564074"/>
      <w:r>
        <w:rPr>
          <w:rFonts w:hint="eastAsia" w:ascii="宋体" w:hAnsi="宋体" w:eastAsia="宋体" w:cs="宋体"/>
          <w:b w:val="0"/>
          <w:bCs w:val="0"/>
          <w:color w:val="000000"/>
          <w:highlight w:val="none"/>
        </w:rPr>
        <w:t xml:space="preserve">11、投标文件构成</w:t>
      </w:r>
      <w:bookmarkEnd w:id="55"/>
      <w:r/>
      <w:bookmarkEnd w:id="56"/>
      <w:r/>
      <w:bookmarkEnd w:id="57"/>
      <w:r/>
      <w:bookmarkEnd w:id="58"/>
      <w:r>
        <w:rPr>
          <w:rFonts w:hint="eastAsia" w:ascii="宋体" w:hAnsi="宋体" w:eastAsia="宋体" w:cs="宋体"/>
          <w:b w:val="0"/>
          <w:bCs w:val="0"/>
          <w:color w:val="000000"/>
          <w:highlight w:val="none"/>
        </w:rPr>
      </w:r>
      <w:r/>
    </w:p>
    <w:p>
      <w:pPr>
        <w:pStyle w:val="744"/>
        <w:ind w:firstLine="480"/>
        <w:spacing w:line="500" w:lineRule="exact"/>
        <w:shd w:val="clear" w:color="auto" w:fill="auto"/>
        <w:rPr>
          <w:rFonts w:hint="eastAsia" w:ascii="宋体" w:hAnsi="宋体" w:cs="宋体"/>
          <w:color w:val="000000"/>
          <w:sz w:val="24"/>
          <w:highlight w:val="none"/>
        </w:rPr>
      </w:pPr>
      <w:r/>
      <w:bookmarkStart w:id="59" w:name="_Hlt26670360"/>
      <w:r/>
      <w:bookmarkEnd w:id="59"/>
      <w:r/>
      <w:bookmarkStart w:id="60" w:name="_Hlt26668975"/>
      <w:r/>
      <w:bookmarkEnd w:id="60"/>
      <w:r/>
      <w:bookmarkStart w:id="61" w:name="_Hlt26954838"/>
      <w:r/>
      <w:bookmarkEnd w:id="61"/>
      <w:r/>
      <w:bookmarkStart w:id="62" w:name="_Toc513029219"/>
      <w:r/>
      <w:bookmarkStart w:id="63" w:name="_Toc49090509"/>
      <w:r/>
      <w:bookmarkStart w:id="64" w:name="_Toc14577357"/>
      <w:r/>
      <w:bookmarkStart w:id="65" w:name="_Toc513029216"/>
      <w:r/>
      <w:bookmarkStart w:id="66" w:name="_Toc49090507"/>
      <w:r/>
      <w:bookmarkStart w:id="67" w:name="_Toc14577354"/>
      <w:r>
        <w:rPr>
          <w:rFonts w:hint="eastAsia" w:ascii="宋体" w:hAnsi="宋体" w:cs="宋体"/>
          <w:color w:val="000000"/>
          <w:sz w:val="24"/>
          <w:highlight w:val="none"/>
        </w:rPr>
        <w:t xml:space="preserve">11.1 投标文件至少应提交（包含并不限于）以下投标材料：(请各单位根据实际情况进行调整)</w:t>
      </w:r>
      <w:r>
        <w:rPr>
          <w:rFonts w:hint="eastAsia" w:ascii="宋体" w:hAnsi="宋体" w:cs="宋体"/>
          <w:color w:val="000000"/>
          <w:sz w:val="24"/>
          <w:highlight w:val="none"/>
        </w:rPr>
      </w:r>
      <w:r/>
    </w:p>
    <w:p>
      <w:pPr>
        <w:pStyle w:val="74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11.1.1 资信证明文件</w:t>
      </w:r>
      <w:r>
        <w:rPr>
          <w:rFonts w:hint="eastAsia" w:ascii="宋体" w:hAnsi="宋体" w:cs="宋体"/>
          <w:color w:val="000000"/>
          <w:sz w:val="24"/>
          <w:highlight w:val="none"/>
        </w:rPr>
      </w:r>
      <w:r/>
    </w:p>
    <w:p>
      <w:pPr>
        <w:pStyle w:val="74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11.1.2 资格性审查响应对照表</w:t>
      </w:r>
      <w:r>
        <w:rPr>
          <w:rFonts w:hint="eastAsia" w:ascii="宋体" w:hAnsi="宋体" w:cs="宋体"/>
          <w:color w:val="000000"/>
          <w:sz w:val="24"/>
          <w:highlight w:val="none"/>
        </w:rPr>
      </w:r>
      <w:r/>
    </w:p>
    <w:p>
      <w:pPr>
        <w:pStyle w:val="74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11.1.3 符合性检查响应对照表</w:t>
      </w:r>
      <w:r>
        <w:rPr>
          <w:rFonts w:hint="eastAsia" w:ascii="宋体" w:hAnsi="宋体" w:cs="宋体"/>
          <w:color w:val="000000"/>
          <w:sz w:val="24"/>
          <w:highlight w:val="none"/>
        </w:rPr>
      </w:r>
      <w:r/>
    </w:p>
    <w:p>
      <w:pPr>
        <w:pStyle w:val="74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11.1.4 投标函</w:t>
      </w:r>
      <w:r>
        <w:rPr>
          <w:rFonts w:hint="eastAsia" w:ascii="宋体" w:hAnsi="宋体" w:cs="宋体"/>
          <w:color w:val="000000"/>
          <w:sz w:val="24"/>
          <w:highlight w:val="none"/>
        </w:rPr>
      </w:r>
      <w:r/>
    </w:p>
    <w:p>
      <w:pPr>
        <w:pStyle w:val="74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11.1.5 开标一览表（详见投标文件格式，用于唱标）</w:t>
      </w:r>
      <w:r>
        <w:rPr>
          <w:rFonts w:hint="eastAsia" w:ascii="宋体" w:hAnsi="宋体" w:cs="宋体"/>
          <w:color w:val="000000"/>
          <w:sz w:val="24"/>
          <w:highlight w:val="none"/>
        </w:rPr>
      </w:r>
      <w:r/>
    </w:p>
    <w:p>
      <w:pPr>
        <w:pStyle w:val="74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11.1.6 投标报价分项表（详见招标文件格式）</w:t>
      </w:r>
      <w:r>
        <w:rPr>
          <w:rFonts w:hint="eastAsia" w:ascii="宋体" w:hAnsi="宋体" w:cs="宋体"/>
          <w:color w:val="000000"/>
          <w:sz w:val="24"/>
          <w:highlight w:val="none"/>
        </w:rPr>
      </w:r>
      <w:r/>
    </w:p>
    <w:p>
      <w:pPr>
        <w:pStyle w:val="74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11.1.7 技术部分</w:t>
      </w:r>
      <w:r>
        <w:rPr>
          <w:rFonts w:hint="eastAsia" w:ascii="宋体" w:hAnsi="宋体" w:cs="宋体"/>
          <w:color w:val="000000"/>
          <w:sz w:val="24"/>
          <w:highlight w:val="none"/>
        </w:rPr>
      </w:r>
      <w:r/>
    </w:p>
    <w:p>
      <w:pPr>
        <w:pStyle w:val="74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11.1.8 招标文件中规定要求提供的证明材料和投标人认为需要提供的其他材料</w:t>
      </w:r>
      <w:r>
        <w:rPr>
          <w:rFonts w:hint="eastAsia" w:ascii="宋体" w:hAnsi="宋体" w:cs="宋体"/>
          <w:color w:val="000000"/>
          <w:sz w:val="24"/>
          <w:highlight w:val="none"/>
        </w:rPr>
      </w:r>
      <w:r/>
    </w:p>
    <w:p>
      <w:pPr>
        <w:pStyle w:val="74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11.1.9 盐城市大丰区政府采购供应商承诺书</w:t>
      </w:r>
      <w:r>
        <w:rPr>
          <w:rFonts w:hint="eastAsia" w:ascii="宋体" w:hAnsi="宋体" w:cs="宋体"/>
          <w:color w:val="000000"/>
          <w:sz w:val="24"/>
          <w:highlight w:val="none"/>
        </w:rPr>
      </w:r>
      <w:r/>
    </w:p>
    <w:p>
      <w:pPr>
        <w:pStyle w:val="748"/>
        <w:ind w:firstLine="420"/>
        <w:spacing w:before="0" w:after="0" w:line="240" w:lineRule="auto"/>
        <w:shd w:val="clear" w:color="auto" w:fill="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12、</w:t>
      </w:r>
      <w:bookmarkEnd w:id="62"/>
      <w:r/>
      <w:bookmarkEnd w:id="63"/>
      <w:r/>
      <w:bookmarkEnd w:id="64"/>
      <w:r>
        <w:rPr>
          <w:rFonts w:hint="eastAsia" w:ascii="宋体" w:hAnsi="宋体" w:eastAsia="宋体" w:cs="宋体"/>
          <w:b w:val="0"/>
          <w:bCs w:val="0"/>
          <w:color w:val="000000"/>
          <w:highlight w:val="none"/>
        </w:rPr>
        <w:t xml:space="preserve">证明投标人资格及符合招标文件规定的文件</w:t>
      </w:r>
      <w:r>
        <w:rPr>
          <w:rFonts w:hint="eastAsia" w:ascii="宋体" w:hAnsi="宋体" w:eastAsia="宋体" w:cs="宋体"/>
          <w:b w:val="0"/>
          <w:bCs w:val="0"/>
          <w:color w:val="000000"/>
          <w:highlight w:val="none"/>
        </w:rPr>
      </w:r>
      <w:r/>
    </w:p>
    <w:p>
      <w:pPr>
        <w:pStyle w:val="744"/>
        <w:ind w:firstLine="480"/>
        <w:spacing w:line="360" w:lineRule="auto"/>
        <w:shd w:val="clear" w:color="auto" w:fill="auto"/>
        <w:rPr>
          <w:rFonts w:hint="eastAsia" w:ascii="宋体" w:hAnsi="宋体" w:cs="宋体"/>
          <w:color w:val="000000"/>
          <w:sz w:val="24"/>
          <w:highlight w:val="none"/>
        </w:rPr>
      </w:pPr>
      <w:r/>
      <w:bookmarkEnd w:id="65"/>
      <w:r/>
      <w:bookmarkEnd w:id="66"/>
      <w:r/>
      <w:bookmarkEnd w:id="67"/>
      <w:r/>
      <w:bookmarkStart w:id="68" w:name="_Toc14577355"/>
      <w:r/>
      <w:bookmarkStart w:id="69" w:name="_Toc49090508"/>
      <w:r>
        <w:rPr>
          <w:rFonts w:hint="eastAsia" w:ascii="宋体" w:hAnsi="宋体" w:cs="宋体"/>
          <w:color w:val="000000"/>
          <w:sz w:val="24"/>
          <w:highlight w:val="none"/>
        </w:rPr>
        <w:t xml:space="preserve">12.1</w:t>
      </w:r>
      <w:bookmarkStart w:id="70" w:name="_Hlt26668999"/>
      <w:r/>
      <w:bookmarkEnd w:id="70"/>
      <w:r>
        <w:rPr>
          <w:rFonts w:hint="eastAsia" w:ascii="宋体" w:hAnsi="宋体" w:cs="宋体"/>
          <w:color w:val="000000"/>
          <w:sz w:val="24"/>
          <w:highlight w:val="none"/>
        </w:rPr>
        <w:t xml:space="preserve">投标人应按要求提交资格证明文件及符合招标文件规定的文件。</w:t>
      </w:r>
      <w:r>
        <w:rPr>
          <w:rFonts w:hint="eastAsia" w:ascii="宋体" w:hAnsi="宋体" w:cs="宋体"/>
          <w:color w:val="000000"/>
          <w:sz w:val="24"/>
          <w:highlight w:val="none"/>
        </w:rPr>
      </w:r>
      <w:r/>
    </w:p>
    <w:p>
      <w:pPr>
        <w:pStyle w:val="744"/>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12.2投标人应提交证明其有资格参加投标和中标后有能力独立履行合同的文件。</w:t>
      </w:r>
      <w:r>
        <w:rPr>
          <w:rFonts w:hint="eastAsia" w:ascii="宋体" w:hAnsi="宋体" w:cs="宋体"/>
          <w:color w:val="000000"/>
          <w:sz w:val="24"/>
          <w:highlight w:val="none"/>
        </w:rPr>
      </w:r>
      <w:r/>
    </w:p>
    <w:p>
      <w:pPr>
        <w:pStyle w:val="744"/>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12.3投标人除必须具有履行合同所需提供的服务的能力外，还必须具备相应的财务、技术方面的能力。</w:t>
      </w:r>
      <w:r>
        <w:rPr>
          <w:rFonts w:hint="eastAsia" w:ascii="宋体" w:hAnsi="宋体" w:cs="宋体"/>
          <w:color w:val="000000"/>
          <w:sz w:val="24"/>
          <w:highlight w:val="none"/>
        </w:rPr>
      </w:r>
      <w:r/>
    </w:p>
    <w:p>
      <w:pPr>
        <w:pStyle w:val="744"/>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    12.4投标人应提交根据合同要求提供的证明产品质量合格以及符合招标文件规定的证明文件。</w:t>
      </w:r>
      <w:r>
        <w:rPr>
          <w:rFonts w:hint="eastAsia" w:ascii="宋体" w:hAnsi="宋体" w:cs="宋体"/>
          <w:color w:val="000000"/>
          <w:sz w:val="24"/>
          <w:highlight w:val="none"/>
        </w:rPr>
      </w:r>
      <w:r/>
    </w:p>
    <w:p>
      <w:pPr>
        <w:pStyle w:val="744"/>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12.5证明投标人所提供服务与招标文件的要求相一致的文件可以是手册、图纸、文字资料和数据</w:t>
      </w:r>
      <w:r>
        <w:rPr>
          <w:rFonts w:hint="eastAsia" w:ascii="宋体" w:hAnsi="宋体" w:cs="宋体"/>
          <w:bCs/>
          <w:color w:val="000000"/>
          <w:sz w:val="24"/>
          <w:highlight w:val="none"/>
        </w:rPr>
        <w:t xml:space="preserve">。</w:t>
      </w:r>
      <w:r>
        <w:rPr>
          <w:rFonts w:hint="eastAsia" w:ascii="宋体" w:hAnsi="宋体" w:cs="宋体"/>
          <w:color w:val="000000"/>
          <w:sz w:val="24"/>
          <w:szCs w:val="24"/>
          <w:highlight w:val="none"/>
        </w:rPr>
      </w:r>
      <w:r/>
    </w:p>
    <w:p>
      <w:pPr>
        <w:pStyle w:val="748"/>
        <w:ind w:firstLine="420"/>
        <w:spacing w:before="0" w:after="0" w:line="240" w:lineRule="auto"/>
        <w:shd w:val="clear" w:color="auto" w:fill="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13、报价</w:t>
      </w:r>
      <w:bookmarkEnd w:id="68"/>
      <w:r/>
      <w:bookmarkStart w:id="71" w:name="_Hlt26670373"/>
      <w:r/>
      <w:bookmarkEnd w:id="71"/>
      <w:r>
        <w:rPr>
          <w:rFonts w:hint="eastAsia" w:ascii="宋体" w:hAnsi="宋体" w:eastAsia="宋体" w:cs="宋体"/>
          <w:b w:val="0"/>
          <w:bCs w:val="0"/>
          <w:color w:val="000000"/>
          <w:highlight w:val="none"/>
        </w:rPr>
        <w:t xml:space="preserve">表</w:t>
      </w:r>
      <w:bookmarkEnd w:id="69"/>
      <w:r>
        <w:rPr>
          <w:rFonts w:hint="eastAsia" w:ascii="宋体" w:hAnsi="宋体" w:eastAsia="宋体" w:cs="宋体"/>
          <w:b w:val="0"/>
          <w:bCs w:val="0"/>
          <w:color w:val="000000"/>
          <w:highlight w:val="none"/>
        </w:rPr>
      </w:r>
      <w:r/>
    </w:p>
    <w:p>
      <w:pPr>
        <w:pStyle w:val="744"/>
        <w:ind w:firstLine="480"/>
        <w:spacing w:line="360" w:lineRule="auto"/>
        <w:shd w:val="clear" w:color="auto" w:fill="auto"/>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 xml:space="preserve">13.1  采购人将拒绝高于最高限价的投标报价。</w:t>
      </w:r>
      <w:r>
        <w:rPr>
          <w:rFonts w:hint="eastAsia" w:ascii="宋体" w:hAnsi="宋体" w:cs="宋体"/>
          <w:bCs/>
          <w:color w:val="000000"/>
          <w:sz w:val="24"/>
          <w:highlight w:val="none"/>
          <w:lang w:val="zh-CN"/>
        </w:rPr>
      </w:r>
      <w:r/>
    </w:p>
    <w:p>
      <w:pPr>
        <w:pStyle w:val="744"/>
        <w:ind w:firstLine="480"/>
        <w:spacing w:line="360" w:lineRule="auto"/>
        <w:shd w:val="clear" w:color="auto" w:fill="auto"/>
        <w:rPr>
          <w:rFonts w:hint="eastAsia" w:ascii="宋体" w:hAnsi="Arial" w:cs="宋体"/>
          <w:bCs/>
          <w:color w:val="000000"/>
          <w:sz w:val="24"/>
          <w:highlight w:val="none"/>
          <w:lang w:val="zh-CN"/>
        </w:rPr>
      </w:pPr>
      <w:r>
        <w:rPr>
          <w:rFonts w:hint="eastAsia" w:ascii="宋体" w:hAnsi="宋体" w:cs="宋体"/>
          <w:bCs/>
          <w:color w:val="000000"/>
          <w:sz w:val="24"/>
          <w:highlight w:val="none"/>
          <w:lang w:val="zh-CN"/>
        </w:rPr>
        <w:t xml:space="preserve">13.2  </w:t>
      </w:r>
      <w:r>
        <w:rPr>
          <w:rFonts w:ascii="宋体" w:hAnsi="Arial" w:cs="宋体"/>
          <w:bCs/>
          <w:color w:val="000000"/>
          <w:sz w:val="24"/>
          <w:highlight w:val="none"/>
          <w:lang w:val="zh-CN"/>
        </w:rPr>
        <w:t xml:space="preserve">投标</w:t>
      </w:r>
      <w:r>
        <w:rPr>
          <w:rFonts w:hint="eastAsia" w:ascii="宋体" w:hAnsi="Arial" w:cs="宋体"/>
          <w:bCs/>
          <w:color w:val="000000"/>
          <w:sz w:val="24"/>
          <w:highlight w:val="none"/>
          <w:lang w:val="zh-CN"/>
        </w:rPr>
        <w:t xml:space="preserve">配置和分项明细</w:t>
      </w:r>
      <w:r>
        <w:rPr>
          <w:rFonts w:ascii="宋体" w:hAnsi="Arial" w:cs="宋体"/>
          <w:bCs/>
          <w:color w:val="000000"/>
          <w:sz w:val="24"/>
          <w:highlight w:val="none"/>
          <w:lang w:val="zh-CN"/>
        </w:rPr>
        <w:t xml:space="preserve">报价</w:t>
      </w:r>
      <w:r>
        <w:rPr>
          <w:rFonts w:hint="eastAsia" w:ascii="宋体" w:hAnsi="Arial" w:cs="宋体"/>
          <w:bCs/>
          <w:color w:val="000000"/>
          <w:sz w:val="24"/>
          <w:highlight w:val="none"/>
          <w:lang w:val="zh-CN"/>
        </w:rPr>
        <w:t xml:space="preserve">，</w:t>
      </w:r>
      <w:r>
        <w:rPr>
          <w:rFonts w:hint="eastAsia" w:ascii="宋体" w:hAnsi="宋体"/>
          <w:color w:val="000000"/>
          <w:sz w:val="24"/>
          <w:highlight w:val="none"/>
        </w:rPr>
        <w:t xml:space="preserve">投标报价应是在投标文件所承诺的合同履行期限内并达到投标人所承诺的质量标准为完成招标文件所确定的招标范围的全部内容所需费用的全部价格体现。投标人应充分考虑为完成上述内容所必须的应包括两年内为完成本项目服务可能发生的全部费用及利润和税金等（包括例行监测过程中单个样品所产生的所有费用、人员食宿与交通、安全教育、安全管理、事故赔偿）等一切费用</w:t>
      </w:r>
      <w:r>
        <w:rPr>
          <w:rFonts w:hint="eastAsia" w:ascii="宋体" w:hAnsi="Arial" w:cs="宋体"/>
          <w:bCs/>
          <w:color w:val="000000"/>
          <w:sz w:val="24"/>
          <w:highlight w:val="none"/>
          <w:lang w:val="zh-CN"/>
        </w:rPr>
        <w:t xml:space="preserve">。</w:t>
      </w:r>
      <w:r>
        <w:rPr>
          <w:rFonts w:hint="eastAsia" w:ascii="宋体" w:hAnsi="Arial" w:cs="宋体"/>
          <w:bCs/>
          <w:color w:val="000000"/>
          <w:sz w:val="24"/>
          <w:highlight w:val="none"/>
          <w:lang w:val="zh-CN"/>
        </w:rPr>
      </w:r>
      <w:r/>
    </w:p>
    <w:p>
      <w:pPr>
        <w:pStyle w:val="744"/>
        <w:ind w:firstLine="480"/>
        <w:spacing w:line="480" w:lineRule="exact"/>
        <w:shd w:val="clear" w:color="auto" w:fill="auto"/>
        <w:rPr>
          <w:rFonts w:hint="eastAsia" w:ascii="宋体" w:hAnsi="宋体"/>
          <w:bCs/>
          <w:color w:val="000000"/>
          <w:sz w:val="24"/>
          <w:highlight w:val="none"/>
        </w:rPr>
      </w:pPr>
      <w:r>
        <w:rPr>
          <w:rFonts w:hint="eastAsia" w:ascii="宋体" w:hAnsi="宋体"/>
          <w:color w:val="000000"/>
          <w:sz w:val="24"/>
          <w:highlight w:val="none"/>
        </w:rPr>
        <w:t xml:space="preserve">13.</w:t>
      </w:r>
      <w:r>
        <w:rPr>
          <w:rFonts w:ascii="宋体" w:hAnsi="宋体"/>
          <w:color w:val="000000"/>
          <w:sz w:val="24"/>
          <w:highlight w:val="none"/>
        </w:rPr>
        <w:t xml:space="preserve">2.1</w:t>
      </w:r>
      <w:r>
        <w:rPr>
          <w:rFonts w:hint="eastAsia" w:ascii="宋体" w:hAnsi="宋体"/>
          <w:bCs/>
          <w:color w:val="000000"/>
          <w:sz w:val="24"/>
          <w:highlight w:val="none"/>
        </w:rPr>
        <w:t xml:space="preserve">项目单价按投标配置及分项报价表中要求填报。</w:t>
      </w:r>
      <w:bookmarkStart w:id="72" w:name="_Hlt26954731"/>
      <w:r/>
      <w:bookmarkEnd w:id="72"/>
      <w:r/>
      <w:bookmarkStart w:id="73" w:name="_Hlt26954846"/>
      <w:r/>
      <w:bookmarkEnd w:id="73"/>
      <w:r/>
      <w:bookmarkStart w:id="74" w:name="_Hlt26670486"/>
      <w:r/>
      <w:bookmarkEnd w:id="74"/>
      <w:r/>
      <w:bookmarkStart w:id="75" w:name="_Hlt26670482"/>
      <w:r/>
      <w:bookmarkEnd w:id="75"/>
      <w:r/>
      <w:bookmarkStart w:id="76" w:name="_Hlt26954848"/>
      <w:r/>
      <w:bookmarkEnd w:id="76"/>
      <w:r>
        <w:rPr>
          <w:rFonts w:hint="eastAsia" w:ascii="宋体" w:hAnsi="宋体"/>
          <w:bCs/>
          <w:color w:val="000000"/>
          <w:sz w:val="24"/>
          <w:highlight w:val="none"/>
        </w:rPr>
      </w:r>
      <w:r/>
    </w:p>
    <w:p>
      <w:pPr>
        <w:pStyle w:val="744"/>
        <w:ind w:firstLine="480"/>
        <w:spacing w:line="360" w:lineRule="auto"/>
        <w:shd w:val="clear" w:color="auto" w:fill="auto"/>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 xml:space="preserve">13.3  投标人根据招标内容的要求准确报价，一经报出，不得更改。</w:t>
      </w:r>
      <w:r>
        <w:rPr>
          <w:rFonts w:hint="eastAsia" w:ascii="宋体" w:hAnsi="宋体" w:cs="宋体"/>
          <w:bCs/>
          <w:color w:val="000000"/>
          <w:sz w:val="24"/>
          <w:highlight w:val="none"/>
          <w:lang w:val="zh-CN"/>
        </w:rPr>
      </w:r>
      <w:r/>
    </w:p>
    <w:p>
      <w:pPr>
        <w:pStyle w:val="744"/>
        <w:ind w:firstLine="480"/>
        <w:spacing w:line="360" w:lineRule="auto"/>
        <w:shd w:val="clear" w:color="auto" w:fill="auto"/>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 xml:space="preserve">13.4  如出现不合理的报价，经评标委员会评审其报价明显高于其市场价或低于其企业成本的，均可作废标处理。</w:t>
      </w:r>
      <w:r>
        <w:rPr>
          <w:rFonts w:hint="eastAsia" w:ascii="宋体" w:hAnsi="宋体" w:cs="宋体"/>
          <w:bCs/>
          <w:color w:val="000000"/>
          <w:sz w:val="24"/>
          <w:highlight w:val="none"/>
          <w:lang w:val="zh-CN"/>
        </w:rPr>
      </w:r>
      <w:r/>
    </w:p>
    <w:p>
      <w:pPr>
        <w:pStyle w:val="744"/>
        <w:ind w:firstLine="480"/>
        <w:spacing w:line="360" w:lineRule="auto"/>
        <w:shd w:val="clear" w:color="auto" w:fill="auto"/>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 xml:space="preserve">13.5投标报价的单位为人民币(元)。如果未能按合同、招标投标文件履约的，中止合同，履约保证金不予退还，并不支付合同履行期限间的服务费用。招标方有权终止合同的履行，受托单位应承担相应的完全责任，包括赔偿因此而给本单位及第三人带来的相应损失。</w:t>
      </w:r>
      <w:r>
        <w:rPr>
          <w:rFonts w:hint="eastAsia" w:ascii="宋体" w:hAnsi="宋体" w:cs="宋体"/>
          <w:bCs/>
          <w:color w:val="000000"/>
          <w:sz w:val="24"/>
          <w:highlight w:val="none"/>
          <w:lang w:val="zh-CN"/>
        </w:rPr>
      </w:r>
      <w:r/>
    </w:p>
    <w:p>
      <w:pPr>
        <w:pStyle w:val="744"/>
        <w:ind w:firstLine="480"/>
        <w:spacing w:line="360" w:lineRule="auto"/>
        <w:shd w:val="clear" w:color="auto" w:fill="auto"/>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 xml:space="preserve">13.6对于超出招标文件的其他临时性服务项目，由甲乙双方协商解决。</w:t>
      </w:r>
      <w:r>
        <w:rPr>
          <w:rFonts w:hint="eastAsia" w:ascii="宋体" w:hAnsi="宋体" w:cs="宋体"/>
          <w:bCs/>
          <w:color w:val="000000"/>
          <w:sz w:val="24"/>
          <w:highlight w:val="none"/>
          <w:lang w:val="zh-CN"/>
        </w:rPr>
      </w:r>
      <w:r/>
    </w:p>
    <w:p>
      <w:pPr>
        <w:pStyle w:val="744"/>
        <w:ind w:firstLine="480"/>
        <w:spacing w:line="360" w:lineRule="auto"/>
        <w:shd w:val="clear" w:color="auto" w:fill="auto"/>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 xml:space="preserve">13.7开标时，当投标文件中开标一览表内容与分项明细报价表内容不一致时，以开标一览表为准。</w:t>
      </w:r>
      <w:r>
        <w:rPr>
          <w:rFonts w:hint="eastAsia" w:ascii="宋体" w:hAnsi="宋体" w:cs="宋体"/>
          <w:bCs/>
          <w:color w:val="000000"/>
          <w:sz w:val="24"/>
          <w:highlight w:val="none"/>
          <w:lang w:val="zh-CN"/>
        </w:rPr>
      </w:r>
      <w:r/>
    </w:p>
    <w:p>
      <w:pPr>
        <w:pStyle w:val="744"/>
        <w:ind w:firstLine="480"/>
        <w:spacing w:line="360" w:lineRule="auto"/>
        <w:shd w:val="clear" w:color="auto" w:fill="auto"/>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 xml:space="preserve">投标文件的大写金额和小写金额不一致的，以大写金额为准；对不同文字文本投标的解释发生异议的，以中文文本为准。</w:t>
      </w:r>
      <w:r>
        <w:rPr>
          <w:rFonts w:hint="eastAsia" w:ascii="宋体" w:hAnsi="宋体" w:cs="宋体"/>
          <w:bCs/>
          <w:color w:val="000000"/>
          <w:sz w:val="24"/>
          <w:highlight w:val="none"/>
          <w:lang w:val="zh-CN"/>
        </w:rPr>
      </w:r>
      <w:r/>
    </w:p>
    <w:p>
      <w:pPr>
        <w:pStyle w:val="744"/>
        <w:ind w:firstLine="480"/>
        <w:spacing w:line="360" w:lineRule="auto"/>
        <w:shd w:val="clear" w:color="auto" w:fill="auto"/>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 xml:space="preserve">13.8投标人在报价时，价格包含一切税费，未作说明的情况下，视同包含一切税费。</w:t>
      </w:r>
      <w:r>
        <w:rPr>
          <w:rFonts w:hint="eastAsia" w:ascii="宋体" w:hAnsi="宋体" w:cs="宋体"/>
          <w:bCs/>
          <w:color w:val="000000"/>
          <w:sz w:val="24"/>
          <w:highlight w:val="none"/>
          <w:lang w:val="zh-CN"/>
        </w:rPr>
      </w:r>
      <w:r/>
    </w:p>
    <w:p>
      <w:pPr>
        <w:pStyle w:val="744"/>
        <w:ind w:firstLine="480"/>
        <w:spacing w:line="360" w:lineRule="auto"/>
        <w:shd w:val="clear" w:color="auto" w:fill="auto"/>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 xml:space="preserve">13.9未宣读的投标价格信息评标时不予承认。</w:t>
      </w:r>
      <w:r>
        <w:rPr>
          <w:rFonts w:hint="eastAsia" w:ascii="宋体" w:hAnsi="宋体" w:cs="宋体"/>
          <w:bCs/>
          <w:color w:val="000000"/>
          <w:sz w:val="24"/>
          <w:highlight w:val="none"/>
          <w:lang w:val="zh-CN"/>
        </w:rPr>
      </w:r>
      <w:r/>
    </w:p>
    <w:p>
      <w:pPr>
        <w:pStyle w:val="748"/>
        <w:ind w:firstLine="420"/>
        <w:spacing w:before="0" w:after="0" w:line="360" w:lineRule="auto"/>
        <w:shd w:val="clear" w:color="auto" w:fill="auto"/>
        <w:rPr>
          <w:rFonts w:hint="eastAsia" w:ascii="宋体" w:hAnsi="宋体" w:eastAsia="宋体" w:cs="宋体"/>
          <w:b w:val="0"/>
          <w:color w:val="000000"/>
          <w:sz w:val="24"/>
          <w:highlight w:val="none"/>
        </w:rPr>
      </w:pPr>
      <w:r/>
      <w:bookmarkStart w:id="77" w:name="_Toc49090510"/>
      <w:r/>
      <w:bookmarkStart w:id="78" w:name="_Toc14577359"/>
      <w:r>
        <w:rPr>
          <w:rFonts w:hint="eastAsia" w:ascii="宋体" w:hAnsi="宋体" w:eastAsia="宋体" w:cs="宋体"/>
          <w:b w:val="0"/>
          <w:color w:val="000000"/>
          <w:highlight w:val="none"/>
        </w:rPr>
        <w:t xml:space="preserve">14、服务内容响应及偏离表及投标说明</w:t>
      </w:r>
      <w:r>
        <w:rPr>
          <w:rFonts w:hint="eastAsia" w:ascii="宋体" w:hAnsi="宋体" w:eastAsia="宋体" w:cs="宋体"/>
          <w:b w:val="0"/>
          <w:color w:val="000000"/>
          <w:sz w:val="24"/>
          <w:highlight w:val="none"/>
        </w:rPr>
      </w:r>
      <w:r/>
    </w:p>
    <w:p>
      <w:pPr>
        <w:pStyle w:val="744"/>
        <w:ind w:firstLine="480"/>
        <w:spacing w:line="360" w:lineRule="auto"/>
        <w:shd w:val="clear" w:color="auto" w:fill="auto"/>
        <w:rPr>
          <w:rFonts w:hint="eastAsia" w:ascii="宋体" w:hAnsi="宋体" w:cs="宋体"/>
          <w:color w:val="000000"/>
          <w:sz w:val="24"/>
          <w:highlight w:val="none"/>
          <w:lang w:val="zh-CN"/>
        </w:rPr>
      </w:pPr>
      <w:r>
        <w:rPr>
          <w:rFonts w:hint="eastAsia" w:ascii="宋体" w:hAnsi="宋体" w:cs="宋体"/>
          <w:bCs/>
          <w:color w:val="000000"/>
          <w:sz w:val="24"/>
          <w:highlight w:val="none"/>
          <w:lang w:val="zh-CN"/>
        </w:rPr>
        <w:t xml:space="preserve">14.1</w:t>
      </w:r>
      <w:r>
        <w:rPr>
          <w:rFonts w:hint="eastAsia" w:ascii="宋体" w:hAnsi="宋体" w:cs="宋体"/>
          <w:color w:val="000000"/>
          <w:sz w:val="24"/>
          <w:highlight w:val="none"/>
          <w:lang w:val="zh-CN"/>
        </w:rPr>
        <w:t xml:space="preserve"> 对招标文件中的</w:t>
      </w:r>
      <w:r>
        <w:rPr>
          <w:rFonts w:hint="eastAsia" w:ascii="宋体" w:hAnsi="宋体" w:cs="宋体"/>
          <w:color w:val="000000"/>
          <w:sz w:val="24"/>
          <w:highlight w:val="none"/>
        </w:rPr>
        <w:t xml:space="preserve">服务需求</w:t>
      </w:r>
      <w:r>
        <w:rPr>
          <w:rFonts w:hint="eastAsia" w:ascii="宋体" w:hAnsi="宋体" w:cs="宋体"/>
          <w:color w:val="000000"/>
          <w:sz w:val="24"/>
          <w:highlight w:val="none"/>
          <w:lang w:val="zh-CN"/>
        </w:rPr>
        <w:t xml:space="preserve">逐项作出响应或偏离，并说明原因；</w:t>
      </w:r>
      <w:r>
        <w:rPr>
          <w:rFonts w:hint="eastAsia" w:ascii="宋体" w:hAnsi="宋体" w:cs="宋体"/>
          <w:color w:val="000000"/>
          <w:sz w:val="24"/>
          <w:highlight w:val="none"/>
          <w:lang w:val="zh-CN"/>
        </w:rPr>
      </w:r>
      <w:r/>
    </w:p>
    <w:p>
      <w:pPr>
        <w:pStyle w:val="744"/>
        <w:ind w:firstLine="480"/>
        <w:spacing w:line="360" w:lineRule="auto"/>
        <w:shd w:val="clear" w:color="auto" w:fill="auto"/>
        <w:tabs>
          <w:tab w:val="left" w:pos="1035" w:leader="none"/>
        </w:tabs>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14.2 提供参加本项目类似案例；</w:t>
      </w:r>
      <w:r>
        <w:rPr>
          <w:rFonts w:hint="eastAsia" w:ascii="宋体" w:hAnsi="宋体" w:cs="宋体"/>
          <w:color w:val="000000"/>
          <w:sz w:val="24"/>
          <w:highlight w:val="none"/>
          <w:lang w:val="zh-CN"/>
        </w:rPr>
      </w:r>
      <w:r/>
    </w:p>
    <w:p>
      <w:pPr>
        <w:pStyle w:val="744"/>
        <w:ind w:firstLine="480"/>
        <w:spacing w:line="360" w:lineRule="auto"/>
        <w:shd w:val="clear" w:color="auto" w:fill="auto"/>
        <w:tabs>
          <w:tab w:val="left" w:pos="1035" w:leader="none"/>
        </w:tabs>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14.3 </w:t>
      </w:r>
      <w:r>
        <w:rPr>
          <w:rFonts w:hint="eastAsia" w:ascii="宋体" w:hAnsi="宋体" w:cs="宋体"/>
          <w:color w:val="000000"/>
          <w:sz w:val="24"/>
          <w:highlight w:val="none"/>
        </w:rPr>
        <w:t xml:space="preserve">技术部分</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p>
      <w:pPr>
        <w:pStyle w:val="744"/>
        <w:ind w:firstLine="480"/>
        <w:spacing w:line="360" w:lineRule="auto"/>
        <w:shd w:val="clear" w:color="auto" w:fill="auto"/>
        <w:tabs>
          <w:tab w:val="left" w:pos="1035" w:leader="none"/>
        </w:tabs>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14.</w:t>
      </w:r>
      <w:r>
        <w:rPr>
          <w:rFonts w:hint="eastAsia" w:ascii="宋体" w:hAnsi="宋体" w:cs="宋体"/>
          <w:color w:val="000000"/>
          <w:sz w:val="24"/>
          <w:highlight w:val="none"/>
        </w:rPr>
        <w:t xml:space="preserve">4</w:t>
      </w:r>
      <w:r>
        <w:rPr>
          <w:rFonts w:hint="eastAsia" w:ascii="宋体" w:hAnsi="宋体" w:cs="宋体"/>
          <w:color w:val="000000"/>
          <w:sz w:val="24"/>
          <w:highlight w:val="none"/>
          <w:lang w:val="zh-CN"/>
        </w:rPr>
        <w:t xml:space="preserve"> 投标人认为需要的其他技术文件或说明。</w:t>
      </w:r>
      <w:r>
        <w:rPr>
          <w:rFonts w:hint="eastAsia" w:ascii="宋体" w:hAnsi="宋体" w:cs="宋体"/>
          <w:color w:val="000000"/>
          <w:sz w:val="24"/>
          <w:highlight w:val="none"/>
          <w:lang w:val="zh-CN"/>
        </w:rPr>
      </w:r>
      <w:r/>
    </w:p>
    <w:p>
      <w:pPr>
        <w:pStyle w:val="744"/>
        <w:ind w:firstLine="420"/>
        <w:spacing w:line="360" w:lineRule="auto"/>
        <w:shd w:val="clear" w:color="auto" w:fill="auto"/>
        <w:tabs>
          <w:tab w:val="left" w:pos="1035" w:leader="none"/>
        </w:tabs>
        <w:rPr>
          <w:rFonts w:hint="eastAsia" w:ascii="宋体" w:hAnsi="宋体" w:cs="宋体"/>
          <w:bCs/>
          <w:color w:val="000000"/>
          <w:sz w:val="24"/>
          <w:highlight w:val="none"/>
          <w:lang w:val="zh-CN"/>
        </w:rPr>
      </w:pPr>
      <w:r>
        <w:rPr>
          <w:rFonts w:hint="eastAsia" w:ascii="宋体" w:hAnsi="宋体" w:cs="宋体"/>
          <w:bCs/>
          <w:color w:val="000000"/>
          <w:sz w:val="28"/>
          <w:szCs w:val="28"/>
          <w:highlight w:val="none"/>
        </w:rPr>
        <w:t xml:space="preserve">15、服务承诺</w:t>
      </w:r>
      <w:r>
        <w:rPr>
          <w:rFonts w:hint="eastAsia" w:ascii="宋体" w:hAnsi="宋体" w:cs="宋体"/>
          <w:bCs/>
          <w:color w:val="000000"/>
          <w:sz w:val="24"/>
          <w:highlight w:val="none"/>
          <w:lang w:val="zh-CN"/>
        </w:rPr>
      </w:r>
      <w:r/>
    </w:p>
    <w:p>
      <w:pPr>
        <w:pStyle w:val="744"/>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15</w:t>
      </w:r>
      <w:r>
        <w:rPr>
          <w:rFonts w:hint="eastAsia" w:ascii="宋体" w:hAnsi="宋体" w:cs="宋体"/>
          <w:bCs/>
          <w:color w:val="000000"/>
          <w:sz w:val="24"/>
          <w:highlight w:val="none"/>
          <w:lang w:val="zh-CN"/>
        </w:rPr>
        <w:t xml:space="preserve">.1</w:t>
      </w:r>
      <w:r>
        <w:rPr>
          <w:rFonts w:hint="eastAsia" w:ascii="宋体" w:hAnsi="宋体" w:cs="宋体"/>
          <w:color w:val="000000"/>
          <w:sz w:val="24"/>
          <w:szCs w:val="24"/>
          <w:highlight w:val="none"/>
        </w:rPr>
        <w:t xml:space="preserve">提供投标人有关的服务承诺。</w:t>
      </w:r>
      <w:r>
        <w:rPr>
          <w:rFonts w:hint="eastAsia" w:ascii="宋体" w:hAnsi="宋体" w:cs="宋体"/>
          <w:color w:val="000000"/>
          <w:sz w:val="24"/>
          <w:szCs w:val="24"/>
          <w:highlight w:val="none"/>
        </w:rPr>
      </w:r>
      <w:r/>
    </w:p>
    <w:p>
      <w:pPr>
        <w:pStyle w:val="748"/>
        <w:ind w:firstLine="420"/>
        <w:spacing w:before="0" w:after="0" w:line="240" w:lineRule="auto"/>
        <w:shd w:val="clear" w:color="auto" w:fill="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16、投标函和开标一览表</w:t>
      </w:r>
      <w:r>
        <w:rPr>
          <w:rFonts w:hint="eastAsia" w:ascii="宋体" w:hAnsi="宋体" w:eastAsia="宋体" w:cs="宋体"/>
          <w:b w:val="0"/>
          <w:bCs w:val="0"/>
          <w:color w:val="000000"/>
          <w:highlight w:val="none"/>
        </w:rPr>
      </w:r>
      <w:r/>
    </w:p>
    <w:p>
      <w:pPr>
        <w:pStyle w:val="744"/>
        <w:ind w:firstLine="480"/>
        <w:spacing w:line="500" w:lineRule="exact"/>
        <w:shd w:val="clear" w:color="auto" w:fill="auto"/>
        <w:rPr>
          <w:rFonts w:hint="eastAsia" w:ascii="宋体" w:hAnsi="宋体" w:cs="宋体"/>
          <w:color w:val="000000"/>
          <w:sz w:val="24"/>
          <w:highlight w:val="none"/>
        </w:rPr>
      </w:pPr>
      <w:r>
        <w:rPr>
          <w:rFonts w:hint="eastAsia" w:ascii="宋体" w:hAnsi="宋体" w:cs="宋体"/>
          <w:bCs/>
          <w:color w:val="000000"/>
          <w:sz w:val="24"/>
          <w:highlight w:val="none"/>
        </w:rPr>
        <w:t xml:space="preserve">16.1</w:t>
      </w:r>
      <w:r>
        <w:rPr>
          <w:rFonts w:hint="eastAsia" w:ascii="宋体" w:hAnsi="宋体" w:cs="宋体"/>
          <w:color w:val="000000"/>
          <w:sz w:val="24"/>
          <w:highlight w:val="none"/>
        </w:rPr>
        <w:t xml:space="preserve"> 投标人应按照招标文件中提供的格式完整、正确填写投标函、开标一览表。</w:t>
      </w:r>
      <w:r>
        <w:rPr>
          <w:rFonts w:hint="eastAsia" w:ascii="宋体" w:hAnsi="宋体" w:cs="宋体"/>
          <w:color w:val="000000"/>
          <w:sz w:val="24"/>
          <w:highlight w:val="none"/>
        </w:rPr>
      </w:r>
      <w:r/>
    </w:p>
    <w:p>
      <w:pPr>
        <w:pStyle w:val="744"/>
        <w:ind w:firstLine="480"/>
        <w:spacing w:line="500" w:lineRule="exact"/>
        <w:shd w:val="clear" w:color="auto" w:fill="auto"/>
        <w:rPr>
          <w:rFonts w:hint="eastAsia" w:ascii="宋体" w:hAnsi="宋体" w:cs="宋体"/>
          <w:color w:val="000000"/>
          <w:sz w:val="24"/>
          <w:highlight w:val="none"/>
        </w:rPr>
      </w:pPr>
      <w:r>
        <w:rPr>
          <w:rFonts w:hint="eastAsia" w:ascii="宋体" w:hAnsi="宋体" w:cs="宋体"/>
          <w:bCs/>
          <w:color w:val="000000"/>
          <w:sz w:val="24"/>
          <w:highlight w:val="none"/>
        </w:rPr>
        <w:t xml:space="preserve">16.2</w:t>
      </w:r>
      <w:r>
        <w:rPr>
          <w:rFonts w:hint="eastAsia" w:ascii="宋体" w:hAnsi="宋体" w:cs="宋体"/>
          <w:color w:val="000000"/>
          <w:sz w:val="24"/>
          <w:highlight w:val="none"/>
        </w:rPr>
        <w:t xml:space="preserve"> </w:t>
      </w:r>
      <w:r>
        <w:rPr>
          <w:rFonts w:hint="eastAsia" w:ascii="宋体" w:hAnsi="宋体" w:cs="宋体"/>
          <w:bCs/>
          <w:color w:val="000000"/>
          <w:sz w:val="24"/>
          <w:highlight w:val="none"/>
        </w:rPr>
        <w:t xml:space="preserve">开标一览表中的价格应与投标文件中投标报价分项表中的价格一致，如不一致，</w:t>
      </w:r>
      <w:r>
        <w:rPr>
          <w:rFonts w:hint="eastAsia" w:ascii="宋体" w:hAnsi="宋体" w:cs="宋体"/>
          <w:color w:val="000000"/>
          <w:sz w:val="24"/>
          <w:szCs w:val="24"/>
          <w:highlight w:val="none"/>
        </w:rPr>
        <w:t xml:space="preserve">不作为无效投标处理</w:t>
      </w:r>
      <w:r>
        <w:rPr>
          <w:rFonts w:hint="eastAsia" w:ascii="宋体" w:hAnsi="宋体" w:cs="宋体"/>
          <w:bCs/>
          <w:color w:val="000000"/>
          <w:sz w:val="24"/>
          <w:highlight w:val="none"/>
        </w:rPr>
        <w:t xml:space="preserve">，但评标时按开标一览表中价格为准</w:t>
      </w:r>
      <w:r>
        <w:rPr>
          <w:rFonts w:hint="eastAsia" w:ascii="宋体" w:hAnsi="宋体" w:cs="宋体"/>
          <w:b/>
          <w:bCs/>
          <w:color w:val="000000"/>
          <w:sz w:val="24"/>
          <w:highlight w:val="none"/>
        </w:rPr>
        <w:t xml:space="preserve">。</w:t>
      </w:r>
      <w:r>
        <w:rPr>
          <w:rFonts w:hint="eastAsia" w:ascii="宋体" w:hAnsi="宋体" w:cs="宋体"/>
          <w:color w:val="000000"/>
          <w:sz w:val="24"/>
          <w:highlight w:val="none"/>
        </w:rPr>
      </w:r>
      <w:r/>
    </w:p>
    <w:p>
      <w:pPr>
        <w:pStyle w:val="748"/>
        <w:ind w:firstLine="420"/>
        <w:spacing w:before="0" w:after="0" w:line="240" w:lineRule="auto"/>
        <w:shd w:val="clear" w:color="auto" w:fill="auto"/>
        <w:rPr>
          <w:rFonts w:hint="eastAsia" w:ascii="宋体" w:hAnsi="宋体" w:eastAsia="宋体" w:cs="宋体"/>
          <w:b w:val="0"/>
          <w:bCs w:val="0"/>
          <w:color w:val="000000"/>
          <w:highlight w:val="none"/>
        </w:rPr>
      </w:pPr>
      <w:r/>
      <w:bookmarkEnd w:id="77"/>
      <w:r/>
      <w:bookmarkEnd w:id="78"/>
      <w:r/>
      <w:bookmarkStart w:id="79" w:name="_Hlt26670489"/>
      <w:r/>
      <w:bookmarkEnd w:id="79"/>
      <w:r/>
      <w:bookmarkStart w:id="80" w:name="_Hlt26954850"/>
      <w:r/>
      <w:bookmarkEnd w:id="80"/>
      <w:r/>
      <w:bookmarkStart w:id="81" w:name="_Hlt26954734"/>
      <w:r/>
      <w:bookmarkEnd w:id="81"/>
      <w:r/>
      <w:bookmarkStart w:id="82" w:name="_Toc14577360"/>
      <w:r/>
      <w:bookmarkStart w:id="83" w:name="_Toc49090511"/>
      <w:r>
        <w:rPr>
          <w:rFonts w:hint="eastAsia" w:ascii="宋体" w:hAnsi="宋体" w:eastAsia="宋体" w:cs="宋体"/>
          <w:b w:val="0"/>
          <w:bCs w:val="0"/>
          <w:color w:val="000000"/>
          <w:highlight w:val="none"/>
        </w:rPr>
        <w:t xml:space="preserve">17、投标有效期</w:t>
      </w:r>
      <w:bookmarkEnd w:id="82"/>
      <w:r/>
      <w:bookmarkEnd w:id="83"/>
      <w:r>
        <w:rPr>
          <w:rFonts w:hint="eastAsia" w:ascii="宋体" w:hAnsi="宋体" w:eastAsia="宋体" w:cs="宋体"/>
          <w:b w:val="0"/>
          <w:bCs w:val="0"/>
          <w:color w:val="000000"/>
          <w:highlight w:val="none"/>
        </w:rPr>
      </w:r>
      <w:r/>
    </w:p>
    <w:p>
      <w:pPr>
        <w:pStyle w:val="744"/>
        <w:ind w:firstLine="480"/>
        <w:spacing w:line="500" w:lineRule="exact"/>
        <w:shd w:val="clear" w:color="auto" w:fill="auto"/>
        <w:rPr>
          <w:rFonts w:hint="eastAsia" w:ascii="宋体" w:hAnsi="宋体" w:cs="宋体"/>
          <w:bCs/>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7</w:t>
      </w:r>
      <w:r>
        <w:rPr>
          <w:rFonts w:hint="eastAsia" w:ascii="宋体" w:hAnsi="宋体" w:cs="宋体"/>
          <w:color w:val="000000"/>
          <w:sz w:val="24"/>
          <w:highlight w:val="none"/>
        </w:rPr>
        <w:t xml:space="preserve">.1</w:t>
      </w:r>
      <w:r>
        <w:rPr>
          <w:rFonts w:hint="eastAsia" w:ascii="宋体" w:hAnsi="宋体" w:cs="宋体"/>
          <w:bCs/>
          <w:color w:val="000000"/>
          <w:sz w:val="24"/>
          <w:highlight w:val="none"/>
        </w:rPr>
        <w:t xml:space="preserve"> 投标有效期为开标之日后</w:t>
      </w:r>
      <w:r>
        <w:rPr>
          <w:rFonts w:hint="eastAsia" w:ascii="宋体" w:hAnsi="宋体" w:cs="宋体"/>
          <w:b/>
          <w:color w:val="000000"/>
          <w:sz w:val="24"/>
          <w:highlight w:val="none"/>
          <w:u w:val="single"/>
        </w:rPr>
        <w:t xml:space="preserve">六十（60）天</w:t>
      </w:r>
      <w:r>
        <w:rPr>
          <w:rFonts w:hint="eastAsia" w:ascii="宋体" w:hAnsi="宋体" w:cs="宋体"/>
          <w:bCs/>
          <w:color w:val="000000"/>
          <w:sz w:val="24"/>
          <w:highlight w:val="none"/>
        </w:rPr>
        <w:t xml:space="preserve">。投标有效期比规定短的将被视为非响应性投标而予以拒绝。</w:t>
      </w:r>
      <w:r>
        <w:rPr>
          <w:rFonts w:hint="eastAsia" w:ascii="宋体" w:hAnsi="宋体" w:cs="宋体"/>
          <w:bCs/>
          <w:color w:val="000000"/>
          <w:sz w:val="24"/>
          <w:highlight w:val="none"/>
        </w:rPr>
      </w:r>
      <w:r/>
    </w:p>
    <w:p>
      <w:pPr>
        <w:pStyle w:val="744"/>
        <w:ind w:firstLine="480"/>
        <w:spacing w:line="500" w:lineRule="exact"/>
        <w:shd w:val="clear" w:color="auto" w:fill="auto"/>
        <w:rPr>
          <w:rFonts w:hint="eastAsia" w:ascii="宋体" w:hAnsi="宋体" w:cs="宋体"/>
          <w:bCs/>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7</w:t>
      </w:r>
      <w:r>
        <w:rPr>
          <w:rFonts w:hint="eastAsia" w:ascii="宋体" w:hAnsi="宋体" w:cs="宋体"/>
          <w:color w:val="000000"/>
          <w:sz w:val="24"/>
          <w:highlight w:val="none"/>
        </w:rPr>
        <w:t xml:space="preserve">.2</w:t>
      </w:r>
      <w:r>
        <w:rPr>
          <w:rFonts w:hint="eastAsia" w:ascii="宋体" w:hAnsi="宋体" w:cs="宋体"/>
          <w:bCs/>
          <w:color w:val="000000"/>
          <w:sz w:val="24"/>
          <w:highlight w:val="none"/>
        </w:rPr>
        <w:t xml:space="preserve"> 在特殊情况下，采购人于原投标有效期满之前，可向投标人提出延长投标有效期的要求。这种要求与答复均应采用书面形式。投标人可以拒绝采购人的这一要求而放弃投标</w:t>
      </w:r>
      <w:r>
        <w:rPr>
          <w:rFonts w:hint="eastAsia" w:ascii="宋体" w:hAnsi="宋体" w:cs="宋体"/>
          <w:color w:val="000000"/>
          <w:sz w:val="24"/>
          <w:szCs w:val="24"/>
          <w:highlight w:val="none"/>
        </w:rPr>
        <w:t xml:space="preserve">。</w:t>
      </w:r>
      <w:r>
        <w:rPr>
          <w:rFonts w:hint="eastAsia" w:ascii="宋体" w:hAnsi="宋体" w:cs="宋体"/>
          <w:bCs/>
          <w:color w:val="000000"/>
          <w:sz w:val="24"/>
          <w:highlight w:val="none"/>
        </w:rPr>
        <w:t xml:space="preserve">同意延长投标有效期的投标人既不能要求也不允许修改其投标文件。</w:t>
      </w:r>
      <w:r>
        <w:rPr>
          <w:rFonts w:hint="eastAsia" w:ascii="宋体" w:hAnsi="宋体" w:cs="宋体"/>
          <w:bCs/>
          <w:color w:val="000000"/>
          <w:sz w:val="24"/>
          <w:highlight w:val="none"/>
        </w:rPr>
      </w:r>
      <w:r/>
    </w:p>
    <w:p>
      <w:pPr>
        <w:pStyle w:val="747"/>
        <w:ind w:firstLine="321"/>
        <w:spacing w:before="145" w:after="145" w:line="360" w:lineRule="auto"/>
        <w:shd w:val="clear" w:color="auto" w:fill="auto"/>
        <w:rPr>
          <w:rFonts w:hint="eastAsia" w:ascii="宋体" w:hAnsi="宋体" w:cs="宋体"/>
          <w:color w:val="000000"/>
          <w:highlight w:val="none"/>
        </w:rPr>
      </w:pPr>
      <w:r/>
      <w:bookmarkStart w:id="84" w:name="_Hlt26954852"/>
      <w:r/>
      <w:bookmarkEnd w:id="84"/>
      <w:r/>
      <w:bookmarkStart w:id="85" w:name="_Hlt26954739"/>
      <w:r/>
      <w:bookmarkEnd w:id="85"/>
      <w:r/>
      <w:bookmarkStart w:id="86" w:name="_Toc120614217"/>
      <w:r/>
      <w:bookmarkStart w:id="87" w:name="_Toc20823296"/>
      <w:r/>
      <w:bookmarkStart w:id="88" w:name="_Toc16938540"/>
      <w:r/>
      <w:bookmarkStart w:id="89" w:name="_Toc513029224"/>
      <w:r>
        <w:rPr>
          <w:rFonts w:hint="eastAsia" w:ascii="宋体" w:hAnsi="宋体" w:cs="宋体"/>
          <w:color w:val="000000"/>
          <w:highlight w:val="none"/>
        </w:rPr>
        <w:t xml:space="preserve">四、投标文件的递交</w:t>
      </w:r>
      <w:bookmarkEnd w:id="86"/>
      <w:r/>
      <w:bookmarkEnd w:id="87"/>
      <w:r/>
      <w:bookmarkEnd w:id="88"/>
      <w:r/>
      <w:bookmarkEnd w:id="89"/>
      <w:r>
        <w:rPr>
          <w:rFonts w:hint="eastAsia" w:ascii="宋体" w:hAnsi="宋体" w:cs="宋体"/>
          <w:color w:val="000000"/>
          <w:highlight w:val="none"/>
        </w:rPr>
      </w:r>
      <w:r/>
    </w:p>
    <w:p>
      <w:pPr>
        <w:pStyle w:val="748"/>
        <w:ind w:firstLine="420"/>
        <w:spacing w:before="0" w:after="0" w:line="240" w:lineRule="auto"/>
        <w:shd w:val="clear" w:color="auto" w:fill="auto"/>
        <w:rPr>
          <w:rFonts w:hint="eastAsia" w:ascii="宋体" w:hAnsi="宋体" w:eastAsia="宋体" w:cs="宋体"/>
          <w:b w:val="0"/>
          <w:bCs w:val="0"/>
          <w:color w:val="000000"/>
          <w:highlight w:val="none"/>
        </w:rPr>
      </w:pPr>
      <w:r/>
      <w:bookmarkStart w:id="90" w:name="_Toc462564084"/>
      <w:r/>
      <w:bookmarkStart w:id="91" w:name="_Toc513029225"/>
      <w:r/>
      <w:bookmarkStart w:id="92" w:name="_Toc16938541"/>
      <w:r/>
      <w:bookmarkStart w:id="93" w:name="_Toc20823297"/>
      <w:r>
        <w:rPr>
          <w:rFonts w:hint="eastAsia" w:ascii="宋体" w:hAnsi="宋体" w:eastAsia="宋体" w:cs="宋体"/>
          <w:b w:val="0"/>
          <w:bCs w:val="0"/>
          <w:color w:val="000000"/>
          <w:highlight w:val="none"/>
        </w:rPr>
        <w:t xml:space="preserve">19、</w:t>
      </w:r>
      <w:bookmarkEnd w:id="90"/>
      <w:r/>
      <w:bookmarkEnd w:id="91"/>
      <w:r/>
      <w:bookmarkEnd w:id="92"/>
      <w:r/>
      <w:bookmarkEnd w:id="93"/>
      <w:r>
        <w:rPr>
          <w:rFonts w:hint="eastAsia" w:ascii="宋体" w:hAnsi="宋体" w:eastAsia="宋体" w:cs="宋体"/>
          <w:b w:val="0"/>
          <w:bCs w:val="0"/>
          <w:color w:val="000000"/>
          <w:highlight w:val="none"/>
        </w:rPr>
        <w:t xml:space="preserve">电子投标文件的递交</w:t>
      </w:r>
      <w:r>
        <w:rPr>
          <w:rFonts w:hint="eastAsia" w:ascii="宋体" w:hAnsi="宋体" w:eastAsia="宋体" w:cs="宋体"/>
          <w:b w:val="0"/>
          <w:bCs w:val="0"/>
          <w:color w:val="000000"/>
          <w:highlight w:val="none"/>
        </w:rPr>
      </w:r>
      <w:r/>
    </w:p>
    <w:p>
      <w:pPr>
        <w:pStyle w:val="744"/>
        <w:ind w:firstLine="480"/>
        <w:spacing w:line="500" w:lineRule="exact"/>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19.1电子投标文件的递交</w:t>
      </w:r>
      <w:r>
        <w:rPr>
          <w:rFonts w:hint="eastAsia" w:ascii="宋体" w:hAnsi="宋体" w:cs="宋体"/>
          <w:bCs/>
          <w:color w:val="000000"/>
          <w:sz w:val="24"/>
          <w:highlight w:val="none"/>
        </w:rPr>
      </w:r>
      <w:r/>
    </w:p>
    <w:p>
      <w:pPr>
        <w:pStyle w:val="744"/>
        <w:ind w:firstLine="480"/>
        <w:spacing w:line="500" w:lineRule="exact"/>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投标人应当按照《操作手册》规定，在投标截止时间前制作并上传电子投标文件。</w:t>
      </w:r>
      <w:r>
        <w:rPr>
          <w:rFonts w:hint="eastAsia" w:ascii="宋体" w:hAnsi="宋体" w:cs="宋体"/>
          <w:bCs/>
          <w:color w:val="000000"/>
          <w:sz w:val="24"/>
          <w:highlight w:val="none"/>
        </w:rPr>
      </w:r>
      <w:r/>
    </w:p>
    <w:p>
      <w:pPr>
        <w:pStyle w:val="748"/>
        <w:ind w:firstLine="420"/>
        <w:spacing w:before="0" w:after="0" w:line="240" w:lineRule="auto"/>
        <w:shd w:val="clear" w:color="auto" w:fill="auto"/>
        <w:rPr>
          <w:rFonts w:hint="eastAsia" w:ascii="宋体" w:hAnsi="宋体" w:eastAsia="宋体" w:cs="宋体"/>
          <w:b w:val="0"/>
          <w:bCs w:val="0"/>
          <w:color w:val="000000"/>
          <w:highlight w:val="none"/>
        </w:rPr>
      </w:pPr>
      <w:r/>
      <w:bookmarkStart w:id="94" w:name="_Toc513029226"/>
      <w:r/>
      <w:bookmarkStart w:id="95" w:name="_Toc16938542"/>
      <w:r/>
      <w:bookmarkStart w:id="96" w:name="_Toc20823298"/>
      <w:r>
        <w:rPr>
          <w:rFonts w:hint="eastAsia" w:ascii="宋体" w:hAnsi="宋体" w:eastAsia="宋体" w:cs="宋体"/>
          <w:b w:val="0"/>
          <w:bCs w:val="0"/>
          <w:color w:val="000000"/>
          <w:highlight w:val="none"/>
        </w:rPr>
        <w:t xml:space="preserve">20、投标截止日期</w:t>
      </w:r>
      <w:bookmarkEnd w:id="94"/>
      <w:r/>
      <w:bookmarkEnd w:id="95"/>
      <w:r/>
      <w:bookmarkEnd w:id="96"/>
      <w:r>
        <w:rPr>
          <w:rFonts w:hint="eastAsia" w:ascii="宋体" w:hAnsi="宋体" w:eastAsia="宋体" w:cs="宋体"/>
          <w:b w:val="0"/>
          <w:bCs w:val="0"/>
          <w:color w:val="000000"/>
          <w:highlight w:val="none"/>
        </w:rPr>
      </w:r>
      <w:r/>
    </w:p>
    <w:p>
      <w:pPr>
        <w:pStyle w:val="744"/>
        <w:ind w:firstLine="480"/>
        <w:spacing w:line="360" w:lineRule="auto"/>
        <w:shd w:val="clear" w:color="auto" w:fill="auto"/>
        <w:tabs>
          <w:tab w:val="left" w:pos="525" w:leader="none"/>
          <w:tab w:val="left" w:pos="945" w:leader="none"/>
        </w:tabs>
        <w:rPr>
          <w:rFonts w:hint="eastAsia" w:ascii="宋体" w:hAnsi="宋体" w:cs="宋体"/>
          <w:bCs/>
          <w:color w:val="000000"/>
          <w:sz w:val="24"/>
          <w:highlight w:val="none"/>
        </w:rPr>
      </w:pPr>
      <w:r>
        <w:rPr>
          <w:rFonts w:hint="eastAsia" w:ascii="宋体" w:hAnsi="宋体" w:cs="宋体"/>
          <w:color w:val="000000"/>
          <w:sz w:val="24"/>
          <w:highlight w:val="none"/>
        </w:rPr>
        <w:t xml:space="preserve">20.1</w:t>
      </w:r>
      <w:r>
        <w:rPr>
          <w:rFonts w:hint="eastAsia" w:ascii="宋体" w:hAnsi="宋体" w:cs="宋体"/>
          <w:bCs/>
          <w:color w:val="000000"/>
          <w:sz w:val="24"/>
          <w:highlight w:val="none"/>
        </w:rPr>
        <w:t xml:space="preserve">投标人上传电子投标文件的时间不得迟于招标公告中规定的投标截止时间。投标人应充分考虑到网络环境、网络带宽等风险因素，如因投标人自身原因造成的电子投标文件上传不成功由投标人自行承担全部责任。</w:t>
      </w:r>
      <w:r>
        <w:rPr>
          <w:rFonts w:hint="eastAsia" w:ascii="宋体" w:hAnsi="宋体" w:cs="宋体"/>
          <w:bCs/>
          <w:color w:val="000000"/>
          <w:sz w:val="24"/>
          <w:highlight w:val="none"/>
        </w:rPr>
      </w:r>
      <w:r/>
    </w:p>
    <w:p>
      <w:pPr>
        <w:pStyle w:val="744"/>
        <w:ind w:firstLine="480"/>
        <w:spacing w:line="500" w:lineRule="exact"/>
        <w:shd w:val="clear" w:color="auto" w:fill="auto"/>
        <w:rPr>
          <w:rFonts w:hint="eastAsia" w:ascii="宋体" w:hAnsi="宋体" w:cs="宋体"/>
          <w:bCs/>
          <w:color w:val="000000"/>
          <w:sz w:val="24"/>
          <w:highlight w:val="none"/>
        </w:rPr>
      </w:pPr>
      <w:r>
        <w:rPr>
          <w:rFonts w:hint="eastAsia" w:ascii="宋体" w:hAnsi="宋体" w:cs="宋体"/>
          <w:color w:val="000000"/>
          <w:sz w:val="24"/>
          <w:highlight w:val="none"/>
        </w:rPr>
        <w:t xml:space="preserve">20.2</w:t>
      </w:r>
      <w:r>
        <w:rPr>
          <w:rFonts w:hint="eastAsia" w:ascii="宋体" w:hAnsi="宋体" w:cs="宋体"/>
          <w:bCs/>
          <w:color w:val="000000"/>
          <w:sz w:val="24"/>
          <w:highlight w:val="none"/>
        </w:rPr>
        <w:t xml:space="preserve"> 采购人有权通过修改招标文件酌情延长投标截止日期，在此情况下，投标人的所有权利和义务以及投标人受制的截止日期均应以延长后新的截止日期为准。</w:t>
      </w:r>
      <w:r>
        <w:rPr>
          <w:rFonts w:hint="eastAsia" w:ascii="宋体" w:hAnsi="宋体" w:cs="宋体"/>
          <w:bCs/>
          <w:color w:val="000000"/>
          <w:sz w:val="24"/>
          <w:highlight w:val="none"/>
        </w:rPr>
      </w:r>
      <w:r/>
    </w:p>
    <w:p>
      <w:pPr>
        <w:pStyle w:val="748"/>
        <w:ind w:firstLine="420"/>
        <w:spacing w:before="0" w:after="0" w:line="240" w:lineRule="auto"/>
        <w:shd w:val="clear" w:color="auto" w:fill="auto"/>
        <w:rPr>
          <w:rFonts w:hint="eastAsia" w:ascii="宋体" w:hAnsi="宋体" w:eastAsia="宋体" w:cs="宋体"/>
          <w:b w:val="0"/>
          <w:bCs w:val="0"/>
          <w:color w:val="000000"/>
          <w:highlight w:val="none"/>
        </w:rPr>
      </w:pPr>
      <w:r/>
      <w:bookmarkStart w:id="97" w:name="_Toc16938543"/>
      <w:r/>
      <w:bookmarkStart w:id="98" w:name="_Toc513029227"/>
      <w:r/>
      <w:bookmarkStart w:id="99" w:name="_Toc20823299"/>
      <w:r>
        <w:rPr>
          <w:rFonts w:hint="eastAsia" w:ascii="宋体" w:hAnsi="宋体" w:eastAsia="宋体" w:cs="宋体"/>
          <w:b w:val="0"/>
          <w:bCs w:val="0"/>
          <w:color w:val="000000"/>
          <w:highlight w:val="none"/>
        </w:rPr>
        <w:t xml:space="preserve">21、迟交的投标文件</w:t>
      </w:r>
      <w:bookmarkEnd w:id="97"/>
      <w:r/>
      <w:bookmarkEnd w:id="98"/>
      <w:r/>
      <w:bookmarkEnd w:id="99"/>
      <w:r>
        <w:rPr>
          <w:rFonts w:hint="eastAsia" w:ascii="宋体" w:hAnsi="宋体" w:eastAsia="宋体" w:cs="宋体"/>
          <w:b w:val="0"/>
          <w:bCs w:val="0"/>
          <w:color w:val="000000"/>
          <w:highlight w:val="none"/>
        </w:rPr>
      </w:r>
      <w:r/>
    </w:p>
    <w:p>
      <w:pPr>
        <w:pStyle w:val="744"/>
        <w:ind w:firstLine="480"/>
        <w:spacing w:line="500" w:lineRule="exact"/>
        <w:shd w:val="clear" w:color="auto" w:fill="auto"/>
        <w:rPr>
          <w:rFonts w:hint="eastAsia" w:ascii="宋体" w:hAnsi="宋体" w:cs="宋体"/>
          <w:bCs/>
          <w:color w:val="000000"/>
          <w:sz w:val="24"/>
          <w:highlight w:val="none"/>
        </w:rPr>
      </w:pPr>
      <w:r>
        <w:rPr>
          <w:rFonts w:hint="eastAsia" w:ascii="宋体" w:hAnsi="宋体" w:cs="宋体"/>
          <w:color w:val="000000"/>
          <w:sz w:val="24"/>
          <w:highlight w:val="none"/>
        </w:rPr>
        <w:t xml:space="preserve">21.1</w:t>
      </w:r>
      <w:r>
        <w:rPr>
          <w:rFonts w:hint="eastAsia" w:ascii="宋体" w:hAnsi="宋体" w:cs="宋体"/>
          <w:bCs/>
          <w:color w:val="000000"/>
          <w:sz w:val="24"/>
          <w:highlight w:val="none"/>
        </w:rPr>
        <w:t xml:space="preserve">采购人拒绝接收在其规定的投标截止时间后上传的任何投标文件。</w:t>
      </w:r>
      <w:r>
        <w:rPr>
          <w:rFonts w:hint="eastAsia" w:ascii="宋体" w:hAnsi="宋体" w:cs="宋体"/>
          <w:bCs/>
          <w:color w:val="000000"/>
          <w:sz w:val="24"/>
          <w:highlight w:val="none"/>
        </w:rPr>
      </w:r>
      <w:r/>
    </w:p>
    <w:p>
      <w:pPr>
        <w:pStyle w:val="748"/>
        <w:ind w:firstLine="420"/>
        <w:spacing w:before="0" w:after="0" w:line="240" w:lineRule="auto"/>
        <w:shd w:val="clear" w:color="auto" w:fill="auto"/>
        <w:rPr>
          <w:rFonts w:hint="eastAsia" w:ascii="宋体" w:hAnsi="宋体" w:eastAsia="宋体" w:cs="宋体"/>
          <w:b w:val="0"/>
          <w:bCs w:val="0"/>
          <w:color w:val="000000"/>
          <w:highlight w:val="none"/>
        </w:rPr>
      </w:pPr>
      <w:r/>
      <w:bookmarkStart w:id="100" w:name="_Toc16938544"/>
      <w:r/>
      <w:bookmarkStart w:id="101" w:name="_Toc513029228"/>
      <w:r/>
      <w:bookmarkStart w:id="102" w:name="_Toc20823300"/>
      <w:r>
        <w:rPr>
          <w:rFonts w:hint="eastAsia" w:ascii="宋体" w:hAnsi="宋体" w:eastAsia="宋体" w:cs="宋体"/>
          <w:b w:val="0"/>
          <w:bCs w:val="0"/>
          <w:color w:val="000000"/>
          <w:highlight w:val="none"/>
        </w:rPr>
        <w:t xml:space="preserve">22、投标文件的修改和撤回</w:t>
      </w:r>
      <w:bookmarkEnd w:id="100"/>
      <w:r/>
      <w:bookmarkEnd w:id="101"/>
      <w:r/>
      <w:bookmarkEnd w:id="102"/>
      <w:r>
        <w:rPr>
          <w:rFonts w:hint="eastAsia" w:ascii="宋体" w:hAnsi="宋体" w:eastAsia="宋体" w:cs="宋体"/>
          <w:b w:val="0"/>
          <w:bCs w:val="0"/>
          <w:color w:val="000000"/>
          <w:highlight w:val="none"/>
        </w:rPr>
      </w:r>
      <w:r/>
    </w:p>
    <w:p>
      <w:pPr>
        <w:pStyle w:val="744"/>
        <w:ind w:firstLine="480"/>
        <w:spacing w:line="480" w:lineRule="exact"/>
        <w:shd w:val="clear" w:color="auto" w:fill="auto"/>
        <w:rPr>
          <w:rFonts w:hint="eastAsia" w:ascii="宋体" w:hAnsi="宋体" w:cs="宋体"/>
          <w:bCs/>
          <w:color w:val="000000"/>
          <w:sz w:val="24"/>
          <w:highlight w:val="none"/>
        </w:rPr>
      </w:pPr>
      <w:r>
        <w:rPr>
          <w:rFonts w:hint="eastAsia" w:ascii="宋体" w:hAnsi="宋体" w:cs="宋体"/>
          <w:color w:val="000000"/>
          <w:sz w:val="24"/>
          <w:highlight w:val="none"/>
        </w:rPr>
        <w:t xml:space="preserve">22.1</w:t>
      </w:r>
      <w:r>
        <w:rPr>
          <w:rFonts w:hint="eastAsia" w:ascii="宋体" w:hAnsi="宋体" w:cs="宋体"/>
          <w:bCs/>
          <w:color w:val="000000"/>
          <w:sz w:val="24"/>
          <w:highlight w:val="none"/>
        </w:rPr>
        <w:t xml:space="preserve">投标文件的撤回</w:t>
      </w:r>
      <w:r>
        <w:rPr>
          <w:rFonts w:hint="eastAsia" w:ascii="宋体" w:hAnsi="宋体" w:cs="宋体"/>
          <w:bCs/>
          <w:color w:val="000000"/>
          <w:sz w:val="24"/>
          <w:highlight w:val="none"/>
        </w:rPr>
      </w:r>
      <w:r/>
    </w:p>
    <w:p>
      <w:pPr>
        <w:pStyle w:val="744"/>
        <w:ind w:firstLine="480"/>
        <w:spacing w:line="500" w:lineRule="exact"/>
        <w:shd w:val="clear" w:color="auto" w:fill="auto"/>
        <w:rPr>
          <w:rFonts w:hint="eastAsia" w:ascii="宋体" w:hAnsi="宋体" w:cs="宋体"/>
          <w:color w:val="000000"/>
          <w:sz w:val="24"/>
          <w:highlight w:val="none"/>
        </w:rPr>
      </w:pPr>
      <w:r/>
      <w:bookmarkStart w:id="103" w:name="_Toc20823301"/>
      <w:r/>
      <w:bookmarkStart w:id="104" w:name="_Toc120614218"/>
      <w:r/>
      <w:bookmarkStart w:id="105" w:name="_Toc513029229"/>
      <w:r/>
      <w:bookmarkStart w:id="106" w:name="_Toc16938545"/>
      <w:r>
        <w:rPr>
          <w:rFonts w:hint="eastAsia" w:ascii="宋体" w:hAnsi="宋体" w:cs="宋体"/>
          <w:color w:val="000000"/>
          <w:sz w:val="24"/>
          <w:highlight w:val="none"/>
        </w:rPr>
        <w:t xml:space="preserve">2</w:t>
      </w:r>
      <w:r>
        <w:rPr>
          <w:rFonts w:ascii="宋体" w:hAnsi="宋体" w:cs="宋体"/>
          <w:color w:val="000000"/>
          <w:sz w:val="24"/>
          <w:highlight w:val="none"/>
        </w:rPr>
        <w:t xml:space="preserve">2.1.1</w:t>
      </w:r>
      <w:r>
        <w:rPr>
          <w:rFonts w:hint="eastAsia" w:ascii="宋体" w:hAnsi="宋体" w:cs="宋体"/>
          <w:color w:val="000000"/>
          <w:sz w:val="24"/>
          <w:highlight w:val="none"/>
        </w:rPr>
        <w:t xml:space="preserve">投标人可在投标截止时间前，撤回其电子投标文件，具体操作方法见《操作手册》。</w:t>
      </w:r>
      <w:r>
        <w:rPr>
          <w:rFonts w:hint="eastAsia" w:ascii="宋体" w:hAnsi="宋体" w:cs="宋体"/>
          <w:color w:val="000000"/>
          <w:sz w:val="24"/>
          <w:highlight w:val="none"/>
        </w:rPr>
      </w:r>
      <w:r/>
    </w:p>
    <w:p>
      <w:pPr>
        <w:pStyle w:val="74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2</w:t>
      </w:r>
      <w:r>
        <w:rPr>
          <w:rFonts w:hint="eastAsia" w:ascii="宋体" w:hAnsi="宋体" w:cs="宋体"/>
          <w:color w:val="000000"/>
          <w:sz w:val="24"/>
          <w:highlight w:val="none"/>
        </w:rPr>
        <w:t xml:space="preserve">.1.2投标人撤回电子投标文件，则认为其不再参与本项目投标活动。</w:t>
      </w:r>
      <w:r>
        <w:rPr>
          <w:rFonts w:hint="eastAsia" w:ascii="宋体" w:hAnsi="宋体" w:cs="宋体"/>
          <w:color w:val="000000"/>
          <w:sz w:val="24"/>
          <w:highlight w:val="none"/>
        </w:rPr>
      </w:r>
      <w:r/>
    </w:p>
    <w:p>
      <w:pPr>
        <w:pStyle w:val="74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2</w:t>
      </w:r>
      <w:r>
        <w:rPr>
          <w:rFonts w:hint="eastAsia" w:ascii="宋体" w:hAnsi="宋体" w:cs="宋体"/>
          <w:color w:val="000000"/>
          <w:sz w:val="24"/>
          <w:highlight w:val="none"/>
        </w:rPr>
        <w:t xml:space="preserve">.2 投标文件的修改</w:t>
      </w:r>
      <w:r>
        <w:rPr>
          <w:rFonts w:hint="eastAsia" w:ascii="宋体" w:hAnsi="宋体" w:cs="宋体"/>
          <w:color w:val="000000"/>
          <w:sz w:val="24"/>
          <w:highlight w:val="none"/>
        </w:rPr>
      </w:r>
      <w:r/>
    </w:p>
    <w:p>
      <w:pPr>
        <w:pStyle w:val="74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2</w:t>
      </w:r>
      <w:r>
        <w:rPr>
          <w:rFonts w:hint="eastAsia" w:ascii="宋体" w:hAnsi="宋体" w:cs="宋体"/>
          <w:color w:val="000000"/>
          <w:sz w:val="24"/>
          <w:highlight w:val="none"/>
        </w:rPr>
        <w:t xml:space="preserve">.2.1投标人可在投标截止时间前，对其电子投标文件进行修改，具体操作方法见《操作手册》。</w:t>
      </w:r>
      <w:r>
        <w:rPr>
          <w:rFonts w:hint="eastAsia" w:ascii="宋体" w:hAnsi="宋体" w:cs="宋体"/>
          <w:color w:val="000000"/>
          <w:sz w:val="24"/>
          <w:highlight w:val="none"/>
        </w:rPr>
      </w:r>
      <w:r/>
    </w:p>
    <w:p>
      <w:pPr>
        <w:pStyle w:val="74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2</w:t>
      </w:r>
      <w:r>
        <w:rPr>
          <w:rFonts w:hint="eastAsia" w:ascii="宋体" w:hAnsi="宋体" w:cs="宋体"/>
          <w:color w:val="000000"/>
          <w:sz w:val="24"/>
          <w:highlight w:val="none"/>
        </w:rPr>
        <w:t xml:space="preserve">.2.2在投标截止时间之后，投标人不得对其电子投标文件作任何修改。</w:t>
      </w:r>
      <w:r>
        <w:rPr>
          <w:rFonts w:hint="eastAsia" w:ascii="宋体" w:hAnsi="宋体" w:cs="宋体"/>
          <w:color w:val="000000"/>
          <w:sz w:val="24"/>
          <w:highlight w:val="none"/>
        </w:rPr>
      </w:r>
      <w:r/>
    </w:p>
    <w:p>
      <w:pPr>
        <w:pStyle w:val="744"/>
        <w:ind w:firstLine="480"/>
        <w:spacing w:line="5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2</w:t>
      </w:r>
      <w:r>
        <w:rPr>
          <w:rFonts w:hint="eastAsia" w:ascii="宋体" w:hAnsi="宋体" w:cs="宋体"/>
          <w:color w:val="000000"/>
          <w:sz w:val="24"/>
          <w:highlight w:val="none"/>
        </w:rPr>
        <w:t xml:space="preserve">.3在投标截止时间至招标文件中规定的投标有效期满之间的这段时间内，投标人不得撤回其投标。</w:t>
      </w:r>
      <w:r>
        <w:rPr>
          <w:rFonts w:ascii="宋体" w:hAnsi="宋体" w:cs="宋体"/>
          <w:color w:val="000000"/>
          <w:sz w:val="24"/>
          <w:highlight w:val="none"/>
        </w:rPr>
      </w:r>
      <w:r/>
    </w:p>
    <w:p>
      <w:pPr>
        <w:pStyle w:val="747"/>
        <w:ind w:firstLine="321"/>
        <w:spacing w:before="145" w:after="145" w:line="360" w:lineRule="auto"/>
        <w:shd w:val="clear" w:color="auto" w:fill="auto"/>
        <w:rPr>
          <w:rFonts w:hint="eastAsia" w:ascii="宋体" w:hAnsi="宋体" w:cs="宋体"/>
          <w:color w:val="000000"/>
          <w:highlight w:val="none"/>
        </w:rPr>
      </w:pPr>
      <w:r>
        <w:rPr>
          <w:rFonts w:hint="eastAsia" w:ascii="宋体" w:hAnsi="宋体" w:cs="宋体"/>
          <w:color w:val="000000"/>
          <w:highlight w:val="none"/>
        </w:rPr>
        <w:t xml:space="preserve">五、开标与评标</w:t>
      </w:r>
      <w:bookmarkEnd w:id="103"/>
      <w:r/>
      <w:bookmarkEnd w:id="104"/>
      <w:r/>
      <w:bookmarkEnd w:id="105"/>
      <w:r/>
      <w:bookmarkEnd w:id="106"/>
      <w:r>
        <w:rPr>
          <w:rFonts w:hint="eastAsia" w:ascii="宋体" w:hAnsi="宋体" w:cs="宋体"/>
          <w:color w:val="000000"/>
          <w:highlight w:val="none"/>
        </w:rPr>
      </w:r>
      <w:r/>
    </w:p>
    <w:p>
      <w:pPr>
        <w:pStyle w:val="748"/>
        <w:ind w:firstLine="420"/>
        <w:spacing w:before="0" w:after="0" w:line="240" w:lineRule="auto"/>
        <w:shd w:val="clear" w:color="auto" w:fill="auto"/>
        <w:rPr>
          <w:rFonts w:hint="eastAsia" w:ascii="宋体" w:hAnsi="宋体" w:eastAsia="宋体" w:cs="宋体"/>
          <w:b w:val="0"/>
          <w:bCs w:val="0"/>
          <w:color w:val="000000"/>
          <w:highlight w:val="none"/>
        </w:rPr>
      </w:pPr>
      <w:r/>
      <w:bookmarkStart w:id="107" w:name="_Toc16938546"/>
      <w:r/>
      <w:bookmarkStart w:id="108" w:name="_Toc513029230"/>
      <w:r/>
      <w:bookmarkStart w:id="109" w:name="_Toc20823302"/>
      <w:r>
        <w:rPr>
          <w:rFonts w:hint="eastAsia" w:ascii="宋体" w:hAnsi="宋体" w:eastAsia="宋体" w:cs="宋体"/>
          <w:b w:val="0"/>
          <w:bCs w:val="0"/>
          <w:color w:val="000000"/>
          <w:highlight w:val="none"/>
        </w:rPr>
        <w:t xml:space="preserve">23、开标</w:t>
      </w:r>
      <w:bookmarkEnd w:id="107"/>
      <w:r/>
      <w:bookmarkEnd w:id="108"/>
      <w:r/>
      <w:bookmarkEnd w:id="109"/>
      <w:r>
        <w:rPr>
          <w:rFonts w:hint="eastAsia" w:ascii="宋体" w:hAnsi="宋体" w:eastAsia="宋体" w:cs="宋体"/>
          <w:b w:val="0"/>
          <w:bCs w:val="0"/>
          <w:color w:val="000000"/>
          <w:highlight w:val="none"/>
        </w:rPr>
      </w:r>
      <w:r/>
    </w:p>
    <w:p>
      <w:pPr>
        <w:pStyle w:val="744"/>
        <w:ind w:firstLine="480"/>
        <w:spacing w:line="500" w:lineRule="exact"/>
        <w:shd w:val="clear" w:color="auto" w:fill="auto"/>
        <w:rPr>
          <w:rFonts w:hint="eastAsia" w:ascii="宋体" w:hAnsi="宋体" w:cs="宋体"/>
          <w:color w:val="000000"/>
          <w:sz w:val="24"/>
          <w:highlight w:val="none"/>
        </w:rPr>
      </w:pPr>
      <w:r/>
      <w:bookmarkStart w:id="110" w:name="_Toc513029231"/>
      <w:r/>
      <w:bookmarkStart w:id="111" w:name="_Toc16938547"/>
      <w:r/>
      <w:bookmarkStart w:id="112" w:name="_Toc20823303"/>
      <w:r>
        <w:rPr>
          <w:rFonts w:hint="eastAsia" w:ascii="宋体" w:hAnsi="宋体" w:cs="宋体"/>
          <w:color w:val="000000"/>
          <w:sz w:val="24"/>
          <w:highlight w:val="none"/>
        </w:rPr>
        <w:t xml:space="preserve">2</w:t>
      </w:r>
      <w:r>
        <w:rPr>
          <w:rFonts w:ascii="宋体" w:hAnsi="宋体" w:cs="宋体"/>
          <w:color w:val="000000"/>
          <w:sz w:val="24"/>
          <w:highlight w:val="none"/>
        </w:rPr>
        <w:t xml:space="preserve">3</w:t>
      </w:r>
      <w:r>
        <w:rPr>
          <w:rFonts w:hint="eastAsia" w:ascii="宋体" w:hAnsi="宋体" w:cs="宋体"/>
          <w:color w:val="000000"/>
          <w:sz w:val="24"/>
          <w:highlight w:val="none"/>
        </w:rPr>
        <w:t xml:space="preserve">.1采购人将在招标公告中规定的时间和地点组织公开开标。投标人应当按照《操作手册》规定，参加开标活动和在苏采云系统规定的时间内对投标文件进行解密。</w:t>
      </w:r>
      <w:r>
        <w:rPr>
          <w:rFonts w:hint="eastAsia" w:ascii="宋体" w:hAnsi="宋体" w:cs="宋体"/>
          <w:color w:val="000000"/>
          <w:sz w:val="24"/>
          <w:highlight w:val="none"/>
        </w:rPr>
      </w:r>
      <w:r/>
    </w:p>
    <w:p>
      <w:pPr>
        <w:pStyle w:val="74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3</w:t>
      </w:r>
      <w:r>
        <w:rPr>
          <w:rFonts w:hint="eastAsia" w:ascii="宋体" w:hAnsi="宋体" w:cs="宋体"/>
          <w:color w:val="000000"/>
          <w:sz w:val="24"/>
          <w:highlight w:val="none"/>
        </w:rPr>
        <w:t xml:space="preserve">.2开标仪式由采购人组织。苏采云系统将自动对项目进行开标，并宣布各投标人名称和投标价格。</w:t>
      </w:r>
      <w:r>
        <w:rPr>
          <w:rFonts w:hint="eastAsia" w:ascii="宋体" w:hAnsi="宋体" w:cs="宋体"/>
          <w:color w:val="000000"/>
          <w:sz w:val="24"/>
          <w:highlight w:val="none"/>
        </w:rPr>
      </w:r>
      <w:r/>
    </w:p>
    <w:p>
      <w:pPr>
        <w:pStyle w:val="74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3</w:t>
      </w:r>
      <w:r>
        <w:rPr>
          <w:rFonts w:hint="eastAsia" w:ascii="宋体" w:hAnsi="宋体" w:cs="宋体"/>
          <w:color w:val="000000"/>
          <w:sz w:val="24"/>
          <w:highlight w:val="none"/>
        </w:rPr>
        <w:t xml:space="preserve">.3投标人在开标过程中涉及到的投标文件解密、开标结果确认等工作，应按照《操作手册》规定执行。</w:t>
      </w:r>
      <w:r>
        <w:rPr>
          <w:rFonts w:hint="eastAsia" w:ascii="宋体" w:hAnsi="宋体" w:cs="宋体"/>
          <w:color w:val="000000"/>
          <w:sz w:val="24"/>
          <w:highlight w:val="none"/>
        </w:rPr>
      </w:r>
      <w:r/>
    </w:p>
    <w:p>
      <w:pPr>
        <w:pStyle w:val="74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3</w:t>
      </w:r>
      <w:r>
        <w:rPr>
          <w:rFonts w:hint="eastAsia" w:ascii="宋体" w:hAnsi="宋体" w:cs="宋体"/>
          <w:color w:val="000000"/>
          <w:sz w:val="24"/>
          <w:highlight w:val="none"/>
        </w:rPr>
        <w:t xml:space="preserve">.4投标人如果对开标过程和开标记录有疑义，应当根据《操作手册》规定提出，如苏采云系统中《开标记录表》宣布后5分钟内未提出的，视同认可开标结果。</w:t>
      </w:r>
      <w:r>
        <w:rPr>
          <w:rFonts w:hint="eastAsia" w:ascii="宋体" w:hAnsi="宋体" w:cs="宋体"/>
          <w:color w:val="000000"/>
          <w:sz w:val="24"/>
          <w:highlight w:val="none"/>
        </w:rPr>
      </w:r>
      <w:r/>
    </w:p>
    <w:p>
      <w:pPr>
        <w:pStyle w:val="748"/>
        <w:ind w:firstLine="420"/>
        <w:spacing w:before="0" w:after="0" w:line="240" w:lineRule="auto"/>
        <w:shd w:val="clear" w:color="auto" w:fill="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24、资格审查</w:t>
      </w:r>
      <w:r>
        <w:rPr>
          <w:rFonts w:hint="eastAsia" w:ascii="宋体" w:hAnsi="宋体" w:eastAsia="宋体" w:cs="宋体"/>
          <w:b w:val="0"/>
          <w:bCs w:val="0"/>
          <w:color w:val="000000"/>
          <w:highlight w:val="none"/>
        </w:rPr>
      </w:r>
      <w:r/>
    </w:p>
    <w:p>
      <w:pPr>
        <w:pStyle w:val="74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24.1依据法律法规和招标文件的约定，开标结束后，由采购人对投标文件中的资格证明文件进行审查。资格审查的结论，采购人以书面形式向评委会进行反馈。未通过资格审查的投标人，由采购人告知未通过资格审查的原因。</w:t>
      </w:r>
      <w:r>
        <w:rPr>
          <w:rFonts w:hint="eastAsia" w:ascii="宋体" w:hAnsi="宋体" w:cs="宋体"/>
          <w:color w:val="000000"/>
          <w:sz w:val="24"/>
          <w:highlight w:val="none"/>
        </w:rPr>
      </w:r>
      <w:r/>
    </w:p>
    <w:p>
      <w:pPr>
        <w:pStyle w:val="74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采购人在进行资格性审查的同时，将在“信用中国”网站（www.creditchina.gov.cn）对投标人是否被列入失信被执行人、重大税收违法案件当事人名单、政府采购严重失信行为记录名单情况进行查询，以确定投标人是否具备投标资格。查询结果将以网页打印的形式留存并归档。</w:t>
      </w:r>
      <w:r>
        <w:rPr>
          <w:rFonts w:hint="eastAsia" w:ascii="宋体" w:hAnsi="宋体" w:cs="宋体"/>
          <w:color w:val="000000"/>
          <w:sz w:val="24"/>
          <w:highlight w:val="none"/>
        </w:rPr>
      </w:r>
      <w:r/>
    </w:p>
    <w:p>
      <w:pPr>
        <w:pStyle w:val="74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cs="宋体"/>
          <w:color w:val="000000"/>
          <w:sz w:val="24"/>
          <w:highlight w:val="none"/>
        </w:rPr>
      </w:r>
      <w:r/>
    </w:p>
    <w:p>
      <w:pPr>
        <w:pStyle w:val="74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合格投标人不足3家的，不得评标。</w:t>
      </w:r>
      <w:r>
        <w:rPr>
          <w:rFonts w:hint="eastAsia" w:ascii="宋体" w:hAnsi="宋体" w:cs="宋体"/>
          <w:color w:val="000000"/>
          <w:sz w:val="24"/>
          <w:highlight w:val="none"/>
        </w:rPr>
      </w:r>
      <w:r/>
    </w:p>
    <w:p>
      <w:pPr>
        <w:pStyle w:val="748"/>
        <w:ind w:firstLine="420"/>
        <w:spacing w:before="0" w:after="0" w:line="240" w:lineRule="auto"/>
        <w:shd w:val="clear" w:color="auto" w:fill="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25、评标委员会</w:t>
      </w:r>
      <w:r>
        <w:rPr>
          <w:rFonts w:hint="eastAsia" w:ascii="宋体" w:hAnsi="宋体" w:eastAsia="宋体" w:cs="宋体"/>
          <w:b w:val="0"/>
          <w:bCs w:val="0"/>
          <w:color w:val="000000"/>
          <w:highlight w:val="none"/>
        </w:rPr>
      </w:r>
      <w:r/>
    </w:p>
    <w:p>
      <w:pPr>
        <w:pStyle w:val="744"/>
        <w:spacing w:line="480" w:lineRule="exact"/>
        <w:shd w:val="clear" w:color="auto" w:fill="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  </w:t>
      </w:r>
      <w:r>
        <w:rPr>
          <w:rFonts w:hint="eastAsia" w:ascii="宋体" w:hAnsi="宋体" w:cs="宋体"/>
          <w:color w:val="000000"/>
          <w:sz w:val="24"/>
          <w:szCs w:val="24"/>
          <w:highlight w:val="none"/>
        </w:rPr>
        <w:t xml:space="preserve">  25.1</w:t>
      </w:r>
      <w:r>
        <w:rPr>
          <w:rFonts w:hint="eastAsia" w:ascii="宋体" w:hAnsi="宋体" w:cs="宋体"/>
          <w:b/>
          <w:color w:val="000000"/>
          <w:sz w:val="24"/>
          <w:szCs w:val="24"/>
          <w:highlight w:val="none"/>
        </w:rPr>
        <w:t xml:space="preserve"> </w:t>
      </w:r>
      <w:r>
        <w:rPr>
          <w:rFonts w:hint="eastAsia" w:ascii="宋体" w:hAnsi="宋体" w:cs="宋体"/>
          <w:color w:val="000000"/>
          <w:sz w:val="24"/>
          <w:szCs w:val="24"/>
          <w:highlight w:val="none"/>
        </w:rPr>
        <w:t xml:space="preserve">资格审查通过后，采购人将组织评标委员会（以下简称评委会）进行评标。</w:t>
      </w:r>
      <w:r>
        <w:rPr>
          <w:rFonts w:hint="eastAsia" w:ascii="宋体" w:hAnsi="宋体" w:cs="宋体"/>
          <w:b/>
          <w:color w:val="000000"/>
          <w:sz w:val="24"/>
          <w:szCs w:val="24"/>
          <w:highlight w:val="none"/>
        </w:rPr>
      </w:r>
      <w:r/>
    </w:p>
    <w:p>
      <w:pPr>
        <w:pStyle w:val="744"/>
        <w:spacing w:line="480" w:lineRule="exact"/>
        <w:shd w:val="clear" w:color="auto" w:fill="auto"/>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   </w:t>
      </w:r>
      <w:r>
        <w:rPr>
          <w:rFonts w:hint="eastAsia" w:ascii="宋体" w:hAnsi="宋体" w:cs="宋体"/>
          <w:color w:val="000000"/>
          <w:sz w:val="24"/>
          <w:szCs w:val="24"/>
          <w:highlight w:val="none"/>
        </w:rPr>
        <w:t xml:space="preserve"> 25.2 评委会由采购人代表和有关技术、经济等方面的专家组成，且人员构成符合政府采购有关规定。</w:t>
      </w:r>
      <w:r>
        <w:rPr>
          <w:rFonts w:hint="eastAsia" w:ascii="宋体" w:hAnsi="宋体" w:cs="宋体"/>
          <w:color w:val="000000"/>
          <w:sz w:val="24"/>
          <w:szCs w:val="24"/>
          <w:highlight w:val="none"/>
        </w:rPr>
      </w:r>
      <w:r/>
    </w:p>
    <w:p>
      <w:pPr>
        <w:pStyle w:val="744"/>
        <w:spacing w:line="480" w:lineRule="exact"/>
        <w:shd w:val="clear" w:color="auto" w:fill="auto"/>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  </w:t>
      </w:r>
      <w:r>
        <w:rPr>
          <w:rFonts w:hint="eastAsia" w:ascii="宋体" w:hAnsi="宋体" w:cs="宋体"/>
          <w:color w:val="000000"/>
          <w:sz w:val="24"/>
          <w:szCs w:val="24"/>
          <w:highlight w:val="none"/>
        </w:rPr>
        <w:t xml:space="preserve">  25.3评委会独立工作，负责评审所有投标文件并确定中标侯选人。</w:t>
      </w:r>
      <w:r>
        <w:rPr>
          <w:rFonts w:hint="eastAsia" w:ascii="宋体" w:hAnsi="宋体" w:cs="宋体"/>
          <w:color w:val="000000"/>
          <w:sz w:val="24"/>
          <w:szCs w:val="24"/>
          <w:highlight w:val="none"/>
        </w:rPr>
      </w:r>
      <w:r/>
    </w:p>
    <w:p>
      <w:pPr>
        <w:pStyle w:val="748"/>
        <w:ind w:firstLine="420"/>
        <w:spacing w:before="0" w:after="0" w:line="240" w:lineRule="auto"/>
        <w:shd w:val="clear" w:color="auto" w:fill="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26、评标过程的保密与公正</w:t>
      </w:r>
      <w:r>
        <w:rPr>
          <w:rFonts w:hint="eastAsia" w:ascii="宋体" w:hAnsi="宋体" w:eastAsia="宋体" w:cs="宋体"/>
          <w:b w:val="0"/>
          <w:bCs w:val="0"/>
          <w:color w:val="000000"/>
          <w:highlight w:val="none"/>
        </w:rPr>
      </w:r>
      <w:r/>
    </w:p>
    <w:p>
      <w:pPr>
        <w:pStyle w:val="744"/>
        <w:ind w:firstLine="480"/>
        <w:spacing w:line="500" w:lineRule="exact"/>
        <w:shd w:val="clear" w:color="auto" w:fill="auto"/>
        <w:rPr>
          <w:rFonts w:hint="eastAsia" w:ascii="宋体" w:hAnsi="宋体" w:cs="宋体"/>
          <w:bCs/>
          <w:color w:val="000000"/>
          <w:sz w:val="24"/>
          <w:highlight w:val="none"/>
        </w:rPr>
      </w:pPr>
      <w:r/>
      <w:bookmarkEnd w:id="110"/>
      <w:r/>
      <w:bookmarkEnd w:id="111"/>
      <w:r/>
      <w:bookmarkEnd w:id="112"/>
      <w:r>
        <w:rPr>
          <w:rFonts w:hint="eastAsia" w:ascii="宋体" w:hAnsi="宋体" w:cs="宋体"/>
          <w:color w:val="000000"/>
          <w:sz w:val="24"/>
          <w:highlight w:val="none"/>
        </w:rPr>
        <w:t xml:space="preserve">26.1</w:t>
      </w:r>
      <w:r>
        <w:rPr>
          <w:rFonts w:hint="eastAsia" w:ascii="宋体" w:hAnsi="宋体" w:cs="宋体"/>
          <w:bCs/>
          <w:color w:val="000000"/>
          <w:sz w:val="24"/>
          <w:highlight w:val="none"/>
        </w:rPr>
        <w:t xml:space="preserve">公开开标后，直至签订合同之日止，凡是与审查、澄清、评价和比较投标的有关资料以及授标建议等，采购人、评委均不得向投标人或与评标无关的其他人员透露。</w:t>
      </w:r>
      <w:r>
        <w:rPr>
          <w:rFonts w:hint="eastAsia" w:ascii="宋体" w:hAnsi="宋体" w:cs="宋体"/>
          <w:bCs/>
          <w:color w:val="000000"/>
          <w:sz w:val="24"/>
          <w:highlight w:val="none"/>
        </w:rPr>
      </w:r>
      <w:r/>
    </w:p>
    <w:p>
      <w:pPr>
        <w:pStyle w:val="744"/>
        <w:ind w:firstLine="480"/>
        <w:spacing w:line="48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highlight w:val="none"/>
        </w:rPr>
        <w:t xml:space="preserve">26.2</w:t>
      </w:r>
      <w:r>
        <w:rPr>
          <w:rFonts w:hint="eastAsia" w:ascii="宋体" w:hAnsi="宋体" w:cs="宋体"/>
          <w:color w:val="000000"/>
          <w:sz w:val="24"/>
          <w:szCs w:val="24"/>
          <w:highlight w:val="none"/>
        </w:rPr>
        <w:t xml:space="preserve">在评标过程中，投标人不得以任何行为影响评标过程，否则其投标文件将被作为无效投标文件。</w:t>
      </w:r>
      <w:r>
        <w:rPr>
          <w:rFonts w:hint="eastAsia" w:ascii="宋体" w:hAnsi="宋体" w:cs="宋体"/>
          <w:color w:val="000000"/>
          <w:sz w:val="24"/>
          <w:szCs w:val="24"/>
          <w:highlight w:val="none"/>
        </w:rPr>
      </w:r>
      <w:r/>
    </w:p>
    <w:p>
      <w:pPr>
        <w:pStyle w:val="744"/>
        <w:ind w:firstLine="480"/>
        <w:spacing w:line="48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highlight w:val="none"/>
        </w:rPr>
        <w:t xml:space="preserve">26.3</w:t>
      </w:r>
      <w:r>
        <w:rPr>
          <w:rFonts w:hint="eastAsia" w:ascii="宋体" w:hAnsi="宋体" w:cs="宋体"/>
          <w:color w:val="000000"/>
          <w:sz w:val="24"/>
          <w:szCs w:val="24"/>
          <w:highlight w:val="none"/>
        </w:rPr>
        <w:t xml:space="preserve">在评标期间，采购人将设专门人员与投标人联系。</w:t>
      </w:r>
      <w:r>
        <w:rPr>
          <w:rFonts w:hint="eastAsia" w:ascii="宋体" w:hAnsi="宋体" w:cs="宋体"/>
          <w:color w:val="000000"/>
          <w:sz w:val="24"/>
          <w:szCs w:val="24"/>
          <w:highlight w:val="none"/>
        </w:rPr>
      </w:r>
      <w:r/>
    </w:p>
    <w:p>
      <w:pPr>
        <w:pStyle w:val="744"/>
        <w:ind w:firstLine="480"/>
        <w:spacing w:line="48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26.4 采购人和评标委员会不向落标的投标人解释未中标原因，也不公布评标过程中的相关细节。</w:t>
      </w:r>
      <w:r>
        <w:rPr>
          <w:rFonts w:hint="eastAsia" w:ascii="宋体" w:hAnsi="宋体" w:cs="宋体"/>
          <w:color w:val="000000"/>
          <w:sz w:val="24"/>
          <w:szCs w:val="24"/>
          <w:highlight w:val="none"/>
        </w:rPr>
      </w:r>
      <w:r/>
    </w:p>
    <w:p>
      <w:pPr>
        <w:pStyle w:val="744"/>
        <w:ind w:firstLine="480"/>
        <w:spacing w:line="48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26.5 采用综合评分法的项目，未中标的投标人如需了解自己的评审得分及排序情况，可向采购人提出申请。</w:t>
      </w:r>
      <w:r>
        <w:rPr>
          <w:rFonts w:hint="eastAsia" w:ascii="宋体" w:hAnsi="宋体" w:cs="宋体"/>
          <w:color w:val="000000"/>
          <w:sz w:val="24"/>
          <w:szCs w:val="24"/>
          <w:highlight w:val="none"/>
        </w:rPr>
      </w:r>
      <w:r/>
    </w:p>
    <w:p>
      <w:pPr>
        <w:pStyle w:val="748"/>
        <w:ind w:firstLine="420"/>
        <w:spacing w:before="0" w:after="0" w:line="240" w:lineRule="auto"/>
        <w:shd w:val="clear" w:color="auto" w:fill="auto"/>
        <w:rPr>
          <w:rFonts w:hint="eastAsia" w:ascii="宋体" w:hAnsi="宋体" w:eastAsia="宋体" w:cs="宋体"/>
          <w:b w:val="0"/>
          <w:bCs w:val="0"/>
          <w:color w:val="000000"/>
          <w:highlight w:val="none"/>
        </w:rPr>
      </w:pPr>
      <w:r/>
      <w:bookmarkStart w:id="113" w:name="_Toc16938548"/>
      <w:r/>
      <w:bookmarkStart w:id="114" w:name="_Toc513029232"/>
      <w:r/>
      <w:bookmarkStart w:id="115" w:name="_Toc20823304"/>
      <w:r>
        <w:rPr>
          <w:rFonts w:hint="eastAsia" w:ascii="宋体" w:hAnsi="宋体" w:eastAsia="宋体" w:cs="宋体"/>
          <w:b w:val="0"/>
          <w:bCs w:val="0"/>
          <w:color w:val="000000"/>
          <w:highlight w:val="none"/>
        </w:rPr>
        <w:t xml:space="preserve">27、投标的澄清</w:t>
      </w:r>
      <w:bookmarkEnd w:id="113"/>
      <w:r/>
      <w:bookmarkEnd w:id="114"/>
      <w:r/>
      <w:bookmarkEnd w:id="115"/>
      <w:r>
        <w:rPr>
          <w:rFonts w:hint="eastAsia" w:ascii="宋体" w:hAnsi="宋体" w:eastAsia="宋体" w:cs="宋体"/>
          <w:b w:val="0"/>
          <w:bCs w:val="0"/>
          <w:color w:val="000000"/>
          <w:highlight w:val="none"/>
        </w:rPr>
      </w:r>
      <w:r/>
    </w:p>
    <w:p>
      <w:pPr>
        <w:pStyle w:val="744"/>
        <w:ind w:firstLine="480"/>
        <w:spacing w:line="48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27.1评标期间，为有助于对投标文件的审查、评价和比较，评委会有权以书面形式要求投标人对其投标文件进行澄清，但并非对每个投标人都作澄清要求。</w:t>
      </w:r>
      <w:r>
        <w:rPr>
          <w:rFonts w:hint="eastAsia" w:ascii="宋体" w:hAnsi="宋体" w:cs="宋体"/>
          <w:color w:val="000000"/>
          <w:sz w:val="24"/>
          <w:szCs w:val="24"/>
          <w:highlight w:val="none"/>
        </w:rPr>
      </w:r>
      <w:r/>
    </w:p>
    <w:p>
      <w:pPr>
        <w:pStyle w:val="744"/>
        <w:spacing w:line="48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27.2接到评委会澄清要求的投标人应派人按评委会通知的时间和地点做出书面澄清，书面澄清的内容须由投标人法人或授权代表签署，并作为投标文件的补充部分，但投标的价格和实质性的内容不得做任何更改。</w:t>
      </w:r>
      <w:r>
        <w:rPr>
          <w:rFonts w:hint="eastAsia" w:ascii="宋体" w:hAnsi="宋体" w:cs="宋体"/>
          <w:color w:val="000000"/>
          <w:sz w:val="24"/>
          <w:szCs w:val="24"/>
          <w:highlight w:val="none"/>
        </w:rPr>
      </w:r>
      <w:r/>
    </w:p>
    <w:p>
      <w:pPr>
        <w:pStyle w:val="744"/>
        <w:spacing w:line="48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27.3 接到评委会澄清要求的投标人如未按规定做出澄清，其风险由投标人自行承担。</w:t>
      </w:r>
      <w:r>
        <w:rPr>
          <w:rFonts w:hint="eastAsia" w:ascii="宋体" w:hAnsi="宋体" w:cs="宋体"/>
          <w:color w:val="000000"/>
          <w:sz w:val="24"/>
          <w:szCs w:val="24"/>
          <w:highlight w:val="none"/>
        </w:rPr>
      </w:r>
      <w:r/>
    </w:p>
    <w:p>
      <w:pPr>
        <w:pStyle w:val="748"/>
        <w:ind w:firstLine="420"/>
        <w:spacing w:before="0" w:after="0" w:line="240" w:lineRule="auto"/>
        <w:shd w:val="clear" w:color="auto" w:fill="auto"/>
        <w:rPr>
          <w:rFonts w:hint="eastAsia" w:ascii="宋体" w:hAnsi="宋体" w:eastAsia="宋体" w:cs="宋体"/>
          <w:b w:val="0"/>
          <w:bCs w:val="0"/>
          <w:color w:val="000000"/>
          <w:highlight w:val="none"/>
        </w:rPr>
      </w:pPr>
      <w:r/>
      <w:bookmarkStart w:id="116" w:name="_Toc20823305"/>
      <w:r/>
      <w:bookmarkStart w:id="117" w:name="_Toc513029233"/>
      <w:r/>
      <w:bookmarkStart w:id="118" w:name="_Toc16938549"/>
      <w:r>
        <w:rPr>
          <w:rFonts w:hint="eastAsia" w:ascii="宋体" w:hAnsi="宋体" w:eastAsia="宋体" w:cs="宋体"/>
          <w:b w:val="0"/>
          <w:bCs w:val="0"/>
          <w:color w:val="000000"/>
          <w:highlight w:val="none"/>
        </w:rPr>
        <w:t xml:space="preserve">28、对投标文件的评审</w:t>
      </w:r>
      <w:bookmarkEnd w:id="116"/>
      <w:r/>
      <w:bookmarkEnd w:id="117"/>
      <w:r/>
      <w:bookmarkEnd w:id="118"/>
      <w:r>
        <w:rPr>
          <w:rFonts w:hint="eastAsia" w:ascii="宋体" w:hAnsi="宋体" w:eastAsia="宋体" w:cs="宋体"/>
          <w:b w:val="0"/>
          <w:bCs w:val="0"/>
          <w:color w:val="000000"/>
          <w:highlight w:val="none"/>
        </w:rPr>
      </w:r>
      <w:r/>
    </w:p>
    <w:p>
      <w:pPr>
        <w:pStyle w:val="744"/>
        <w:ind w:firstLine="480"/>
        <w:spacing w:line="460" w:lineRule="exact"/>
        <w:shd w:val="clear" w:color="auto" w:fill="auto"/>
        <w:rPr>
          <w:rFonts w:hint="eastAsia" w:ascii="宋体" w:hAnsi="宋体" w:cs="宋体"/>
          <w:bCs/>
          <w:color w:val="000000"/>
          <w:sz w:val="24"/>
          <w:highlight w:val="none"/>
        </w:rPr>
      </w:pPr>
      <w:r>
        <w:rPr>
          <w:rFonts w:hint="eastAsia" w:ascii="宋体" w:hAnsi="宋体" w:cs="宋体"/>
          <w:color w:val="000000"/>
          <w:sz w:val="24"/>
          <w:highlight w:val="none"/>
        </w:rPr>
        <w:t xml:space="preserve">28.1</w:t>
      </w:r>
      <w:r>
        <w:rPr>
          <w:rFonts w:hint="eastAsia" w:ascii="宋体" w:hAnsi="宋体" w:cs="宋体"/>
          <w:bCs/>
          <w:color w:val="000000"/>
          <w:sz w:val="24"/>
          <w:highlight w:val="none"/>
        </w:rPr>
        <w:t xml:space="preserve">符合性检查：依据招标文件的规定，从投标文件的有效性、完整性和对招标文件的响应程度进行审查，以确定是否对招标文件的实质性要求作出响应。</w:t>
      </w:r>
      <w:r>
        <w:rPr>
          <w:rFonts w:hint="eastAsia" w:ascii="宋体" w:hAnsi="宋体" w:cs="宋体"/>
          <w:bCs/>
          <w:color w:val="000000"/>
          <w:sz w:val="24"/>
          <w:highlight w:val="none"/>
        </w:rPr>
      </w:r>
      <w:r/>
    </w:p>
    <w:p>
      <w:pPr>
        <w:pStyle w:val="744"/>
        <w:ind w:firstLine="480"/>
        <w:spacing w:line="48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highlight w:val="none"/>
        </w:rPr>
        <w:t xml:space="preserve">28.2</w:t>
      </w:r>
      <w:r>
        <w:rPr>
          <w:rFonts w:hint="eastAsia" w:ascii="宋体" w:hAnsi="宋体" w:cs="宋体"/>
          <w:color w:val="000000"/>
          <w:sz w:val="24"/>
          <w:szCs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s="宋体"/>
          <w:color w:val="000000"/>
          <w:sz w:val="24"/>
          <w:szCs w:val="24"/>
          <w:highlight w:val="none"/>
        </w:rPr>
      </w:r>
      <w:r/>
    </w:p>
    <w:p>
      <w:pPr>
        <w:pStyle w:val="744"/>
        <w:ind w:firstLine="480"/>
        <w:spacing w:line="460" w:lineRule="exact"/>
        <w:shd w:val="clear" w:color="auto" w:fill="auto"/>
        <w:rPr>
          <w:rFonts w:hint="eastAsia" w:ascii="宋体" w:hAnsi="宋体" w:cs="宋体"/>
          <w:bCs/>
          <w:color w:val="000000"/>
          <w:sz w:val="24"/>
          <w:highlight w:val="none"/>
        </w:rPr>
      </w:pPr>
      <w:r>
        <w:rPr>
          <w:rFonts w:hint="eastAsia" w:ascii="宋体" w:hAnsi="宋体" w:cs="宋体"/>
          <w:color w:val="000000"/>
          <w:sz w:val="24"/>
          <w:szCs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是否属于重大偏离由评委会按照少数服从多数的原则作出结论。认定</w:t>
      </w:r>
      <w:r>
        <w:rPr>
          <w:rFonts w:hint="eastAsia" w:ascii="宋体" w:hAnsi="宋体" w:cs="宋体"/>
          <w:bCs/>
          <w:color w:val="000000"/>
          <w:sz w:val="24"/>
          <w:highlight w:val="none"/>
        </w:rPr>
        <w:t xml:space="preserve">评委决定投标文件的响应性只根据投标文件本身的内容，而不寻求外部的证据。</w:t>
      </w:r>
      <w:r>
        <w:rPr>
          <w:rFonts w:hint="eastAsia" w:ascii="宋体" w:hAnsi="宋体" w:cs="宋体"/>
          <w:bCs/>
          <w:color w:val="000000"/>
          <w:sz w:val="24"/>
          <w:highlight w:val="none"/>
        </w:rPr>
      </w:r>
      <w:r/>
    </w:p>
    <w:p>
      <w:pPr>
        <w:pStyle w:val="744"/>
        <w:ind w:firstLine="480"/>
        <w:spacing w:line="460" w:lineRule="exact"/>
        <w:shd w:val="clear" w:color="auto" w:fill="auto"/>
        <w:rPr>
          <w:rFonts w:hint="eastAsia" w:ascii="宋体" w:hAnsi="宋体" w:cs="宋体"/>
          <w:bCs/>
          <w:color w:val="000000"/>
          <w:sz w:val="24"/>
          <w:highlight w:val="none"/>
        </w:rPr>
      </w:pPr>
      <w:r>
        <w:rPr>
          <w:rFonts w:hint="eastAsia" w:ascii="宋体" w:hAnsi="宋体" w:cs="宋体"/>
          <w:color w:val="000000"/>
          <w:sz w:val="24"/>
          <w:highlight w:val="none"/>
        </w:rPr>
        <w:t xml:space="preserve">28.3</w:t>
      </w:r>
      <w:r>
        <w:rPr>
          <w:rFonts w:hint="eastAsia" w:ascii="宋体" w:hAnsi="宋体" w:cs="宋体"/>
          <w:bCs/>
          <w:color w:val="000000"/>
          <w:sz w:val="24"/>
          <w:highlight w:val="none"/>
        </w:rPr>
        <w:t xml:space="preserve">如果投标文件实质上没有响应招标文件的要求，评委会将按无效投标处理，投标人不得通过修改或撤销不合要求的偏离或保留而使其投标成为实质性响应的投标。</w:t>
      </w:r>
      <w:r>
        <w:rPr>
          <w:rFonts w:hint="eastAsia" w:ascii="宋体" w:hAnsi="宋体" w:cs="宋体"/>
          <w:bCs/>
          <w:color w:val="000000"/>
          <w:sz w:val="24"/>
          <w:highlight w:val="none"/>
        </w:rPr>
      </w:r>
      <w:r/>
    </w:p>
    <w:p>
      <w:pPr>
        <w:pStyle w:val="744"/>
        <w:ind w:firstLine="480"/>
        <w:spacing w:line="460" w:lineRule="exact"/>
        <w:shd w:val="clear" w:color="auto" w:fill="auto"/>
        <w:rPr>
          <w:rFonts w:hint="eastAsia" w:ascii="宋体" w:hAnsi="宋体" w:cs="宋体"/>
          <w:bCs/>
          <w:color w:val="000000"/>
          <w:sz w:val="24"/>
          <w:highlight w:val="none"/>
        </w:rPr>
      </w:pPr>
      <w:r>
        <w:rPr>
          <w:rFonts w:hint="eastAsia" w:ascii="宋体" w:hAnsi="宋体" w:cs="宋体"/>
          <w:color w:val="000000"/>
          <w:sz w:val="24"/>
          <w:highlight w:val="none"/>
        </w:rPr>
        <w:t xml:space="preserve">28.4</w:t>
      </w:r>
      <w:r>
        <w:rPr>
          <w:rFonts w:hint="eastAsia" w:ascii="宋体" w:hAnsi="宋体" w:cs="宋体"/>
          <w:bCs/>
          <w:color w:val="000000"/>
          <w:sz w:val="24"/>
          <w:highlight w:val="none"/>
        </w:rPr>
        <w:t xml:space="preserve">评委会将对确定为实质性响应的投标进行进一步审核，看其是否有计算上或累加上的算术错误，修正错误的原则如下：</w:t>
      </w:r>
      <w:r>
        <w:rPr>
          <w:rFonts w:hint="eastAsia" w:ascii="宋体" w:hAnsi="宋体" w:cs="宋体"/>
          <w:bCs/>
          <w:color w:val="000000"/>
          <w:sz w:val="24"/>
          <w:highlight w:val="none"/>
        </w:rPr>
      </w:r>
      <w:r/>
    </w:p>
    <w:p>
      <w:pPr>
        <w:pStyle w:val="744"/>
        <w:ind w:firstLine="480"/>
        <w:spacing w:line="460" w:lineRule="exact"/>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（1）投标文件中开标一览表内容与投标文件中相应内容不一致的，以开标一览表为准。</w:t>
      </w:r>
      <w:r>
        <w:rPr>
          <w:rFonts w:hint="eastAsia" w:ascii="宋体" w:hAnsi="宋体" w:cs="宋体"/>
          <w:bCs/>
          <w:color w:val="000000"/>
          <w:sz w:val="24"/>
          <w:highlight w:val="none"/>
        </w:rPr>
      </w:r>
      <w:r/>
    </w:p>
    <w:p>
      <w:pPr>
        <w:pStyle w:val="744"/>
        <w:ind w:firstLine="480"/>
        <w:spacing w:line="460" w:lineRule="exact"/>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（2）大写金额和小写金额不一致的，以大写金额为准。</w:t>
      </w:r>
      <w:r>
        <w:rPr>
          <w:rFonts w:hint="eastAsia" w:ascii="宋体" w:hAnsi="宋体" w:cs="宋体"/>
          <w:bCs/>
          <w:color w:val="000000"/>
          <w:sz w:val="24"/>
          <w:highlight w:val="none"/>
        </w:rPr>
      </w:r>
      <w:r/>
    </w:p>
    <w:p>
      <w:pPr>
        <w:pStyle w:val="744"/>
        <w:ind w:firstLine="480"/>
        <w:spacing w:line="460" w:lineRule="exact"/>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（3）单价金额小数点或者百分比有明显错位的，以开标一览表的总价为准，并修改单价。</w:t>
      </w:r>
      <w:r>
        <w:rPr>
          <w:rFonts w:hint="eastAsia" w:ascii="宋体" w:hAnsi="宋体" w:cs="宋体"/>
          <w:bCs/>
          <w:color w:val="000000"/>
          <w:sz w:val="24"/>
          <w:highlight w:val="none"/>
        </w:rPr>
      </w:r>
      <w:r/>
    </w:p>
    <w:p>
      <w:pPr>
        <w:pStyle w:val="744"/>
        <w:ind w:firstLine="480"/>
        <w:spacing w:line="460" w:lineRule="exact"/>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（4）总价金额与按单价汇总金额不一致的，以单价金额计算结果为准。</w:t>
      </w:r>
      <w:r>
        <w:rPr>
          <w:rFonts w:hint="eastAsia" w:ascii="宋体" w:hAnsi="宋体" w:cs="宋体"/>
          <w:bCs/>
          <w:color w:val="000000"/>
          <w:sz w:val="24"/>
          <w:highlight w:val="none"/>
        </w:rPr>
      </w:r>
      <w:r/>
    </w:p>
    <w:p>
      <w:pPr>
        <w:pStyle w:val="744"/>
        <w:ind w:firstLine="480"/>
        <w:spacing w:line="460" w:lineRule="exact"/>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同时出现两种以上错误的，按照前款规定的顺序修正。</w:t>
      </w:r>
      <w:r>
        <w:rPr>
          <w:rFonts w:hint="eastAsia" w:ascii="宋体" w:hAnsi="宋体" w:cs="宋体"/>
          <w:bCs/>
          <w:color w:val="000000"/>
          <w:sz w:val="24"/>
          <w:highlight w:val="none"/>
        </w:rPr>
      </w:r>
      <w:r/>
    </w:p>
    <w:p>
      <w:pPr>
        <w:pStyle w:val="744"/>
        <w:ind w:firstLine="480"/>
        <w:spacing w:line="460" w:lineRule="exact"/>
        <w:shd w:val="clear" w:color="auto" w:fill="auto"/>
        <w:rPr>
          <w:rFonts w:hint="eastAsia" w:ascii="宋体" w:hAnsi="宋体" w:cs="宋体"/>
          <w:bCs/>
          <w:color w:val="000000"/>
          <w:sz w:val="24"/>
          <w:highlight w:val="none"/>
        </w:rPr>
      </w:pPr>
      <w:r>
        <w:rPr>
          <w:rFonts w:hint="eastAsia" w:ascii="宋体" w:hAnsi="宋体" w:cs="宋体"/>
          <w:color w:val="000000"/>
          <w:sz w:val="24"/>
          <w:highlight w:val="none"/>
        </w:rPr>
        <w:t xml:space="preserve">28.5</w:t>
      </w:r>
      <w:r>
        <w:rPr>
          <w:rFonts w:hint="eastAsia" w:ascii="宋体" w:hAnsi="宋体" w:cs="宋体"/>
          <w:bCs/>
          <w:color w:val="000000"/>
          <w:sz w:val="24"/>
          <w:highlight w:val="none"/>
        </w:rPr>
        <w:t xml:space="preserve">评委会将按上述修正错误的方法调整投标文件中的投标报价，调整后的价格应对投标人具有约束力。如果投标人不接受修正后的价格，则其投标将被拒绝。</w:t>
      </w:r>
      <w:r>
        <w:rPr>
          <w:rFonts w:hint="eastAsia" w:ascii="宋体" w:hAnsi="宋体" w:cs="宋体"/>
          <w:bCs/>
          <w:color w:val="000000"/>
          <w:sz w:val="24"/>
          <w:highlight w:val="none"/>
        </w:rPr>
      </w:r>
      <w:r/>
    </w:p>
    <w:p>
      <w:pPr>
        <w:pStyle w:val="744"/>
        <w:ind w:firstLine="480"/>
        <w:spacing w:line="460" w:lineRule="exact"/>
        <w:shd w:val="clear" w:color="auto" w:fill="auto"/>
        <w:rPr>
          <w:rFonts w:hint="eastAsia" w:ascii="宋体" w:hAnsi="宋体" w:cs="宋体"/>
          <w:bCs/>
          <w:color w:val="000000"/>
          <w:sz w:val="24"/>
          <w:highlight w:val="none"/>
        </w:rPr>
      </w:pPr>
      <w:r>
        <w:rPr>
          <w:rFonts w:hint="eastAsia" w:ascii="宋体" w:hAnsi="宋体" w:cs="宋体"/>
          <w:color w:val="000000"/>
          <w:sz w:val="24"/>
          <w:highlight w:val="none"/>
        </w:rPr>
        <w:t xml:space="preserve">28.6</w:t>
      </w:r>
      <w:r>
        <w:rPr>
          <w:rFonts w:hint="eastAsia" w:ascii="宋体" w:hAnsi="宋体" w:cs="宋体"/>
          <w:bCs/>
          <w:color w:val="000000"/>
          <w:sz w:val="24"/>
          <w:highlight w:val="none"/>
        </w:rPr>
        <w:t xml:space="preserve">评委会将允许修正投标文件中不构成重大偏离的、微小的、非正规的、不一致的或不规则的地方，但这些修改不能影响任何投标人相应的名次排列。</w:t>
      </w:r>
      <w:r>
        <w:rPr>
          <w:rFonts w:hint="eastAsia" w:ascii="宋体" w:hAnsi="宋体" w:cs="宋体"/>
          <w:bCs/>
          <w:color w:val="000000"/>
          <w:sz w:val="24"/>
          <w:highlight w:val="none"/>
        </w:rPr>
      </w:r>
      <w:r/>
    </w:p>
    <w:p>
      <w:pPr>
        <w:pStyle w:val="748"/>
        <w:ind w:firstLine="360"/>
        <w:spacing w:before="0" w:after="0" w:line="240" w:lineRule="auto"/>
        <w:shd w:val="clear" w:color="auto" w:fill="auto"/>
        <w:rPr>
          <w:rFonts w:hint="eastAsia" w:ascii="宋体" w:hAnsi="宋体" w:eastAsia="宋体" w:cs="宋体"/>
          <w:b w:val="0"/>
          <w:color w:val="000000"/>
          <w:sz w:val="24"/>
          <w:szCs w:val="21"/>
          <w:highlight w:val="none"/>
        </w:rPr>
      </w:pPr>
      <w:r/>
      <w:bookmarkStart w:id="119" w:name="_Toc513029234"/>
      <w:r/>
      <w:bookmarkStart w:id="120" w:name="_Toc20823306"/>
      <w:r/>
      <w:bookmarkStart w:id="121" w:name="_Toc16938550"/>
      <w:r>
        <w:rPr>
          <w:rFonts w:hint="eastAsia" w:ascii="宋体" w:hAnsi="宋体" w:eastAsia="宋体" w:cs="宋体"/>
          <w:b w:val="0"/>
          <w:color w:val="000000"/>
          <w:sz w:val="24"/>
          <w:szCs w:val="21"/>
          <w:highlight w:val="none"/>
        </w:rPr>
        <w:t xml:space="preserve">29、</w:t>
      </w:r>
      <w:bookmarkEnd w:id="119"/>
      <w:r/>
      <w:bookmarkEnd w:id="120"/>
      <w:r/>
      <w:bookmarkEnd w:id="121"/>
      <w:r>
        <w:rPr>
          <w:rFonts w:hint="eastAsia" w:ascii="宋体" w:hAnsi="宋体" w:eastAsia="宋体" w:cs="宋体"/>
          <w:b w:val="0"/>
          <w:color w:val="000000"/>
          <w:sz w:val="24"/>
          <w:szCs w:val="21"/>
          <w:highlight w:val="none"/>
        </w:rPr>
        <w:t xml:space="preserve">无效投标条款和废标条款</w:t>
      </w:r>
      <w:r>
        <w:rPr>
          <w:rFonts w:hint="eastAsia" w:ascii="宋体" w:hAnsi="宋体" w:eastAsia="宋体" w:cs="宋体"/>
          <w:b w:val="0"/>
          <w:color w:val="000000"/>
          <w:sz w:val="24"/>
          <w:szCs w:val="21"/>
          <w:highlight w:val="none"/>
        </w:rPr>
      </w:r>
      <w:r/>
    </w:p>
    <w:p>
      <w:pPr>
        <w:pStyle w:val="744"/>
        <w:ind w:left="479"/>
        <w:spacing w:line="440" w:lineRule="exact"/>
        <w:shd w:val="clear" w:color="auto" w:fill="auto"/>
        <w:rPr>
          <w:rFonts w:hint="eastAsia" w:ascii="宋体" w:hAnsi="宋体" w:cs="宋体"/>
          <w:bCs/>
          <w:color w:val="000000"/>
          <w:sz w:val="24"/>
          <w:highlight w:val="none"/>
        </w:rPr>
      </w:pPr>
      <w:r/>
      <w:bookmarkStart w:id="122" w:name="_Toc513029235"/>
      <w:r/>
      <w:bookmarkStart w:id="123" w:name="_Toc16938551"/>
      <w:r/>
      <w:bookmarkStart w:id="124" w:name="_Toc20823307"/>
      <w:r>
        <w:rPr>
          <w:rFonts w:hint="eastAsia" w:ascii="宋体" w:hAnsi="宋体" w:cs="宋体"/>
          <w:bCs/>
          <w:color w:val="000000"/>
          <w:sz w:val="24"/>
          <w:highlight w:val="none"/>
        </w:rPr>
        <w:t xml:space="preserve">29.1无效投标条款</w:t>
      </w:r>
      <w:r>
        <w:rPr>
          <w:rFonts w:hint="eastAsia" w:ascii="宋体" w:hAnsi="宋体" w:cs="宋体"/>
          <w:bCs/>
          <w:color w:val="000000"/>
          <w:sz w:val="24"/>
          <w:highlight w:val="none"/>
        </w:rPr>
      </w:r>
      <w:r/>
    </w:p>
    <w:p>
      <w:pPr>
        <w:pStyle w:val="744"/>
        <w:ind w:firstLine="480"/>
        <w:spacing w:line="440" w:lineRule="exact"/>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29.1.1投标人未按照招标文件要求上传电子投标文件的；</w:t>
      </w:r>
      <w:r>
        <w:rPr>
          <w:rFonts w:hint="eastAsia" w:ascii="宋体" w:hAnsi="宋体" w:cs="宋体"/>
          <w:bCs/>
          <w:color w:val="000000"/>
          <w:sz w:val="24"/>
          <w:highlight w:val="none"/>
        </w:rPr>
      </w:r>
      <w:r/>
    </w:p>
    <w:p>
      <w:pPr>
        <w:pStyle w:val="744"/>
        <w:ind w:firstLine="480"/>
        <w:spacing w:line="440" w:lineRule="exact"/>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29.1.2</w:t>
      </w:r>
      <w:r>
        <w:rPr>
          <w:rFonts w:hint="eastAsia" w:ascii="宋体" w:hAnsi="宋体" w:cs="宋体"/>
          <w:color w:val="000000"/>
          <w:sz w:val="24"/>
          <w:highlight w:val="none"/>
        </w:rPr>
        <w:t xml:space="preserve">投标人未在规定解密时间内进行解密；</w:t>
      </w:r>
      <w:r>
        <w:rPr>
          <w:rFonts w:hint="eastAsia" w:ascii="宋体" w:hAnsi="宋体" w:cs="宋体"/>
          <w:bCs/>
          <w:color w:val="000000"/>
          <w:sz w:val="24"/>
          <w:highlight w:val="none"/>
        </w:rPr>
      </w:r>
      <w:r/>
    </w:p>
    <w:p>
      <w:pPr>
        <w:pStyle w:val="744"/>
        <w:ind w:left="479"/>
        <w:spacing w:line="440" w:lineRule="exact"/>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29.1.3投标人在报价时采用选择性报价；</w:t>
      </w:r>
      <w:r>
        <w:rPr>
          <w:rFonts w:hint="eastAsia" w:ascii="宋体" w:hAnsi="宋体" w:cs="宋体"/>
          <w:bCs/>
          <w:color w:val="000000"/>
          <w:sz w:val="24"/>
          <w:highlight w:val="none"/>
        </w:rPr>
      </w:r>
      <w:r/>
    </w:p>
    <w:p>
      <w:pPr>
        <w:pStyle w:val="744"/>
        <w:ind w:left="479"/>
        <w:spacing w:line="440" w:lineRule="exact"/>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29.1.4投标人不具备招标文件中规定资格要求的；</w:t>
      </w:r>
      <w:r>
        <w:rPr>
          <w:rFonts w:hint="eastAsia" w:ascii="宋体" w:hAnsi="宋体" w:cs="宋体"/>
          <w:bCs/>
          <w:color w:val="000000"/>
          <w:sz w:val="24"/>
          <w:highlight w:val="none"/>
        </w:rPr>
      </w:r>
      <w:r/>
    </w:p>
    <w:p>
      <w:pPr>
        <w:pStyle w:val="744"/>
        <w:ind w:firstLine="480"/>
        <w:spacing w:line="440" w:lineRule="exact"/>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29.1.5投标人的报价超过了采购预算或最高限价的；</w:t>
      </w:r>
      <w:r>
        <w:rPr>
          <w:rFonts w:hint="eastAsia" w:ascii="宋体" w:hAnsi="宋体" w:cs="宋体"/>
          <w:bCs/>
          <w:color w:val="000000"/>
          <w:sz w:val="24"/>
          <w:highlight w:val="none"/>
        </w:rPr>
      </w:r>
      <w:r/>
    </w:p>
    <w:p>
      <w:pPr>
        <w:pStyle w:val="744"/>
        <w:ind w:firstLine="480"/>
        <w:spacing w:line="440" w:lineRule="exact"/>
        <w:shd w:val="clear" w:color="auto" w:fill="auto"/>
        <w:rPr>
          <w:rFonts w:hint="eastAsia" w:ascii="宋体" w:hAnsi="宋体" w:cs="宋体"/>
          <w:bCs/>
          <w:i/>
          <w:color w:val="000000"/>
          <w:sz w:val="24"/>
          <w:highlight w:val="none"/>
          <w:u w:val="single"/>
        </w:rPr>
      </w:pPr>
      <w:r>
        <w:rPr>
          <w:rFonts w:hint="eastAsia" w:ascii="宋体" w:hAnsi="宋体" w:cs="宋体"/>
          <w:bCs/>
          <w:color w:val="000000"/>
          <w:sz w:val="24"/>
          <w:highlight w:val="none"/>
        </w:rPr>
        <w:t xml:space="preserve">29.1.6未通过符合性检查的；</w:t>
      </w:r>
      <w:r>
        <w:rPr>
          <w:rFonts w:hint="eastAsia" w:ascii="宋体" w:hAnsi="宋体" w:cs="宋体"/>
          <w:bCs/>
          <w:i/>
          <w:color w:val="000000"/>
          <w:sz w:val="24"/>
          <w:highlight w:val="none"/>
          <w:u w:val="single"/>
        </w:rPr>
      </w:r>
      <w:r/>
    </w:p>
    <w:p>
      <w:pPr>
        <w:pStyle w:val="744"/>
        <w:ind w:firstLine="360"/>
        <w:spacing w:line="440" w:lineRule="exact"/>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 29.1.7不符合招标文件中规定的其他实质性要求和条件的；</w:t>
      </w:r>
      <w:r>
        <w:rPr>
          <w:rFonts w:hint="eastAsia" w:ascii="宋体" w:hAnsi="宋体" w:cs="宋体"/>
          <w:bCs/>
          <w:color w:val="000000"/>
          <w:sz w:val="24"/>
          <w:highlight w:val="none"/>
        </w:rPr>
      </w:r>
      <w:r/>
    </w:p>
    <w:p>
      <w:pPr>
        <w:pStyle w:val="744"/>
        <w:ind w:firstLine="480"/>
        <w:spacing w:line="440" w:lineRule="exact"/>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29.1.8投标人串通投标；</w:t>
      </w:r>
      <w:r>
        <w:rPr>
          <w:rFonts w:hint="eastAsia" w:ascii="宋体" w:hAnsi="宋体" w:cs="宋体"/>
          <w:bCs/>
          <w:color w:val="000000"/>
          <w:sz w:val="24"/>
          <w:highlight w:val="none"/>
        </w:rPr>
      </w:r>
      <w:r/>
    </w:p>
    <w:p>
      <w:pPr>
        <w:pStyle w:val="744"/>
        <w:ind w:firstLine="480"/>
        <w:spacing w:line="440" w:lineRule="exact"/>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29.1.9投标文件含有采购人不能接受的附加条件的。</w:t>
      </w:r>
      <w:r>
        <w:rPr>
          <w:rFonts w:hint="eastAsia" w:ascii="宋体" w:hAnsi="宋体" w:cs="宋体"/>
          <w:bCs/>
          <w:color w:val="000000"/>
          <w:sz w:val="24"/>
          <w:highlight w:val="none"/>
        </w:rPr>
      </w:r>
      <w:r/>
    </w:p>
    <w:p>
      <w:pPr>
        <w:pStyle w:val="744"/>
        <w:ind w:firstLine="480"/>
        <w:spacing w:line="440" w:lineRule="exact"/>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29.1.10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hint="eastAsia" w:ascii="宋体" w:hAnsi="宋体" w:cs="宋体"/>
          <w:bCs/>
          <w:color w:val="000000"/>
          <w:sz w:val="24"/>
          <w:highlight w:val="none"/>
        </w:rPr>
      </w:r>
      <w:r/>
    </w:p>
    <w:p>
      <w:pPr>
        <w:pStyle w:val="744"/>
        <w:ind w:firstLine="480"/>
        <w:spacing w:line="440" w:lineRule="exact"/>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29.1.11投标文件未按照招标文件要求加盖电子签章。</w:t>
      </w:r>
      <w:r>
        <w:rPr>
          <w:rFonts w:hint="eastAsia" w:ascii="宋体" w:hAnsi="宋体" w:cs="宋体"/>
          <w:bCs/>
          <w:color w:val="000000"/>
          <w:sz w:val="24"/>
          <w:highlight w:val="none"/>
        </w:rPr>
      </w:r>
      <w:r/>
    </w:p>
    <w:p>
      <w:pPr>
        <w:pStyle w:val="744"/>
        <w:ind w:firstLine="480"/>
        <w:spacing w:line="440" w:lineRule="exact"/>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29.1.12其他法律、法规及本招标文件规定的属无效投标的情形。</w:t>
      </w:r>
      <w:r>
        <w:rPr>
          <w:rFonts w:hint="eastAsia" w:ascii="宋体" w:hAnsi="宋体" w:cs="宋体"/>
          <w:bCs/>
          <w:color w:val="000000"/>
          <w:sz w:val="24"/>
          <w:highlight w:val="none"/>
        </w:rPr>
      </w:r>
      <w:r/>
    </w:p>
    <w:p>
      <w:pPr>
        <w:pStyle w:val="744"/>
        <w:ind w:left="479"/>
        <w:spacing w:line="440" w:lineRule="exact"/>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29.2废标条款：                                                                                                                                         </w:t>
      </w:r>
      <w:r>
        <w:rPr>
          <w:rFonts w:hint="eastAsia" w:ascii="宋体" w:hAnsi="宋体" w:cs="宋体"/>
          <w:bCs/>
          <w:color w:val="000000"/>
          <w:sz w:val="24"/>
          <w:highlight w:val="none"/>
        </w:rPr>
        <w:t xml:space="preserve">                                                                                                                                                                                                                                                                </w:t>
      </w:r>
      <w:r>
        <w:rPr>
          <w:rFonts w:hint="eastAsia" w:ascii="宋体" w:hAnsi="宋体" w:cs="宋体"/>
          <w:bCs/>
          <w:color w:val="000000"/>
          <w:sz w:val="24"/>
          <w:highlight w:val="none"/>
        </w:rPr>
        <w:t xml:space="preserve">                                                                                                                                                                                                                                                                </w:t>
      </w:r>
      <w:r>
        <w:rPr>
          <w:rFonts w:hint="eastAsia" w:ascii="宋体" w:hAnsi="宋体" w:cs="宋体"/>
          <w:bCs/>
          <w:color w:val="000000"/>
          <w:sz w:val="24"/>
          <w:highlight w:val="none"/>
        </w:rPr>
        <w:t xml:space="preserve">                                                                                                                                                                                                                                                                </w:t>
      </w:r>
      <w:r>
        <w:rPr>
          <w:rFonts w:hint="eastAsia" w:ascii="宋体" w:hAnsi="宋体" w:cs="宋体"/>
          <w:bCs/>
          <w:color w:val="000000"/>
          <w:sz w:val="24"/>
          <w:highlight w:val="none"/>
        </w:rPr>
        <w:t xml:space="preserve">                                                                                                                                                                                                                                                                </w:t>
      </w:r>
      <w:r>
        <w:rPr>
          <w:rFonts w:hint="eastAsia" w:ascii="宋体" w:hAnsi="宋体" w:cs="宋体"/>
          <w:bCs/>
          <w:color w:val="000000"/>
          <w:sz w:val="24"/>
          <w:highlight w:val="none"/>
        </w:rPr>
        <w:t xml:space="preserve">                                                                                                                                                                                                                                                                </w:t>
      </w:r>
      <w:r>
        <w:rPr>
          <w:rFonts w:hint="eastAsia" w:ascii="宋体" w:hAnsi="宋体" w:cs="宋体"/>
          <w:bCs/>
          <w:color w:val="000000"/>
          <w:sz w:val="24"/>
          <w:highlight w:val="none"/>
        </w:rPr>
      </w:r>
      <w:r/>
    </w:p>
    <w:p>
      <w:pPr>
        <w:pStyle w:val="744"/>
        <w:ind w:left="479"/>
        <w:spacing w:line="440" w:lineRule="exact"/>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29.2.1符合专业条件的供应商或者对招标文件作实质响应的供应商不足三家的；29.2.2出现影响采购公正的违法、违规行为的；</w:t>
      </w:r>
      <w:r>
        <w:rPr>
          <w:rFonts w:hint="eastAsia" w:ascii="宋体" w:hAnsi="宋体" w:cs="宋体"/>
          <w:bCs/>
          <w:color w:val="000000"/>
          <w:sz w:val="24"/>
          <w:highlight w:val="none"/>
        </w:rPr>
      </w:r>
      <w:r/>
    </w:p>
    <w:p>
      <w:pPr>
        <w:pStyle w:val="744"/>
        <w:ind w:left="479"/>
        <w:spacing w:line="440" w:lineRule="exact"/>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29.2.3因重大变故，采购任务取消的；</w:t>
      </w:r>
      <w:r>
        <w:rPr>
          <w:rFonts w:hint="eastAsia" w:ascii="宋体" w:hAnsi="宋体" w:cs="宋体"/>
          <w:bCs/>
          <w:color w:val="000000"/>
          <w:sz w:val="24"/>
          <w:highlight w:val="none"/>
        </w:rPr>
      </w:r>
      <w:r/>
    </w:p>
    <w:p>
      <w:pPr>
        <w:pStyle w:val="744"/>
        <w:ind w:left="479"/>
        <w:spacing w:line="440" w:lineRule="exact"/>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29.2.4评标委员会认定招标文件存在歧义、重大缺陷导致评审工作无法进行。</w:t>
      </w:r>
      <w:r>
        <w:rPr>
          <w:rFonts w:hint="eastAsia" w:ascii="宋体" w:hAnsi="宋体" w:cs="宋体"/>
          <w:bCs/>
          <w:color w:val="000000"/>
          <w:sz w:val="24"/>
          <w:highlight w:val="none"/>
        </w:rPr>
      </w:r>
      <w:r/>
    </w:p>
    <w:p>
      <w:pPr>
        <w:pStyle w:val="744"/>
        <w:ind w:left="479"/>
        <w:spacing w:line="440" w:lineRule="exact"/>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29.3 投标截止时间结束后参加投标的供应商不足三家的处理：</w:t>
      </w:r>
      <w:r>
        <w:rPr>
          <w:rFonts w:hint="eastAsia" w:ascii="宋体" w:hAnsi="宋体" w:cs="宋体"/>
          <w:bCs/>
          <w:color w:val="000000"/>
          <w:sz w:val="24"/>
          <w:highlight w:val="none"/>
        </w:rPr>
      </w:r>
      <w:r/>
    </w:p>
    <w:p>
      <w:pPr>
        <w:pStyle w:val="744"/>
        <w:ind w:firstLine="480"/>
        <w:spacing w:line="440" w:lineRule="exact"/>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29.3.1如出现投标截止时间结束后参加投标的供应商或者在评标期间对招标文件做出实质响应的供应商不足三家情况，按财政部第八十七号令第四十三条的规定执行。</w:t>
      </w:r>
      <w:r>
        <w:rPr>
          <w:rFonts w:hint="eastAsia" w:ascii="宋体" w:hAnsi="宋体" w:cs="宋体"/>
          <w:bCs/>
          <w:color w:val="000000"/>
          <w:sz w:val="24"/>
          <w:highlight w:val="none"/>
        </w:rPr>
      </w:r>
      <w:r/>
    </w:p>
    <w:p>
      <w:pPr>
        <w:pStyle w:val="747"/>
        <w:ind w:firstLine="321"/>
        <w:spacing w:before="145" w:after="145" w:line="360" w:lineRule="auto"/>
        <w:shd w:val="clear" w:color="auto" w:fill="auto"/>
        <w:rPr>
          <w:rFonts w:hint="eastAsia" w:ascii="宋体" w:hAnsi="宋体" w:cs="宋体"/>
          <w:color w:val="000000"/>
          <w:highlight w:val="none"/>
        </w:rPr>
      </w:pPr>
      <w:r/>
      <w:bookmarkStart w:id="125" w:name="_Toc120614219"/>
      <w:r>
        <w:rPr>
          <w:rFonts w:hint="eastAsia" w:ascii="宋体" w:hAnsi="宋体" w:cs="宋体"/>
          <w:color w:val="000000"/>
          <w:highlight w:val="none"/>
        </w:rPr>
        <w:t xml:space="preserve">六、</w:t>
      </w:r>
      <w:bookmarkEnd w:id="122"/>
      <w:r/>
      <w:bookmarkEnd w:id="123"/>
      <w:r/>
      <w:bookmarkEnd w:id="124"/>
      <w:r>
        <w:rPr>
          <w:rFonts w:hint="eastAsia" w:ascii="宋体" w:hAnsi="宋体" w:cs="宋体"/>
          <w:color w:val="000000"/>
          <w:highlight w:val="none"/>
        </w:rPr>
        <w:t xml:space="preserve">定标</w:t>
      </w:r>
      <w:bookmarkEnd w:id="125"/>
      <w:r>
        <w:rPr>
          <w:rFonts w:hint="eastAsia" w:ascii="宋体" w:hAnsi="宋体" w:cs="宋体"/>
          <w:color w:val="000000"/>
          <w:highlight w:val="none"/>
        </w:rPr>
      </w:r>
      <w:r/>
    </w:p>
    <w:p>
      <w:pPr>
        <w:pStyle w:val="748"/>
        <w:ind w:firstLine="450"/>
        <w:spacing w:before="0" w:after="0" w:line="240" w:lineRule="auto"/>
        <w:shd w:val="clear" w:color="auto" w:fill="auto"/>
        <w:rPr>
          <w:rFonts w:hint="eastAsia" w:ascii="宋体" w:hAnsi="宋体" w:eastAsia="宋体" w:cs="宋体"/>
          <w:b w:val="0"/>
          <w:color w:val="000000"/>
          <w:sz w:val="30"/>
          <w:szCs w:val="30"/>
          <w:highlight w:val="none"/>
        </w:rPr>
      </w:pPr>
      <w:r/>
      <w:bookmarkStart w:id="126" w:name="_Toc513029238"/>
      <w:r/>
      <w:bookmarkStart w:id="127" w:name="_Toc20823310"/>
      <w:r/>
      <w:bookmarkStart w:id="128" w:name="_Toc16938554"/>
      <w:r>
        <w:rPr>
          <w:rFonts w:hint="eastAsia" w:ascii="宋体" w:hAnsi="宋体" w:eastAsia="宋体" w:cs="宋体"/>
          <w:b w:val="0"/>
          <w:color w:val="000000"/>
          <w:sz w:val="30"/>
          <w:szCs w:val="30"/>
          <w:highlight w:val="none"/>
        </w:rPr>
        <w:t xml:space="preserve">30、</w:t>
      </w:r>
      <w:bookmarkEnd w:id="126"/>
      <w:r>
        <w:rPr>
          <w:rFonts w:hint="eastAsia" w:ascii="宋体" w:hAnsi="宋体" w:eastAsia="宋体" w:cs="宋体"/>
          <w:b w:val="0"/>
          <w:color w:val="000000"/>
          <w:sz w:val="30"/>
          <w:szCs w:val="30"/>
          <w:highlight w:val="none"/>
        </w:rPr>
        <w:t xml:space="preserve">确定</w:t>
      </w:r>
      <w:bookmarkEnd w:id="127"/>
      <w:r/>
      <w:bookmarkEnd w:id="128"/>
      <w:r>
        <w:rPr>
          <w:rFonts w:hint="eastAsia" w:ascii="宋体" w:hAnsi="宋体" w:eastAsia="宋体" w:cs="宋体"/>
          <w:b w:val="0"/>
          <w:color w:val="000000"/>
          <w:sz w:val="30"/>
          <w:szCs w:val="30"/>
          <w:highlight w:val="none"/>
        </w:rPr>
        <w:t xml:space="preserve">中标单位</w:t>
      </w:r>
      <w:r>
        <w:rPr>
          <w:rFonts w:hint="eastAsia" w:ascii="宋体" w:hAnsi="宋体" w:eastAsia="宋体" w:cs="宋体"/>
          <w:b w:val="0"/>
          <w:color w:val="000000"/>
          <w:sz w:val="30"/>
          <w:szCs w:val="30"/>
          <w:highlight w:val="none"/>
        </w:rPr>
      </w:r>
      <w:r/>
    </w:p>
    <w:p>
      <w:pPr>
        <w:pStyle w:val="744"/>
        <w:ind w:firstLine="480"/>
        <w:spacing w:line="440" w:lineRule="exact"/>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30.1评委会根据本招标文件规定评标方法与评标标准向采购人推荐出中标候选人。</w:t>
      </w:r>
      <w:r>
        <w:rPr>
          <w:rFonts w:hint="eastAsia" w:ascii="宋体" w:hAnsi="宋体" w:cs="宋体"/>
          <w:bCs/>
          <w:color w:val="000000"/>
          <w:sz w:val="24"/>
          <w:highlight w:val="none"/>
        </w:rPr>
      </w:r>
      <w:r/>
    </w:p>
    <w:p>
      <w:pPr>
        <w:pStyle w:val="744"/>
        <w:ind w:firstLine="480"/>
        <w:spacing w:line="480" w:lineRule="exact"/>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30.2 采购人应根据评委会推荐的中标候选人确定中标供应商。</w:t>
      </w:r>
      <w:r>
        <w:rPr>
          <w:rFonts w:hint="eastAsia" w:ascii="宋体" w:hAnsi="宋体" w:cs="宋体"/>
          <w:bCs/>
          <w:color w:val="000000"/>
          <w:sz w:val="24"/>
          <w:highlight w:val="none"/>
        </w:rPr>
      </w:r>
      <w:r/>
    </w:p>
    <w:p>
      <w:pPr>
        <w:pStyle w:val="744"/>
        <w:ind w:firstLine="480"/>
        <w:spacing w:line="480" w:lineRule="exact"/>
        <w:shd w:val="clear" w:color="auto" w:fill="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30.3</w:t>
      </w:r>
      <w:r>
        <w:rPr>
          <w:rFonts w:hint="eastAsia" w:ascii="宋体" w:hAnsi="宋体" w:cs="宋体"/>
          <w:color w:val="000000"/>
          <w:sz w:val="24"/>
          <w:szCs w:val="24"/>
          <w:highlight w:val="none"/>
        </w:rPr>
        <w:t xml:space="preserve">采购人将在</w:t>
      </w:r>
      <w:r>
        <w:rPr>
          <w:rFonts w:hint="eastAsia" w:ascii="宋体" w:hAnsi="宋体"/>
          <w:color w:val="000000"/>
          <w:sz w:val="24"/>
          <w:szCs w:val="24"/>
          <w:highlight w:val="none"/>
        </w:rPr>
        <w:t xml:space="preserve">“中国政府采购网”、 “江苏政府采购网”、“盐城市政府采购网”</w:t>
      </w:r>
      <w:r>
        <w:rPr>
          <w:rFonts w:hint="eastAsia" w:ascii="宋体" w:hAnsi="宋体" w:cs="宋体"/>
          <w:color w:val="000000"/>
          <w:sz w:val="24"/>
          <w:szCs w:val="24"/>
          <w:highlight w:val="none"/>
        </w:rPr>
        <w:t xml:space="preserve">发布中标公告，公告期限为1个工作日。</w:t>
      </w:r>
      <w:r>
        <w:rPr>
          <w:rFonts w:hint="eastAsia" w:ascii="宋体" w:hAnsi="宋体" w:cs="宋体"/>
          <w:color w:val="000000"/>
          <w:sz w:val="24"/>
          <w:szCs w:val="24"/>
          <w:highlight w:val="none"/>
        </w:rPr>
      </w:r>
      <w:r/>
    </w:p>
    <w:p>
      <w:pPr>
        <w:pStyle w:val="744"/>
        <w:ind w:firstLine="480"/>
        <w:spacing w:line="48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30.4若有充分证据证明，中标供应商出现下列情况之一的，一经查实，将被取消中标资格：</w:t>
      </w:r>
      <w:r>
        <w:rPr>
          <w:rFonts w:hint="eastAsia" w:ascii="宋体" w:hAnsi="宋体" w:cs="宋体"/>
          <w:color w:val="000000"/>
          <w:sz w:val="24"/>
          <w:szCs w:val="24"/>
          <w:highlight w:val="none"/>
        </w:rPr>
      </w:r>
      <w:r/>
    </w:p>
    <w:p>
      <w:pPr>
        <w:pStyle w:val="744"/>
        <w:ind w:firstLine="480"/>
        <w:spacing w:line="48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30.4.1提供虚假材料谋取中标的；</w:t>
      </w:r>
      <w:r>
        <w:rPr>
          <w:rFonts w:hint="eastAsia" w:ascii="宋体" w:hAnsi="宋体" w:cs="宋体"/>
          <w:color w:val="000000"/>
          <w:sz w:val="24"/>
          <w:szCs w:val="24"/>
          <w:highlight w:val="none"/>
        </w:rPr>
      </w:r>
      <w:r/>
    </w:p>
    <w:p>
      <w:pPr>
        <w:pStyle w:val="744"/>
        <w:ind w:firstLine="480"/>
        <w:spacing w:line="48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30.4.2向采购人行贿或者提供其他不正当利益的；</w:t>
      </w:r>
      <w:r>
        <w:rPr>
          <w:rFonts w:hint="eastAsia" w:ascii="宋体" w:hAnsi="宋体" w:cs="宋体"/>
          <w:color w:val="000000"/>
          <w:sz w:val="24"/>
          <w:szCs w:val="24"/>
          <w:highlight w:val="none"/>
        </w:rPr>
      </w:r>
      <w:r/>
    </w:p>
    <w:p>
      <w:pPr>
        <w:pStyle w:val="744"/>
        <w:ind w:firstLine="480"/>
        <w:spacing w:line="48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30.4.3恶意竞争，投标总报价明显低于其自身合理成本且又无法提供证明的；</w:t>
      </w:r>
      <w:r>
        <w:rPr>
          <w:rFonts w:hint="eastAsia" w:ascii="宋体" w:hAnsi="宋体" w:cs="宋体"/>
          <w:color w:val="000000"/>
          <w:sz w:val="24"/>
          <w:szCs w:val="24"/>
          <w:highlight w:val="none"/>
        </w:rPr>
      </w:r>
      <w:r/>
    </w:p>
    <w:p>
      <w:pPr>
        <w:pStyle w:val="744"/>
        <w:ind w:firstLine="480"/>
        <w:spacing w:line="48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30.4.4属于本文件规定的无效条件，但在评标过程中又未被评委会发现的；</w:t>
      </w:r>
      <w:r>
        <w:rPr>
          <w:rFonts w:hint="eastAsia" w:ascii="宋体" w:hAnsi="宋体" w:cs="宋体"/>
          <w:color w:val="000000"/>
          <w:sz w:val="24"/>
          <w:szCs w:val="24"/>
          <w:highlight w:val="none"/>
        </w:rPr>
      </w:r>
      <w:r/>
    </w:p>
    <w:p>
      <w:pPr>
        <w:pStyle w:val="744"/>
        <w:ind w:firstLine="480"/>
        <w:spacing w:line="48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30.4.5与采购人或者其他供应商恶意串通的；</w:t>
      </w:r>
      <w:r>
        <w:rPr>
          <w:rFonts w:hint="eastAsia" w:ascii="宋体" w:hAnsi="宋体" w:cs="宋体"/>
          <w:color w:val="000000"/>
          <w:sz w:val="24"/>
          <w:szCs w:val="24"/>
          <w:highlight w:val="none"/>
        </w:rPr>
      </w:r>
      <w:r/>
    </w:p>
    <w:p>
      <w:pPr>
        <w:pStyle w:val="744"/>
        <w:ind w:firstLine="480"/>
        <w:spacing w:line="48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30.4.6采取不正当手段诋毁、排挤其他供应商的；</w:t>
      </w:r>
      <w:r>
        <w:rPr>
          <w:rFonts w:hint="eastAsia" w:ascii="宋体" w:hAnsi="宋体" w:cs="宋体"/>
          <w:color w:val="000000"/>
          <w:sz w:val="24"/>
          <w:szCs w:val="24"/>
          <w:highlight w:val="none"/>
        </w:rPr>
      </w:r>
      <w:r/>
    </w:p>
    <w:p>
      <w:pPr>
        <w:pStyle w:val="744"/>
        <w:ind w:firstLine="480"/>
        <w:spacing w:line="48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30.4.7不符合法律、法规的规定的。</w:t>
      </w:r>
      <w:bookmarkStart w:id="129" w:name="_Toc200451960"/>
      <w:r>
        <w:rPr>
          <w:rFonts w:hint="eastAsia" w:ascii="宋体" w:hAnsi="宋体" w:cs="宋体"/>
          <w:color w:val="000000"/>
          <w:sz w:val="24"/>
          <w:szCs w:val="24"/>
          <w:highlight w:val="none"/>
        </w:rPr>
      </w:r>
      <w:r/>
    </w:p>
    <w:p>
      <w:pPr>
        <w:pStyle w:val="744"/>
        <w:ind w:firstLine="480"/>
        <w:spacing w:line="48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30.5.</w:t>
      </w:r>
      <w:r>
        <w:rPr>
          <w:rFonts w:hint="eastAsia" w:ascii="宋体" w:hAnsi="宋体" w:cs="宋体"/>
          <w:color w:val="000000"/>
          <w:highlight w:val="none"/>
        </w:rPr>
        <w:t xml:space="preserve"> </w:t>
      </w:r>
      <w:r>
        <w:rPr>
          <w:rFonts w:hint="eastAsia" w:ascii="宋体" w:hAnsi="宋体" w:cs="宋体"/>
          <w:color w:val="000000"/>
          <w:sz w:val="24"/>
          <w:szCs w:val="24"/>
          <w:highlight w:val="none"/>
        </w:rPr>
        <w:t xml:space="preserve">有下列情形之一的，视为投标人串通投标，投标无效：</w:t>
      </w:r>
      <w:r>
        <w:rPr>
          <w:rFonts w:hint="eastAsia" w:ascii="宋体" w:hAnsi="宋体" w:cs="宋体"/>
          <w:color w:val="000000"/>
          <w:sz w:val="24"/>
          <w:szCs w:val="24"/>
          <w:highlight w:val="none"/>
        </w:rPr>
      </w:r>
      <w:r/>
    </w:p>
    <w:p>
      <w:pPr>
        <w:pStyle w:val="744"/>
        <w:ind w:firstLine="480"/>
        <w:spacing w:line="48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30.5.1不同投标人的投标文件由同一单位或者个人编制。</w:t>
      </w:r>
      <w:r>
        <w:rPr>
          <w:rFonts w:hint="eastAsia" w:ascii="宋体" w:hAnsi="宋体" w:cs="宋体"/>
          <w:color w:val="000000"/>
          <w:sz w:val="24"/>
          <w:szCs w:val="24"/>
          <w:highlight w:val="none"/>
        </w:rPr>
      </w:r>
      <w:r/>
    </w:p>
    <w:p>
      <w:pPr>
        <w:pStyle w:val="744"/>
        <w:ind w:firstLine="480"/>
        <w:spacing w:line="48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30.5.2不同投标人委托同一单位或者个人办理投标事宜。</w:t>
      </w:r>
      <w:r>
        <w:rPr>
          <w:rFonts w:hint="eastAsia" w:ascii="宋体" w:hAnsi="宋体" w:cs="宋体"/>
          <w:color w:val="000000"/>
          <w:sz w:val="24"/>
          <w:szCs w:val="24"/>
          <w:highlight w:val="none"/>
        </w:rPr>
      </w:r>
      <w:r/>
    </w:p>
    <w:p>
      <w:pPr>
        <w:pStyle w:val="744"/>
        <w:ind w:firstLine="480"/>
        <w:spacing w:line="48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30.5.3 不同投标人的投标文件载明的项目管理成员或者联系人员为同一人。</w:t>
      </w:r>
      <w:r>
        <w:rPr>
          <w:rFonts w:hint="eastAsia" w:ascii="宋体" w:hAnsi="宋体" w:cs="宋体"/>
          <w:color w:val="000000"/>
          <w:sz w:val="24"/>
          <w:szCs w:val="24"/>
          <w:highlight w:val="none"/>
        </w:rPr>
      </w:r>
      <w:r/>
    </w:p>
    <w:p>
      <w:pPr>
        <w:pStyle w:val="744"/>
        <w:ind w:firstLine="480"/>
        <w:spacing w:line="48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30.5.4不同投标人的投标文件异常一致或者投标报价呈规律性差异。</w:t>
      </w:r>
      <w:r>
        <w:rPr>
          <w:rFonts w:hint="eastAsia" w:ascii="宋体" w:hAnsi="宋体" w:cs="宋体"/>
          <w:color w:val="000000"/>
          <w:sz w:val="24"/>
          <w:szCs w:val="24"/>
          <w:highlight w:val="none"/>
        </w:rPr>
      </w:r>
      <w:r/>
    </w:p>
    <w:p>
      <w:pPr>
        <w:pStyle w:val="744"/>
        <w:ind w:firstLine="480"/>
        <w:spacing w:line="48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30.5.5不同投标人的投标文件相互混装。</w:t>
      </w:r>
      <w:r>
        <w:rPr>
          <w:rFonts w:hint="eastAsia" w:ascii="宋体" w:hAnsi="宋体" w:cs="宋体"/>
          <w:color w:val="000000"/>
          <w:sz w:val="24"/>
          <w:szCs w:val="24"/>
          <w:highlight w:val="none"/>
        </w:rPr>
      </w:r>
      <w:r/>
    </w:p>
    <w:p>
      <w:pPr>
        <w:pStyle w:val="748"/>
        <w:ind w:firstLine="450"/>
        <w:spacing w:before="0" w:after="0" w:line="240" w:lineRule="auto"/>
        <w:shd w:val="clear" w:color="auto" w:fill="auto"/>
        <w:tabs>
          <w:tab w:val="left" w:pos="4120" w:leader="none"/>
        </w:tabs>
        <w:rPr>
          <w:rFonts w:hint="eastAsia" w:ascii="宋体" w:hAnsi="宋体" w:eastAsia="宋体" w:cs="宋体"/>
          <w:b w:val="0"/>
          <w:color w:val="000000"/>
          <w:sz w:val="30"/>
          <w:szCs w:val="30"/>
          <w:highlight w:val="none"/>
        </w:rPr>
      </w:pPr>
      <w:r>
        <w:rPr>
          <w:rFonts w:hint="eastAsia" w:ascii="宋体" w:hAnsi="宋体" w:eastAsia="宋体" w:cs="宋体"/>
          <w:b w:val="0"/>
          <w:color w:val="000000"/>
          <w:sz w:val="30"/>
          <w:szCs w:val="30"/>
          <w:highlight w:val="none"/>
        </w:rPr>
        <w:t xml:space="preserve">31、质疑处理</w:t>
      </w:r>
      <w:bookmarkEnd w:id="129"/>
      <w:r>
        <w:rPr>
          <w:rFonts w:hint="eastAsia" w:ascii="宋体" w:hAnsi="宋体" w:eastAsia="宋体" w:cs="宋体"/>
          <w:b w:val="0"/>
          <w:color w:val="000000"/>
          <w:sz w:val="30"/>
          <w:szCs w:val="30"/>
          <w:highlight w:val="none"/>
        </w:rPr>
      </w:r>
      <w:r/>
    </w:p>
    <w:p>
      <w:pPr>
        <w:pStyle w:val="744"/>
        <w:ind w:firstLine="480"/>
        <w:spacing w:line="48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31.1参加投标供应商认为招标文件、采购过程和中标结果使自己的权益受到损害的，可以在知道或应知其权益受到损害之日起七个工作日内，以书面形式向采购人在法定质疑期内一次性提出针对同一采购程序环节的质疑。供应商提出质疑应当符合财政部令第94号《政府采购质疑和投诉办法》相关规定。上述应知其权益受到损害之日，是指：</w:t>
      </w:r>
      <w:r>
        <w:rPr>
          <w:rFonts w:hint="eastAsia" w:ascii="宋体" w:hAnsi="宋体" w:cs="宋体"/>
          <w:color w:val="000000"/>
          <w:sz w:val="24"/>
          <w:szCs w:val="24"/>
          <w:highlight w:val="none"/>
        </w:rPr>
      </w:r>
      <w:r/>
    </w:p>
    <w:p>
      <w:pPr>
        <w:pStyle w:val="744"/>
        <w:ind w:firstLine="480"/>
        <w:spacing w:line="48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31.1.1</w:t>
      </w:r>
      <w:r>
        <w:rPr>
          <w:rFonts w:hint="eastAsia" w:ascii="宋体" w:hAnsi="宋体" w:cs="宋体"/>
          <w:color w:val="000000"/>
          <w:sz w:val="24"/>
          <w:szCs w:val="24"/>
          <w:highlight w:val="none"/>
        </w:rPr>
        <w:t xml:space="preserve">对可以质疑的招标文件提出质疑的，为收到招标文件之日或者招标文件公告期限届满之日；</w:t>
      </w:r>
      <w:r>
        <w:rPr>
          <w:rFonts w:hint="eastAsia" w:ascii="宋体" w:hAnsi="宋体" w:cs="宋体"/>
          <w:color w:val="000000"/>
          <w:sz w:val="24"/>
          <w:szCs w:val="24"/>
          <w:highlight w:val="none"/>
        </w:rPr>
        <w:br w:type="textWrapping" w:clear="all"/>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t xml:space="preserve">31.1.2</w:t>
      </w:r>
      <w:r>
        <w:rPr>
          <w:rFonts w:hint="eastAsia" w:ascii="宋体" w:hAnsi="宋体" w:cs="宋体"/>
          <w:color w:val="000000"/>
          <w:sz w:val="24"/>
          <w:szCs w:val="24"/>
          <w:highlight w:val="none"/>
        </w:rPr>
        <w:t xml:space="preserve">对采购过程提出质疑的，为各采购程序环节结束之日；</w:t>
      </w:r>
      <w:r>
        <w:rPr>
          <w:rFonts w:hint="eastAsia" w:ascii="宋体" w:hAnsi="宋体" w:cs="宋体"/>
          <w:color w:val="000000"/>
          <w:sz w:val="24"/>
          <w:szCs w:val="24"/>
          <w:highlight w:val="none"/>
        </w:rPr>
        <w:br w:type="textWrapping" w:clear="all"/>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t xml:space="preserve">31.1.3</w:t>
      </w:r>
      <w:r>
        <w:rPr>
          <w:rFonts w:hint="eastAsia" w:ascii="宋体" w:hAnsi="宋体" w:cs="宋体"/>
          <w:color w:val="000000"/>
          <w:sz w:val="24"/>
          <w:szCs w:val="24"/>
          <w:highlight w:val="none"/>
        </w:rPr>
        <w:t xml:space="preserve">对中标结果提出质疑的，为中标结果公告期限届满之日。</w:t>
      </w:r>
      <w:r>
        <w:rPr>
          <w:rFonts w:hint="eastAsia" w:ascii="宋体" w:hAnsi="宋体" w:cs="宋体"/>
          <w:color w:val="000000"/>
          <w:sz w:val="24"/>
          <w:szCs w:val="24"/>
          <w:highlight w:val="none"/>
        </w:rPr>
      </w:r>
      <w:r/>
    </w:p>
    <w:p>
      <w:pPr>
        <w:pStyle w:val="744"/>
        <w:ind w:firstLine="472"/>
        <w:spacing w:line="48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31.2质疑必须按《政府采购法》、《政府采购法实施条例》及《江苏省政府采购供应商监督管理暂行办法》的相关规定提交，未按上述要求提交的质疑函（含传真、电子邮件等）采购人有权不予受理。</w:t>
      </w:r>
      <w:r>
        <w:rPr>
          <w:rFonts w:hint="eastAsia" w:ascii="宋体" w:hAnsi="宋体" w:cs="宋体"/>
          <w:color w:val="000000"/>
          <w:sz w:val="24"/>
          <w:szCs w:val="24"/>
          <w:highlight w:val="none"/>
        </w:rPr>
      </w:r>
      <w:r/>
    </w:p>
    <w:p>
      <w:pPr>
        <w:pStyle w:val="744"/>
        <w:ind w:firstLine="468"/>
        <w:spacing w:line="48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31.3未参加投标活动的供应商或在投标活动中自身权益未受到损害的供应商所提出的质疑不予受理。</w:t>
      </w:r>
      <w:r>
        <w:rPr>
          <w:rFonts w:hint="eastAsia" w:ascii="宋体" w:hAnsi="宋体" w:cs="宋体"/>
          <w:color w:val="000000"/>
          <w:sz w:val="24"/>
          <w:szCs w:val="24"/>
          <w:highlight w:val="none"/>
        </w:rPr>
      </w:r>
      <w:r/>
    </w:p>
    <w:p>
      <w:pPr>
        <w:pStyle w:val="744"/>
        <w:ind w:firstLine="468"/>
        <w:spacing w:line="48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31.4质疑函应当包括下列内容：</w:t>
      </w:r>
      <w:r>
        <w:rPr>
          <w:rFonts w:hint="eastAsia" w:ascii="宋体" w:hAnsi="宋体" w:cs="宋体"/>
          <w:color w:val="000000"/>
          <w:sz w:val="24"/>
          <w:szCs w:val="24"/>
          <w:highlight w:val="none"/>
        </w:rPr>
      </w:r>
      <w:r/>
    </w:p>
    <w:p>
      <w:pPr>
        <w:pStyle w:val="744"/>
        <w:ind w:firstLine="468"/>
        <w:spacing w:line="48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31.4.1质疑投标人的名称、地址、邮编、联系人、联系电话；</w:t>
      </w:r>
      <w:r>
        <w:rPr>
          <w:rFonts w:hint="eastAsia" w:ascii="宋体" w:hAnsi="宋体" w:cs="宋体"/>
          <w:color w:val="000000"/>
          <w:sz w:val="24"/>
          <w:szCs w:val="24"/>
          <w:highlight w:val="none"/>
        </w:rPr>
      </w:r>
      <w:r/>
    </w:p>
    <w:p>
      <w:pPr>
        <w:pStyle w:val="744"/>
        <w:ind w:firstLine="468"/>
        <w:spacing w:line="48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31.4.2具体的质疑事项及明确的请求；</w:t>
      </w:r>
      <w:r>
        <w:rPr>
          <w:rFonts w:hint="eastAsia" w:ascii="宋体" w:hAnsi="宋体" w:cs="宋体"/>
          <w:color w:val="000000"/>
          <w:sz w:val="24"/>
          <w:szCs w:val="24"/>
          <w:highlight w:val="none"/>
        </w:rPr>
      </w:r>
      <w:r/>
    </w:p>
    <w:p>
      <w:pPr>
        <w:pStyle w:val="744"/>
        <w:ind w:firstLine="468"/>
        <w:spacing w:line="48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31.4.3认为自己合法权益受到损害或可能受到损害的相关证据材料；</w:t>
      </w:r>
      <w:r>
        <w:rPr>
          <w:rFonts w:hint="eastAsia" w:ascii="宋体" w:hAnsi="宋体" w:cs="宋体"/>
          <w:color w:val="000000"/>
          <w:sz w:val="24"/>
          <w:szCs w:val="24"/>
          <w:highlight w:val="none"/>
        </w:rPr>
      </w:r>
      <w:r/>
    </w:p>
    <w:p>
      <w:pPr>
        <w:pStyle w:val="744"/>
        <w:ind w:firstLine="468"/>
        <w:spacing w:line="48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31.4.4提起质疑的日期；</w:t>
      </w:r>
      <w:r>
        <w:rPr>
          <w:rFonts w:hint="eastAsia" w:ascii="宋体" w:hAnsi="宋体" w:cs="宋体"/>
          <w:color w:val="000000"/>
          <w:sz w:val="24"/>
          <w:szCs w:val="24"/>
          <w:highlight w:val="none"/>
        </w:rPr>
      </w:r>
      <w:r/>
    </w:p>
    <w:p>
      <w:pPr>
        <w:pStyle w:val="744"/>
        <w:ind w:firstLine="480"/>
        <w:spacing w:line="48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31.4.5质疑函应当署名：质疑人为自然人的，应当由本人签字并附有效身份证明；质疑人为法人或其他组织的，应当由法定代表人签字并加盖单位公章。（质疑人为联合体的，则联合体各方法定代表人均须签字并加盖单位公章），未按要求签字和盖章的为无效质疑，采购人将不予受理。)质疑人委托代理质疑的，应当向采购人提交授权委托书，并载明委托代理的具体权限和事项。</w:t>
      </w:r>
      <w:r>
        <w:rPr>
          <w:rFonts w:hint="eastAsia" w:ascii="宋体" w:hAnsi="宋体" w:cs="宋体"/>
          <w:color w:val="000000"/>
          <w:sz w:val="24"/>
          <w:szCs w:val="24"/>
          <w:highlight w:val="none"/>
        </w:rPr>
      </w:r>
      <w:r/>
    </w:p>
    <w:p>
      <w:pPr>
        <w:pStyle w:val="744"/>
        <w:ind w:firstLine="480"/>
        <w:spacing w:line="48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31.5采购人收到质疑函后，将对质疑的形式和内容进行审查，如质疑函内容、格式不符合规定，采购人将告知质疑人进行补正。</w:t>
      </w:r>
      <w:r>
        <w:rPr>
          <w:rFonts w:hint="eastAsia" w:ascii="宋体" w:hAnsi="宋体" w:cs="宋体"/>
          <w:color w:val="000000"/>
          <w:sz w:val="24"/>
          <w:szCs w:val="24"/>
          <w:highlight w:val="none"/>
        </w:rPr>
      </w:r>
      <w:r/>
    </w:p>
    <w:p>
      <w:pPr>
        <w:pStyle w:val="744"/>
        <w:ind w:firstLine="468"/>
        <w:spacing w:line="48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31.6质疑人应当在法定质疑期限内进行补正并重新提交质疑函，拒不补正或者在法定期限内未重新提交质疑函的，为无效质疑，采购人将不予受理。</w:t>
      </w:r>
      <w:r>
        <w:rPr>
          <w:rFonts w:hint="eastAsia" w:ascii="宋体" w:hAnsi="宋体" w:cs="宋体"/>
          <w:color w:val="000000"/>
          <w:sz w:val="24"/>
          <w:szCs w:val="24"/>
          <w:highlight w:val="none"/>
        </w:rPr>
      </w:r>
      <w:r/>
    </w:p>
    <w:p>
      <w:pPr>
        <w:pStyle w:val="744"/>
        <w:ind w:firstLine="468"/>
        <w:spacing w:line="48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31.7对于内容、格式符合规定的质疑函，采购人应当在收到投标供应商的书面质疑后七个工作日内作出答复，并以书面形式通知质疑供应商和其他有关供应商，但答复的内容不得涉及商业秘密。</w:t>
      </w:r>
      <w:r>
        <w:rPr>
          <w:rFonts w:hint="eastAsia" w:ascii="宋体" w:hAnsi="宋体" w:cs="宋体"/>
          <w:color w:val="000000"/>
          <w:sz w:val="24"/>
          <w:szCs w:val="24"/>
          <w:highlight w:val="none"/>
        </w:rPr>
      </w:r>
      <w:r/>
    </w:p>
    <w:p>
      <w:pPr>
        <w:pStyle w:val="744"/>
        <w:ind w:firstLine="468"/>
        <w:spacing w:line="48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31.8投标人提出书面质疑必须有理、有据，不得恶意质疑或提交虚假质疑。否则，一经查实，采购人有权依据政府采购的有关规定，报请政府采购监管部门对该投标人进行相应的行政处罚，并扣减其诚信记录分。</w:t>
      </w:r>
      <w:r>
        <w:rPr>
          <w:rFonts w:hint="eastAsia" w:ascii="宋体" w:hAnsi="宋体" w:cs="宋体"/>
          <w:color w:val="000000"/>
          <w:sz w:val="24"/>
          <w:szCs w:val="24"/>
          <w:highlight w:val="none"/>
        </w:rPr>
      </w:r>
      <w:r/>
    </w:p>
    <w:p>
      <w:pPr>
        <w:pStyle w:val="748"/>
        <w:ind w:firstLine="450"/>
        <w:spacing w:before="0" w:after="0" w:line="240" w:lineRule="auto"/>
        <w:shd w:val="clear" w:color="auto" w:fill="auto"/>
        <w:rPr>
          <w:rFonts w:hint="eastAsia" w:ascii="宋体" w:hAnsi="宋体" w:eastAsia="宋体" w:cs="宋体"/>
          <w:b w:val="0"/>
          <w:color w:val="000000"/>
          <w:sz w:val="30"/>
          <w:szCs w:val="30"/>
          <w:highlight w:val="none"/>
        </w:rPr>
      </w:pPr>
      <w:r>
        <w:rPr>
          <w:rFonts w:hint="eastAsia" w:ascii="宋体" w:hAnsi="宋体" w:eastAsia="宋体" w:cs="宋体"/>
          <w:b w:val="0"/>
          <w:color w:val="000000"/>
          <w:sz w:val="30"/>
          <w:szCs w:val="30"/>
          <w:highlight w:val="none"/>
        </w:rPr>
        <w:t xml:space="preserve">32、中标通知书</w:t>
      </w:r>
      <w:r>
        <w:rPr>
          <w:rFonts w:hint="eastAsia" w:ascii="宋体" w:hAnsi="宋体" w:eastAsia="宋体" w:cs="宋体"/>
          <w:b w:val="0"/>
          <w:color w:val="000000"/>
          <w:sz w:val="30"/>
          <w:szCs w:val="30"/>
          <w:highlight w:val="none"/>
        </w:rPr>
      </w:r>
      <w:r/>
    </w:p>
    <w:p>
      <w:pPr>
        <w:pStyle w:val="744"/>
        <w:ind w:firstLine="480"/>
        <w:spacing w:line="48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32.l</w:t>
      </w:r>
      <w:r>
        <w:rPr>
          <w:rFonts w:hint="eastAsia" w:ascii="宋体" w:hAnsi="宋体" w:cs="宋体"/>
          <w:b/>
          <w:color w:val="000000"/>
          <w:sz w:val="24"/>
          <w:szCs w:val="24"/>
          <w:highlight w:val="none"/>
        </w:rPr>
        <w:t xml:space="preserve"> </w:t>
      </w:r>
      <w:r>
        <w:rPr>
          <w:rFonts w:hint="eastAsia" w:ascii="宋体" w:hAnsi="宋体" w:cs="宋体"/>
          <w:color w:val="000000"/>
          <w:sz w:val="24"/>
          <w:szCs w:val="24"/>
          <w:highlight w:val="none"/>
        </w:rPr>
        <w:t xml:space="preserve">中标结果确定后，采购人将向中标供应商发出中标通知书。</w:t>
      </w:r>
      <w:r>
        <w:rPr>
          <w:rFonts w:hint="eastAsia" w:ascii="宋体" w:hAnsi="宋体" w:cs="宋体"/>
          <w:color w:val="000000"/>
          <w:sz w:val="24"/>
          <w:szCs w:val="24"/>
          <w:highlight w:val="none"/>
        </w:rPr>
      </w:r>
      <w:r/>
    </w:p>
    <w:p>
      <w:pPr>
        <w:pStyle w:val="744"/>
        <w:ind w:firstLine="480"/>
        <w:spacing w:line="48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cs="宋体"/>
          <w:color w:val="000000"/>
          <w:sz w:val="24"/>
          <w:szCs w:val="24"/>
          <w:highlight w:val="none"/>
        </w:rPr>
      </w:r>
      <w:r/>
    </w:p>
    <w:p>
      <w:pPr>
        <w:pStyle w:val="747"/>
        <w:ind w:firstLine="321"/>
        <w:spacing w:before="145" w:after="145" w:line="360" w:lineRule="auto"/>
        <w:shd w:val="clear" w:color="auto" w:fill="auto"/>
        <w:rPr>
          <w:rFonts w:hint="eastAsia" w:ascii="宋体" w:hAnsi="宋体" w:cs="宋体"/>
          <w:color w:val="000000"/>
          <w:highlight w:val="none"/>
        </w:rPr>
      </w:pPr>
      <w:r/>
      <w:bookmarkStart w:id="130" w:name="_Toc120614220"/>
      <w:r/>
      <w:bookmarkStart w:id="131" w:name="_Toc20823308"/>
      <w:r/>
      <w:bookmarkStart w:id="132" w:name="_Toc513029236"/>
      <w:r/>
      <w:bookmarkStart w:id="133" w:name="_Toc16938552"/>
      <w:r>
        <w:rPr>
          <w:rFonts w:hint="eastAsia" w:ascii="宋体" w:hAnsi="宋体" w:cs="宋体"/>
          <w:color w:val="000000"/>
          <w:highlight w:val="none"/>
        </w:rPr>
        <w:t xml:space="preserve">七、合同</w:t>
      </w:r>
      <w:bookmarkEnd w:id="130"/>
      <w:r>
        <w:rPr>
          <w:rFonts w:hint="eastAsia" w:ascii="宋体" w:hAnsi="宋体" w:cs="宋体"/>
          <w:color w:val="000000"/>
          <w:highlight w:val="none"/>
        </w:rPr>
        <w:t xml:space="preserve">签订相关事项</w:t>
      </w:r>
      <w:r>
        <w:rPr>
          <w:rFonts w:hint="eastAsia" w:ascii="宋体" w:hAnsi="宋体" w:cs="宋体"/>
          <w:color w:val="000000"/>
          <w:highlight w:val="none"/>
        </w:rPr>
      </w:r>
      <w:r/>
    </w:p>
    <w:p>
      <w:pPr>
        <w:pStyle w:val="748"/>
        <w:ind w:firstLine="450"/>
        <w:spacing w:before="0" w:after="0" w:line="240" w:lineRule="auto"/>
        <w:shd w:val="clear" w:color="auto" w:fill="auto"/>
        <w:rPr>
          <w:rFonts w:hint="eastAsia" w:ascii="宋体" w:hAnsi="宋体" w:eastAsia="宋体" w:cs="宋体"/>
          <w:b w:val="0"/>
          <w:color w:val="000000"/>
          <w:sz w:val="30"/>
          <w:szCs w:val="30"/>
          <w:highlight w:val="none"/>
        </w:rPr>
      </w:pPr>
      <w:r/>
      <w:bookmarkEnd w:id="131"/>
      <w:r/>
      <w:bookmarkEnd w:id="132"/>
      <w:r/>
      <w:bookmarkEnd w:id="133"/>
      <w:r/>
      <w:bookmarkStart w:id="134" w:name="_Toc16938553"/>
      <w:r/>
      <w:bookmarkStart w:id="135" w:name="_Toc513029237"/>
      <w:r/>
      <w:bookmarkStart w:id="136" w:name="_Toc20823309"/>
      <w:r>
        <w:rPr>
          <w:rFonts w:hint="eastAsia" w:ascii="宋体" w:hAnsi="宋体" w:eastAsia="宋体" w:cs="宋体"/>
          <w:b w:val="0"/>
          <w:color w:val="000000"/>
          <w:sz w:val="30"/>
          <w:szCs w:val="30"/>
          <w:highlight w:val="none"/>
        </w:rPr>
        <w:t xml:space="preserve">33. 签订合同</w:t>
      </w:r>
      <w:r>
        <w:rPr>
          <w:rFonts w:hint="eastAsia" w:ascii="宋体" w:hAnsi="宋体" w:eastAsia="宋体" w:cs="宋体"/>
          <w:b w:val="0"/>
          <w:color w:val="000000"/>
          <w:sz w:val="30"/>
          <w:szCs w:val="30"/>
          <w:highlight w:val="none"/>
        </w:rPr>
      </w:r>
      <w:r/>
    </w:p>
    <w:p>
      <w:pPr>
        <w:pStyle w:val="744"/>
        <w:ind w:firstLine="480"/>
        <w:spacing w:line="480" w:lineRule="exact"/>
        <w:shd w:val="clear" w:color="auto" w:fill="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33</w:t>
      </w:r>
      <w:r>
        <w:rPr>
          <w:rFonts w:hint="eastAsia" w:ascii="宋体" w:hAnsi="宋体" w:cs="宋体"/>
          <w:color w:val="000000"/>
          <w:sz w:val="24"/>
          <w:szCs w:val="24"/>
          <w:highlight w:val="none"/>
        </w:rPr>
        <w:t xml:space="preserve">.l中标供应商应按中标通知书规定的时间、地点,按照招标文件确定的事项与采购人签订政府采购合同，且不得迟于中标通知书发出之日起十五日内，由此给采购人造成损失的，中标供应商还应承担赔偿责任。</w:t>
      </w:r>
      <w:r>
        <w:rPr>
          <w:rFonts w:hint="eastAsia" w:ascii="宋体" w:hAnsi="宋体" w:cs="宋体"/>
          <w:color w:val="000000"/>
          <w:sz w:val="24"/>
          <w:szCs w:val="24"/>
          <w:highlight w:val="none"/>
        </w:rPr>
      </w:r>
      <w:r/>
    </w:p>
    <w:p>
      <w:pPr>
        <w:pStyle w:val="744"/>
        <w:ind w:firstLine="480"/>
        <w:spacing w:line="48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33.2</w:t>
      </w:r>
      <w:r>
        <w:rPr>
          <w:rFonts w:hint="eastAsia" w:ascii="宋体" w:hAnsi="宋体" w:cs="宋体"/>
          <w:b/>
          <w:color w:val="000000"/>
          <w:sz w:val="24"/>
          <w:szCs w:val="24"/>
          <w:highlight w:val="none"/>
        </w:rPr>
        <w:t xml:space="preserve"> </w:t>
      </w:r>
      <w:r>
        <w:rPr>
          <w:rFonts w:hint="eastAsia" w:ascii="宋体" w:hAnsi="宋体" w:cs="宋体"/>
          <w:color w:val="000000"/>
          <w:sz w:val="24"/>
          <w:szCs w:val="24"/>
          <w:highlight w:val="none"/>
        </w:rPr>
        <w:t xml:space="preserve">招标文件、中标供应商的投标文件及招标过程中有关澄清、承诺文件均应作为合同附件。</w:t>
      </w:r>
      <w:r>
        <w:rPr>
          <w:rFonts w:hint="eastAsia" w:ascii="宋体" w:hAnsi="宋体" w:cs="宋体"/>
          <w:color w:val="000000"/>
          <w:sz w:val="24"/>
          <w:szCs w:val="24"/>
          <w:highlight w:val="none"/>
        </w:rPr>
      </w:r>
      <w:r/>
    </w:p>
    <w:p>
      <w:pPr>
        <w:pStyle w:val="744"/>
        <w:ind w:firstLine="480"/>
        <w:spacing w:line="48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33.3 签订合同后，中标供应商不得将货物及其他相关服务进行转包。未经采购人同意，中标供应商也不得采用分包的形式履行合同，否则采购人有权终止合同，中标供应商的履约保证金将不予退还。转包或分包造成采购人损失的，中标供应商应承担相应赔偿责任。</w:t>
      </w:r>
      <w:r>
        <w:rPr>
          <w:rFonts w:hint="eastAsia" w:ascii="宋体" w:hAnsi="宋体" w:cs="宋体"/>
          <w:color w:val="000000"/>
          <w:sz w:val="24"/>
          <w:szCs w:val="24"/>
          <w:highlight w:val="none"/>
        </w:rPr>
      </w:r>
      <w:r/>
    </w:p>
    <w:p>
      <w:pPr>
        <w:pStyle w:val="744"/>
        <w:ind w:firstLine="482"/>
        <w:spacing w:line="480" w:lineRule="exact"/>
        <w:shd w:val="clear" w:color="auto" w:fill="auto"/>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33.4中标或者成交后无正当理由拒不与采购人签订政府采购合同的，将被列入不良行为记录名单，在一至三年内禁止参加政府采购活动。</w:t>
      </w:r>
      <w:r>
        <w:rPr>
          <w:rFonts w:hint="eastAsia" w:ascii="宋体" w:hAnsi="宋体" w:cs="宋体"/>
          <w:color w:val="000000"/>
          <w:sz w:val="24"/>
          <w:szCs w:val="24"/>
          <w:highlight w:val="none"/>
        </w:rPr>
      </w:r>
      <w:r/>
    </w:p>
    <w:p>
      <w:pPr>
        <w:pStyle w:val="748"/>
        <w:ind w:firstLine="450"/>
        <w:spacing w:before="0" w:after="0" w:line="240" w:lineRule="auto"/>
        <w:shd w:val="clear" w:color="auto" w:fill="auto"/>
        <w:rPr>
          <w:rFonts w:hint="eastAsia" w:ascii="宋体" w:hAnsi="宋体" w:eastAsia="宋体" w:cs="宋体"/>
          <w:b w:val="0"/>
          <w:color w:val="000000"/>
          <w:sz w:val="30"/>
          <w:szCs w:val="30"/>
          <w:highlight w:val="none"/>
        </w:rPr>
      </w:pPr>
      <w:r>
        <w:rPr>
          <w:rFonts w:hint="eastAsia" w:ascii="宋体" w:hAnsi="宋体" w:eastAsia="宋体" w:cs="宋体"/>
          <w:b w:val="0"/>
          <w:color w:val="000000"/>
          <w:sz w:val="30"/>
          <w:szCs w:val="30"/>
          <w:highlight w:val="none"/>
        </w:rPr>
        <w:t xml:space="preserve">34、服务的追加、减少和添购。</w:t>
      </w:r>
      <w:r>
        <w:rPr>
          <w:rFonts w:hint="eastAsia" w:ascii="宋体" w:hAnsi="宋体" w:eastAsia="宋体" w:cs="宋体"/>
          <w:b w:val="0"/>
          <w:color w:val="000000"/>
          <w:sz w:val="30"/>
          <w:szCs w:val="30"/>
          <w:highlight w:val="none"/>
        </w:rPr>
      </w:r>
      <w:r/>
    </w:p>
    <w:p>
      <w:pPr>
        <w:pStyle w:val="744"/>
        <w:ind w:firstLine="480"/>
        <w:spacing w:line="48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34.1政府采购合同履行中，采购人需追加与合同标的相同的货物和服务的，在不改变合同其他条款的前提下，可以与中标供应商协商签订补充合同，但所有补充合同的采购金额不超过原合同金额10%。</w:t>
      </w:r>
      <w:r>
        <w:rPr>
          <w:rFonts w:hint="eastAsia" w:ascii="宋体" w:hAnsi="宋体" w:cs="宋体"/>
          <w:color w:val="000000"/>
          <w:sz w:val="24"/>
          <w:szCs w:val="24"/>
          <w:highlight w:val="none"/>
        </w:rPr>
      </w:r>
      <w:r/>
    </w:p>
    <w:p>
      <w:pPr>
        <w:pStyle w:val="744"/>
        <w:ind w:firstLine="600"/>
        <w:spacing w:line="480" w:lineRule="exact"/>
        <w:shd w:val="clear" w:color="auto" w:fill="auto"/>
        <w:rPr>
          <w:rFonts w:hint="eastAsia" w:ascii="宋体" w:hAnsi="宋体" w:cs="宋体"/>
          <w:b/>
          <w:color w:val="000000"/>
          <w:sz w:val="24"/>
          <w:szCs w:val="24"/>
          <w:highlight w:val="none"/>
        </w:rPr>
      </w:pPr>
      <w:r>
        <w:rPr>
          <w:rFonts w:hint="eastAsia" w:ascii="宋体" w:hAnsi="宋体" w:cs="宋体"/>
          <w:color w:val="000000"/>
          <w:sz w:val="24"/>
          <w:szCs w:val="24"/>
          <w:highlight w:val="none"/>
        </w:rPr>
        <w:t xml:space="preserve">34.2采购结束后，采购人若由于各种客观原因，必须对采购项目所牵涉的货物和服务进行适当的减少时，在双方协商一致的前提下，可以按照招标采购时的价格水平做相应的调减，并据此签订补充合同。</w:t>
      </w:r>
      <w:r>
        <w:rPr>
          <w:rFonts w:hint="eastAsia" w:ascii="宋体" w:hAnsi="宋体" w:cs="宋体"/>
          <w:b/>
          <w:color w:val="000000"/>
          <w:sz w:val="24"/>
          <w:szCs w:val="24"/>
          <w:highlight w:val="none"/>
        </w:rPr>
      </w:r>
      <w:r/>
    </w:p>
    <w:p>
      <w:pPr>
        <w:pStyle w:val="744"/>
        <w:ind w:firstLine="450"/>
        <w:spacing w:after="145" w:line="560" w:lineRule="exact"/>
        <w:shd w:val="clear" w:color="auto" w:fill="auto"/>
        <w:tabs>
          <w:tab w:val="left" w:pos="900" w:leader="none"/>
        </w:tabs>
        <w:rPr>
          <w:rFonts w:hint="eastAsia" w:ascii="宋体" w:hAnsi="宋体" w:cs="宋体"/>
          <w:bCs/>
          <w:color w:val="000000"/>
          <w:sz w:val="30"/>
          <w:szCs w:val="30"/>
          <w:highlight w:val="none"/>
        </w:rPr>
      </w:pPr>
      <w:r/>
      <w:bookmarkEnd w:id="134"/>
      <w:r/>
      <w:bookmarkEnd w:id="135"/>
      <w:r/>
      <w:bookmarkEnd w:id="136"/>
      <w:r/>
      <w:bookmarkStart w:id="137" w:name="_Toc120614221"/>
      <w:r/>
      <w:bookmarkStart w:id="138" w:name="_Toc513029242"/>
      <w:r/>
      <w:bookmarkStart w:id="139" w:name="_Toc20823314"/>
      <w:r/>
      <w:bookmarkStart w:id="140" w:name="_Toc16938558"/>
      <w:r/>
      <w:bookmarkStart w:id="141" w:name="_Toc479757207"/>
      <w:r>
        <w:rPr>
          <w:rFonts w:hint="eastAsia" w:ascii="宋体" w:hAnsi="宋体" w:cs="宋体"/>
          <w:bCs/>
          <w:color w:val="000000"/>
          <w:sz w:val="30"/>
          <w:szCs w:val="30"/>
          <w:highlight w:val="none"/>
        </w:rPr>
        <w:t xml:space="preserve">35、履约保证金</w:t>
      </w:r>
      <w:r>
        <w:rPr>
          <w:rFonts w:hint="eastAsia" w:ascii="宋体" w:hAnsi="宋体" w:cs="宋体"/>
          <w:bCs/>
          <w:color w:val="000000"/>
          <w:sz w:val="30"/>
          <w:szCs w:val="30"/>
          <w:highlight w:val="none"/>
        </w:rPr>
      </w:r>
      <w:r/>
    </w:p>
    <w:p>
      <w:pPr>
        <w:pStyle w:val="744"/>
        <w:ind w:firstLine="480"/>
        <w:spacing w:line="360" w:lineRule="auto"/>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35.1在签订合同时，须向采购人</w:t>
      </w:r>
      <w:r>
        <w:rPr>
          <w:rFonts w:hint="eastAsia" w:ascii="宋体" w:hAnsi="宋体" w:cs="宋体"/>
          <w:b/>
          <w:color w:val="000000"/>
          <w:sz w:val="24"/>
          <w:szCs w:val="24"/>
          <w:highlight w:val="none"/>
          <w:u w:val="single"/>
        </w:rPr>
        <w:t xml:space="preserve">交纳合同总价的10%作为履约保证金</w:t>
      </w:r>
      <w:r>
        <w:rPr>
          <w:rFonts w:hint="eastAsia" w:ascii="宋体" w:hAnsi="宋体" w:cs="宋体"/>
          <w:color w:val="000000"/>
          <w:sz w:val="24"/>
          <w:szCs w:val="24"/>
          <w:highlight w:val="none"/>
        </w:rPr>
        <w:t xml:space="preserve">,于合同履行后无息退还。履约保证金用以约束成交供应商在合同履行中的行为，弥补合同执行中由于自身行为可能给采购人带来的各种损失。鼓励采购人对AA评级及以上政府采购供应商（需提供信用管理部门备案的第三方信用报告），免收履约保证金或降低履约保证金收取比例（5%）。</w:t>
      </w:r>
      <w:r>
        <w:rPr>
          <w:rFonts w:ascii="宋体" w:hAnsi="宋体" w:cs="宋体"/>
          <w:color w:val="000000"/>
          <w:sz w:val="24"/>
          <w:szCs w:val="24"/>
          <w:highlight w:val="none"/>
        </w:rPr>
      </w:r>
      <w:r/>
    </w:p>
    <w:p>
      <w:pPr>
        <w:pStyle w:val="744"/>
        <w:ind w:firstLine="480"/>
        <w:spacing w:line="360" w:lineRule="auto"/>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履约保证金形式：供应商应当以支票、汇票、本票或者金融机构、担保机构出具的保函等非现金形式提交。</w:t>
      </w:r>
      <w:r>
        <w:rPr>
          <w:rFonts w:ascii="宋体" w:hAnsi="宋体" w:cs="宋体"/>
          <w:color w:val="000000"/>
          <w:sz w:val="24"/>
          <w:szCs w:val="24"/>
          <w:highlight w:val="none"/>
        </w:rPr>
      </w:r>
      <w:r/>
    </w:p>
    <w:p>
      <w:pPr>
        <w:pStyle w:val="744"/>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依据《关于在全省政府采购领域推行电子约保函(保险)的通知》，鼓励供应商自愿使用履约保函(保险)代替缴纳履约保证金)，可以通过政府采购电子履约保函（保险）平台（www.jsdzbh.com）在线申请履约保函（保险）。</w:t>
      </w:r>
      <w:r>
        <w:rPr>
          <w:rFonts w:hint="eastAsia" w:ascii="宋体" w:hAnsi="宋体" w:cs="宋体"/>
          <w:color w:val="000000"/>
          <w:sz w:val="24"/>
          <w:szCs w:val="24"/>
          <w:highlight w:val="none"/>
        </w:rPr>
      </w:r>
      <w:r/>
    </w:p>
    <w:p>
      <w:pPr>
        <w:pStyle w:val="744"/>
        <w:ind w:firstLine="480"/>
        <w:spacing w:line="360" w:lineRule="auto"/>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35.2收取履约保证金的，须在采购合同中约定退还履约保证金的方式、时间、条件和不予退还的情形，明确逾期退还履约保证金的违约责任；不得在政府采购货物和服务采购项目中收取质量保证金，不得将已收取的履约保证金转为质量保证金情况。</w:t>
      </w:r>
      <w:r>
        <w:rPr>
          <w:rFonts w:ascii="宋体" w:hAnsi="宋体" w:cs="宋体"/>
          <w:color w:val="000000"/>
          <w:sz w:val="24"/>
          <w:szCs w:val="24"/>
          <w:highlight w:val="none"/>
        </w:rPr>
      </w:r>
      <w:r/>
    </w:p>
    <w:p>
      <w:pPr>
        <w:pStyle w:val="744"/>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35.</w:t>
      </w:r>
      <w:r>
        <w:rPr>
          <w:rFonts w:ascii="宋体" w:hAnsi="宋体" w:cs="宋体"/>
          <w:color w:val="000000"/>
          <w:sz w:val="24"/>
          <w:szCs w:val="24"/>
          <w:highlight w:val="none"/>
        </w:rPr>
        <w:t xml:space="preserve">3</w:t>
      </w:r>
      <w:r>
        <w:rPr>
          <w:rFonts w:hint="eastAsia" w:ascii="宋体" w:hAnsi="宋体" w:cs="宋体"/>
          <w:color w:val="000000"/>
          <w:sz w:val="24"/>
          <w:szCs w:val="24"/>
          <w:highlight w:val="none"/>
        </w:rPr>
        <w:t xml:space="preserve">政府采购履约资金扶持政策</w:t>
      </w:r>
      <w:r>
        <w:rPr>
          <w:rFonts w:hint="eastAsia" w:ascii="宋体" w:hAnsi="宋体" w:cs="宋体"/>
          <w:color w:val="000000"/>
          <w:sz w:val="24"/>
          <w:szCs w:val="24"/>
          <w:highlight w:val="none"/>
        </w:rPr>
      </w:r>
      <w:r/>
    </w:p>
    <w:p>
      <w:pPr>
        <w:pStyle w:val="744"/>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关于深入推进政府采购线上合同信用融资工作的通知》（苏财购[2021]82号）,实现中小企业融资。政府采购中标、成交供应商应当及时向采购人提出“政采贷”融资申请书面材料。采购人、代理机构应当配合金融机构和中标、成交供应商，依法按时在“苏采云”系统中录入并公开政府采购合同信息时，勾选“融资贷款”选项“是”，积极实现中标、成交供应商降低参与政府采购的融资成本。</w:t>
      </w:r>
      <w:r>
        <w:rPr>
          <w:rFonts w:hint="eastAsia" w:ascii="宋体" w:hAnsi="宋体" w:cs="宋体"/>
          <w:color w:val="000000"/>
          <w:sz w:val="24"/>
          <w:szCs w:val="24"/>
          <w:highlight w:val="none"/>
        </w:rPr>
      </w:r>
      <w:r/>
    </w:p>
    <w:p>
      <w:pPr>
        <w:pStyle w:val="759"/>
        <w:shd w:val="clear" w:color="auto" w:fill="auto"/>
        <w:rPr>
          <w:color w:val="000000"/>
          <w:highlight w:val="none"/>
        </w:rPr>
      </w:pPr>
      <w:r>
        <w:rPr>
          <w:color w:val="000000"/>
          <w:highlight w:val="none"/>
        </w:rPr>
      </w:r>
      <w:r/>
    </w:p>
    <w:p>
      <w:pPr>
        <w:pStyle w:val="759"/>
        <w:ind w:firstLine="0"/>
        <w:shd w:val="clear" w:color="auto" w:fill="auto"/>
        <w:rPr>
          <w:rFonts w:hint="eastAsia"/>
          <w:color w:val="000000"/>
          <w:highlight w:val="none"/>
        </w:rPr>
      </w:pPr>
      <w:r>
        <w:rPr>
          <w:rFonts w:hint="eastAsia"/>
          <w:color w:val="000000"/>
          <w:highlight w:val="none"/>
        </w:rPr>
      </w:r>
      <w:r/>
    </w:p>
    <w:p>
      <w:pPr>
        <w:pStyle w:val="759"/>
        <w:shd w:val="clear" w:color="auto" w:fill="auto"/>
        <w:rPr>
          <w:color w:val="000000"/>
          <w:highlight w:val="none"/>
        </w:rPr>
      </w:pPr>
      <w:r>
        <w:rPr>
          <w:color w:val="000000"/>
          <w:highlight w:val="none"/>
        </w:rPr>
        <w:br w:type="page" w:clear="all"/>
      </w:r>
      <w:r>
        <w:rPr>
          <w:color w:val="000000"/>
          <w:highlight w:val="none"/>
        </w:rPr>
      </w:r>
      <w:r/>
    </w:p>
    <w:p>
      <w:pPr>
        <w:pStyle w:val="745"/>
        <w:ind w:firstLine="1760"/>
        <w:jc w:val="both"/>
        <w:shd w:val="clear" w:color="auto" w:fill="auto"/>
        <w:rPr>
          <w:rFonts w:hint="eastAsia" w:ascii="宋体" w:hAnsi="宋体" w:eastAsia="宋体" w:cs="宋体"/>
          <w:bCs/>
          <w:color w:val="000000"/>
          <w:sz w:val="44"/>
          <w:highlight w:val="none"/>
        </w:rPr>
      </w:pPr>
      <w:r>
        <w:rPr>
          <w:rFonts w:hint="eastAsia" w:ascii="宋体" w:hAnsi="宋体" w:eastAsia="宋体" w:cs="宋体"/>
          <w:bCs/>
          <w:color w:val="000000"/>
          <w:sz w:val="44"/>
          <w:highlight w:val="none"/>
        </w:rPr>
        <w:t xml:space="preserve">第三章  合同条款及</w:t>
      </w:r>
      <w:bookmarkEnd w:id="137"/>
      <w:r/>
      <w:bookmarkEnd w:id="138"/>
      <w:r/>
      <w:bookmarkEnd w:id="139"/>
      <w:r/>
      <w:bookmarkEnd w:id="140"/>
      <w:r/>
      <w:bookmarkEnd w:id="141"/>
      <w:r>
        <w:rPr>
          <w:rFonts w:hint="eastAsia" w:ascii="宋体" w:hAnsi="宋体" w:eastAsia="宋体" w:cs="宋体"/>
          <w:bCs/>
          <w:color w:val="000000"/>
          <w:sz w:val="44"/>
          <w:highlight w:val="none"/>
        </w:rPr>
        <w:t xml:space="preserve">格式</w:t>
      </w:r>
      <w:r>
        <w:rPr>
          <w:rFonts w:hint="eastAsia" w:ascii="宋体" w:hAnsi="宋体" w:eastAsia="宋体" w:cs="宋体"/>
          <w:bCs/>
          <w:color w:val="000000"/>
          <w:sz w:val="44"/>
          <w:highlight w:val="none"/>
        </w:rPr>
      </w:r>
      <w:r/>
    </w:p>
    <w:p>
      <w:pPr>
        <w:pStyle w:val="870"/>
        <w:jc w:val="center"/>
        <w:spacing w:line="360" w:lineRule="auto"/>
        <w:shd w:val="clear" w:color="auto" w:fill="auto"/>
        <w:rPr>
          <w:rStyle w:val="871"/>
          <w:rFonts w:hint="eastAsia" w:ascii="仿宋" w:hAnsi="仿宋" w:eastAsia="仿宋"/>
          <w:bCs/>
          <w:color w:val="000000"/>
          <w:sz w:val="36"/>
          <w:szCs w:val="36"/>
          <w:highlight w:val="none"/>
        </w:rPr>
      </w:pPr>
      <w:r/>
      <w:bookmarkStart w:id="142" w:name="_Hlt16619369"/>
      <w:r/>
      <w:bookmarkEnd w:id="142"/>
      <w:r/>
      <w:bookmarkStart w:id="143" w:name="_Toc26554093"/>
      <w:r/>
      <w:bookmarkStart w:id="144" w:name="_Toc49090575"/>
      <w:r/>
      <w:bookmarkStart w:id="145" w:name="_Toc462564139"/>
      <w:r/>
      <w:bookmarkStart w:id="146" w:name="_Toc479757211"/>
      <w:r>
        <w:rPr>
          <w:rStyle w:val="871"/>
          <w:rFonts w:hint="eastAsia" w:ascii="仿宋" w:hAnsi="仿宋" w:eastAsia="仿宋"/>
          <w:bCs/>
          <w:color w:val="000000"/>
          <w:sz w:val="36"/>
          <w:szCs w:val="36"/>
          <w:highlight w:val="none"/>
        </w:rPr>
        <w:t xml:space="preserve">盐城市大丰区2024年下半年重大动物疫病强制免疫疫苗、耳标采购项目(分包</w:t>
      </w:r>
      <w:r>
        <w:rPr>
          <w:rStyle w:val="871"/>
          <w:rFonts w:hint="eastAsia" w:ascii="仿宋" w:hAnsi="仿宋" w:eastAsia="仿宋"/>
          <w:bCs/>
          <w:color w:val="000000"/>
          <w:sz w:val="36"/>
          <w:szCs w:val="36"/>
          <w:highlight w:val="none"/>
          <w:u w:val="single"/>
        </w:rPr>
        <w:t xml:space="preserve">  </w:t>
      </w:r>
      <w:r>
        <w:rPr>
          <w:rStyle w:val="871"/>
          <w:rFonts w:hint="eastAsia" w:ascii="仿宋" w:hAnsi="仿宋" w:eastAsia="仿宋"/>
          <w:bCs/>
          <w:color w:val="000000"/>
          <w:sz w:val="36"/>
          <w:szCs w:val="36"/>
          <w:highlight w:val="none"/>
        </w:rPr>
        <w:t xml:space="preserve">)</w:t>
      </w:r>
      <w:r>
        <w:rPr>
          <w:rStyle w:val="871"/>
          <w:rFonts w:hint="eastAsia" w:ascii="仿宋" w:hAnsi="仿宋" w:eastAsia="仿宋"/>
          <w:bCs/>
          <w:color w:val="000000"/>
          <w:sz w:val="36"/>
          <w:szCs w:val="36"/>
          <w:highlight w:val="none"/>
        </w:rPr>
      </w:r>
      <w:r/>
    </w:p>
    <w:p>
      <w:pPr>
        <w:pStyle w:val="870"/>
        <w:jc w:val="center"/>
        <w:spacing w:line="360" w:lineRule="auto"/>
        <w:shd w:val="clear" w:color="auto" w:fill="auto"/>
        <w:rPr>
          <w:rStyle w:val="871"/>
          <w:rFonts w:ascii="Calibri" w:hAnsi="Calibri" w:eastAsia="宋体"/>
          <w:color w:val="000000"/>
          <w:sz w:val="36"/>
          <w:szCs w:val="36"/>
          <w:highlight w:val="none"/>
        </w:rPr>
      </w:pPr>
      <w:r>
        <w:rPr>
          <w:rStyle w:val="871"/>
          <w:rFonts w:hint="eastAsia" w:ascii="仿宋" w:hAnsi="仿宋" w:eastAsia="仿宋"/>
          <w:bCs/>
          <w:color w:val="000000"/>
          <w:sz w:val="36"/>
          <w:szCs w:val="36"/>
          <w:highlight w:val="none"/>
        </w:rPr>
        <w:t xml:space="preserve">政府采购合同</w:t>
      </w:r>
      <w:r>
        <w:rPr>
          <w:rStyle w:val="871"/>
          <w:rFonts w:ascii="Calibri" w:hAnsi="Calibri" w:eastAsia="宋体"/>
          <w:color w:val="000000"/>
          <w:sz w:val="36"/>
          <w:szCs w:val="36"/>
          <w:highlight w:val="none"/>
        </w:rPr>
      </w:r>
      <w:r/>
    </w:p>
    <w:p>
      <w:pPr>
        <w:pStyle w:val="744"/>
        <w:ind w:firstLine="420"/>
        <w:spacing w:line="360" w:lineRule="auto"/>
        <w:shd w:val="clear" w:color="auto" w:fill="auto"/>
        <w:rPr>
          <w:rFonts w:ascii="宋体" w:hAnsi="宋体" w:cs="宋体"/>
          <w:color w:val="000000"/>
          <w:sz w:val="24"/>
          <w:szCs w:val="24"/>
          <w:highlight w:val="none"/>
        </w:rPr>
      </w:pPr>
      <w:r/>
      <w:bookmarkStart w:id="147" w:name="MOFFICE_OUTDOC_NTDOC__TITLE"/>
      <w:r>
        <w:rPr>
          <w:rFonts w:hint="eastAsia" w:ascii="宋体" w:hAnsi="宋体" w:cs="宋体"/>
          <w:color w:val="000000"/>
          <w:sz w:val="24"/>
          <w:szCs w:val="24"/>
          <w:highlight w:val="none"/>
        </w:rPr>
        <w:t xml:space="preserve">甲方（采购人/买方）：</w:t>
      </w:r>
      <w:r>
        <w:rPr>
          <w:rFonts w:ascii="宋体" w:hAnsi="宋体" w:cs="宋体"/>
          <w:color w:val="000000"/>
          <w:sz w:val="24"/>
          <w:szCs w:val="24"/>
          <w:highlight w:val="none"/>
        </w:rPr>
      </w:r>
      <w:r/>
    </w:p>
    <w:p>
      <w:pPr>
        <w:pStyle w:val="744"/>
        <w:ind w:firstLine="420"/>
        <w:spacing w:line="360" w:lineRule="auto"/>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乙方（供应商/卖方）：</w:t>
      </w:r>
      <w:r>
        <w:rPr>
          <w:rFonts w:ascii="宋体" w:hAnsi="宋体" w:cs="宋体"/>
          <w:color w:val="000000"/>
          <w:sz w:val="24"/>
          <w:szCs w:val="24"/>
          <w:highlight w:val="none"/>
        </w:rPr>
      </w:r>
      <w:r/>
    </w:p>
    <w:p>
      <w:pPr>
        <w:pStyle w:val="744"/>
        <w:ind w:firstLine="420"/>
        <w:spacing w:line="360" w:lineRule="auto"/>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根据《中华人民共和国政府采购法》、《民法典》等法律法规的规定，甲乙双方按本项目招标结果签订本合同。</w:t>
      </w:r>
      <w:r>
        <w:rPr>
          <w:rFonts w:ascii="宋体" w:hAnsi="宋体" w:cs="宋体"/>
          <w:color w:val="000000"/>
          <w:sz w:val="24"/>
          <w:szCs w:val="24"/>
          <w:highlight w:val="none"/>
        </w:rPr>
      </w:r>
      <w:r/>
    </w:p>
    <w:p>
      <w:pPr>
        <w:pStyle w:val="744"/>
        <w:ind w:firstLine="422"/>
        <w:spacing w:line="360" w:lineRule="auto"/>
        <w:shd w:val="clear" w:color="auto" w:fill="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1、合同标的</w:t>
      </w:r>
      <w:r>
        <w:rPr>
          <w:rFonts w:ascii="宋体" w:hAnsi="宋体" w:cs="宋体"/>
          <w:b/>
          <w:bCs/>
          <w:color w:val="000000"/>
          <w:sz w:val="24"/>
          <w:szCs w:val="24"/>
          <w:highlight w:val="none"/>
        </w:rPr>
      </w:r>
      <w:r/>
    </w:p>
    <w:p>
      <w:pPr>
        <w:pStyle w:val="744"/>
        <w:ind w:firstLine="420"/>
        <w:spacing w:line="360" w:lineRule="auto"/>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乙方根据甲方需求，提供下列货物：</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744"/>
        <w:ind w:firstLine="420"/>
        <w:spacing w:line="360" w:lineRule="auto"/>
        <w:shd w:val="clear" w:color="auto" w:fill="auto"/>
        <w:rPr>
          <w:rFonts w:ascii="宋体" w:hAnsi="宋体" w:cs="宋体"/>
          <w:b/>
          <w:color w:val="000000"/>
          <w:sz w:val="24"/>
          <w:szCs w:val="24"/>
          <w:highlight w:val="none"/>
        </w:rPr>
      </w:pPr>
      <w:r>
        <w:rPr>
          <w:rFonts w:hint="eastAsia" w:ascii="宋体" w:hAnsi="宋体" w:cs="宋体"/>
          <w:color w:val="000000"/>
          <w:sz w:val="24"/>
          <w:szCs w:val="24"/>
          <w:highlight w:val="none"/>
        </w:rPr>
        <w:t xml:space="preserve">货物名称、规格及数量等要求详见招投标文件。</w:t>
      </w:r>
      <w:r>
        <w:rPr>
          <w:rFonts w:ascii="宋体" w:hAnsi="宋体" w:cs="宋体"/>
          <w:b/>
          <w:color w:val="000000"/>
          <w:sz w:val="24"/>
          <w:szCs w:val="24"/>
          <w:highlight w:val="none"/>
        </w:rPr>
      </w:r>
      <w:r/>
    </w:p>
    <w:p>
      <w:pPr>
        <w:pStyle w:val="744"/>
        <w:ind w:firstLine="422"/>
        <w:spacing w:line="360" w:lineRule="auto"/>
        <w:shd w:val="clear" w:color="auto" w:fill="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2、合同总金额</w:t>
      </w:r>
      <w:r>
        <w:rPr>
          <w:rFonts w:ascii="宋体" w:hAnsi="宋体" w:cs="宋体"/>
          <w:b/>
          <w:bCs/>
          <w:color w:val="000000"/>
          <w:sz w:val="24"/>
          <w:szCs w:val="24"/>
          <w:highlight w:val="none"/>
        </w:rPr>
      </w:r>
      <w:r/>
    </w:p>
    <w:p>
      <w:pPr>
        <w:pStyle w:val="744"/>
        <w:ind w:firstLine="480"/>
        <w:spacing w:line="360" w:lineRule="auto"/>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2.1 本合同金额为（大写）：_______________________________元人民币（¥_____元）。</w:t>
      </w:r>
      <w:r>
        <w:rPr>
          <w:rFonts w:ascii="宋体" w:hAnsi="宋体" w:cs="宋体"/>
          <w:color w:val="000000"/>
          <w:sz w:val="24"/>
          <w:szCs w:val="24"/>
          <w:highlight w:val="none"/>
        </w:rPr>
      </w:r>
      <w:r/>
    </w:p>
    <w:p>
      <w:pPr>
        <w:pStyle w:val="744"/>
        <w:ind w:firstLine="420"/>
        <w:spacing w:line="360" w:lineRule="auto"/>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2.2 本合同总金额包括所乙方提供货物的产品费用、安装调试费、测试验收费、培训费、 运行维护费用、税金及其他有关的为完成本项目发生的所有费用，招标文件中另有规定的除外。</w:t>
      </w:r>
      <w:r>
        <w:rPr>
          <w:rFonts w:ascii="宋体" w:hAnsi="宋体" w:cs="宋体"/>
          <w:color w:val="000000"/>
          <w:sz w:val="24"/>
          <w:szCs w:val="24"/>
          <w:highlight w:val="none"/>
        </w:rPr>
      </w:r>
      <w:r/>
    </w:p>
    <w:p>
      <w:pPr>
        <w:pStyle w:val="744"/>
        <w:ind w:firstLine="420"/>
        <w:spacing w:line="360" w:lineRule="auto"/>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2.3 在招标文件未列明，而乙方认为履行本合同必需的费用也包含在合同总金额中。</w:t>
      </w:r>
      <w:r>
        <w:rPr>
          <w:rFonts w:ascii="宋体" w:hAnsi="宋体" w:cs="宋体"/>
          <w:color w:val="000000"/>
          <w:sz w:val="24"/>
          <w:szCs w:val="24"/>
          <w:highlight w:val="none"/>
        </w:rPr>
      </w:r>
      <w:r/>
    </w:p>
    <w:p>
      <w:pPr>
        <w:pStyle w:val="744"/>
        <w:ind w:firstLine="420"/>
        <w:spacing w:line="360" w:lineRule="auto"/>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2.4 本合同总金额还包含乙方提供的伴随服务/售后服务费用。</w:t>
      </w:r>
      <w:r>
        <w:rPr>
          <w:rFonts w:ascii="宋体" w:hAnsi="宋体" w:cs="宋体"/>
          <w:color w:val="000000"/>
          <w:sz w:val="24"/>
          <w:szCs w:val="24"/>
          <w:highlight w:val="none"/>
        </w:rPr>
      </w:r>
      <w:r/>
    </w:p>
    <w:p>
      <w:pPr>
        <w:pStyle w:val="744"/>
        <w:ind w:firstLine="422"/>
        <w:spacing w:line="360" w:lineRule="auto"/>
        <w:shd w:val="clear" w:color="auto" w:fill="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3、组成本合同的有关文件</w:t>
      </w:r>
      <w:r>
        <w:rPr>
          <w:rFonts w:ascii="宋体" w:hAnsi="宋体" w:cs="宋体"/>
          <w:b/>
          <w:bCs/>
          <w:color w:val="000000"/>
          <w:sz w:val="24"/>
          <w:szCs w:val="24"/>
          <w:highlight w:val="none"/>
        </w:rPr>
      </w:r>
      <w:r/>
    </w:p>
    <w:p>
      <w:pPr>
        <w:pStyle w:val="744"/>
        <w:ind w:firstLine="480"/>
        <w:spacing w:line="360" w:lineRule="auto"/>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3.1乙方应按招标文件规定的时间向甲方提供使用货物的有关技术资料。</w:t>
      </w:r>
      <w:r>
        <w:rPr>
          <w:rFonts w:ascii="宋体" w:hAnsi="宋体" w:cs="宋体"/>
          <w:color w:val="000000"/>
          <w:sz w:val="24"/>
          <w:szCs w:val="24"/>
          <w:highlight w:val="none"/>
        </w:rPr>
      </w:r>
      <w:r/>
    </w:p>
    <w:p>
      <w:pPr>
        <w:pStyle w:val="744"/>
        <w:ind w:firstLine="420"/>
        <w:spacing w:line="360" w:lineRule="auto"/>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3.2 没有甲方事先书面同意，乙方不得将由甲方提供的有关合同或任何合同条文、规格、计划、图纸、样品或资料提供给任何其他人。即使向履行本合同有关的人员提供，也应注意保密并限于履行合同的必需范围。</w:t>
      </w:r>
      <w:r>
        <w:rPr>
          <w:rFonts w:ascii="宋体" w:hAnsi="宋体" w:cs="宋体"/>
          <w:color w:val="000000"/>
          <w:sz w:val="24"/>
          <w:szCs w:val="24"/>
          <w:highlight w:val="none"/>
        </w:rPr>
      </w:r>
      <w:r/>
    </w:p>
    <w:p>
      <w:pPr>
        <w:pStyle w:val="744"/>
        <w:ind w:firstLine="420"/>
        <w:spacing w:line="360" w:lineRule="auto"/>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3.3 关于本项目政府采购的招投标文件或与本次采购活动方式相适应的文件及有关附件是本合同不可分割的组成部分，这些文件包括但不限于：</w:t>
      </w:r>
      <w:r>
        <w:rPr>
          <w:rFonts w:ascii="宋体" w:hAnsi="宋体" w:cs="宋体"/>
          <w:color w:val="000000"/>
          <w:sz w:val="24"/>
          <w:szCs w:val="24"/>
          <w:highlight w:val="none"/>
        </w:rPr>
      </w:r>
      <w:r/>
    </w:p>
    <w:p>
      <w:pPr>
        <w:pStyle w:val="744"/>
        <w:ind w:left="359" w:hanging="359"/>
        <w:spacing w:line="360" w:lineRule="auto"/>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   （1）投标响应文件；               （2）投标产品配置与报价文件；</w:t>
      </w:r>
      <w:r>
        <w:rPr>
          <w:rFonts w:ascii="宋体" w:hAnsi="宋体" w:cs="宋体"/>
          <w:color w:val="000000"/>
          <w:sz w:val="24"/>
          <w:szCs w:val="24"/>
          <w:highlight w:val="none"/>
        </w:rPr>
      </w:r>
      <w:r/>
    </w:p>
    <w:p>
      <w:pPr>
        <w:pStyle w:val="744"/>
        <w:ind w:left="359" w:hanging="359"/>
        <w:spacing w:line="360" w:lineRule="auto"/>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   （3）供货一览表；                 （4）技术参数响应表；</w:t>
      </w:r>
      <w:r>
        <w:rPr>
          <w:rFonts w:ascii="宋体" w:hAnsi="宋体" w:cs="宋体"/>
          <w:color w:val="000000"/>
          <w:sz w:val="24"/>
          <w:szCs w:val="24"/>
          <w:highlight w:val="none"/>
        </w:rPr>
      </w:r>
      <w:r/>
    </w:p>
    <w:p>
      <w:pPr>
        <w:pStyle w:val="744"/>
        <w:ind w:left="359" w:hanging="359"/>
        <w:spacing w:line="360" w:lineRule="auto"/>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   （5）服务承诺；                   （6）中标通知书；</w:t>
      </w:r>
      <w:r>
        <w:rPr>
          <w:rFonts w:ascii="宋体" w:hAnsi="宋体" w:cs="宋体"/>
          <w:color w:val="000000"/>
          <w:sz w:val="24"/>
          <w:szCs w:val="24"/>
          <w:highlight w:val="none"/>
        </w:rPr>
      </w:r>
      <w:r/>
    </w:p>
    <w:p>
      <w:pPr>
        <w:pStyle w:val="744"/>
        <w:ind w:left="359" w:hanging="359"/>
        <w:spacing w:line="360" w:lineRule="auto"/>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   （7）甲乙双方补充协议；           （8）乙方投标时提供的响应文件。</w:t>
      </w:r>
      <w:r>
        <w:rPr>
          <w:rFonts w:ascii="宋体" w:hAnsi="宋体" w:cs="宋体"/>
          <w:color w:val="000000"/>
          <w:sz w:val="24"/>
          <w:szCs w:val="24"/>
          <w:highlight w:val="none"/>
        </w:rPr>
      </w:r>
      <w:r/>
    </w:p>
    <w:p>
      <w:pPr>
        <w:pStyle w:val="744"/>
        <w:ind w:firstLine="422"/>
        <w:spacing w:line="360" w:lineRule="auto"/>
        <w:shd w:val="clear" w:color="auto" w:fill="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4、知识产权保证</w:t>
      </w:r>
      <w:r>
        <w:rPr>
          <w:rFonts w:ascii="宋体" w:hAnsi="宋体" w:cs="宋体"/>
          <w:b/>
          <w:bCs/>
          <w:color w:val="000000"/>
          <w:sz w:val="24"/>
          <w:szCs w:val="24"/>
          <w:highlight w:val="none"/>
        </w:rPr>
      </w:r>
      <w:r/>
    </w:p>
    <w:p>
      <w:pPr>
        <w:pStyle w:val="744"/>
        <w:ind w:firstLine="420"/>
        <w:spacing w:line="360" w:lineRule="auto"/>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乙方保证甲方在使用、接受本合同货物和服务或其任何一部分时，不受第三方提出侵犯其专利权、版权、商标权和工业设计权等知识产权的起诉。一旦出现侵权，由乙方负全部责任。</w:t>
      </w:r>
      <w:r>
        <w:rPr>
          <w:rFonts w:ascii="宋体" w:hAnsi="宋体" w:cs="宋体"/>
          <w:color w:val="000000"/>
          <w:sz w:val="24"/>
          <w:szCs w:val="24"/>
          <w:highlight w:val="none"/>
        </w:rPr>
      </w:r>
      <w:r/>
    </w:p>
    <w:p>
      <w:pPr>
        <w:pStyle w:val="744"/>
        <w:ind w:firstLine="422"/>
        <w:spacing w:line="360" w:lineRule="auto"/>
        <w:shd w:val="clear" w:color="auto" w:fill="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5、产权保证</w:t>
      </w:r>
      <w:r>
        <w:rPr>
          <w:rFonts w:ascii="宋体" w:hAnsi="宋体" w:cs="宋体"/>
          <w:b/>
          <w:bCs/>
          <w:color w:val="000000"/>
          <w:sz w:val="24"/>
          <w:szCs w:val="24"/>
          <w:highlight w:val="none"/>
        </w:rPr>
      </w:r>
      <w:r/>
    </w:p>
    <w:p>
      <w:pPr>
        <w:pStyle w:val="744"/>
        <w:ind w:firstLine="42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乙方保证所交付的货物</w:t>
      </w:r>
      <w:r>
        <w:rPr>
          <w:rFonts w:ascii="宋体" w:hAnsi="宋体" w:cs="宋体"/>
          <w:color w:val="000000"/>
          <w:sz w:val="24"/>
          <w:szCs w:val="24"/>
          <w:highlight w:val="none"/>
        </w:rPr>
        <w:t xml:space="preserve">（包含与货物相关的服务）</w:t>
      </w:r>
      <w:r>
        <w:rPr>
          <w:rFonts w:hint="eastAsia" w:ascii="宋体" w:hAnsi="宋体" w:cs="宋体"/>
          <w:color w:val="000000"/>
          <w:sz w:val="24"/>
          <w:szCs w:val="24"/>
          <w:highlight w:val="none"/>
        </w:rPr>
        <w:t xml:space="preserve">的所有权无任何抵押、查封等权利瑕疵。</w:t>
      </w:r>
      <w:r>
        <w:rPr>
          <w:rFonts w:hint="eastAsia" w:ascii="宋体" w:hAnsi="宋体" w:cs="宋体"/>
          <w:color w:val="000000"/>
          <w:sz w:val="24"/>
          <w:szCs w:val="24"/>
          <w:highlight w:val="none"/>
        </w:rPr>
      </w:r>
      <w:r/>
    </w:p>
    <w:p>
      <w:pPr>
        <w:pStyle w:val="744"/>
        <w:numPr>
          <w:ilvl w:val="0"/>
          <w:numId w:val="5"/>
        </w:numPr>
        <w:spacing w:line="360" w:lineRule="auto"/>
        <w:shd w:val="clear" w:color="auto" w:fill="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履约保证金</w:t>
      </w:r>
      <w:r>
        <w:rPr>
          <w:rFonts w:hint="eastAsia" w:ascii="宋体" w:hAnsi="宋体" w:cs="宋体"/>
          <w:b/>
          <w:bCs/>
          <w:color w:val="000000"/>
          <w:sz w:val="24"/>
          <w:szCs w:val="24"/>
          <w:highlight w:val="none"/>
        </w:rPr>
      </w:r>
      <w:r/>
    </w:p>
    <w:p>
      <w:pPr>
        <w:pStyle w:val="744"/>
        <w:ind w:firstLine="480"/>
        <w:spacing w:line="360" w:lineRule="auto"/>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6.1在签订合同时，须向甲方</w:t>
      </w:r>
      <w:r>
        <w:rPr>
          <w:rFonts w:hint="eastAsia" w:ascii="宋体" w:hAnsi="宋体" w:cs="宋体"/>
          <w:b/>
          <w:color w:val="000000"/>
          <w:sz w:val="24"/>
          <w:szCs w:val="24"/>
          <w:highlight w:val="none"/>
          <w:u w:val="single"/>
        </w:rPr>
        <w:t xml:space="preserve">交纳合同总价的10%作为履约保证金</w:t>
      </w:r>
      <w:r>
        <w:rPr>
          <w:rFonts w:hint="eastAsia" w:ascii="宋体" w:hAnsi="宋体" w:cs="宋体"/>
          <w:color w:val="000000"/>
          <w:sz w:val="24"/>
          <w:szCs w:val="24"/>
          <w:highlight w:val="none"/>
        </w:rPr>
        <w:t xml:space="preserve">,于合同履行后无息退还。鼓励采购人对AA评级及以上政府采购供应商（需提供信用管理部门备案的第三方信用报告），免收履约保证金或降低履约保证金收取比例（5%）。</w:t>
      </w:r>
      <w:r>
        <w:rPr>
          <w:rFonts w:ascii="宋体" w:hAnsi="宋体" w:cs="宋体"/>
          <w:color w:val="000000"/>
          <w:sz w:val="24"/>
          <w:szCs w:val="24"/>
          <w:highlight w:val="none"/>
        </w:rPr>
      </w:r>
      <w:r/>
    </w:p>
    <w:p>
      <w:pPr>
        <w:pStyle w:val="744"/>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6.2确需收取履约保证金的，履约保证金的缴纳形式：</w:t>
      </w:r>
      <w:r>
        <w:rPr>
          <w:rFonts w:hint="eastAsia" w:ascii="宋体" w:hAnsi="宋体" w:cs="宋体"/>
          <w:color w:val="000000"/>
          <w:sz w:val="24"/>
          <w:szCs w:val="24"/>
          <w:highlight w:val="none"/>
        </w:rPr>
      </w:r>
      <w:r/>
    </w:p>
    <w:p>
      <w:pPr>
        <w:pStyle w:val="744"/>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cs="宋体"/>
          <w:color w:val="000000"/>
          <w:sz w:val="24"/>
          <w:szCs w:val="24"/>
          <w:highlight w:val="none"/>
        </w:rPr>
      </w:r>
      <w:r/>
    </w:p>
    <w:p>
      <w:pPr>
        <w:pStyle w:val="744"/>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6.2.2 如以履约保函（保险）形式缴纳履约保证金，供应商可通过政府采购电子履约保函（保险）平台（www.jsdzbh.com）在线申请履约保函（保险）。</w:t>
      </w:r>
      <w:r>
        <w:rPr>
          <w:rFonts w:hint="eastAsia" w:ascii="宋体" w:hAnsi="宋体" w:cs="宋体"/>
          <w:color w:val="000000"/>
          <w:sz w:val="24"/>
          <w:szCs w:val="24"/>
          <w:highlight w:val="none"/>
        </w:rPr>
      </w:r>
      <w:r/>
    </w:p>
    <w:p>
      <w:pPr>
        <w:pStyle w:val="744"/>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6.3履约保证金的退还：</w:t>
      </w:r>
      <w:r>
        <w:rPr>
          <w:rFonts w:hint="eastAsia" w:ascii="宋体" w:hAnsi="宋体" w:cs="宋体"/>
          <w:color w:val="000000"/>
          <w:sz w:val="24"/>
          <w:szCs w:val="24"/>
          <w:highlight w:val="none"/>
        </w:rPr>
      </w:r>
      <w:r/>
    </w:p>
    <w:p>
      <w:pPr>
        <w:pStyle w:val="744"/>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6.3.1方式：无息退还至投标人缴纳履约保证金的账户。如为保函，在到期时自行失效。</w:t>
      </w:r>
      <w:r>
        <w:rPr>
          <w:rFonts w:hint="eastAsia" w:ascii="宋体" w:hAnsi="宋体" w:cs="宋体"/>
          <w:color w:val="000000"/>
          <w:sz w:val="24"/>
          <w:szCs w:val="24"/>
          <w:highlight w:val="none"/>
        </w:rPr>
      </w:r>
      <w:r/>
    </w:p>
    <w:p>
      <w:pPr>
        <w:pStyle w:val="744"/>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6.3.2时间：验收合格且甲方收到发票后30日内。</w:t>
      </w:r>
      <w:r>
        <w:rPr>
          <w:rFonts w:hint="eastAsia" w:ascii="宋体" w:hAnsi="宋体" w:cs="宋体"/>
          <w:color w:val="000000"/>
          <w:sz w:val="24"/>
          <w:szCs w:val="24"/>
          <w:highlight w:val="none"/>
        </w:rPr>
      </w:r>
      <w:r/>
    </w:p>
    <w:p>
      <w:pPr>
        <w:pStyle w:val="744"/>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6.3.3条件：按合同要求全部履约完成并经甲方验收合格，且甲方收到乙方出具的发票。</w:t>
      </w:r>
      <w:r>
        <w:rPr>
          <w:rFonts w:hint="eastAsia" w:ascii="宋体" w:hAnsi="宋体" w:cs="宋体"/>
          <w:color w:val="000000"/>
          <w:sz w:val="24"/>
          <w:szCs w:val="24"/>
          <w:highlight w:val="none"/>
        </w:rPr>
      </w:r>
      <w:r/>
    </w:p>
    <w:p>
      <w:pPr>
        <w:pStyle w:val="744"/>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6.3.4不予退还情形：</w:t>
      </w:r>
      <w:r>
        <w:rPr>
          <w:rFonts w:hint="eastAsia" w:ascii="宋体" w:hAnsi="宋体" w:cs="宋体"/>
          <w:color w:val="000000"/>
          <w:sz w:val="24"/>
          <w:szCs w:val="24"/>
          <w:highlight w:val="none"/>
        </w:rPr>
      </w:r>
      <w:r/>
    </w:p>
    <w:p>
      <w:pPr>
        <w:pStyle w:val="744"/>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除不可抗力情况外，投标人出现下列情形之一的，其履约保证金，招标人将视情节决定不予退还或部分不予退还。</w:t>
      </w:r>
      <w:r>
        <w:rPr>
          <w:rFonts w:hint="eastAsia" w:ascii="宋体" w:hAnsi="宋体" w:cs="宋体"/>
          <w:color w:val="000000"/>
          <w:sz w:val="24"/>
          <w:szCs w:val="24"/>
          <w:highlight w:val="none"/>
        </w:rPr>
      </w:r>
      <w:r/>
    </w:p>
    <w:p>
      <w:pPr>
        <w:pStyle w:val="744"/>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（1）乙方无正当理由拒绝签订合同的，或者在签订合同时向甲方提出附加条件或者更改合同实质性内容要求的；</w:t>
      </w:r>
      <w:r>
        <w:rPr>
          <w:rFonts w:hint="eastAsia" w:ascii="宋体" w:hAnsi="宋体" w:cs="宋体"/>
          <w:color w:val="000000"/>
          <w:sz w:val="24"/>
          <w:szCs w:val="24"/>
          <w:highlight w:val="none"/>
        </w:rPr>
      </w:r>
      <w:r/>
    </w:p>
    <w:p>
      <w:pPr>
        <w:pStyle w:val="744"/>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（2）乙方不履行与甲方订立的合同的；</w:t>
      </w:r>
      <w:r>
        <w:rPr>
          <w:rFonts w:hint="eastAsia" w:ascii="宋体" w:hAnsi="宋体" w:cs="宋体"/>
          <w:color w:val="000000"/>
          <w:sz w:val="24"/>
          <w:szCs w:val="24"/>
          <w:highlight w:val="none"/>
        </w:rPr>
      </w:r>
      <w:r/>
    </w:p>
    <w:p>
      <w:pPr>
        <w:pStyle w:val="744"/>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（3）乙方所供货物或服务不符合招标文件规定要求的；</w:t>
      </w:r>
      <w:r>
        <w:rPr>
          <w:rFonts w:hint="eastAsia" w:ascii="宋体" w:hAnsi="宋体" w:cs="宋体"/>
          <w:color w:val="000000"/>
          <w:sz w:val="24"/>
          <w:szCs w:val="24"/>
          <w:highlight w:val="none"/>
        </w:rPr>
      </w:r>
      <w:r/>
    </w:p>
    <w:p>
      <w:pPr>
        <w:pStyle w:val="744"/>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（4）乙方采取欺骗、弄虚作假方式投标的或与其它投标人串通投标的；</w:t>
      </w:r>
      <w:r>
        <w:rPr>
          <w:rFonts w:hint="eastAsia" w:ascii="宋体" w:hAnsi="宋体" w:cs="宋体"/>
          <w:color w:val="000000"/>
          <w:sz w:val="24"/>
          <w:szCs w:val="24"/>
          <w:highlight w:val="none"/>
        </w:rPr>
      </w:r>
      <w:r/>
    </w:p>
    <w:p>
      <w:pPr>
        <w:pStyle w:val="744"/>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（5）乙方将合同内容转包、违法分包的；</w:t>
      </w:r>
      <w:r>
        <w:rPr>
          <w:rFonts w:hint="eastAsia" w:ascii="宋体" w:hAnsi="宋体" w:cs="宋体"/>
          <w:color w:val="000000"/>
          <w:sz w:val="24"/>
          <w:szCs w:val="24"/>
          <w:highlight w:val="none"/>
        </w:rPr>
      </w:r>
      <w:r/>
    </w:p>
    <w:p>
      <w:pPr>
        <w:pStyle w:val="744"/>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（6）乙方故意捏造事实或伪造证明材料，进行虚假恶意投诉或反映的。</w:t>
      </w:r>
      <w:r>
        <w:rPr>
          <w:rFonts w:hint="eastAsia" w:ascii="宋体" w:hAnsi="宋体" w:cs="宋体"/>
          <w:color w:val="000000"/>
          <w:sz w:val="24"/>
          <w:szCs w:val="24"/>
          <w:highlight w:val="none"/>
        </w:rPr>
      </w:r>
      <w:r/>
    </w:p>
    <w:p>
      <w:pPr>
        <w:pStyle w:val="744"/>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6.3.5逾期退还的违约责任：甲方逾期无故未退还履约保证金的，按中国人民银行同期贷款基准利率上浮20%后的利率支付超期资金占用费，但因供应商自身原因导致无法及时退还的除外。</w:t>
      </w:r>
      <w:r>
        <w:rPr>
          <w:rFonts w:hint="eastAsia" w:ascii="宋体" w:hAnsi="宋体" w:cs="宋体"/>
          <w:color w:val="000000"/>
          <w:sz w:val="24"/>
          <w:szCs w:val="24"/>
          <w:highlight w:val="none"/>
        </w:rPr>
      </w:r>
      <w:r/>
    </w:p>
    <w:p>
      <w:pPr>
        <w:pStyle w:val="744"/>
        <w:ind w:firstLine="105"/>
        <w:spacing w:line="360" w:lineRule="auto"/>
        <w:shd w:val="clear" w:color="auto" w:fill="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7、转包或分包</w:t>
      </w:r>
      <w:r>
        <w:rPr>
          <w:rFonts w:ascii="宋体" w:hAnsi="宋体" w:cs="宋体"/>
          <w:b/>
          <w:bCs/>
          <w:color w:val="000000"/>
          <w:sz w:val="24"/>
          <w:szCs w:val="24"/>
          <w:highlight w:val="none"/>
        </w:rPr>
      </w:r>
      <w:r/>
    </w:p>
    <w:p>
      <w:pPr>
        <w:pStyle w:val="744"/>
        <w:ind w:firstLine="420"/>
        <w:spacing w:line="360" w:lineRule="auto"/>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7.1 本合同禁止转包，本合同范围的货物，应由乙方直接供应，不得转让他人供应。</w:t>
      </w:r>
      <w:r>
        <w:rPr>
          <w:rFonts w:ascii="宋体" w:hAnsi="宋体" w:cs="宋体"/>
          <w:color w:val="000000"/>
          <w:sz w:val="24"/>
          <w:szCs w:val="24"/>
          <w:highlight w:val="none"/>
        </w:rPr>
      </w:r>
      <w:r/>
    </w:p>
    <w:p>
      <w:pPr>
        <w:pStyle w:val="744"/>
        <w:ind w:firstLine="420"/>
        <w:spacing w:line="360" w:lineRule="auto"/>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7.2 经甲方同意，乙方可以依法采取分包方式履行合同，但是分包方式履行的，乙方应就采购项目向甲方负全责。</w:t>
      </w:r>
      <w:r>
        <w:rPr>
          <w:rFonts w:ascii="宋体" w:hAnsi="宋体" w:cs="宋体"/>
          <w:color w:val="000000"/>
          <w:sz w:val="24"/>
          <w:szCs w:val="24"/>
          <w:highlight w:val="none"/>
        </w:rPr>
      </w:r>
      <w:r/>
    </w:p>
    <w:p>
      <w:pPr>
        <w:pStyle w:val="744"/>
        <w:ind w:firstLine="105"/>
        <w:spacing w:line="360" w:lineRule="auto"/>
        <w:shd w:val="clear" w:color="auto" w:fill="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8、质保期</w:t>
      </w:r>
      <w:r>
        <w:rPr>
          <w:rFonts w:ascii="宋体" w:hAnsi="宋体" w:cs="宋体"/>
          <w:b/>
          <w:bCs/>
          <w:color w:val="000000"/>
          <w:sz w:val="24"/>
          <w:szCs w:val="24"/>
          <w:highlight w:val="none"/>
        </w:rPr>
      </w:r>
      <w:r/>
    </w:p>
    <w:p>
      <w:pPr>
        <w:pStyle w:val="744"/>
        <w:ind w:firstLine="420"/>
        <w:spacing w:line="360" w:lineRule="auto"/>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疫苗质保期：</w:t>
      </w:r>
      <w:r>
        <w:rPr>
          <w:rFonts w:ascii="宋体" w:hAnsi="宋体" w:cs="宋体"/>
          <w:color w:val="000000"/>
          <w:sz w:val="24"/>
          <w:szCs w:val="24"/>
          <w:highlight w:val="none"/>
        </w:rPr>
        <w:t xml:space="preserve">产品最终交到使用方的有效期在7个月（疫苗有效期为12个月的）和11个月（疫苗有效期为18个月的）以上（自交货验收合格之日起计）。</w:t>
      </w:r>
      <w:r>
        <w:rPr>
          <w:rFonts w:ascii="宋体" w:hAnsi="宋体" w:cs="宋体"/>
          <w:color w:val="000000"/>
          <w:sz w:val="24"/>
          <w:szCs w:val="24"/>
          <w:highlight w:val="none"/>
        </w:rPr>
      </w:r>
      <w:r/>
    </w:p>
    <w:p>
      <w:pPr>
        <w:pStyle w:val="744"/>
        <w:ind w:firstLine="420"/>
        <w:spacing w:line="360" w:lineRule="auto"/>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耳标质保期：产品最终交到使用方的有效期在12个月以上（自交货验收合格之日起计）。</w:t>
      </w:r>
      <w:r>
        <w:rPr>
          <w:rFonts w:ascii="宋体" w:hAnsi="宋体" w:cs="宋体"/>
          <w:color w:val="000000"/>
          <w:sz w:val="24"/>
          <w:szCs w:val="24"/>
          <w:highlight w:val="none"/>
        </w:rPr>
      </w:r>
      <w:r/>
    </w:p>
    <w:p>
      <w:pPr>
        <w:pStyle w:val="744"/>
        <w:ind w:firstLine="105"/>
        <w:spacing w:line="360" w:lineRule="auto"/>
        <w:shd w:val="clear" w:color="auto" w:fill="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9、交付期、交付方式及交付地点</w:t>
      </w:r>
      <w:r>
        <w:rPr>
          <w:rFonts w:ascii="宋体" w:hAnsi="宋体" w:cs="宋体"/>
          <w:b/>
          <w:bCs/>
          <w:color w:val="000000"/>
          <w:sz w:val="24"/>
          <w:szCs w:val="24"/>
          <w:highlight w:val="none"/>
        </w:rPr>
      </w:r>
      <w:r/>
    </w:p>
    <w:p>
      <w:pPr>
        <w:pStyle w:val="744"/>
        <w:ind w:firstLine="480"/>
        <w:spacing w:line="360" w:lineRule="auto"/>
        <w:shd w:val="clear" w:color="auto" w:fill="auto"/>
        <w:rPr>
          <w:color w:val="000000"/>
          <w:sz w:val="24"/>
          <w:szCs w:val="24"/>
          <w:highlight w:val="none"/>
        </w:rPr>
      </w:pPr>
      <w:r>
        <w:rPr>
          <w:bCs/>
          <w:color w:val="000000"/>
          <w:sz w:val="24"/>
          <w:szCs w:val="24"/>
          <w:highlight w:val="none"/>
        </w:rPr>
        <w:t xml:space="preserve">9.1 交货期：</w:t>
      </w:r>
      <w:r>
        <w:rPr>
          <w:rFonts w:hint="eastAsia"/>
          <w:i/>
          <w:color w:val="000000"/>
          <w:sz w:val="24"/>
          <w:szCs w:val="24"/>
          <w:highlight w:val="none"/>
          <w:u w:val="single"/>
        </w:rPr>
        <w:t xml:space="preserve">                    </w:t>
      </w:r>
      <w:r>
        <w:rPr>
          <w:color w:val="000000"/>
          <w:sz w:val="24"/>
          <w:szCs w:val="24"/>
          <w:highlight w:val="none"/>
        </w:rPr>
      </w:r>
      <w:r/>
    </w:p>
    <w:p>
      <w:pPr>
        <w:pStyle w:val="744"/>
        <w:spacing w:line="360" w:lineRule="auto"/>
        <w:shd w:val="clear" w:color="auto" w:fill="auto"/>
        <w:rPr>
          <w:bCs/>
          <w:color w:val="000000"/>
          <w:sz w:val="24"/>
          <w:szCs w:val="24"/>
          <w:highlight w:val="none"/>
        </w:rPr>
      </w:pPr>
      <w:r>
        <w:rPr>
          <w:bCs/>
          <w:color w:val="000000"/>
          <w:sz w:val="24"/>
          <w:szCs w:val="24"/>
          <w:highlight w:val="none"/>
        </w:rPr>
        <w:t xml:space="preserve">    9.2 交货方式：</w:t>
      </w:r>
      <w:r>
        <w:rPr>
          <w:color w:val="000000"/>
          <w:sz w:val="24"/>
          <w:szCs w:val="24"/>
          <w:highlight w:val="none"/>
        </w:rPr>
        <w:t xml:space="preserve">按照各类疫苗</w:t>
      </w:r>
      <w:r>
        <w:rPr>
          <w:rFonts w:hint="eastAsia"/>
          <w:color w:val="000000"/>
          <w:sz w:val="24"/>
          <w:szCs w:val="24"/>
          <w:highlight w:val="none"/>
        </w:rPr>
        <w:t xml:space="preserve">、耳标</w:t>
      </w:r>
      <w:r>
        <w:rPr>
          <w:color w:val="000000"/>
          <w:sz w:val="24"/>
          <w:szCs w:val="24"/>
          <w:highlight w:val="none"/>
        </w:rPr>
        <w:t xml:space="preserve">的具体要求，采用冷链运输的交货方式，确保疫苗</w:t>
      </w:r>
      <w:r>
        <w:rPr>
          <w:rFonts w:hint="eastAsia"/>
          <w:color w:val="000000"/>
          <w:sz w:val="24"/>
          <w:szCs w:val="24"/>
          <w:highlight w:val="none"/>
        </w:rPr>
        <w:t xml:space="preserve">、耳标</w:t>
      </w:r>
      <w:r>
        <w:rPr>
          <w:color w:val="000000"/>
          <w:sz w:val="24"/>
          <w:szCs w:val="24"/>
          <w:highlight w:val="none"/>
        </w:rPr>
        <w:t xml:space="preserve">质量。</w:t>
      </w:r>
      <w:r>
        <w:rPr>
          <w:rFonts w:hint="eastAsia"/>
          <w:color w:val="000000"/>
          <w:sz w:val="24"/>
          <w:szCs w:val="24"/>
          <w:highlight w:val="none"/>
        </w:rPr>
        <w:t xml:space="preserve">每批次供货时都须提供产品检测报告。</w:t>
      </w:r>
      <w:r>
        <w:rPr>
          <w:bCs/>
          <w:color w:val="000000"/>
          <w:sz w:val="24"/>
          <w:szCs w:val="24"/>
          <w:highlight w:val="none"/>
        </w:rPr>
      </w:r>
      <w:r/>
    </w:p>
    <w:p>
      <w:pPr>
        <w:pStyle w:val="744"/>
        <w:ind w:firstLine="420"/>
        <w:spacing w:line="360" w:lineRule="auto"/>
        <w:shd w:val="clear" w:color="auto" w:fill="auto"/>
        <w:rPr>
          <w:rFonts w:hint="eastAsia" w:ascii="宋体" w:hAnsi="宋体" w:cs="宋体"/>
          <w:b/>
          <w:color w:val="000000"/>
          <w:sz w:val="24"/>
          <w:szCs w:val="24"/>
          <w:highlight w:val="none"/>
        </w:rPr>
      </w:pPr>
      <w:r>
        <w:rPr>
          <w:rFonts w:hint="eastAsia" w:ascii="宋体" w:hAnsi="宋体" w:cs="宋体"/>
          <w:bCs/>
          <w:color w:val="000000"/>
          <w:sz w:val="24"/>
          <w:szCs w:val="24"/>
          <w:highlight w:val="none"/>
        </w:rPr>
        <w:t xml:space="preserve">9.3 交付地点：</w:t>
      </w:r>
      <w:r>
        <w:rPr>
          <w:rFonts w:hint="eastAsia" w:ascii="宋体" w:hAnsi="宋体" w:cs="宋体"/>
          <w:color w:val="000000"/>
          <w:sz w:val="24"/>
          <w:szCs w:val="24"/>
          <w:highlight w:val="none"/>
          <w:u w:val="single"/>
        </w:rPr>
        <w:t xml:space="preserve">采购人指定地点</w:t>
      </w:r>
      <w:r>
        <w:rPr>
          <w:rFonts w:hint="eastAsia" w:ascii="宋体" w:hAnsi="宋体" w:cs="宋体"/>
          <w:b/>
          <w:color w:val="000000"/>
          <w:sz w:val="24"/>
          <w:szCs w:val="24"/>
          <w:highlight w:val="none"/>
        </w:rPr>
      </w:r>
      <w:r/>
    </w:p>
    <w:p>
      <w:pPr>
        <w:pStyle w:val="744"/>
        <w:ind w:firstLine="420"/>
        <w:spacing w:line="360" w:lineRule="auto"/>
        <w:shd w:val="clear" w:color="auto" w:fill="auto"/>
        <w:rPr>
          <w:rFonts w:ascii="宋体" w:hAnsi="宋体" w:cs="宋体"/>
          <w:b/>
          <w:color w:val="000000"/>
          <w:sz w:val="24"/>
          <w:szCs w:val="24"/>
          <w:highlight w:val="none"/>
        </w:rPr>
      </w:pPr>
      <w:r>
        <w:rPr>
          <w:rFonts w:hint="eastAsia" w:ascii="宋体" w:hAnsi="宋体" w:cs="宋体"/>
          <w:b/>
          <w:bCs/>
          <w:color w:val="000000"/>
          <w:sz w:val="24"/>
          <w:szCs w:val="24"/>
          <w:highlight w:val="none"/>
        </w:rPr>
        <w:t xml:space="preserve">10、货款支付</w:t>
      </w:r>
      <w:r>
        <w:rPr>
          <w:rFonts w:ascii="宋体" w:hAnsi="宋体" w:cs="宋体"/>
          <w:b/>
          <w:color w:val="000000"/>
          <w:sz w:val="24"/>
          <w:szCs w:val="24"/>
          <w:highlight w:val="none"/>
        </w:rPr>
      </w:r>
      <w:r/>
    </w:p>
    <w:p>
      <w:pPr>
        <w:pStyle w:val="744"/>
        <w:ind w:firstLine="422"/>
        <w:spacing w:line="360" w:lineRule="auto"/>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合同签订后，收到供应商发票之日起10个工作日内，付合同价的30%作为预付款，待全部货物供货完成且验收合格后付至合同款的90%，余款10%在全部供货完成满一年且产品无质量问题及其他纠纷后支付（按以上进度付款无任何利息补偿，甲方在收到乙方发票且财政资金全部到账后30日内完成支付）。</w:t>
      </w:r>
      <w:r>
        <w:rPr>
          <w:rFonts w:hint="eastAsia" w:ascii="宋体" w:hAnsi="宋体" w:cs="宋体"/>
          <w:b/>
          <w:bCs/>
          <w:color w:val="000000"/>
          <w:sz w:val="24"/>
          <w:highlight w:val="none"/>
        </w:rPr>
      </w:r>
      <w:r/>
    </w:p>
    <w:p>
      <w:pPr>
        <w:pStyle w:val="744"/>
        <w:ind w:firstLine="422"/>
        <w:spacing w:line="360" w:lineRule="auto"/>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合同款一律通过银行非现金结算，结算方式：转账。</w:t>
      </w:r>
      <w:r>
        <w:rPr>
          <w:rFonts w:hint="eastAsia" w:ascii="宋体" w:hAnsi="宋体" w:cs="宋体"/>
          <w:b/>
          <w:bCs/>
          <w:color w:val="000000"/>
          <w:sz w:val="24"/>
          <w:highlight w:val="none"/>
        </w:rPr>
      </w:r>
      <w:r/>
    </w:p>
    <w:p>
      <w:pPr>
        <w:pStyle w:val="744"/>
        <w:ind w:firstLine="422"/>
        <w:spacing w:line="360" w:lineRule="auto"/>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注:在签订合同时，成交人明确表示无需预付款或者主动要求降低预付款比例的金额，采购人可不适用预付款规定。</w:t>
      </w:r>
      <w:r>
        <w:rPr>
          <w:rFonts w:hint="eastAsia" w:ascii="宋体" w:hAnsi="宋体" w:cs="宋体"/>
          <w:b/>
          <w:bCs/>
          <w:color w:val="000000"/>
          <w:sz w:val="24"/>
          <w:highlight w:val="none"/>
        </w:rPr>
      </w:r>
      <w:r/>
    </w:p>
    <w:p>
      <w:pPr>
        <w:pStyle w:val="744"/>
        <w:ind w:firstLine="422"/>
        <w:spacing w:line="360" w:lineRule="auto"/>
        <w:shd w:val="clear" w:color="auto" w:fill="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11、税费 </w:t>
      </w:r>
      <w:r>
        <w:rPr>
          <w:rFonts w:ascii="宋体" w:hAnsi="宋体" w:cs="宋体"/>
          <w:b/>
          <w:bCs/>
          <w:color w:val="000000"/>
          <w:sz w:val="24"/>
          <w:szCs w:val="24"/>
          <w:highlight w:val="none"/>
        </w:rPr>
      </w:r>
      <w:r/>
    </w:p>
    <w:p>
      <w:pPr>
        <w:pStyle w:val="744"/>
        <w:ind w:firstLine="420"/>
        <w:spacing w:line="360" w:lineRule="auto"/>
        <w:shd w:val="clear" w:color="auto" w:fill="auto"/>
        <w:rPr>
          <w:rFonts w:hint="eastAsia" w:ascii="宋体" w:hAnsi="宋体" w:cs="宋体"/>
          <w:b/>
          <w:bCs/>
          <w:color w:val="000000"/>
          <w:sz w:val="24"/>
          <w:szCs w:val="24"/>
          <w:highlight w:val="none"/>
        </w:rPr>
      </w:pPr>
      <w:r>
        <w:rPr>
          <w:rFonts w:hint="eastAsia" w:ascii="宋体" w:hAnsi="宋体" w:cs="宋体"/>
          <w:color w:val="000000"/>
          <w:sz w:val="24"/>
          <w:szCs w:val="24"/>
          <w:highlight w:val="none"/>
        </w:rPr>
        <w:t xml:space="preserve">本合同执行中相关的一切税费均由乙方负担。</w:t>
      </w:r>
      <w:r>
        <w:rPr>
          <w:rFonts w:hint="eastAsia" w:ascii="宋体" w:hAnsi="宋体" w:cs="宋体"/>
          <w:b/>
          <w:bCs/>
          <w:color w:val="000000"/>
          <w:sz w:val="24"/>
          <w:szCs w:val="24"/>
          <w:highlight w:val="none"/>
        </w:rPr>
      </w:r>
      <w:r/>
    </w:p>
    <w:p>
      <w:pPr>
        <w:pStyle w:val="744"/>
        <w:ind w:firstLine="420"/>
        <w:spacing w:line="360" w:lineRule="auto"/>
        <w:shd w:val="clear" w:color="auto" w:fill="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12、质量保证及售后服务</w:t>
      </w:r>
      <w:r>
        <w:rPr>
          <w:rFonts w:ascii="宋体" w:hAnsi="宋体" w:cs="宋体"/>
          <w:b/>
          <w:bCs/>
          <w:color w:val="000000"/>
          <w:sz w:val="24"/>
          <w:szCs w:val="24"/>
          <w:highlight w:val="none"/>
        </w:rPr>
      </w:r>
      <w:r/>
    </w:p>
    <w:p>
      <w:pPr>
        <w:pStyle w:val="744"/>
        <w:ind w:firstLine="420"/>
        <w:spacing w:line="360" w:lineRule="auto"/>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12.1 乙方应按招标文件规定及响应文件承诺的货物性能、技术要求、质量标准向甲方提供未经使用的全新产品；若技术性能无特殊说明，则按国家有关部门最新颁布的标准及规范为准。</w:t>
      </w:r>
      <w:r>
        <w:rPr>
          <w:rFonts w:ascii="宋体" w:hAnsi="宋体" w:cs="宋体"/>
          <w:color w:val="000000"/>
          <w:sz w:val="24"/>
          <w:szCs w:val="24"/>
          <w:highlight w:val="none"/>
        </w:rPr>
      </w:r>
      <w:r/>
    </w:p>
    <w:p>
      <w:pPr>
        <w:pStyle w:val="744"/>
        <w:ind w:firstLine="420"/>
        <w:spacing w:line="360" w:lineRule="auto"/>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12.2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rPr>
          <w:rFonts w:ascii="宋体" w:hAnsi="宋体" w:cs="宋体"/>
          <w:color w:val="000000"/>
          <w:sz w:val="24"/>
          <w:szCs w:val="24"/>
          <w:highlight w:val="none"/>
        </w:rPr>
      </w:r>
      <w:r/>
    </w:p>
    <w:p>
      <w:pPr>
        <w:pStyle w:val="744"/>
        <w:ind w:firstLine="420"/>
        <w:spacing w:line="360" w:lineRule="auto"/>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12.3 乙方提供的货物在质保期内因货物本身的质量问题发生故障，乙方应负责免费更换。对达不到技术要求者，根据实际情况，可按以下办法处理：</w:t>
      </w:r>
      <w:r>
        <w:rPr>
          <w:rFonts w:ascii="宋体" w:hAnsi="宋体" w:cs="宋体"/>
          <w:color w:val="000000"/>
          <w:sz w:val="24"/>
          <w:szCs w:val="24"/>
          <w:highlight w:val="none"/>
        </w:rPr>
      </w:r>
      <w:r/>
    </w:p>
    <w:p>
      <w:pPr>
        <w:pStyle w:val="744"/>
        <w:ind w:firstLine="420"/>
        <w:spacing w:line="360" w:lineRule="auto"/>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⑴退货处理：乙方应退还甲方支付的合同款，同时应承担该货物的直接费用（运输、保险、检验、货款利息及银行手续费等）。</w:t>
      </w:r>
      <w:r>
        <w:rPr>
          <w:rFonts w:ascii="宋体" w:hAnsi="宋体" w:cs="宋体"/>
          <w:color w:val="000000"/>
          <w:sz w:val="24"/>
          <w:szCs w:val="24"/>
          <w:highlight w:val="none"/>
        </w:rPr>
      </w:r>
      <w:r/>
    </w:p>
    <w:p>
      <w:pPr>
        <w:pStyle w:val="744"/>
        <w:ind w:firstLine="420"/>
        <w:spacing w:line="360" w:lineRule="auto"/>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12.4 如在使用过程中发生质量问题，乙方在接到甲方通知后在</w:t>
      </w:r>
      <w:r>
        <w:rPr>
          <w:rFonts w:hint="eastAsia" w:ascii="宋体" w:hAnsi="宋体" w:cs="宋体"/>
          <w:color w:val="000000"/>
          <w:sz w:val="24"/>
          <w:szCs w:val="24"/>
          <w:highlight w:val="none"/>
          <w:u w:val="single"/>
        </w:rPr>
        <w:t xml:space="preserve">5</w:t>
      </w:r>
      <w:r>
        <w:rPr>
          <w:rFonts w:hint="eastAsia" w:ascii="宋体" w:hAnsi="宋体" w:cs="宋体"/>
          <w:color w:val="000000"/>
          <w:sz w:val="24"/>
          <w:szCs w:val="24"/>
          <w:highlight w:val="none"/>
        </w:rPr>
        <w:t xml:space="preserve">小时内到达甲方现场。</w:t>
      </w:r>
      <w:r>
        <w:rPr>
          <w:rFonts w:ascii="宋体" w:hAnsi="宋体" w:cs="宋体"/>
          <w:color w:val="000000"/>
          <w:sz w:val="24"/>
          <w:szCs w:val="24"/>
          <w:highlight w:val="none"/>
        </w:rPr>
      </w:r>
      <w:r/>
    </w:p>
    <w:p>
      <w:pPr>
        <w:pStyle w:val="744"/>
        <w:ind w:firstLine="42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12.5 在质保期内，乙方应对货物出现的质量及安全问题负责处理解决并承担一切费用。</w:t>
      </w:r>
      <w:r>
        <w:rPr>
          <w:rFonts w:hint="eastAsia" w:ascii="宋体" w:hAnsi="宋体" w:cs="宋体"/>
          <w:color w:val="000000"/>
          <w:sz w:val="24"/>
          <w:szCs w:val="24"/>
          <w:highlight w:val="none"/>
        </w:rPr>
      </w:r>
      <w:r/>
    </w:p>
    <w:p>
      <w:pPr>
        <w:pStyle w:val="744"/>
        <w:ind w:firstLine="420"/>
        <w:spacing w:line="360" w:lineRule="auto"/>
        <w:shd w:val="clear" w:color="auto" w:fill="auto"/>
        <w:rPr>
          <w:rFonts w:hint="eastAsia" w:ascii="宋体" w:hAnsi="宋体" w:cs="宋体"/>
          <w:iCs/>
          <w:color w:val="000000"/>
          <w:sz w:val="24"/>
          <w:szCs w:val="24"/>
          <w:highlight w:val="none"/>
        </w:rPr>
      </w:pPr>
      <w:r>
        <w:rPr>
          <w:rFonts w:hint="eastAsia" w:ascii="宋体" w:hAnsi="宋体" w:cs="宋体"/>
          <w:color w:val="000000"/>
          <w:sz w:val="24"/>
          <w:szCs w:val="24"/>
          <w:highlight w:val="none"/>
        </w:rPr>
        <w:t xml:space="preserve">12.6 </w:t>
      </w:r>
      <w:r>
        <w:rPr>
          <w:rFonts w:ascii="宋体" w:hAnsi="宋体" w:cs="宋体"/>
          <w:iCs/>
          <w:color w:val="000000"/>
          <w:sz w:val="24"/>
          <w:szCs w:val="24"/>
          <w:highlight w:val="none"/>
        </w:rPr>
        <w:t xml:space="preserve">重组禽流感病毒(H5+H7)三价灭活疫苗</w:t>
      </w:r>
      <w:r>
        <w:rPr>
          <w:rFonts w:hint="eastAsia" w:ascii="宋体" w:hAnsi="宋体" w:cs="宋体"/>
          <w:iCs/>
          <w:color w:val="000000"/>
          <w:sz w:val="24"/>
          <w:szCs w:val="24"/>
          <w:highlight w:val="none"/>
        </w:rPr>
        <w:t xml:space="preserve">免疫抗体检测过程中，如果市场上无对应商用检测抗原，厂家须免费提供</w:t>
      </w:r>
      <w:r>
        <w:rPr>
          <w:rFonts w:ascii="宋体" w:hAnsi="宋体" w:cs="宋体"/>
          <w:iCs/>
          <w:color w:val="000000"/>
          <w:sz w:val="24"/>
          <w:szCs w:val="24"/>
          <w:highlight w:val="none"/>
        </w:rPr>
        <w:t xml:space="preserve">。</w:t>
      </w:r>
      <w:r>
        <w:rPr>
          <w:rFonts w:hint="eastAsia" w:ascii="宋体" w:hAnsi="宋体" w:cs="宋体"/>
          <w:iCs/>
          <w:color w:val="000000"/>
          <w:sz w:val="24"/>
          <w:szCs w:val="24"/>
          <w:highlight w:val="none"/>
        </w:rPr>
      </w:r>
      <w:r/>
    </w:p>
    <w:p>
      <w:pPr>
        <w:pStyle w:val="744"/>
        <w:ind w:firstLine="420"/>
        <w:spacing w:line="360" w:lineRule="auto"/>
        <w:shd w:val="clear" w:color="auto" w:fill="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13、交货、调试和验收</w:t>
      </w:r>
      <w:r>
        <w:rPr>
          <w:rFonts w:ascii="宋体" w:hAnsi="宋体" w:cs="宋体"/>
          <w:b/>
          <w:bCs/>
          <w:color w:val="000000"/>
          <w:sz w:val="24"/>
          <w:szCs w:val="24"/>
          <w:highlight w:val="none"/>
        </w:rPr>
      </w:r>
      <w:r/>
    </w:p>
    <w:p>
      <w:pPr>
        <w:pStyle w:val="744"/>
        <w:ind w:firstLine="420"/>
        <w:spacing w:line="360" w:lineRule="auto"/>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13.1乙方应当在合同生效后</w:t>
      </w:r>
      <w:r>
        <w:rPr>
          <w:rFonts w:ascii="宋体" w:hAnsi="宋体" w:cs="宋体"/>
          <w:i/>
          <w:color w:val="000000"/>
          <w:sz w:val="24"/>
          <w:szCs w:val="24"/>
          <w:highlight w:val="none"/>
          <w:u w:val="single"/>
        </w:rPr>
        <w:t xml:space="preserve">接供货通知后五日内发货</w:t>
      </w:r>
      <w:r>
        <w:rPr>
          <w:rFonts w:hint="eastAsia" w:ascii="宋体" w:hAnsi="宋体" w:cs="宋体"/>
          <w:color w:val="000000"/>
          <w:sz w:val="24"/>
          <w:szCs w:val="24"/>
          <w:highlight w:val="none"/>
        </w:rPr>
        <w:t xml:space="preserve">，地点由甲方指定，招标文件有约定的，从其约定。在发货前，乙方应对产品作出全面检查和对验收文件进行整理，并列出清单，作为甲方收货初验收和使用的技术条件依据，检验的结果应随货物交甲方。</w:t>
      </w:r>
      <w:r>
        <w:rPr>
          <w:rFonts w:ascii="宋体" w:hAnsi="宋体" w:cs="宋体"/>
          <w:color w:val="000000"/>
          <w:sz w:val="24"/>
          <w:szCs w:val="24"/>
          <w:highlight w:val="none"/>
        </w:rPr>
      </w:r>
      <w:r/>
    </w:p>
    <w:p>
      <w:pPr>
        <w:pStyle w:val="744"/>
        <w:ind w:firstLine="420"/>
        <w:spacing w:line="360" w:lineRule="auto"/>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13.2 货到甲方后，甲乙双方须在</w:t>
      </w:r>
      <w:r>
        <w:rPr>
          <w:rFonts w:hint="eastAsia" w:ascii="宋体" w:hAnsi="宋体" w:cs="宋体"/>
          <w:color w:val="000000"/>
          <w:sz w:val="24"/>
          <w:szCs w:val="24"/>
          <w:highlight w:val="none"/>
          <w:u w:val="single"/>
        </w:rPr>
        <w:t xml:space="preserve"> 3 </w:t>
      </w:r>
      <w:r>
        <w:rPr>
          <w:rFonts w:hint="eastAsia" w:ascii="宋体" w:hAnsi="宋体" w:cs="宋体"/>
          <w:color w:val="000000"/>
          <w:sz w:val="24"/>
          <w:szCs w:val="24"/>
          <w:highlight w:val="none"/>
        </w:rPr>
        <w:t xml:space="preserve">工作日内初验收，甲方对乙方提交的货物依据招标文件上的技术规格要求和国家有关质量标准进行现场初步验收，外观、说明书、包装符合招标文件技术要求的，给予签收，初步验收不合格的不予签收。</w:t>
      </w:r>
      <w:r>
        <w:rPr>
          <w:rFonts w:ascii="宋体" w:hAnsi="宋体" w:cs="宋体"/>
          <w:color w:val="000000"/>
          <w:sz w:val="24"/>
          <w:szCs w:val="24"/>
          <w:highlight w:val="none"/>
        </w:rPr>
      </w:r>
      <w:r/>
    </w:p>
    <w:p>
      <w:pPr>
        <w:pStyle w:val="744"/>
        <w:ind w:firstLine="420"/>
        <w:spacing w:line="360" w:lineRule="auto"/>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13.3 乙方按照招标文件要求负责产品安装并培训甲方的使用操作人员，乙方在甲方使用前进行调试，调试直到符合技术要求的甲方才做最终验收。</w:t>
      </w:r>
      <w:r>
        <w:rPr>
          <w:rFonts w:ascii="宋体" w:hAnsi="宋体" w:cs="宋体"/>
          <w:color w:val="000000"/>
          <w:sz w:val="24"/>
          <w:szCs w:val="24"/>
          <w:highlight w:val="none"/>
        </w:rPr>
      </w:r>
      <w:r/>
    </w:p>
    <w:p>
      <w:pPr>
        <w:pStyle w:val="744"/>
        <w:ind w:firstLine="42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13.4 货到甲方后，甲方可对不同批次的产品抽样送检，由国家认可的专业检测机构出具质量检测报告。检测费用由乙承担。</w:t>
      </w:r>
      <w:r>
        <w:rPr>
          <w:rFonts w:hint="eastAsia" w:ascii="宋体" w:hAnsi="宋体" w:cs="宋体"/>
          <w:color w:val="000000"/>
          <w:sz w:val="24"/>
          <w:szCs w:val="24"/>
          <w:highlight w:val="none"/>
        </w:rPr>
      </w:r>
      <w:r/>
    </w:p>
    <w:p>
      <w:pPr>
        <w:pStyle w:val="744"/>
        <w:ind w:firstLine="420"/>
        <w:spacing w:line="360" w:lineRule="auto"/>
        <w:shd w:val="clear" w:color="auto" w:fill="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13.5 甲乙双方关于调试和验收的其他约定：</w:t>
      </w:r>
      <w:r>
        <w:rPr>
          <w:rFonts w:hint="eastAsia" w:ascii="宋体" w:hAnsi="宋体" w:cs="宋体"/>
          <w:color w:val="000000"/>
          <w:sz w:val="24"/>
          <w:szCs w:val="24"/>
          <w:highlight w:val="none"/>
          <w:u w:val="single"/>
        </w:rPr>
        <w:t xml:space="preserve">    /　　　</w:t>
      </w:r>
      <w:r>
        <w:rPr>
          <w:rFonts w:hint="eastAsia" w:ascii="宋体" w:hAnsi="宋体" w:cs="宋体"/>
          <w:color w:val="000000"/>
          <w:sz w:val="24"/>
          <w:szCs w:val="24"/>
          <w:highlight w:val="none"/>
          <w:u w:val="single"/>
        </w:rPr>
      </w:r>
      <w:r/>
    </w:p>
    <w:p>
      <w:pPr>
        <w:pStyle w:val="744"/>
        <w:ind w:firstLine="420"/>
        <w:spacing w:line="360" w:lineRule="auto"/>
        <w:shd w:val="clear" w:color="auto" w:fill="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14、货物包装、发运及运输</w:t>
      </w:r>
      <w:r>
        <w:rPr>
          <w:rFonts w:ascii="宋体" w:hAnsi="宋体" w:cs="宋体"/>
          <w:b/>
          <w:bCs/>
          <w:color w:val="000000"/>
          <w:sz w:val="24"/>
          <w:szCs w:val="24"/>
          <w:highlight w:val="none"/>
        </w:rPr>
      </w:r>
      <w:r/>
    </w:p>
    <w:p>
      <w:pPr>
        <w:pStyle w:val="744"/>
        <w:ind w:firstLine="420"/>
        <w:spacing w:line="360" w:lineRule="auto"/>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14.1 乙方应在货物发运前对其进行满足运输距离、防潮、防震、防锈和防破损装卸等要求包装，以保证货物安全运达甲方指定地点。</w:t>
      </w:r>
      <w:r>
        <w:rPr>
          <w:rFonts w:ascii="宋体" w:hAnsi="宋体" w:cs="宋体"/>
          <w:color w:val="000000"/>
          <w:sz w:val="24"/>
          <w:szCs w:val="24"/>
          <w:highlight w:val="none"/>
        </w:rPr>
      </w:r>
      <w:r/>
    </w:p>
    <w:p>
      <w:pPr>
        <w:pStyle w:val="744"/>
        <w:ind w:firstLine="420"/>
        <w:spacing w:line="360" w:lineRule="auto"/>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14.2 乙方发货时，产品使用说明书、检验证明书、随配附件和工具以及清单一并附于货物内。</w:t>
      </w:r>
      <w:r>
        <w:rPr>
          <w:rFonts w:ascii="宋体" w:hAnsi="宋体" w:cs="宋体"/>
          <w:color w:val="000000"/>
          <w:sz w:val="24"/>
          <w:szCs w:val="24"/>
          <w:highlight w:val="none"/>
        </w:rPr>
      </w:r>
      <w:r/>
    </w:p>
    <w:p>
      <w:pPr>
        <w:pStyle w:val="744"/>
        <w:ind w:firstLine="420"/>
        <w:spacing w:line="360" w:lineRule="auto"/>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14.3 乙方在货物发运手续办理完毕后24小时内或货到甲方48小时前通知甲方，以便甲方准备接货。根据甲方通知的时间和指定的地点，乙方负责安排送货、装卸、清点、堆放，仪器设备初验收合格前的保管工作由乙方负责，费用由乙方承担。</w:t>
      </w:r>
      <w:r>
        <w:rPr>
          <w:rFonts w:ascii="宋体" w:hAnsi="宋体" w:cs="宋体"/>
          <w:color w:val="000000"/>
          <w:sz w:val="24"/>
          <w:szCs w:val="24"/>
          <w:highlight w:val="none"/>
        </w:rPr>
      </w:r>
      <w:r/>
    </w:p>
    <w:p>
      <w:pPr>
        <w:pStyle w:val="744"/>
        <w:ind w:firstLine="420"/>
        <w:spacing w:line="360" w:lineRule="auto"/>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14.4 货物在交付甲方前发生的风险均由乙方负责。</w:t>
      </w:r>
      <w:r>
        <w:rPr>
          <w:rFonts w:ascii="宋体" w:hAnsi="宋体" w:cs="宋体"/>
          <w:color w:val="000000"/>
          <w:sz w:val="24"/>
          <w:szCs w:val="24"/>
          <w:highlight w:val="none"/>
        </w:rPr>
      </w:r>
      <w:r/>
    </w:p>
    <w:p>
      <w:pPr>
        <w:pStyle w:val="744"/>
        <w:ind w:firstLine="42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14.5 货物在规定的交付期限内由乙方送达甲方指定的地点，经初步验收即视为货物交付。</w:t>
      </w:r>
      <w:r>
        <w:rPr>
          <w:rFonts w:hint="eastAsia" w:ascii="宋体" w:hAnsi="宋体" w:cs="宋体"/>
          <w:color w:val="000000"/>
          <w:sz w:val="24"/>
          <w:szCs w:val="24"/>
          <w:highlight w:val="none"/>
        </w:rPr>
      </w:r>
      <w:r/>
    </w:p>
    <w:p>
      <w:pPr>
        <w:pStyle w:val="744"/>
        <w:ind w:firstLine="420"/>
        <w:spacing w:line="360" w:lineRule="auto"/>
        <w:shd w:val="clear" w:color="auto" w:fill="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15、违约责任</w:t>
      </w:r>
      <w:r>
        <w:rPr>
          <w:rFonts w:ascii="宋体" w:hAnsi="宋体" w:cs="宋体"/>
          <w:b/>
          <w:bCs/>
          <w:color w:val="000000"/>
          <w:sz w:val="24"/>
          <w:szCs w:val="24"/>
          <w:highlight w:val="none"/>
        </w:rPr>
      </w:r>
      <w:r/>
    </w:p>
    <w:p>
      <w:pPr>
        <w:pStyle w:val="744"/>
        <w:ind w:firstLine="420"/>
        <w:spacing w:line="360" w:lineRule="auto"/>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15.1 甲方无正当理由拒绝初验收和终验收货物的，甲方应按未付货款金额每日万分之五向乙方支付违约金。</w:t>
      </w:r>
      <w:r>
        <w:rPr>
          <w:rFonts w:ascii="宋体" w:hAnsi="宋体" w:cs="宋体"/>
          <w:color w:val="000000"/>
          <w:sz w:val="24"/>
          <w:szCs w:val="24"/>
          <w:highlight w:val="none"/>
        </w:rPr>
      </w:r>
      <w:r/>
    </w:p>
    <w:p>
      <w:pPr>
        <w:pStyle w:val="744"/>
        <w:ind w:firstLine="420"/>
        <w:spacing w:line="360" w:lineRule="auto"/>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15.2 甲方无故逾期验收和无故逾期办理货款支付手续的,甲方应按逾期付款金额每日万分之五向乙方支付违约金。</w:t>
      </w:r>
      <w:r>
        <w:rPr>
          <w:rFonts w:ascii="宋体" w:hAnsi="宋体" w:cs="宋体"/>
          <w:color w:val="000000"/>
          <w:sz w:val="24"/>
          <w:szCs w:val="24"/>
          <w:highlight w:val="none"/>
        </w:rPr>
      </w:r>
      <w:r/>
    </w:p>
    <w:p>
      <w:pPr>
        <w:pStyle w:val="744"/>
        <w:ind w:firstLine="420"/>
        <w:spacing w:line="360" w:lineRule="auto"/>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15.3乙方违约，在消除违约情形前，应按货款总额每日万分之五向甲方支付违约金，甲方可以从待付货款中扣除。</w:t>
      </w:r>
      <w:r>
        <w:rPr>
          <w:rFonts w:ascii="宋体" w:hAnsi="宋体" w:cs="宋体"/>
          <w:color w:val="000000"/>
          <w:sz w:val="24"/>
          <w:szCs w:val="24"/>
          <w:highlight w:val="none"/>
        </w:rPr>
      </w:r>
      <w:r/>
    </w:p>
    <w:p>
      <w:pPr>
        <w:pStyle w:val="744"/>
        <w:ind w:firstLine="420"/>
        <w:spacing w:line="360" w:lineRule="auto"/>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15.4乙方因逾期交货或因其他违约行为，导致甲方解除合同的，乙方应向甲方支付合同总值5%的违约金，如造成甲方损失超过违约金的，超出部分由乙方继续承担赔偿责任。</w:t>
      </w:r>
      <w:r>
        <w:rPr>
          <w:rFonts w:ascii="宋体" w:hAnsi="宋体" w:cs="宋体"/>
          <w:color w:val="000000"/>
          <w:sz w:val="24"/>
          <w:szCs w:val="24"/>
          <w:highlight w:val="none"/>
        </w:rPr>
      </w:r>
      <w:r/>
    </w:p>
    <w:p>
      <w:pPr>
        <w:pStyle w:val="744"/>
        <w:ind w:firstLine="420"/>
        <w:spacing w:line="360" w:lineRule="auto"/>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15.5 乙方所交的货物全部或部分品种、型号、规格、技术参数、质量不符合合同规定及招标文件规定标准的，乙方更换货物但逾期交货的（甲方拒绝接受的除外），按乙方逾期交货处理；乙方拒绝更换货物的，甲方可选择解除本合同或本合同的一部分，并可追究乙方的其他违约责任。</w:t>
      </w:r>
      <w:r>
        <w:rPr>
          <w:rFonts w:ascii="宋体" w:hAnsi="宋体" w:cs="宋体"/>
          <w:color w:val="000000"/>
          <w:sz w:val="24"/>
          <w:szCs w:val="24"/>
          <w:highlight w:val="none"/>
        </w:rPr>
      </w:r>
      <w:r/>
    </w:p>
    <w:p>
      <w:pPr>
        <w:pStyle w:val="744"/>
        <w:ind w:firstLine="42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15.6合同生效后，发现乙方投标属虚假承诺，或经权威部门监测提供的货物不能满足招标文件要求，造成合同无法继续履行的，乙方除履约保证金不予退还外，还应向甲方支付不少于合同总价</w:t>
      </w:r>
      <w:r>
        <w:rPr>
          <w:rFonts w:hint="eastAsia" w:ascii="宋体" w:hAnsi="宋体" w:cs="宋体"/>
          <w:color w:val="000000"/>
          <w:sz w:val="24"/>
          <w:szCs w:val="24"/>
          <w:highlight w:val="none"/>
          <w:u w:val="single"/>
        </w:rPr>
        <w:t xml:space="preserve">10</w:t>
      </w:r>
      <w:r>
        <w:rPr>
          <w:rFonts w:hint="eastAsia" w:ascii="宋体" w:hAnsi="宋体" w:cs="宋体"/>
          <w:color w:val="000000"/>
          <w:sz w:val="24"/>
          <w:szCs w:val="24"/>
          <w:highlight w:val="none"/>
        </w:rPr>
        <w:t xml:space="preserve">%的赔偿金。</w:t>
      </w:r>
      <w:r>
        <w:rPr>
          <w:rFonts w:hint="eastAsia" w:ascii="宋体" w:hAnsi="宋体" w:cs="宋体"/>
          <w:color w:val="000000"/>
          <w:sz w:val="24"/>
          <w:szCs w:val="24"/>
          <w:highlight w:val="none"/>
        </w:rPr>
      </w:r>
      <w:r/>
    </w:p>
    <w:p>
      <w:pPr>
        <w:pStyle w:val="744"/>
        <w:ind w:firstLine="420"/>
        <w:spacing w:line="360" w:lineRule="auto"/>
        <w:shd w:val="clear" w:color="auto" w:fill="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16、不可抗力事件处理</w:t>
      </w:r>
      <w:r>
        <w:rPr>
          <w:rFonts w:ascii="宋体" w:hAnsi="宋体" w:cs="宋体"/>
          <w:b/>
          <w:bCs/>
          <w:color w:val="000000"/>
          <w:sz w:val="24"/>
          <w:szCs w:val="24"/>
          <w:highlight w:val="none"/>
        </w:rPr>
      </w:r>
      <w:r/>
    </w:p>
    <w:p>
      <w:pPr>
        <w:pStyle w:val="744"/>
        <w:ind w:firstLine="420"/>
        <w:spacing w:line="360" w:lineRule="auto"/>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16.1 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rPr>
          <w:rFonts w:ascii="宋体" w:hAnsi="宋体" w:cs="宋体"/>
          <w:color w:val="000000"/>
          <w:sz w:val="24"/>
          <w:szCs w:val="24"/>
          <w:highlight w:val="none"/>
        </w:rPr>
      </w:r>
      <w:r/>
    </w:p>
    <w:p>
      <w:pPr>
        <w:pStyle w:val="744"/>
        <w:ind w:firstLine="42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r>
        <w:rPr>
          <w:rFonts w:hint="eastAsia" w:ascii="宋体" w:hAnsi="宋体" w:cs="宋体"/>
          <w:color w:val="000000"/>
          <w:sz w:val="24"/>
          <w:szCs w:val="24"/>
          <w:highlight w:val="none"/>
        </w:rPr>
      </w:r>
      <w:r/>
    </w:p>
    <w:p>
      <w:pPr>
        <w:pStyle w:val="744"/>
        <w:ind w:firstLine="420"/>
        <w:spacing w:line="360" w:lineRule="auto"/>
        <w:shd w:val="clear" w:color="auto" w:fill="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17、争议解决</w:t>
      </w:r>
      <w:r>
        <w:rPr>
          <w:rFonts w:ascii="宋体" w:hAnsi="宋体" w:cs="宋体"/>
          <w:b/>
          <w:bCs/>
          <w:color w:val="000000"/>
          <w:sz w:val="24"/>
          <w:szCs w:val="24"/>
          <w:highlight w:val="none"/>
        </w:rPr>
      </w:r>
      <w:r/>
    </w:p>
    <w:p>
      <w:pPr>
        <w:pStyle w:val="744"/>
        <w:ind w:firstLine="420"/>
        <w:spacing w:line="360" w:lineRule="auto"/>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17.1 因货物的质量问题发生争议的，可在国家认可的质量检测机构对货物质量进行鉴定。货物符合标准的，鉴定费由甲方承担；货物不符合质量标准的，鉴定费由乙方承担。</w:t>
      </w:r>
      <w:r>
        <w:rPr>
          <w:rFonts w:ascii="宋体" w:hAnsi="宋体" w:cs="宋体"/>
          <w:color w:val="000000"/>
          <w:sz w:val="24"/>
          <w:szCs w:val="24"/>
          <w:highlight w:val="none"/>
        </w:rPr>
      </w:r>
      <w:r/>
    </w:p>
    <w:p>
      <w:pPr>
        <w:pStyle w:val="744"/>
        <w:ind w:firstLine="420"/>
        <w:spacing w:line="360" w:lineRule="auto"/>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17.2 因履行本合同引起的或与本合同有关的争议，甲、乙双方应首先通过友好协商解决；如果协商不能解决争议，甲乙双方同意采取下列两种方式的第</w:t>
      </w:r>
      <w:r>
        <w:rPr>
          <w:rFonts w:hint="eastAsia" w:ascii="宋体" w:hAnsi="宋体" w:cs="宋体"/>
          <w:color w:val="000000"/>
          <w:sz w:val="24"/>
          <w:szCs w:val="24"/>
          <w:highlight w:val="none"/>
          <w:u w:val="single"/>
        </w:rPr>
        <w:t xml:space="preserve">（1）</w:t>
      </w:r>
      <w:r>
        <w:rPr>
          <w:rFonts w:hint="eastAsia" w:ascii="宋体" w:hAnsi="宋体" w:cs="宋体"/>
          <w:color w:val="000000"/>
          <w:sz w:val="24"/>
          <w:szCs w:val="24"/>
          <w:highlight w:val="none"/>
        </w:rPr>
        <w:t xml:space="preserve">种方式解决争议：</w:t>
      </w:r>
      <w:r>
        <w:rPr>
          <w:rFonts w:ascii="宋体" w:hAnsi="宋体" w:cs="宋体"/>
          <w:color w:val="000000"/>
          <w:sz w:val="24"/>
          <w:szCs w:val="24"/>
          <w:highlight w:val="none"/>
        </w:rPr>
      </w:r>
      <w:r/>
    </w:p>
    <w:p>
      <w:pPr>
        <w:pStyle w:val="744"/>
        <w:ind w:firstLine="315"/>
        <w:spacing w:line="360" w:lineRule="auto"/>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（1）向甲方所在地有管辖权的人民法院提起诉讼，适用中华人民共和国法律；</w:t>
      </w:r>
      <w:r>
        <w:rPr>
          <w:rFonts w:ascii="宋体" w:hAnsi="宋体" w:cs="宋体"/>
          <w:color w:val="000000"/>
          <w:sz w:val="24"/>
          <w:szCs w:val="24"/>
          <w:highlight w:val="none"/>
        </w:rPr>
      </w:r>
      <w:r/>
    </w:p>
    <w:p>
      <w:pPr>
        <w:pStyle w:val="744"/>
        <w:ind w:left="105" w:hanging="105"/>
        <w:spacing w:line="360" w:lineRule="auto"/>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（2）向宝应仲裁委员会按其仲裁规则申请仲裁。</w:t>
      </w:r>
      <w:r>
        <w:rPr>
          <w:rFonts w:ascii="宋体" w:hAnsi="宋体" w:cs="宋体"/>
          <w:color w:val="000000"/>
          <w:sz w:val="24"/>
          <w:szCs w:val="24"/>
          <w:highlight w:val="none"/>
        </w:rPr>
      </w:r>
      <w:r/>
    </w:p>
    <w:p>
      <w:pPr>
        <w:pStyle w:val="744"/>
        <w:ind w:firstLine="42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17.3 若甲乙双方任何一方都没有选择解除合同的，为避免扩大损失，在诉讼或仲裁期间，双方应继续履行。</w:t>
      </w:r>
      <w:r>
        <w:rPr>
          <w:rFonts w:hint="eastAsia" w:ascii="宋体" w:hAnsi="宋体" w:cs="宋体"/>
          <w:color w:val="000000"/>
          <w:sz w:val="24"/>
          <w:szCs w:val="24"/>
          <w:highlight w:val="none"/>
        </w:rPr>
      </w:r>
      <w:r/>
    </w:p>
    <w:p>
      <w:pPr>
        <w:pStyle w:val="744"/>
        <w:ind w:firstLine="420"/>
        <w:spacing w:line="360" w:lineRule="auto"/>
        <w:shd w:val="clear" w:color="auto" w:fill="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18、合同其它</w:t>
      </w:r>
      <w:r>
        <w:rPr>
          <w:rFonts w:ascii="宋体" w:hAnsi="宋体" w:cs="宋体"/>
          <w:b/>
          <w:bCs/>
          <w:color w:val="000000"/>
          <w:sz w:val="24"/>
          <w:szCs w:val="24"/>
          <w:highlight w:val="none"/>
        </w:rPr>
      </w:r>
      <w:r/>
    </w:p>
    <w:p>
      <w:pPr>
        <w:pStyle w:val="744"/>
        <w:ind w:firstLine="420"/>
        <w:spacing w:line="360" w:lineRule="auto"/>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18.1 乙方应诚实信用，严格按照招标文件要求和投标承诺履行合同，不向甲方进行商业贿赂或者提供不正当利益。</w:t>
      </w:r>
      <w:r>
        <w:rPr>
          <w:rFonts w:ascii="宋体" w:hAnsi="宋体" w:cs="宋体"/>
          <w:color w:val="000000"/>
          <w:sz w:val="24"/>
          <w:szCs w:val="24"/>
          <w:highlight w:val="none"/>
        </w:rPr>
      </w:r>
      <w:r/>
    </w:p>
    <w:p>
      <w:pPr>
        <w:pStyle w:val="744"/>
        <w:ind w:firstLine="420"/>
        <w:spacing w:line="360" w:lineRule="auto"/>
        <w:shd w:val="clear" w:color="auto" w:fill="auto"/>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18.2合同经双方法定代表人签章并加盖单位公章，并经江苏汇诚投资咨询管理有限公司见证盖章后生效。</w:t>
      </w:r>
      <w:r>
        <w:rPr>
          <w:rFonts w:ascii="宋体" w:hAnsi="宋体" w:cs="宋体"/>
          <w:color w:val="000000"/>
          <w:sz w:val="24"/>
          <w:szCs w:val="24"/>
          <w:highlight w:val="none"/>
          <w:u w:val="single"/>
        </w:rPr>
      </w:r>
      <w:r/>
    </w:p>
    <w:p>
      <w:pPr>
        <w:pStyle w:val="744"/>
        <w:ind w:firstLine="420"/>
        <w:spacing w:line="360" w:lineRule="auto"/>
        <w:shd w:val="clear" w:color="auto" w:fill="auto"/>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18.3本合同未尽事宜，遵照《民法典》有关条文执行。</w:t>
      </w:r>
      <w:r>
        <w:rPr>
          <w:rFonts w:ascii="宋体" w:hAnsi="宋体" w:cs="宋体"/>
          <w:color w:val="000000"/>
          <w:sz w:val="24"/>
          <w:szCs w:val="24"/>
          <w:highlight w:val="none"/>
          <w:u w:val="single"/>
        </w:rPr>
      </w:r>
      <w:r/>
    </w:p>
    <w:p>
      <w:pPr>
        <w:pStyle w:val="744"/>
        <w:ind w:firstLine="420"/>
        <w:spacing w:line="360" w:lineRule="auto"/>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18.4本合同正本一式陆份，具有同等法律效力，甲方、乙方各执贰份。</w:t>
      </w:r>
      <w:r>
        <w:rPr>
          <w:rFonts w:ascii="宋体" w:hAnsi="宋体" w:cs="宋体"/>
          <w:color w:val="000000"/>
          <w:sz w:val="24"/>
          <w:szCs w:val="24"/>
          <w:highlight w:val="none"/>
        </w:rPr>
      </w:r>
      <w:r/>
    </w:p>
    <w:p>
      <w:pPr>
        <w:pStyle w:val="744"/>
        <w:spacing w:line="400" w:lineRule="exact"/>
        <w:shd w:val="clear" w:color="auto" w:fill="auto"/>
        <w:rPr>
          <w:rFonts w:ascii="宋体" w:hAnsi="宋体" w:cs="宋体"/>
          <w:color w:val="000000"/>
          <w:sz w:val="24"/>
          <w:szCs w:val="24"/>
          <w:highlight w:val="none"/>
        </w:rPr>
      </w:pPr>
      <w:r>
        <w:rPr>
          <w:rFonts w:ascii="宋体" w:hAnsi="宋体" w:cs="宋体"/>
          <w:color w:val="000000"/>
          <w:sz w:val="24"/>
          <w:szCs w:val="24"/>
          <w:highlight w:val="none"/>
        </w:rPr>
      </w:r>
      <w:r/>
    </w:p>
    <w:p>
      <w:pPr>
        <w:pStyle w:val="744"/>
        <w:ind w:left="189" w:hanging="120"/>
        <w:spacing w:line="400" w:lineRule="exact"/>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 甲方：　　　　　　　　</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 xml:space="preserve">        乙方： </w:t>
      </w:r>
      <w:r>
        <w:rPr>
          <w:rFonts w:ascii="宋体" w:hAnsi="宋体" w:cs="宋体"/>
          <w:color w:val="000000"/>
          <w:sz w:val="24"/>
          <w:szCs w:val="24"/>
          <w:highlight w:val="none"/>
        </w:rPr>
      </w:r>
      <w:r/>
    </w:p>
    <w:p>
      <w:pPr>
        <w:pStyle w:val="744"/>
        <w:spacing w:line="400" w:lineRule="exact"/>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  地址：</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 xml:space="preserve">                      地址： </w:t>
      </w:r>
      <w:r>
        <w:rPr>
          <w:rFonts w:ascii="宋体" w:hAnsi="宋体" w:cs="宋体"/>
          <w:color w:val="000000"/>
          <w:sz w:val="24"/>
          <w:szCs w:val="24"/>
          <w:highlight w:val="none"/>
        </w:rPr>
      </w:r>
      <w:r/>
    </w:p>
    <w:p>
      <w:pPr>
        <w:pStyle w:val="744"/>
        <w:spacing w:line="400" w:lineRule="exact"/>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  法定代表人：                             法定代表人：</w:t>
      </w:r>
      <w:r>
        <w:rPr>
          <w:rFonts w:ascii="宋体" w:hAnsi="宋体" w:cs="宋体"/>
          <w:color w:val="000000"/>
          <w:sz w:val="24"/>
          <w:szCs w:val="24"/>
          <w:highlight w:val="none"/>
        </w:rPr>
      </w:r>
      <w:r/>
    </w:p>
    <w:p>
      <w:pPr>
        <w:pStyle w:val="744"/>
        <w:spacing w:line="400" w:lineRule="exact"/>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  联系电话：                               联系电话：</w:t>
      </w:r>
      <w:r>
        <w:rPr>
          <w:rFonts w:ascii="宋体" w:hAnsi="宋体" w:cs="宋体"/>
          <w:color w:val="000000"/>
          <w:sz w:val="24"/>
          <w:szCs w:val="24"/>
          <w:highlight w:val="none"/>
        </w:rPr>
      </w:r>
      <w:r/>
    </w:p>
    <w:p>
      <w:pPr>
        <w:pStyle w:val="744"/>
        <w:ind w:firstLine="210"/>
        <w:spacing w:line="400" w:lineRule="exact"/>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日期：      年    月    日               日期：      年    月    日</w:t>
      </w:r>
      <w:r>
        <w:rPr>
          <w:rFonts w:ascii="宋体" w:hAnsi="宋体" w:cs="宋体"/>
          <w:color w:val="000000"/>
          <w:sz w:val="24"/>
          <w:szCs w:val="24"/>
          <w:highlight w:val="none"/>
        </w:rPr>
      </w:r>
      <w:r/>
    </w:p>
    <w:p>
      <w:pPr>
        <w:pStyle w:val="744"/>
        <w:ind w:firstLine="210"/>
        <w:spacing w:line="400" w:lineRule="exact"/>
        <w:shd w:val="clear" w:color="auto" w:fill="auto"/>
        <w:rPr>
          <w:rFonts w:ascii="宋体" w:hAnsi="宋体"/>
          <w:color w:val="000000"/>
          <w:sz w:val="24"/>
          <w:szCs w:val="24"/>
          <w:highlight w:val="none"/>
        </w:rPr>
      </w:pPr>
      <w:r>
        <w:rPr>
          <w:rFonts w:ascii="宋体" w:hAnsi="宋体"/>
          <w:color w:val="000000"/>
          <w:sz w:val="24"/>
          <w:szCs w:val="24"/>
          <w:highlight w:val="none"/>
        </w:rPr>
      </w:r>
      <w:r/>
    </w:p>
    <w:p>
      <w:pPr>
        <w:pStyle w:val="744"/>
        <w:ind w:firstLine="210"/>
        <w:spacing w:line="400" w:lineRule="exact"/>
        <w:shd w:val="clear" w:color="auto" w:fill="auto"/>
        <w:rPr>
          <w:rFonts w:ascii="宋体" w:hAnsi="宋体"/>
          <w:color w:val="000000"/>
          <w:sz w:val="24"/>
          <w:szCs w:val="24"/>
          <w:highlight w:val="none"/>
        </w:rPr>
      </w:pPr>
      <w:r>
        <w:rPr>
          <w:rFonts w:ascii="宋体" w:hAnsi="宋体"/>
          <w:color w:val="000000"/>
          <w:sz w:val="24"/>
          <w:szCs w:val="24"/>
          <w:highlight w:val="none"/>
        </w:rPr>
      </w:r>
      <w:r/>
    </w:p>
    <w:p>
      <w:pPr>
        <w:pStyle w:val="744"/>
        <w:jc w:val="center"/>
        <w:shd w:val="clear" w:color="auto" w:fill="auto"/>
        <w:rPr>
          <w:rFonts w:eastAsia="方正小标宋_GBK"/>
          <w:color w:val="000000"/>
          <w:sz w:val="44"/>
          <w:szCs w:val="44"/>
          <w:highlight w:val="none"/>
        </w:rPr>
      </w:pPr>
      <w:r>
        <w:rPr>
          <w:rFonts w:eastAsia="方正小标宋_GBK"/>
          <w:color w:val="000000"/>
          <w:sz w:val="44"/>
          <w:szCs w:val="44"/>
          <w:highlight w:val="none"/>
        </w:rPr>
      </w:r>
      <w:r/>
    </w:p>
    <w:p>
      <w:pPr>
        <w:pStyle w:val="744"/>
        <w:jc w:val="center"/>
        <w:shd w:val="clear" w:color="auto" w:fill="auto"/>
        <w:rPr>
          <w:rFonts w:eastAsia="方正小标宋_GBK"/>
          <w:color w:val="000000"/>
          <w:sz w:val="44"/>
          <w:szCs w:val="44"/>
          <w:highlight w:val="none"/>
        </w:rPr>
        <w:sectPr>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eastAsia="方正小标宋_GBK"/>
          <w:color w:val="000000"/>
          <w:sz w:val="44"/>
          <w:szCs w:val="44"/>
          <w:highlight w:val="none"/>
        </w:rPr>
      </w:r>
      <w:r/>
    </w:p>
    <w:p>
      <w:pPr>
        <w:pStyle w:val="744"/>
        <w:jc w:val="center"/>
        <w:shd w:val="clear" w:color="auto" w:fill="auto"/>
        <w:rPr>
          <w:rFonts w:eastAsia="方正小标宋_GBK"/>
          <w:color w:val="000000"/>
          <w:sz w:val="44"/>
          <w:szCs w:val="44"/>
          <w:highlight w:val="none"/>
        </w:rPr>
      </w:pPr>
      <w:r>
        <w:rPr>
          <w:rFonts w:eastAsia="方正小标宋_GBK"/>
          <w:color w:val="000000"/>
          <w:sz w:val="44"/>
          <w:szCs w:val="44"/>
          <w:highlight w:val="none"/>
        </w:rPr>
        <w:t xml:space="preserve">政府采购合同履约验收书（参考格式）</w:t>
      </w:r>
      <w:r>
        <w:rPr>
          <w:rFonts w:eastAsia="方正小标宋_GBK"/>
          <w:color w:val="000000"/>
          <w:sz w:val="44"/>
          <w:szCs w:val="44"/>
          <w:highlight w:val="none"/>
        </w:rPr>
      </w:r>
      <w:r/>
    </w:p>
    <w:p>
      <w:pPr>
        <w:pStyle w:val="744"/>
        <w:ind w:firstLine="600"/>
        <w:jc w:val="left"/>
        <w:spacing w:line="560" w:lineRule="exact"/>
        <w:shd w:val="clear" w:color="auto" w:fill="auto"/>
        <w:rPr>
          <w:color w:val="000000"/>
          <w:highlight w:val="none"/>
        </w:rPr>
      </w:pPr>
      <w:r>
        <w:rPr>
          <w:color w:val="000000"/>
          <w:highlight w:val="none"/>
        </w:rPr>
        <w:t xml:space="preserve">根据政府采购合同（编号：          ）的约定，我单位组织对</w:t>
      </w:r>
      <w:r>
        <w:rPr>
          <w:color w:val="000000"/>
          <w:highlight w:val="none"/>
          <w:u w:val="single"/>
        </w:rPr>
        <w:t xml:space="preserve">（项目名称）</w:t>
      </w:r>
      <w:r>
        <w:rPr>
          <w:color w:val="000000"/>
          <w:highlight w:val="none"/>
        </w:rPr>
        <w:t xml:space="preserve">项目中标（成交）供应商</w:t>
      </w:r>
      <w:r>
        <w:rPr>
          <w:color w:val="000000"/>
          <w:highlight w:val="none"/>
          <w:u w:val="single"/>
        </w:rPr>
        <w:t xml:space="preserve">（公司名称）</w:t>
      </w:r>
      <w:r>
        <w:rPr>
          <w:color w:val="000000"/>
          <w:highlight w:val="none"/>
        </w:rPr>
        <w:t xml:space="preserve">提供的货物（工程、服务）进行了履约验收，验收情况如下：</w:t>
      </w:r>
      <w:r>
        <w:rPr>
          <w:color w:val="000000"/>
          <w:highlight w:val="none"/>
        </w:rPr>
      </w:r>
      <w:r/>
    </w:p>
    <w:tbl>
      <w:tblPr>
        <w:tblW w:w="9132"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708"/>
        <w:gridCol w:w="3030"/>
        <w:gridCol w:w="1750"/>
        <w:gridCol w:w="2644"/>
      </w:tblGrid>
      <w:tr>
        <w:trPr>
          <w:trHeight w:val="855"/>
        </w:trPr>
        <w:tc>
          <w:tcPr>
            <w:tcBorders>
              <w:top w:val="single" w:color="000000" w:sz="8" w:space="0"/>
              <w:left w:val="single" w:color="000000" w:sz="8" w:space="0"/>
              <w:bottom w:val="single" w:color="000000" w:sz="4" w:space="0"/>
              <w:right w:val="single" w:color="000000" w:sz="4" w:space="0"/>
            </w:tcBorders>
            <w:tcW w:w="1708" w:type="dxa"/>
            <w:vAlign w:val="center"/>
            <w:textDirection w:val="lrTb"/>
            <w:noWrap w:val="false"/>
          </w:tcPr>
          <w:p>
            <w:pPr>
              <w:pStyle w:val="744"/>
              <w:jc w:val="center"/>
              <w:spacing w:line="360" w:lineRule="exact"/>
              <w:shd w:val="clear" w:color="auto" w:fill="auto"/>
              <w:rPr>
                <w:rFonts w:ascii="Times New Roman"/>
                <w:color w:val="000000"/>
                <w:szCs w:val="21"/>
                <w:highlight w:val="none"/>
              </w:rPr>
            </w:pPr>
            <w:r/>
            <w:bookmarkEnd w:id="147"/>
            <w:r>
              <w:rPr>
                <w:rFonts w:ascii="Times New Roman"/>
                <w:color w:val="000000"/>
                <w:szCs w:val="21"/>
                <w:highlight w:val="none"/>
              </w:rPr>
              <w:t xml:space="preserve">项目名称</w:t>
            </w:r>
            <w:r>
              <w:rPr>
                <w:rFonts w:ascii="Times New Roman"/>
                <w:color w:val="000000"/>
                <w:szCs w:val="21"/>
                <w:highlight w:val="none"/>
              </w:rPr>
            </w:r>
            <w:r/>
          </w:p>
        </w:tc>
        <w:tc>
          <w:tcPr>
            <w:tcBorders>
              <w:top w:val="single" w:color="000000" w:sz="8" w:space="0"/>
              <w:left w:val="none" w:color="000000" w:sz="4" w:space="0"/>
              <w:bottom w:val="single" w:color="000000" w:sz="4" w:space="0"/>
              <w:right w:val="single" w:color="000000" w:sz="4" w:space="0"/>
            </w:tcBorders>
            <w:tcW w:w="3030" w:type="dxa"/>
            <w:vAlign w:val="center"/>
            <w:textDirection w:val="lrTb"/>
            <w:noWrap w:val="false"/>
          </w:tcPr>
          <w:p>
            <w:pPr>
              <w:pStyle w:val="744"/>
              <w:jc w:val="center"/>
              <w:spacing w:line="360" w:lineRule="exact"/>
              <w:shd w:val="clear" w:color="auto" w:fill="auto"/>
              <w:rPr>
                <w:rFonts w:ascii="Times New Roman"/>
                <w:color w:val="000000"/>
                <w:szCs w:val="21"/>
                <w:highlight w:val="none"/>
              </w:rPr>
            </w:pPr>
            <w:r>
              <w:rPr>
                <w:rFonts w:ascii="Times New Roman"/>
                <w:color w:val="000000"/>
                <w:szCs w:val="21"/>
                <w:highlight w:val="none"/>
              </w:rPr>
            </w:r>
            <w:r/>
          </w:p>
        </w:tc>
        <w:tc>
          <w:tcPr>
            <w:tcBorders>
              <w:top w:val="single" w:color="000000" w:sz="8" w:space="0"/>
              <w:left w:val="none" w:color="000000" w:sz="4" w:space="0"/>
              <w:bottom w:val="single" w:color="000000" w:sz="4" w:space="0"/>
              <w:right w:val="single" w:color="000000" w:sz="4" w:space="0"/>
            </w:tcBorders>
            <w:tcW w:w="1750" w:type="dxa"/>
            <w:vAlign w:val="center"/>
            <w:textDirection w:val="lrTb"/>
            <w:noWrap w:val="false"/>
          </w:tcPr>
          <w:p>
            <w:pPr>
              <w:pStyle w:val="744"/>
              <w:jc w:val="center"/>
              <w:spacing w:line="360" w:lineRule="exact"/>
              <w:shd w:val="clear" w:color="auto" w:fill="auto"/>
              <w:rPr>
                <w:rFonts w:ascii="Times New Roman"/>
                <w:color w:val="000000"/>
                <w:szCs w:val="21"/>
                <w:highlight w:val="none"/>
              </w:rPr>
            </w:pPr>
            <w:r>
              <w:rPr>
                <w:rFonts w:ascii="Times New Roman"/>
                <w:color w:val="000000"/>
                <w:szCs w:val="21"/>
                <w:highlight w:val="none"/>
              </w:rPr>
              <w:t xml:space="preserve">项目地点</w:t>
            </w:r>
            <w:r>
              <w:rPr>
                <w:rFonts w:ascii="Times New Roman"/>
                <w:color w:val="000000"/>
                <w:szCs w:val="21"/>
                <w:highlight w:val="none"/>
              </w:rPr>
            </w:r>
            <w:r/>
          </w:p>
        </w:tc>
        <w:tc>
          <w:tcPr>
            <w:tcBorders>
              <w:top w:val="single" w:color="000000" w:sz="8" w:space="0"/>
              <w:left w:val="none" w:color="000000" w:sz="4" w:space="0"/>
              <w:bottom w:val="single" w:color="000000" w:sz="4" w:space="0"/>
              <w:right w:val="single" w:color="000000" w:sz="8" w:space="0"/>
            </w:tcBorders>
            <w:tcW w:w="2644" w:type="dxa"/>
            <w:vAlign w:val="center"/>
            <w:textDirection w:val="lrTb"/>
            <w:noWrap w:val="false"/>
          </w:tcPr>
          <w:p>
            <w:pPr>
              <w:pStyle w:val="744"/>
              <w:jc w:val="center"/>
              <w:spacing w:line="360" w:lineRule="exact"/>
              <w:shd w:val="clear" w:color="auto" w:fill="auto"/>
              <w:rPr>
                <w:rFonts w:ascii="Times New Roman"/>
                <w:color w:val="000000"/>
                <w:szCs w:val="21"/>
                <w:highlight w:val="none"/>
              </w:rPr>
            </w:pPr>
            <w:r>
              <w:rPr>
                <w:rFonts w:ascii="Times New Roman"/>
                <w:color w:val="000000"/>
                <w:szCs w:val="21"/>
                <w:highlight w:val="none"/>
              </w:rPr>
            </w:r>
            <w:r/>
          </w:p>
        </w:tc>
      </w:tr>
      <w:tr>
        <w:trPr>
          <w:trHeight w:val="855"/>
        </w:trPr>
        <w:tc>
          <w:tcPr>
            <w:tcBorders>
              <w:top w:val="none" w:color="000000" w:sz="4" w:space="0"/>
              <w:left w:val="single" w:color="000000" w:sz="8" w:space="0"/>
              <w:bottom w:val="single" w:color="000000" w:sz="4" w:space="0"/>
              <w:right w:val="single" w:color="000000" w:sz="4" w:space="0"/>
            </w:tcBorders>
            <w:tcW w:w="1708" w:type="dxa"/>
            <w:vAlign w:val="center"/>
            <w:textDirection w:val="lrTb"/>
            <w:noWrap w:val="false"/>
          </w:tcPr>
          <w:p>
            <w:pPr>
              <w:pStyle w:val="744"/>
              <w:jc w:val="center"/>
              <w:spacing w:line="360" w:lineRule="exact"/>
              <w:shd w:val="clear" w:color="auto" w:fill="auto"/>
              <w:rPr>
                <w:rFonts w:ascii="Times New Roman"/>
                <w:color w:val="000000"/>
                <w:szCs w:val="21"/>
                <w:highlight w:val="none"/>
              </w:rPr>
            </w:pPr>
            <w:r>
              <w:rPr>
                <w:rFonts w:ascii="Times New Roman"/>
                <w:color w:val="000000"/>
                <w:szCs w:val="21"/>
                <w:highlight w:val="none"/>
              </w:rPr>
              <w:t xml:space="preserve">预算金额</w:t>
            </w:r>
            <w:r>
              <w:rPr>
                <w:rFonts w:ascii="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030" w:type="dxa"/>
            <w:vAlign w:val="center"/>
            <w:textDirection w:val="lrTb"/>
            <w:noWrap w:val="false"/>
          </w:tcPr>
          <w:p>
            <w:pPr>
              <w:pStyle w:val="744"/>
              <w:jc w:val="center"/>
              <w:spacing w:line="360" w:lineRule="exact"/>
              <w:shd w:val="clear" w:color="auto" w:fill="auto"/>
              <w:rPr>
                <w:rFonts w:ascii="Times New Roman"/>
                <w:color w:val="000000"/>
                <w:szCs w:val="21"/>
                <w:highlight w:val="none"/>
              </w:rPr>
            </w:pPr>
            <w:r>
              <w:rPr>
                <w:rFonts w:ascii="Times New Roman"/>
                <w:color w:val="000000"/>
                <w:szCs w:val="21"/>
                <w:highlight w:val="none"/>
              </w:rPr>
            </w:r>
            <w:r/>
          </w:p>
        </w:tc>
        <w:tc>
          <w:tcPr>
            <w:tcBorders>
              <w:top w:val="none" w:color="000000" w:sz="4" w:space="0"/>
              <w:left w:val="none" w:color="000000" w:sz="4" w:space="0"/>
              <w:bottom w:val="none" w:color="000000" w:sz="4" w:space="0"/>
              <w:right w:val="none" w:color="000000" w:sz="4" w:space="0"/>
            </w:tcBorders>
            <w:tcW w:w="1750" w:type="dxa"/>
            <w:vAlign w:val="center"/>
            <w:textDirection w:val="lrTb"/>
            <w:noWrap w:val="false"/>
          </w:tcPr>
          <w:p>
            <w:pPr>
              <w:pStyle w:val="744"/>
              <w:jc w:val="center"/>
              <w:spacing w:line="360" w:lineRule="exact"/>
              <w:shd w:val="clear" w:color="auto" w:fill="auto"/>
              <w:rPr>
                <w:rFonts w:ascii="Times New Roman"/>
                <w:color w:val="000000"/>
                <w:szCs w:val="21"/>
                <w:highlight w:val="none"/>
              </w:rPr>
            </w:pPr>
            <w:r>
              <w:rPr>
                <w:rFonts w:ascii="Times New Roman"/>
                <w:color w:val="000000"/>
                <w:szCs w:val="21"/>
                <w:highlight w:val="none"/>
              </w:rPr>
              <w:t xml:space="preserve">承接单位</w:t>
            </w:r>
            <w:r>
              <w:rPr>
                <w:rFonts w:ascii="Times New Roman"/>
                <w:color w:val="000000"/>
                <w:szCs w:val="21"/>
                <w:highlight w:val="none"/>
              </w:rPr>
            </w:r>
            <w:r/>
          </w:p>
        </w:tc>
        <w:tc>
          <w:tcPr>
            <w:tcBorders>
              <w:top w:val="none" w:color="000000" w:sz="4" w:space="0"/>
              <w:left w:val="single" w:color="000000" w:sz="4" w:space="0"/>
              <w:bottom w:val="single" w:color="000000" w:sz="4" w:space="0"/>
              <w:right w:val="single" w:color="000000" w:sz="8" w:space="0"/>
            </w:tcBorders>
            <w:tcW w:w="2644" w:type="dxa"/>
            <w:vAlign w:val="center"/>
            <w:textDirection w:val="lrTb"/>
            <w:noWrap w:val="false"/>
          </w:tcPr>
          <w:p>
            <w:pPr>
              <w:pStyle w:val="744"/>
              <w:jc w:val="left"/>
              <w:spacing w:line="360" w:lineRule="exact"/>
              <w:shd w:val="clear" w:color="auto" w:fill="auto"/>
              <w:rPr>
                <w:rFonts w:ascii="Times New Roman"/>
                <w:color w:val="000000"/>
                <w:szCs w:val="21"/>
                <w:highlight w:val="none"/>
              </w:rPr>
            </w:pPr>
            <w:r>
              <w:rPr>
                <w:rFonts w:ascii="Times New Roman"/>
                <w:color w:val="000000"/>
                <w:szCs w:val="21"/>
                <w:highlight w:val="none"/>
              </w:rPr>
            </w:r>
            <w:r/>
          </w:p>
        </w:tc>
      </w:tr>
      <w:tr>
        <w:trPr>
          <w:trHeight w:val="855"/>
        </w:trPr>
        <w:tc>
          <w:tcPr>
            <w:tcBorders>
              <w:top w:val="none" w:color="000000" w:sz="4" w:space="0"/>
              <w:left w:val="single" w:color="000000" w:sz="8" w:space="0"/>
              <w:bottom w:val="single" w:color="000000" w:sz="4" w:space="0"/>
              <w:right w:val="single" w:color="000000" w:sz="4" w:space="0"/>
            </w:tcBorders>
            <w:tcW w:w="1708" w:type="dxa"/>
            <w:vAlign w:val="center"/>
            <w:textDirection w:val="lrTb"/>
            <w:noWrap w:val="false"/>
          </w:tcPr>
          <w:p>
            <w:pPr>
              <w:pStyle w:val="744"/>
              <w:jc w:val="center"/>
              <w:spacing w:line="360" w:lineRule="exact"/>
              <w:shd w:val="clear" w:color="auto" w:fill="auto"/>
              <w:rPr>
                <w:rFonts w:ascii="Times New Roman"/>
                <w:color w:val="000000"/>
                <w:szCs w:val="21"/>
                <w:highlight w:val="none"/>
              </w:rPr>
            </w:pPr>
            <w:r>
              <w:rPr>
                <w:rFonts w:ascii="Times New Roman"/>
                <w:color w:val="000000"/>
                <w:szCs w:val="21"/>
                <w:highlight w:val="none"/>
              </w:rPr>
              <w:t xml:space="preserve">合同时间</w:t>
            </w:r>
            <w:r>
              <w:rPr>
                <w:rFonts w:ascii="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030" w:type="dxa"/>
            <w:vAlign w:val="center"/>
            <w:textDirection w:val="lrTb"/>
            <w:noWrap w:val="false"/>
          </w:tcPr>
          <w:p>
            <w:pPr>
              <w:pStyle w:val="744"/>
              <w:jc w:val="center"/>
              <w:spacing w:line="360" w:lineRule="exact"/>
              <w:shd w:val="clear" w:color="auto" w:fill="auto"/>
              <w:rPr>
                <w:rFonts w:ascii="Times New Roman"/>
                <w:color w:val="000000"/>
                <w:szCs w:val="21"/>
                <w:highlight w:val="none"/>
              </w:rPr>
            </w:pPr>
            <w:r>
              <w:rPr>
                <w:rFonts w:ascii="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750" w:type="dxa"/>
            <w:vAlign w:val="center"/>
            <w:textDirection w:val="lrTb"/>
            <w:noWrap w:val="false"/>
          </w:tcPr>
          <w:p>
            <w:pPr>
              <w:pStyle w:val="744"/>
              <w:jc w:val="center"/>
              <w:spacing w:line="360" w:lineRule="exact"/>
              <w:shd w:val="clear" w:color="auto" w:fill="auto"/>
              <w:rPr>
                <w:rFonts w:ascii="Times New Roman"/>
                <w:color w:val="000000"/>
                <w:szCs w:val="21"/>
                <w:highlight w:val="none"/>
              </w:rPr>
            </w:pPr>
            <w:r>
              <w:rPr>
                <w:rFonts w:ascii="Times New Roman"/>
                <w:color w:val="000000"/>
                <w:szCs w:val="21"/>
                <w:highlight w:val="none"/>
              </w:rPr>
              <w:t xml:space="preserve">项目开始时间</w:t>
            </w:r>
            <w:r>
              <w:rPr>
                <w:rFonts w:ascii="Times New Roman"/>
                <w:color w:val="000000"/>
                <w:szCs w:val="21"/>
                <w:highlight w:val="none"/>
              </w:rPr>
            </w:r>
            <w:r/>
          </w:p>
        </w:tc>
        <w:tc>
          <w:tcPr>
            <w:tcBorders>
              <w:top w:val="none" w:color="000000" w:sz="4" w:space="0"/>
              <w:left w:val="none" w:color="000000" w:sz="4" w:space="0"/>
              <w:bottom w:val="single" w:color="000000" w:sz="4" w:space="0"/>
              <w:right w:val="single" w:color="000000" w:sz="8" w:space="0"/>
            </w:tcBorders>
            <w:tcW w:w="2644" w:type="dxa"/>
            <w:vAlign w:val="center"/>
            <w:textDirection w:val="lrTb"/>
            <w:noWrap w:val="false"/>
          </w:tcPr>
          <w:p>
            <w:pPr>
              <w:pStyle w:val="744"/>
              <w:jc w:val="center"/>
              <w:spacing w:line="360" w:lineRule="exact"/>
              <w:shd w:val="clear" w:color="auto" w:fill="auto"/>
              <w:rPr>
                <w:rFonts w:ascii="Times New Roman"/>
                <w:color w:val="000000"/>
                <w:szCs w:val="21"/>
                <w:highlight w:val="none"/>
              </w:rPr>
            </w:pPr>
            <w:r>
              <w:rPr>
                <w:rFonts w:ascii="Times New Roman"/>
                <w:color w:val="000000"/>
                <w:szCs w:val="21"/>
                <w:highlight w:val="none"/>
              </w:rPr>
            </w:r>
            <w:r/>
          </w:p>
        </w:tc>
      </w:tr>
      <w:tr>
        <w:trPr>
          <w:trHeight w:val="855"/>
        </w:trPr>
        <w:tc>
          <w:tcPr>
            <w:tcBorders>
              <w:top w:val="none" w:color="000000" w:sz="4" w:space="0"/>
              <w:left w:val="single" w:color="000000" w:sz="8" w:space="0"/>
              <w:bottom w:val="single" w:color="000000" w:sz="4" w:space="0"/>
              <w:right w:val="single" w:color="000000" w:sz="4" w:space="0"/>
            </w:tcBorders>
            <w:tcW w:w="1708" w:type="dxa"/>
            <w:vAlign w:val="center"/>
            <w:textDirection w:val="lrTb"/>
            <w:noWrap w:val="false"/>
          </w:tcPr>
          <w:p>
            <w:pPr>
              <w:pStyle w:val="744"/>
              <w:jc w:val="center"/>
              <w:spacing w:line="360" w:lineRule="exact"/>
              <w:shd w:val="clear" w:color="auto" w:fill="auto"/>
              <w:rPr>
                <w:rFonts w:ascii="Times New Roman"/>
                <w:color w:val="000000"/>
                <w:szCs w:val="21"/>
                <w:highlight w:val="none"/>
              </w:rPr>
            </w:pPr>
            <w:r>
              <w:rPr>
                <w:rFonts w:ascii="Times New Roman"/>
                <w:color w:val="000000"/>
                <w:szCs w:val="21"/>
                <w:highlight w:val="none"/>
              </w:rPr>
              <w:t xml:space="preserve">项目结束时间</w:t>
            </w:r>
            <w:r>
              <w:rPr>
                <w:rFonts w:ascii="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030" w:type="dxa"/>
            <w:vAlign w:val="center"/>
            <w:textDirection w:val="lrTb"/>
            <w:noWrap w:val="false"/>
          </w:tcPr>
          <w:p>
            <w:pPr>
              <w:pStyle w:val="744"/>
              <w:jc w:val="center"/>
              <w:spacing w:line="360" w:lineRule="exact"/>
              <w:shd w:val="clear" w:color="auto" w:fill="auto"/>
              <w:rPr>
                <w:rFonts w:ascii="Times New Roman"/>
                <w:color w:val="000000"/>
                <w:szCs w:val="21"/>
                <w:highlight w:val="none"/>
              </w:rPr>
            </w:pPr>
            <w:r>
              <w:rPr>
                <w:rFonts w:ascii="Times New Roman"/>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750" w:type="dxa"/>
            <w:vAlign w:val="center"/>
            <w:textDirection w:val="lrTb"/>
            <w:noWrap w:val="false"/>
          </w:tcPr>
          <w:p>
            <w:pPr>
              <w:pStyle w:val="744"/>
              <w:jc w:val="center"/>
              <w:spacing w:line="360" w:lineRule="exact"/>
              <w:shd w:val="clear" w:color="auto" w:fill="auto"/>
              <w:rPr>
                <w:rFonts w:ascii="Times New Roman"/>
                <w:color w:val="000000"/>
                <w:szCs w:val="21"/>
                <w:highlight w:val="none"/>
              </w:rPr>
            </w:pPr>
            <w:r>
              <w:rPr>
                <w:rFonts w:ascii="Times New Roman"/>
                <w:color w:val="000000"/>
                <w:szCs w:val="21"/>
                <w:highlight w:val="none"/>
              </w:rPr>
              <w:t xml:space="preserve">项目联系人</w:t>
            </w:r>
            <w:r>
              <w:rPr>
                <w:rFonts w:ascii="Times New Roman"/>
                <w:color w:val="000000"/>
                <w:szCs w:val="21"/>
                <w:highlight w:val="none"/>
              </w:rPr>
            </w:r>
            <w:r/>
          </w:p>
        </w:tc>
        <w:tc>
          <w:tcPr>
            <w:tcBorders>
              <w:top w:val="none" w:color="000000" w:sz="4" w:space="0"/>
              <w:left w:val="none" w:color="000000" w:sz="4" w:space="0"/>
              <w:bottom w:val="single" w:color="000000" w:sz="4" w:space="0"/>
              <w:right w:val="single" w:color="000000" w:sz="8" w:space="0"/>
            </w:tcBorders>
            <w:tcW w:w="2644" w:type="dxa"/>
            <w:vAlign w:val="center"/>
            <w:textDirection w:val="lrTb"/>
            <w:noWrap w:val="false"/>
          </w:tcPr>
          <w:p>
            <w:pPr>
              <w:pStyle w:val="744"/>
              <w:jc w:val="center"/>
              <w:spacing w:line="360" w:lineRule="exact"/>
              <w:shd w:val="clear" w:color="auto" w:fill="auto"/>
              <w:rPr>
                <w:rFonts w:ascii="Times New Roman"/>
                <w:color w:val="000000"/>
                <w:szCs w:val="21"/>
                <w:highlight w:val="none"/>
              </w:rPr>
            </w:pPr>
            <w:r>
              <w:rPr>
                <w:rFonts w:ascii="Times New Roman"/>
                <w:color w:val="000000"/>
                <w:szCs w:val="21"/>
                <w:highlight w:val="none"/>
              </w:rPr>
            </w:r>
            <w:r/>
          </w:p>
        </w:tc>
      </w:tr>
      <w:tr>
        <w:trPr/>
        <w:tc>
          <w:tcPr>
            <w:gridSpan w:val="4"/>
            <w:tcBorders>
              <w:top w:val="single" w:color="000000" w:sz="4" w:space="0"/>
              <w:left w:val="single" w:color="000000" w:sz="8" w:space="0"/>
              <w:bottom w:val="single" w:color="000000" w:sz="4" w:space="0"/>
              <w:right w:val="single" w:color="000000" w:sz="8" w:space="0"/>
            </w:tcBorders>
            <w:tcW w:w="9132" w:type="dxa"/>
            <w:vAlign w:val="top"/>
            <w:textDirection w:val="lrTb"/>
            <w:noWrap w:val="false"/>
          </w:tcPr>
          <w:p>
            <w:pPr>
              <w:pStyle w:val="744"/>
              <w:jc w:val="center"/>
              <w:shd w:val="clear" w:color="auto" w:fill="auto"/>
              <w:rPr>
                <w:rFonts w:ascii="Times New Roman"/>
                <w:b/>
                <w:bCs/>
                <w:color w:val="000000"/>
                <w:szCs w:val="21"/>
                <w:highlight w:val="none"/>
              </w:rPr>
            </w:pPr>
            <w:r>
              <w:rPr>
                <w:rFonts w:ascii="Times New Roman"/>
                <w:b/>
                <w:bCs/>
                <w:color w:val="000000"/>
                <w:szCs w:val="21"/>
                <w:highlight w:val="none"/>
              </w:rPr>
              <w:t xml:space="preserve">验收情况和验收意见</w:t>
            </w:r>
            <w:r>
              <w:rPr>
                <w:rFonts w:ascii="Times New Roman"/>
                <w:b/>
                <w:bCs/>
                <w:color w:val="000000"/>
                <w:szCs w:val="21"/>
                <w:highlight w:val="none"/>
              </w:rPr>
            </w:r>
            <w:r/>
          </w:p>
          <w:p>
            <w:pPr>
              <w:pStyle w:val="744"/>
              <w:shd w:val="clear" w:color="auto" w:fill="auto"/>
              <w:rPr>
                <w:rFonts w:ascii="Times New Roman"/>
                <w:color w:val="000000"/>
                <w:szCs w:val="21"/>
                <w:highlight w:val="none"/>
              </w:rPr>
            </w:pPr>
            <w:r>
              <w:rPr>
                <w:rFonts w:ascii="Times New Roman"/>
                <w:color w:val="000000"/>
                <w:szCs w:val="21"/>
                <w:highlight w:val="none"/>
              </w:rPr>
              <w:t xml:space="preserve">（可另附）</w:t>
            </w:r>
            <w:r>
              <w:rPr>
                <w:rFonts w:ascii="Times New Roman"/>
                <w:color w:val="000000"/>
                <w:szCs w:val="21"/>
                <w:highlight w:val="none"/>
              </w:rPr>
            </w:r>
            <w:r/>
          </w:p>
          <w:p>
            <w:pPr>
              <w:pStyle w:val="744"/>
              <w:shd w:val="clear" w:color="auto" w:fill="auto"/>
              <w:rPr>
                <w:rFonts w:ascii="Times New Roman"/>
                <w:color w:val="000000"/>
                <w:szCs w:val="21"/>
                <w:highlight w:val="none"/>
              </w:rPr>
            </w:pPr>
            <w:r>
              <w:rPr>
                <w:rFonts w:ascii="Times New Roman"/>
                <w:color w:val="000000"/>
                <w:szCs w:val="21"/>
                <w:highlight w:val="none"/>
              </w:rPr>
            </w:r>
            <w:r/>
          </w:p>
          <w:p>
            <w:pPr>
              <w:pStyle w:val="744"/>
              <w:shd w:val="clear" w:color="auto" w:fill="auto"/>
              <w:rPr>
                <w:rFonts w:ascii="Times New Roman"/>
                <w:color w:val="000000"/>
                <w:szCs w:val="21"/>
                <w:highlight w:val="none"/>
              </w:rPr>
            </w:pPr>
            <w:r>
              <w:rPr>
                <w:rFonts w:ascii="Times New Roman"/>
                <w:color w:val="000000"/>
                <w:szCs w:val="21"/>
                <w:highlight w:val="none"/>
              </w:rPr>
            </w:r>
            <w:r/>
          </w:p>
          <w:p>
            <w:pPr>
              <w:pStyle w:val="744"/>
              <w:shd w:val="clear" w:color="auto" w:fill="auto"/>
              <w:rPr>
                <w:rFonts w:ascii="Times New Roman"/>
                <w:color w:val="000000"/>
                <w:szCs w:val="21"/>
                <w:highlight w:val="none"/>
              </w:rPr>
            </w:pPr>
            <w:r>
              <w:rPr>
                <w:rFonts w:ascii="Times New Roman"/>
                <w:color w:val="000000"/>
                <w:szCs w:val="21"/>
                <w:highlight w:val="none"/>
              </w:rPr>
            </w:r>
            <w:r/>
          </w:p>
          <w:p>
            <w:pPr>
              <w:pStyle w:val="744"/>
              <w:shd w:val="clear" w:color="auto" w:fill="auto"/>
              <w:rPr>
                <w:rFonts w:ascii="Times New Roman"/>
                <w:color w:val="000000"/>
                <w:szCs w:val="21"/>
                <w:highlight w:val="none"/>
              </w:rPr>
            </w:pPr>
            <w:r>
              <w:rPr>
                <w:rFonts w:ascii="Times New Roman"/>
                <w:color w:val="000000"/>
                <w:szCs w:val="21"/>
                <w:highlight w:val="none"/>
              </w:rPr>
            </w:r>
            <w:r/>
          </w:p>
          <w:p>
            <w:pPr>
              <w:pStyle w:val="744"/>
              <w:shd w:val="clear" w:color="auto" w:fill="auto"/>
              <w:rPr>
                <w:rFonts w:ascii="Times New Roman"/>
                <w:color w:val="000000"/>
                <w:szCs w:val="21"/>
                <w:highlight w:val="none"/>
              </w:rPr>
            </w:pPr>
            <w:r>
              <w:rPr>
                <w:rFonts w:ascii="Times New Roman"/>
                <w:color w:val="000000"/>
                <w:szCs w:val="21"/>
                <w:highlight w:val="none"/>
              </w:rPr>
            </w:r>
            <w:r/>
          </w:p>
          <w:p>
            <w:pPr>
              <w:pStyle w:val="744"/>
              <w:shd w:val="clear" w:color="auto" w:fill="auto"/>
              <w:rPr>
                <w:rFonts w:ascii="Times New Roman"/>
                <w:color w:val="000000"/>
                <w:szCs w:val="21"/>
                <w:highlight w:val="none"/>
              </w:rPr>
            </w:pPr>
            <w:r>
              <w:rPr>
                <w:rFonts w:ascii="Times New Roman"/>
                <w:color w:val="000000"/>
                <w:szCs w:val="21"/>
                <w:highlight w:val="none"/>
              </w:rPr>
            </w:r>
            <w:r/>
          </w:p>
          <w:p>
            <w:pPr>
              <w:pStyle w:val="744"/>
              <w:shd w:val="clear" w:color="auto" w:fill="auto"/>
              <w:rPr>
                <w:rFonts w:ascii="Times New Roman"/>
                <w:color w:val="000000"/>
                <w:szCs w:val="21"/>
                <w:highlight w:val="none"/>
              </w:rPr>
            </w:pPr>
            <w:r>
              <w:rPr>
                <w:rFonts w:ascii="Times New Roman"/>
                <w:color w:val="000000"/>
                <w:szCs w:val="21"/>
                <w:highlight w:val="none"/>
              </w:rPr>
            </w:r>
            <w:r/>
          </w:p>
          <w:p>
            <w:pPr>
              <w:pStyle w:val="744"/>
              <w:shd w:val="clear" w:color="auto" w:fill="auto"/>
              <w:rPr>
                <w:rFonts w:ascii="Times New Roman"/>
                <w:color w:val="000000"/>
                <w:szCs w:val="21"/>
                <w:highlight w:val="none"/>
              </w:rPr>
            </w:pPr>
            <w:r>
              <w:rPr>
                <w:rFonts w:ascii="Times New Roman"/>
                <w:color w:val="000000"/>
                <w:szCs w:val="21"/>
                <w:highlight w:val="none"/>
              </w:rPr>
            </w:r>
            <w:r/>
          </w:p>
          <w:p>
            <w:pPr>
              <w:pStyle w:val="744"/>
              <w:shd w:val="clear" w:color="auto" w:fill="auto"/>
              <w:rPr>
                <w:rFonts w:ascii="Times New Roman"/>
                <w:color w:val="000000"/>
                <w:szCs w:val="21"/>
                <w:highlight w:val="none"/>
              </w:rPr>
            </w:pPr>
            <w:r>
              <w:rPr>
                <w:rFonts w:ascii="Times New Roman"/>
                <w:color w:val="000000"/>
                <w:szCs w:val="21"/>
                <w:highlight w:val="none"/>
              </w:rPr>
            </w:r>
            <w:r/>
          </w:p>
          <w:p>
            <w:pPr>
              <w:pStyle w:val="744"/>
              <w:shd w:val="clear" w:color="auto" w:fill="auto"/>
              <w:rPr>
                <w:rFonts w:ascii="Times New Roman"/>
                <w:color w:val="000000"/>
                <w:szCs w:val="21"/>
                <w:highlight w:val="none"/>
              </w:rPr>
            </w:pPr>
            <w:r>
              <w:rPr>
                <w:rFonts w:ascii="Times New Roman"/>
                <w:color w:val="000000"/>
                <w:szCs w:val="21"/>
                <w:highlight w:val="none"/>
              </w:rPr>
            </w:r>
            <w:r/>
          </w:p>
          <w:p>
            <w:pPr>
              <w:pStyle w:val="744"/>
              <w:shd w:val="clear" w:color="auto" w:fill="auto"/>
              <w:rPr>
                <w:rFonts w:ascii="Times New Roman"/>
                <w:color w:val="000000"/>
                <w:szCs w:val="21"/>
                <w:highlight w:val="none"/>
              </w:rPr>
            </w:pPr>
            <w:r>
              <w:rPr>
                <w:rFonts w:ascii="Times New Roman"/>
                <w:color w:val="000000"/>
                <w:szCs w:val="21"/>
                <w:highlight w:val="none"/>
              </w:rPr>
            </w:r>
            <w:r/>
          </w:p>
          <w:p>
            <w:pPr>
              <w:pStyle w:val="744"/>
              <w:shd w:val="clear" w:color="auto" w:fill="auto"/>
              <w:rPr>
                <w:rFonts w:ascii="Times New Roman"/>
                <w:color w:val="000000"/>
                <w:szCs w:val="21"/>
                <w:highlight w:val="none"/>
              </w:rPr>
            </w:pPr>
            <w:r>
              <w:rPr>
                <w:rFonts w:ascii="Times New Roman"/>
                <w:color w:val="000000"/>
                <w:szCs w:val="21"/>
                <w:highlight w:val="none"/>
              </w:rPr>
            </w:r>
            <w:r/>
          </w:p>
          <w:p>
            <w:pPr>
              <w:pStyle w:val="744"/>
              <w:shd w:val="clear" w:color="auto" w:fill="auto"/>
              <w:rPr>
                <w:rFonts w:ascii="Times New Roman"/>
                <w:color w:val="000000"/>
                <w:szCs w:val="21"/>
                <w:highlight w:val="none"/>
              </w:rPr>
            </w:pPr>
            <w:r>
              <w:rPr>
                <w:rFonts w:ascii="Times New Roman"/>
                <w:color w:val="000000"/>
                <w:szCs w:val="21"/>
                <w:highlight w:val="none"/>
              </w:rPr>
            </w:r>
            <w:r/>
          </w:p>
          <w:p>
            <w:pPr>
              <w:pStyle w:val="744"/>
              <w:shd w:val="clear" w:color="auto" w:fill="auto"/>
              <w:rPr>
                <w:rFonts w:ascii="Times New Roman"/>
                <w:color w:val="000000"/>
                <w:szCs w:val="21"/>
                <w:highlight w:val="none"/>
              </w:rPr>
            </w:pPr>
            <w:r>
              <w:rPr>
                <w:rFonts w:ascii="Times New Roman"/>
                <w:color w:val="000000"/>
                <w:szCs w:val="21"/>
                <w:highlight w:val="none"/>
              </w:rPr>
            </w:r>
            <w:r/>
          </w:p>
          <w:p>
            <w:pPr>
              <w:pStyle w:val="744"/>
              <w:ind w:firstLine="420"/>
              <w:shd w:val="clear" w:color="auto" w:fill="auto"/>
              <w:rPr>
                <w:rFonts w:ascii="Times New Roman"/>
                <w:color w:val="000000"/>
                <w:szCs w:val="21"/>
                <w:highlight w:val="none"/>
              </w:rPr>
            </w:pPr>
            <w:r>
              <w:rPr>
                <w:rFonts w:ascii="Times New Roman"/>
                <w:color w:val="000000"/>
                <w:szCs w:val="21"/>
                <w:highlight w:val="none"/>
              </w:rPr>
            </w:r>
            <w:r/>
          </w:p>
        </w:tc>
      </w:tr>
      <w:tr>
        <w:trPr>
          <w:trHeight w:val="567"/>
        </w:trPr>
        <w:tc>
          <w:tcPr>
            <w:gridSpan w:val="4"/>
            <w:tcBorders>
              <w:top w:val="single" w:color="000000" w:sz="4" w:space="0"/>
              <w:left w:val="single" w:color="000000" w:sz="8" w:space="0"/>
              <w:bottom w:val="single" w:color="000000" w:sz="4" w:space="0"/>
              <w:right w:val="single" w:color="000000" w:sz="8" w:space="0"/>
            </w:tcBorders>
            <w:tcW w:w="9132" w:type="dxa"/>
            <w:vAlign w:val="top"/>
            <w:textDirection w:val="lrTb"/>
            <w:noWrap w:val="false"/>
          </w:tcPr>
          <w:p>
            <w:pPr>
              <w:pStyle w:val="744"/>
              <w:jc w:val="left"/>
              <w:shd w:val="clear" w:color="auto" w:fill="auto"/>
              <w:rPr>
                <w:rFonts w:ascii="Times New Roman"/>
                <w:color w:val="000000"/>
                <w:szCs w:val="21"/>
                <w:highlight w:val="none"/>
              </w:rPr>
            </w:pPr>
            <w:r>
              <w:rPr>
                <w:rFonts w:ascii="Times New Roman"/>
                <w:color w:val="000000"/>
                <w:szCs w:val="21"/>
                <w:highlight w:val="none"/>
              </w:rPr>
              <w:t xml:space="preserve">验收小组（签字）：</w:t>
            </w:r>
            <w:r>
              <w:rPr>
                <w:rFonts w:ascii="Times New Roman"/>
                <w:color w:val="000000"/>
                <w:szCs w:val="21"/>
                <w:highlight w:val="none"/>
              </w:rPr>
            </w:r>
            <w:r/>
          </w:p>
          <w:p>
            <w:pPr>
              <w:pStyle w:val="744"/>
              <w:jc w:val="left"/>
              <w:shd w:val="clear" w:color="auto" w:fill="auto"/>
              <w:rPr>
                <w:rFonts w:ascii="Times New Roman"/>
                <w:color w:val="000000"/>
                <w:szCs w:val="21"/>
                <w:highlight w:val="none"/>
              </w:rPr>
            </w:pPr>
            <w:r>
              <w:rPr>
                <w:rFonts w:ascii="Times New Roman"/>
                <w:color w:val="000000"/>
                <w:szCs w:val="21"/>
                <w:highlight w:val="none"/>
              </w:rPr>
            </w:r>
            <w:r/>
          </w:p>
          <w:p>
            <w:pPr>
              <w:pStyle w:val="744"/>
              <w:jc w:val="left"/>
              <w:shd w:val="clear" w:color="auto" w:fill="auto"/>
              <w:rPr>
                <w:rFonts w:ascii="Times New Roman"/>
                <w:color w:val="000000"/>
                <w:szCs w:val="21"/>
                <w:highlight w:val="none"/>
              </w:rPr>
            </w:pPr>
            <w:r>
              <w:rPr>
                <w:rFonts w:ascii="Times New Roman"/>
                <w:color w:val="000000"/>
                <w:szCs w:val="21"/>
                <w:highlight w:val="none"/>
              </w:rPr>
            </w:r>
            <w:r/>
          </w:p>
          <w:p>
            <w:pPr>
              <w:pStyle w:val="744"/>
              <w:jc w:val="left"/>
              <w:shd w:val="clear" w:color="auto" w:fill="auto"/>
              <w:rPr>
                <w:rFonts w:ascii="Times New Roman"/>
                <w:color w:val="000000"/>
                <w:szCs w:val="21"/>
                <w:highlight w:val="none"/>
              </w:rPr>
            </w:pPr>
            <w:r>
              <w:rPr>
                <w:rFonts w:ascii="Times New Roman"/>
                <w:color w:val="000000"/>
                <w:szCs w:val="21"/>
                <w:highlight w:val="none"/>
              </w:rPr>
            </w:r>
            <w:r/>
          </w:p>
          <w:p>
            <w:pPr>
              <w:pStyle w:val="744"/>
              <w:jc w:val="left"/>
              <w:shd w:val="clear" w:color="auto" w:fill="auto"/>
              <w:rPr>
                <w:rFonts w:ascii="Times New Roman"/>
                <w:color w:val="000000"/>
                <w:szCs w:val="21"/>
                <w:highlight w:val="none"/>
              </w:rPr>
            </w:pPr>
            <w:r>
              <w:rPr>
                <w:rFonts w:ascii="Times New Roman"/>
                <w:color w:val="000000"/>
                <w:szCs w:val="21"/>
                <w:highlight w:val="none"/>
              </w:rPr>
            </w:r>
            <w:r/>
          </w:p>
          <w:p>
            <w:pPr>
              <w:pStyle w:val="744"/>
              <w:jc w:val="left"/>
              <w:shd w:val="clear" w:color="auto" w:fill="auto"/>
              <w:rPr>
                <w:rFonts w:ascii="Times New Roman"/>
                <w:color w:val="000000"/>
                <w:szCs w:val="21"/>
                <w:highlight w:val="none"/>
              </w:rPr>
            </w:pPr>
            <w:r>
              <w:rPr>
                <w:rFonts w:ascii="Times New Roman"/>
                <w:color w:val="000000"/>
                <w:szCs w:val="21"/>
                <w:highlight w:val="none"/>
              </w:rPr>
            </w:r>
            <w:r/>
          </w:p>
          <w:p>
            <w:pPr>
              <w:pStyle w:val="744"/>
              <w:jc w:val="left"/>
              <w:shd w:val="clear" w:color="auto" w:fill="auto"/>
              <w:rPr>
                <w:rFonts w:ascii="Times New Roman"/>
                <w:color w:val="000000"/>
                <w:szCs w:val="21"/>
                <w:highlight w:val="none"/>
              </w:rPr>
            </w:pPr>
            <w:r>
              <w:rPr>
                <w:rFonts w:ascii="Times New Roman"/>
                <w:color w:val="000000"/>
                <w:szCs w:val="21"/>
                <w:highlight w:val="none"/>
              </w:rPr>
            </w:r>
            <w:r/>
          </w:p>
          <w:p>
            <w:pPr>
              <w:pStyle w:val="744"/>
              <w:jc w:val="left"/>
              <w:shd w:val="clear" w:color="auto" w:fill="auto"/>
              <w:rPr>
                <w:rFonts w:ascii="Times New Roman"/>
                <w:color w:val="000000"/>
                <w:szCs w:val="21"/>
                <w:highlight w:val="none"/>
              </w:rPr>
            </w:pPr>
            <w:r>
              <w:rPr>
                <w:rFonts w:ascii="Times New Roman"/>
                <w:color w:val="000000"/>
                <w:szCs w:val="21"/>
                <w:highlight w:val="none"/>
              </w:rPr>
            </w:r>
            <w:r/>
          </w:p>
          <w:p>
            <w:pPr>
              <w:pStyle w:val="744"/>
              <w:jc w:val="left"/>
              <w:shd w:val="clear" w:color="auto" w:fill="auto"/>
              <w:rPr>
                <w:rFonts w:ascii="Times New Roman"/>
                <w:color w:val="000000"/>
                <w:szCs w:val="21"/>
                <w:highlight w:val="none"/>
              </w:rPr>
            </w:pPr>
            <w:r>
              <w:rPr>
                <w:rFonts w:ascii="Times New Roman"/>
                <w:color w:val="000000"/>
                <w:szCs w:val="21"/>
                <w:highlight w:val="none"/>
              </w:rPr>
            </w:r>
            <w:r/>
          </w:p>
          <w:p>
            <w:pPr>
              <w:pStyle w:val="744"/>
              <w:jc w:val="left"/>
              <w:shd w:val="clear" w:color="auto" w:fill="auto"/>
              <w:rPr>
                <w:rFonts w:ascii="Times New Roman"/>
                <w:color w:val="000000"/>
                <w:szCs w:val="21"/>
                <w:highlight w:val="none"/>
              </w:rPr>
            </w:pPr>
            <w:r>
              <w:rPr>
                <w:rFonts w:ascii="Times New Roman"/>
                <w:color w:val="000000"/>
                <w:szCs w:val="21"/>
                <w:highlight w:val="none"/>
              </w:rPr>
              <w:t xml:space="preserve">　　</w:t>
            </w:r>
            <w:r>
              <w:rPr>
                <w:rFonts w:ascii="Times New Roman"/>
                <w:color w:val="000000"/>
                <w:szCs w:val="21"/>
                <w:highlight w:val="none"/>
              </w:rPr>
              <w:br w:type="textWrapping" w:clear="all"/>
            </w:r>
            <w:r>
              <w:rPr>
                <w:rFonts w:ascii="Times New Roman"/>
                <w:color w:val="000000"/>
                <w:szCs w:val="21"/>
                <w:highlight w:val="none"/>
              </w:rPr>
              <w:t xml:space="preserve">　　　　　                              年    月    日</w:t>
            </w:r>
            <w:r>
              <w:rPr>
                <w:rFonts w:ascii="Times New Roman"/>
                <w:color w:val="000000"/>
                <w:szCs w:val="21"/>
                <w:highlight w:val="none"/>
              </w:rPr>
            </w:r>
            <w:r/>
          </w:p>
        </w:tc>
      </w:tr>
      <w:tr>
        <w:trPr>
          <w:trHeight w:val="567"/>
        </w:trPr>
        <w:tc>
          <w:tcPr>
            <w:gridSpan w:val="4"/>
            <w:tcBorders>
              <w:top w:val="single" w:color="000000" w:sz="4" w:space="0"/>
              <w:left w:val="single" w:color="000000" w:sz="8" w:space="0"/>
              <w:bottom w:val="single" w:color="000000" w:sz="4" w:space="0"/>
              <w:right w:val="single" w:color="000000" w:sz="8" w:space="0"/>
            </w:tcBorders>
            <w:tcW w:w="9132" w:type="dxa"/>
            <w:vAlign w:val="top"/>
            <w:textDirection w:val="lrTb"/>
            <w:noWrap w:val="false"/>
          </w:tcPr>
          <w:p>
            <w:pPr>
              <w:pStyle w:val="744"/>
              <w:jc w:val="left"/>
              <w:shd w:val="clear" w:color="auto" w:fill="auto"/>
              <w:rPr>
                <w:rFonts w:ascii="Times New Roman"/>
                <w:color w:val="000000"/>
                <w:szCs w:val="21"/>
                <w:highlight w:val="none"/>
              </w:rPr>
            </w:pPr>
            <w:r>
              <w:rPr>
                <w:rFonts w:ascii="Times New Roman"/>
                <w:color w:val="000000"/>
                <w:szCs w:val="21"/>
                <w:highlight w:val="none"/>
              </w:rPr>
              <w:t xml:space="preserve">供应商确认意见（签章）：</w:t>
            </w:r>
            <w:r>
              <w:rPr>
                <w:rFonts w:ascii="Times New Roman"/>
                <w:color w:val="000000"/>
                <w:szCs w:val="21"/>
                <w:highlight w:val="none"/>
              </w:rPr>
            </w:r>
            <w:r/>
          </w:p>
          <w:p>
            <w:pPr>
              <w:pStyle w:val="744"/>
              <w:jc w:val="left"/>
              <w:shd w:val="clear" w:color="auto" w:fill="auto"/>
              <w:rPr>
                <w:rFonts w:ascii="Times New Roman"/>
                <w:color w:val="000000"/>
                <w:szCs w:val="21"/>
                <w:highlight w:val="none"/>
              </w:rPr>
            </w:pPr>
            <w:r>
              <w:rPr>
                <w:rFonts w:ascii="Times New Roman"/>
                <w:color w:val="000000"/>
                <w:szCs w:val="21"/>
                <w:highlight w:val="none"/>
              </w:rPr>
            </w:r>
            <w:r/>
          </w:p>
          <w:p>
            <w:pPr>
              <w:pStyle w:val="744"/>
              <w:jc w:val="left"/>
              <w:shd w:val="clear" w:color="auto" w:fill="auto"/>
              <w:rPr>
                <w:rFonts w:ascii="Times New Roman"/>
                <w:color w:val="000000"/>
                <w:szCs w:val="21"/>
                <w:highlight w:val="none"/>
              </w:rPr>
            </w:pPr>
            <w:r>
              <w:rPr>
                <w:rFonts w:ascii="Times New Roman"/>
                <w:color w:val="000000"/>
                <w:szCs w:val="21"/>
                <w:highlight w:val="none"/>
              </w:rPr>
            </w:r>
            <w:r/>
          </w:p>
          <w:p>
            <w:pPr>
              <w:pStyle w:val="744"/>
              <w:jc w:val="left"/>
              <w:shd w:val="clear" w:color="auto" w:fill="auto"/>
              <w:rPr>
                <w:rFonts w:ascii="Times New Roman"/>
                <w:color w:val="000000"/>
                <w:szCs w:val="21"/>
                <w:highlight w:val="none"/>
              </w:rPr>
            </w:pPr>
            <w:r>
              <w:rPr>
                <w:rFonts w:ascii="Times New Roman"/>
                <w:color w:val="000000"/>
                <w:szCs w:val="21"/>
                <w:highlight w:val="none"/>
              </w:rPr>
            </w:r>
            <w:r/>
          </w:p>
          <w:p>
            <w:pPr>
              <w:pStyle w:val="744"/>
              <w:jc w:val="left"/>
              <w:shd w:val="clear" w:color="auto" w:fill="auto"/>
              <w:rPr>
                <w:rFonts w:ascii="Times New Roman"/>
                <w:color w:val="000000"/>
                <w:szCs w:val="21"/>
                <w:highlight w:val="none"/>
              </w:rPr>
            </w:pPr>
            <w:r>
              <w:rPr>
                <w:rFonts w:ascii="Times New Roman"/>
                <w:color w:val="000000"/>
                <w:szCs w:val="21"/>
                <w:highlight w:val="none"/>
              </w:rPr>
            </w:r>
            <w:r/>
          </w:p>
          <w:p>
            <w:pPr>
              <w:pStyle w:val="744"/>
              <w:jc w:val="left"/>
              <w:shd w:val="clear" w:color="auto" w:fill="auto"/>
              <w:rPr>
                <w:rFonts w:ascii="Times New Roman"/>
                <w:color w:val="000000"/>
                <w:szCs w:val="21"/>
                <w:highlight w:val="none"/>
              </w:rPr>
            </w:pPr>
            <w:r>
              <w:rPr>
                <w:rFonts w:ascii="Times New Roman"/>
                <w:color w:val="000000"/>
                <w:szCs w:val="21"/>
                <w:highlight w:val="none"/>
              </w:rPr>
            </w:r>
            <w:r/>
          </w:p>
          <w:p>
            <w:pPr>
              <w:pStyle w:val="744"/>
              <w:jc w:val="left"/>
              <w:shd w:val="clear" w:color="auto" w:fill="auto"/>
              <w:rPr>
                <w:rFonts w:ascii="Times New Roman"/>
                <w:color w:val="000000"/>
                <w:szCs w:val="21"/>
                <w:highlight w:val="none"/>
              </w:rPr>
            </w:pPr>
            <w:r>
              <w:rPr>
                <w:rFonts w:ascii="Times New Roman"/>
                <w:color w:val="000000"/>
                <w:szCs w:val="21"/>
                <w:highlight w:val="none"/>
              </w:rPr>
            </w:r>
            <w:r/>
          </w:p>
          <w:p>
            <w:pPr>
              <w:pStyle w:val="744"/>
              <w:jc w:val="left"/>
              <w:shd w:val="clear" w:color="auto" w:fill="auto"/>
              <w:rPr>
                <w:rFonts w:ascii="Times New Roman"/>
                <w:color w:val="000000"/>
                <w:szCs w:val="21"/>
                <w:highlight w:val="none"/>
              </w:rPr>
            </w:pPr>
            <w:r>
              <w:rPr>
                <w:rFonts w:ascii="Times New Roman"/>
                <w:color w:val="000000"/>
                <w:szCs w:val="21"/>
                <w:highlight w:val="none"/>
              </w:rPr>
            </w:r>
            <w:r/>
          </w:p>
          <w:p>
            <w:pPr>
              <w:pStyle w:val="744"/>
              <w:jc w:val="left"/>
              <w:shd w:val="clear" w:color="auto" w:fill="auto"/>
              <w:rPr>
                <w:rFonts w:ascii="Times New Roman"/>
                <w:color w:val="000000"/>
                <w:szCs w:val="21"/>
                <w:highlight w:val="none"/>
              </w:rPr>
            </w:pPr>
            <w:r>
              <w:rPr>
                <w:rFonts w:ascii="Times New Roman"/>
                <w:color w:val="000000"/>
                <w:szCs w:val="21"/>
                <w:highlight w:val="none"/>
              </w:rPr>
            </w:r>
            <w:r/>
          </w:p>
          <w:p>
            <w:pPr>
              <w:pStyle w:val="744"/>
              <w:jc w:val="left"/>
              <w:shd w:val="clear" w:color="auto" w:fill="auto"/>
              <w:rPr>
                <w:rFonts w:ascii="Times New Roman"/>
                <w:color w:val="000000"/>
                <w:szCs w:val="21"/>
                <w:highlight w:val="none"/>
              </w:rPr>
            </w:pPr>
            <w:r>
              <w:rPr>
                <w:rFonts w:ascii="Times New Roman"/>
                <w:color w:val="000000"/>
                <w:szCs w:val="21"/>
                <w:highlight w:val="none"/>
              </w:rPr>
              <w:t xml:space="preserve">　　</w:t>
            </w:r>
            <w:r>
              <w:rPr>
                <w:rFonts w:ascii="Times New Roman"/>
                <w:color w:val="000000"/>
                <w:szCs w:val="21"/>
                <w:highlight w:val="none"/>
              </w:rPr>
              <w:br w:type="textWrapping" w:clear="all"/>
            </w:r>
            <w:r>
              <w:rPr>
                <w:rFonts w:ascii="Times New Roman"/>
                <w:color w:val="000000"/>
                <w:szCs w:val="21"/>
                <w:highlight w:val="none"/>
              </w:rPr>
              <w:t xml:space="preserve">　　　　　                              年    月    日</w:t>
            </w:r>
            <w:r>
              <w:rPr>
                <w:rFonts w:ascii="Times New Roman"/>
                <w:color w:val="000000"/>
                <w:szCs w:val="21"/>
                <w:highlight w:val="none"/>
              </w:rPr>
            </w:r>
            <w:r/>
          </w:p>
        </w:tc>
      </w:tr>
      <w:tr>
        <w:trPr>
          <w:trHeight w:val="567"/>
        </w:trPr>
        <w:tc>
          <w:tcPr>
            <w:gridSpan w:val="4"/>
            <w:tcBorders>
              <w:top w:val="single" w:color="000000" w:sz="4" w:space="0"/>
              <w:left w:val="single" w:color="000000" w:sz="8" w:space="0"/>
              <w:bottom w:val="single" w:color="000000" w:sz="4" w:space="0"/>
              <w:right w:val="single" w:color="000000" w:sz="8" w:space="0"/>
            </w:tcBorders>
            <w:tcW w:w="9132" w:type="dxa"/>
            <w:vAlign w:val="top"/>
            <w:textDirection w:val="lrTb"/>
            <w:noWrap w:val="false"/>
          </w:tcPr>
          <w:p>
            <w:pPr>
              <w:pStyle w:val="744"/>
              <w:jc w:val="left"/>
              <w:shd w:val="clear" w:color="auto" w:fill="auto"/>
              <w:rPr>
                <w:rFonts w:ascii="Times New Roman"/>
                <w:color w:val="000000"/>
                <w:szCs w:val="21"/>
                <w:highlight w:val="none"/>
              </w:rPr>
            </w:pPr>
            <w:r>
              <w:rPr>
                <w:rFonts w:ascii="Times New Roman"/>
                <w:color w:val="000000"/>
                <w:szCs w:val="21"/>
                <w:highlight w:val="none"/>
              </w:rPr>
              <w:t xml:space="preserve">采购人确认意见（签章）：</w:t>
            </w:r>
            <w:r>
              <w:rPr>
                <w:rFonts w:ascii="Times New Roman"/>
                <w:color w:val="000000"/>
                <w:szCs w:val="21"/>
                <w:highlight w:val="none"/>
              </w:rPr>
            </w:r>
            <w:r/>
          </w:p>
          <w:p>
            <w:pPr>
              <w:pStyle w:val="744"/>
              <w:jc w:val="left"/>
              <w:shd w:val="clear" w:color="auto" w:fill="auto"/>
              <w:rPr>
                <w:rFonts w:ascii="Times New Roman"/>
                <w:color w:val="000000"/>
                <w:szCs w:val="21"/>
                <w:highlight w:val="none"/>
              </w:rPr>
            </w:pPr>
            <w:r>
              <w:rPr>
                <w:rFonts w:ascii="Times New Roman"/>
                <w:color w:val="000000"/>
                <w:szCs w:val="21"/>
                <w:highlight w:val="none"/>
              </w:rPr>
            </w:r>
            <w:r/>
          </w:p>
          <w:p>
            <w:pPr>
              <w:pStyle w:val="744"/>
              <w:jc w:val="left"/>
              <w:shd w:val="clear" w:color="auto" w:fill="auto"/>
              <w:rPr>
                <w:rFonts w:ascii="Times New Roman"/>
                <w:color w:val="000000"/>
                <w:szCs w:val="21"/>
                <w:highlight w:val="none"/>
              </w:rPr>
            </w:pPr>
            <w:r>
              <w:rPr>
                <w:rFonts w:ascii="Times New Roman"/>
                <w:color w:val="000000"/>
                <w:szCs w:val="21"/>
                <w:highlight w:val="none"/>
              </w:rPr>
            </w:r>
            <w:r/>
          </w:p>
          <w:p>
            <w:pPr>
              <w:pStyle w:val="744"/>
              <w:jc w:val="left"/>
              <w:shd w:val="clear" w:color="auto" w:fill="auto"/>
              <w:rPr>
                <w:rFonts w:ascii="Times New Roman"/>
                <w:color w:val="000000"/>
                <w:szCs w:val="21"/>
                <w:highlight w:val="none"/>
              </w:rPr>
            </w:pPr>
            <w:r>
              <w:rPr>
                <w:rFonts w:ascii="Times New Roman"/>
                <w:color w:val="000000"/>
                <w:szCs w:val="21"/>
                <w:highlight w:val="none"/>
              </w:rPr>
            </w:r>
            <w:r/>
          </w:p>
          <w:p>
            <w:pPr>
              <w:pStyle w:val="744"/>
              <w:jc w:val="left"/>
              <w:shd w:val="clear" w:color="auto" w:fill="auto"/>
              <w:rPr>
                <w:rFonts w:ascii="Times New Roman"/>
                <w:color w:val="000000"/>
                <w:szCs w:val="21"/>
                <w:highlight w:val="none"/>
              </w:rPr>
            </w:pPr>
            <w:r>
              <w:rPr>
                <w:rFonts w:ascii="Times New Roman"/>
                <w:color w:val="000000"/>
                <w:szCs w:val="21"/>
                <w:highlight w:val="none"/>
              </w:rPr>
            </w:r>
            <w:r/>
          </w:p>
          <w:p>
            <w:pPr>
              <w:pStyle w:val="744"/>
              <w:jc w:val="left"/>
              <w:shd w:val="clear" w:color="auto" w:fill="auto"/>
              <w:rPr>
                <w:rFonts w:ascii="Times New Roman"/>
                <w:color w:val="000000"/>
                <w:szCs w:val="21"/>
                <w:highlight w:val="none"/>
              </w:rPr>
            </w:pPr>
            <w:r>
              <w:rPr>
                <w:rFonts w:ascii="Times New Roman"/>
                <w:color w:val="000000"/>
                <w:szCs w:val="21"/>
                <w:highlight w:val="none"/>
              </w:rPr>
            </w:r>
            <w:r/>
          </w:p>
          <w:p>
            <w:pPr>
              <w:pStyle w:val="744"/>
              <w:jc w:val="left"/>
              <w:shd w:val="clear" w:color="auto" w:fill="auto"/>
              <w:rPr>
                <w:rFonts w:ascii="Times New Roman"/>
                <w:color w:val="000000"/>
                <w:szCs w:val="21"/>
                <w:highlight w:val="none"/>
              </w:rPr>
            </w:pPr>
            <w:r>
              <w:rPr>
                <w:rFonts w:ascii="Times New Roman"/>
                <w:color w:val="000000"/>
                <w:szCs w:val="21"/>
                <w:highlight w:val="none"/>
              </w:rPr>
            </w:r>
            <w:r/>
          </w:p>
          <w:p>
            <w:pPr>
              <w:pStyle w:val="744"/>
              <w:jc w:val="left"/>
              <w:shd w:val="clear" w:color="auto" w:fill="auto"/>
              <w:rPr>
                <w:rFonts w:ascii="Times New Roman"/>
                <w:color w:val="000000"/>
                <w:szCs w:val="21"/>
                <w:highlight w:val="none"/>
              </w:rPr>
            </w:pPr>
            <w:r>
              <w:rPr>
                <w:rFonts w:ascii="Times New Roman"/>
                <w:color w:val="000000"/>
                <w:szCs w:val="21"/>
                <w:highlight w:val="none"/>
              </w:rPr>
            </w:r>
            <w:r/>
          </w:p>
          <w:p>
            <w:pPr>
              <w:pStyle w:val="744"/>
              <w:jc w:val="left"/>
              <w:shd w:val="clear" w:color="auto" w:fill="auto"/>
              <w:rPr>
                <w:rFonts w:ascii="Times New Roman"/>
                <w:color w:val="000000"/>
                <w:szCs w:val="21"/>
                <w:highlight w:val="none"/>
              </w:rPr>
            </w:pPr>
            <w:r>
              <w:rPr>
                <w:rFonts w:ascii="Times New Roman"/>
                <w:color w:val="000000"/>
                <w:szCs w:val="21"/>
                <w:highlight w:val="none"/>
              </w:rPr>
            </w:r>
            <w:r/>
          </w:p>
          <w:p>
            <w:pPr>
              <w:pStyle w:val="744"/>
              <w:jc w:val="left"/>
              <w:shd w:val="clear" w:color="auto" w:fill="auto"/>
              <w:rPr>
                <w:rFonts w:ascii="Times New Roman"/>
                <w:color w:val="000000"/>
                <w:szCs w:val="21"/>
                <w:highlight w:val="none"/>
              </w:rPr>
            </w:pPr>
            <w:r>
              <w:rPr>
                <w:rFonts w:ascii="Times New Roman"/>
                <w:color w:val="000000"/>
                <w:szCs w:val="21"/>
                <w:highlight w:val="none"/>
              </w:rPr>
              <w:t xml:space="preserve">　　</w:t>
            </w:r>
            <w:r>
              <w:rPr>
                <w:rFonts w:ascii="Times New Roman"/>
                <w:color w:val="000000"/>
                <w:szCs w:val="21"/>
                <w:highlight w:val="none"/>
              </w:rPr>
              <w:br w:type="textWrapping" w:clear="all"/>
            </w:r>
            <w:r>
              <w:rPr>
                <w:rFonts w:ascii="Times New Roman"/>
                <w:color w:val="000000"/>
                <w:szCs w:val="21"/>
                <w:highlight w:val="none"/>
              </w:rPr>
              <w:t xml:space="preserve">　　　　　                              年    月    日</w:t>
            </w:r>
            <w:r>
              <w:rPr>
                <w:rFonts w:ascii="Times New Roman"/>
                <w:color w:val="000000"/>
                <w:szCs w:val="21"/>
                <w:highlight w:val="none"/>
              </w:rPr>
            </w:r>
            <w:r/>
          </w:p>
        </w:tc>
      </w:tr>
    </w:tbl>
    <w:p>
      <w:pPr>
        <w:pStyle w:val="881"/>
        <w:jc w:val="right"/>
        <w:spacing w:line="600" w:lineRule="exact"/>
        <w:shd w:val="clear" w:color="auto" w:fill="auto"/>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p>
      <w:pPr>
        <w:pStyle w:val="744"/>
        <w:ind w:firstLine="640"/>
        <w:spacing w:line="500" w:lineRule="exact"/>
        <w:shd w:val="clear" w:color="auto" w:fill="auto"/>
        <w:rPr>
          <w:rFonts w:hint="eastAsia" w:ascii="宋体" w:hAnsi="宋体" w:cs="宋体"/>
          <w:bCs/>
          <w:color w:val="000000"/>
          <w:highlight w:val="none"/>
        </w:rPr>
      </w:pPr>
      <w:r>
        <w:rPr>
          <w:rFonts w:hint="eastAsia" w:ascii="宋体" w:hAnsi="宋体" w:cs="宋体"/>
          <w:bCs/>
          <w:color w:val="000000"/>
          <w:highlight w:val="none"/>
        </w:rPr>
      </w:r>
      <w:r/>
    </w:p>
    <w:p>
      <w:pPr>
        <w:pStyle w:val="745"/>
        <w:shd w:val="clear" w:color="auto" w:fill="auto"/>
        <w:rPr>
          <w:rFonts w:hint="eastAsia" w:ascii="宋体" w:hAnsi="宋体" w:eastAsia="宋体" w:cs="宋体"/>
          <w:bCs/>
          <w:color w:val="000000"/>
          <w:sz w:val="44"/>
          <w:highlight w:val="none"/>
        </w:rPr>
        <w:sectPr>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宋体" w:hAnsi="宋体" w:eastAsia="宋体" w:cs="宋体"/>
          <w:bCs/>
          <w:color w:val="000000"/>
          <w:sz w:val="44"/>
          <w:highlight w:val="none"/>
        </w:rPr>
      </w:r>
      <w:r/>
    </w:p>
    <w:p>
      <w:pPr>
        <w:pStyle w:val="745"/>
        <w:shd w:val="clear" w:color="auto" w:fill="auto"/>
        <w:rPr>
          <w:rFonts w:ascii="宋体" w:hAnsi="宋体" w:eastAsia="宋体" w:cs="宋体"/>
          <w:b/>
          <w:color w:val="000000"/>
          <w:sz w:val="44"/>
          <w:highlight w:val="none"/>
        </w:rPr>
      </w:pPr>
      <w:r>
        <w:rPr>
          <w:rFonts w:hint="eastAsia" w:ascii="宋体" w:hAnsi="宋体" w:eastAsia="宋体" w:cs="宋体"/>
          <w:b/>
          <w:color w:val="000000"/>
          <w:sz w:val="44"/>
          <w:highlight w:val="none"/>
        </w:rPr>
        <w:t xml:space="preserve">第四章 服务需求</w:t>
      </w:r>
      <w:r>
        <w:rPr>
          <w:rFonts w:ascii="宋体" w:hAnsi="宋体" w:eastAsia="宋体" w:cs="宋体"/>
          <w:b/>
          <w:color w:val="000000"/>
          <w:sz w:val="44"/>
          <w:highlight w:val="none"/>
        </w:rPr>
      </w:r>
      <w:r/>
    </w:p>
    <w:p>
      <w:pPr>
        <w:pStyle w:val="882"/>
        <w:spacing w:before="0" w:after="0" w:line="360" w:lineRule="auto"/>
        <w:shd w:val="clear" w:color="auto" w:fill="auto"/>
        <w:rPr>
          <w:rFonts w:hint="eastAsia" w:ascii="宋体" w:hAnsi="宋体" w:cs="宋体"/>
          <w:b w:val="0"/>
          <w:color w:val="000000"/>
          <w:sz w:val="24"/>
          <w:szCs w:val="24"/>
          <w:highlight w:val="none"/>
        </w:rPr>
      </w:pPr>
      <w:r/>
      <w:bookmarkStart w:id="148" w:name="_Toc120614281"/>
      <w:r>
        <w:rPr>
          <w:rFonts w:hint="eastAsia" w:ascii="宋体" w:hAnsi="宋体" w:cs="宋体"/>
          <w:b w:val="0"/>
          <w:color w:val="000000"/>
          <w:sz w:val="24"/>
          <w:szCs w:val="24"/>
          <w:highlight w:val="none"/>
        </w:rPr>
        <w:t xml:space="preserve">本项目采购标的对应的中小企业划分标准所属行业：工业。</w:t>
      </w:r>
      <w:r>
        <w:rPr>
          <w:rFonts w:hint="eastAsia" w:ascii="宋体" w:hAnsi="宋体" w:cs="宋体"/>
          <w:b w:val="0"/>
          <w:color w:val="000000"/>
          <w:sz w:val="24"/>
          <w:szCs w:val="24"/>
          <w:highlight w:val="none"/>
        </w:rPr>
      </w:r>
      <w:r/>
    </w:p>
    <w:p>
      <w:pPr>
        <w:pStyle w:val="882"/>
        <w:spacing w:before="0" w:after="0" w:line="360" w:lineRule="auto"/>
        <w:shd w:val="clear" w:color="auto" w:fill="auto"/>
        <w:rPr>
          <w:rFonts w:hint="eastAsia" w:ascii="宋体" w:hAnsi="宋体" w:cs="宋体"/>
          <w:b w:val="0"/>
          <w:color w:val="000000"/>
          <w:sz w:val="24"/>
          <w:szCs w:val="24"/>
          <w:highlight w:val="none"/>
        </w:rPr>
      </w:pPr>
      <w:r>
        <w:rPr>
          <w:rFonts w:hint="eastAsia" w:ascii="宋体" w:hAnsi="宋体" w:cs="宋体"/>
          <w:b w:val="0"/>
          <w:color w:val="000000"/>
          <w:sz w:val="24"/>
          <w:szCs w:val="24"/>
          <w:highlight w:val="none"/>
        </w:rPr>
        <w:t xml:space="preserve">一、项目属性:货物类项目。</w:t>
      </w:r>
      <w:r>
        <w:rPr>
          <w:rFonts w:hint="eastAsia" w:ascii="宋体" w:hAnsi="宋体" w:cs="宋体"/>
          <w:b w:val="0"/>
          <w:color w:val="000000"/>
          <w:sz w:val="24"/>
          <w:szCs w:val="24"/>
          <w:highlight w:val="none"/>
        </w:rPr>
      </w:r>
      <w:r/>
    </w:p>
    <w:p>
      <w:pPr>
        <w:pStyle w:val="882"/>
        <w:spacing w:before="0" w:after="0" w:line="360" w:lineRule="auto"/>
        <w:shd w:val="clear" w:color="auto" w:fill="auto"/>
        <w:rPr>
          <w:rFonts w:hint="eastAsia" w:ascii="宋体" w:hAnsi="宋体" w:cs="宋体"/>
          <w:b w:val="0"/>
          <w:color w:val="000000"/>
          <w:sz w:val="24"/>
          <w:szCs w:val="24"/>
          <w:highlight w:val="none"/>
        </w:rPr>
      </w:pPr>
      <w:r>
        <w:rPr>
          <w:rFonts w:hint="eastAsia" w:ascii="宋体" w:hAnsi="宋体" w:cs="宋体"/>
          <w:b w:val="0"/>
          <w:color w:val="000000"/>
          <w:sz w:val="24"/>
          <w:szCs w:val="24"/>
          <w:highlight w:val="none"/>
        </w:rPr>
        <w:t xml:space="preserve">二、货物名称</w:t>
      </w:r>
      <w:r>
        <w:rPr>
          <w:rFonts w:hint="eastAsia" w:ascii="宋体" w:hAnsi="宋体" w:cs="宋体"/>
          <w:b w:val="0"/>
          <w:color w:val="000000"/>
          <w:sz w:val="24"/>
          <w:szCs w:val="24"/>
          <w:highlight w:val="none"/>
        </w:rPr>
      </w:r>
      <w:r/>
    </w:p>
    <w:tbl>
      <w:tblPr>
        <w:tblW w:w="872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5"/>
        <w:gridCol w:w="3098"/>
        <w:gridCol w:w="1448"/>
        <w:gridCol w:w="1444"/>
        <w:gridCol w:w="1970"/>
      </w:tblGrid>
      <w:tr>
        <w:trPr>
          <w:trHeight w:val="902"/>
        </w:trPr>
        <w:tc>
          <w:tcPr>
            <w:tcW w:w="765" w:type="dxa"/>
            <w:vAlign w:val="center"/>
            <w:textDirection w:val="lrTb"/>
            <w:noWrap w:val="false"/>
          </w:tcPr>
          <w:p>
            <w:pPr>
              <w:pStyle w:val="744"/>
              <w:jc w:val="center"/>
              <w:spacing w:line="360" w:lineRule="auto"/>
              <w:shd w:val="clear" w:color="auto" w:fill="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分包号</w:t>
            </w:r>
            <w:r>
              <w:rPr>
                <w:rFonts w:hint="eastAsia" w:ascii="宋体" w:hAnsi="宋体" w:cs="宋体"/>
                <w:b/>
                <w:bCs/>
                <w:color w:val="000000"/>
                <w:sz w:val="24"/>
                <w:szCs w:val="24"/>
                <w:highlight w:val="none"/>
              </w:rPr>
            </w:r>
            <w:r/>
          </w:p>
        </w:tc>
        <w:tc>
          <w:tcPr>
            <w:tcW w:w="3098" w:type="dxa"/>
            <w:vAlign w:val="center"/>
            <w:textDirection w:val="lrTb"/>
            <w:noWrap w:val="false"/>
          </w:tcPr>
          <w:p>
            <w:pPr>
              <w:pStyle w:val="744"/>
              <w:jc w:val="center"/>
              <w:spacing w:line="360" w:lineRule="auto"/>
              <w:shd w:val="clear" w:color="auto" w:fill="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物品名称</w:t>
            </w:r>
            <w:r>
              <w:rPr>
                <w:rFonts w:hint="eastAsia" w:ascii="宋体" w:hAnsi="宋体" w:cs="宋体"/>
                <w:b/>
                <w:bCs/>
                <w:color w:val="000000"/>
                <w:sz w:val="24"/>
                <w:szCs w:val="24"/>
                <w:highlight w:val="none"/>
              </w:rPr>
            </w:r>
            <w:r/>
          </w:p>
        </w:tc>
        <w:tc>
          <w:tcPr>
            <w:tcW w:w="1448" w:type="dxa"/>
            <w:vAlign w:val="center"/>
            <w:textDirection w:val="lrTb"/>
            <w:noWrap w:val="false"/>
          </w:tcPr>
          <w:p>
            <w:pPr>
              <w:pStyle w:val="744"/>
              <w:jc w:val="center"/>
              <w:spacing w:line="360" w:lineRule="auto"/>
              <w:shd w:val="clear" w:color="auto" w:fill="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型号</w:t>
            </w:r>
            <w:r>
              <w:rPr>
                <w:rFonts w:hint="eastAsia" w:ascii="宋体" w:hAnsi="宋体" w:cs="宋体"/>
                <w:b/>
                <w:bCs/>
                <w:color w:val="000000"/>
                <w:sz w:val="24"/>
                <w:szCs w:val="24"/>
                <w:highlight w:val="none"/>
              </w:rPr>
            </w:r>
            <w:r/>
          </w:p>
        </w:tc>
        <w:tc>
          <w:tcPr>
            <w:tcW w:w="1444" w:type="dxa"/>
            <w:vAlign w:val="center"/>
            <w:textDirection w:val="lrTb"/>
            <w:noWrap w:val="false"/>
          </w:tcPr>
          <w:p>
            <w:pPr>
              <w:pStyle w:val="744"/>
              <w:jc w:val="center"/>
              <w:spacing w:line="360" w:lineRule="auto"/>
              <w:shd w:val="clear" w:color="auto" w:fill="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招标</w:t>
            </w:r>
            <w:r>
              <w:rPr>
                <w:rFonts w:hint="eastAsia" w:ascii="宋体" w:hAnsi="宋体" w:cs="宋体"/>
                <w:b/>
                <w:bCs/>
                <w:color w:val="000000"/>
                <w:sz w:val="24"/>
                <w:szCs w:val="24"/>
                <w:highlight w:val="none"/>
                <w:lang w:val="en-US" w:eastAsia="zh-CN"/>
              </w:rPr>
              <w:t xml:space="preserve">控制</w:t>
            </w:r>
            <w:r>
              <w:rPr>
                <w:rFonts w:hint="eastAsia" w:ascii="宋体" w:hAnsi="宋体" w:cs="宋体"/>
                <w:b/>
                <w:bCs/>
                <w:color w:val="000000"/>
                <w:sz w:val="24"/>
                <w:szCs w:val="24"/>
                <w:highlight w:val="none"/>
                <w:lang w:val="en-US" w:eastAsia="zh-CN"/>
              </w:rPr>
              <w:t xml:space="preserve">价</w:t>
            </w:r>
            <w:r>
              <w:rPr>
                <w:rFonts w:hint="eastAsia" w:ascii="宋体" w:hAnsi="宋体" w:cs="宋体"/>
                <w:b/>
                <w:bCs/>
                <w:color w:val="000000"/>
                <w:sz w:val="24"/>
                <w:szCs w:val="24"/>
                <w:highlight w:val="none"/>
                <w:lang w:val="en-US" w:eastAsia="zh-CN"/>
              </w:rPr>
              <w:t xml:space="preserve">总价</w:t>
            </w:r>
            <w:r>
              <w:rPr>
                <w:rFonts w:hint="eastAsia" w:ascii="宋体" w:hAnsi="宋体" w:cs="宋体"/>
                <w:b/>
                <w:bCs/>
                <w:color w:val="000000"/>
                <w:sz w:val="24"/>
                <w:szCs w:val="24"/>
                <w:highlight w:val="none"/>
              </w:rPr>
              <w:t xml:space="preserve">（万元）</w:t>
            </w:r>
            <w:r>
              <w:rPr>
                <w:rFonts w:hint="eastAsia" w:ascii="宋体" w:hAnsi="宋体" w:cs="宋体"/>
                <w:b/>
                <w:bCs/>
                <w:color w:val="000000"/>
                <w:sz w:val="24"/>
                <w:szCs w:val="24"/>
                <w:highlight w:val="none"/>
              </w:rPr>
            </w:r>
            <w:r/>
          </w:p>
        </w:tc>
        <w:tc>
          <w:tcPr>
            <w:tcW w:w="1970" w:type="dxa"/>
            <w:vAlign w:val="center"/>
            <w:textDirection w:val="lrTb"/>
            <w:noWrap w:val="false"/>
          </w:tcPr>
          <w:p>
            <w:pPr>
              <w:pStyle w:val="744"/>
              <w:jc w:val="center"/>
              <w:spacing w:line="360" w:lineRule="auto"/>
              <w:shd w:val="clear" w:color="auto" w:fill="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主要配置或技术参数</w:t>
            </w:r>
            <w:r>
              <w:rPr>
                <w:rFonts w:hint="eastAsia" w:ascii="宋体" w:hAnsi="宋体" w:cs="宋体"/>
                <w:b/>
                <w:bCs/>
                <w:color w:val="000000"/>
                <w:sz w:val="24"/>
                <w:szCs w:val="24"/>
                <w:highlight w:val="none"/>
              </w:rPr>
            </w:r>
            <w:r/>
          </w:p>
        </w:tc>
      </w:tr>
      <w:tr>
        <w:trPr>
          <w:trHeight w:val="698"/>
        </w:trPr>
        <w:tc>
          <w:tcPr>
            <w:tcW w:w="765" w:type="dxa"/>
            <w:vAlign w:val="center"/>
            <w:textDirection w:val="lrTb"/>
            <w:noWrap w:val="false"/>
          </w:tcPr>
          <w:p>
            <w:pPr>
              <w:pStyle w:val="744"/>
              <w:jc w:val="center"/>
              <w:spacing w:line="24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W w:w="3098" w:type="dxa"/>
            <w:vAlign w:val="center"/>
            <w:textDirection w:val="lrTb"/>
            <w:noWrap w:val="false"/>
          </w:tcPr>
          <w:p>
            <w:pPr>
              <w:pStyle w:val="744"/>
              <w:jc w:val="left"/>
              <w:spacing w:line="240" w:lineRule="exact"/>
              <w:shd w:val="clear" w:color="auto" w:fill="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重组禽流感病毒(H5+H7)三价灭活疫苗</w:t>
            </w:r>
            <w:r>
              <w:rPr>
                <w:rFonts w:hint="eastAsia" w:ascii="宋体" w:hAnsi="宋体" w:cs="宋体"/>
                <w:color w:val="000000"/>
                <w:sz w:val="24"/>
                <w:szCs w:val="24"/>
                <w:highlight w:val="none"/>
              </w:rPr>
            </w:r>
            <w:r/>
          </w:p>
        </w:tc>
        <w:tc>
          <w:tcPr>
            <w:tcW w:w="1448" w:type="dxa"/>
            <w:vAlign w:val="center"/>
            <w:textDirection w:val="lrTb"/>
            <w:noWrap w:val="false"/>
          </w:tcPr>
          <w:p>
            <w:pPr>
              <w:pStyle w:val="744"/>
              <w:spacing w:line="240" w:lineRule="exact"/>
              <w:shd w:val="clear" w:color="auto" w:fill="auto"/>
              <w:widowControl/>
              <w:rPr>
                <w:rFonts w:hint="eastAsia" w:ascii="宋体" w:hAnsi="宋体" w:cs="宋体"/>
                <w:bCs/>
                <w:color w:val="000000"/>
                <w:sz w:val="24"/>
                <w:szCs w:val="24"/>
                <w:highlight w:val="none"/>
              </w:rPr>
            </w:pPr>
            <w:r>
              <w:rPr>
                <w:rFonts w:hint="eastAsia" w:ascii="宋体" w:hAnsi="宋体" w:cs="宋体"/>
                <w:color w:val="000000"/>
                <w:sz w:val="24"/>
                <w:szCs w:val="24"/>
                <w:highlight w:val="none"/>
                <w:lang w:bidi="ar"/>
              </w:rPr>
              <w:t xml:space="preserve">100毫升/瓶</w:t>
            </w:r>
            <w:r>
              <w:rPr>
                <w:rFonts w:hint="eastAsia" w:ascii="宋体" w:hAnsi="宋体" w:cs="宋体"/>
                <w:bCs/>
                <w:color w:val="000000"/>
                <w:sz w:val="24"/>
                <w:szCs w:val="24"/>
                <w:highlight w:val="none"/>
              </w:rPr>
            </w:r>
            <w:r/>
          </w:p>
        </w:tc>
        <w:tc>
          <w:tcPr>
            <w:tcW w:w="1444" w:type="dxa"/>
            <w:vAlign w:val="center"/>
            <w:textDirection w:val="lrTb"/>
            <w:noWrap w:val="false"/>
          </w:tcPr>
          <w:p>
            <w:pPr>
              <w:pStyle w:val="744"/>
              <w:jc w:val="center"/>
              <w:spacing w:line="240" w:lineRule="exact"/>
              <w:shd w:val="clear" w:color="auto" w:fill="auto"/>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50</w:t>
            </w:r>
            <w:r>
              <w:rPr>
                <w:rFonts w:hint="eastAsia" w:ascii="宋体" w:hAnsi="宋体" w:cs="宋体"/>
                <w:bCs/>
                <w:color w:val="000000"/>
                <w:sz w:val="24"/>
                <w:szCs w:val="24"/>
                <w:highlight w:val="none"/>
              </w:rPr>
            </w:r>
            <w:r/>
          </w:p>
        </w:tc>
        <w:tc>
          <w:tcPr>
            <w:tcW w:w="1970" w:type="dxa"/>
            <w:vAlign w:val="center"/>
            <w:vMerge w:val="restart"/>
            <w:textDirection w:val="lrTb"/>
            <w:noWrap w:val="false"/>
          </w:tcPr>
          <w:p>
            <w:pPr>
              <w:pStyle w:val="744"/>
              <w:jc w:val="center"/>
              <w:spacing w:line="240" w:lineRule="exact"/>
              <w:shd w:val="clear" w:color="auto" w:fill="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农业农村部规定标准</w:t>
            </w:r>
            <w:r>
              <w:rPr>
                <w:rFonts w:hint="eastAsia" w:ascii="宋体" w:hAnsi="宋体" w:cs="宋体"/>
                <w:color w:val="000000"/>
                <w:sz w:val="24"/>
                <w:szCs w:val="24"/>
                <w:highlight w:val="none"/>
              </w:rPr>
            </w:r>
            <w:r/>
          </w:p>
        </w:tc>
      </w:tr>
      <w:tr>
        <w:trPr>
          <w:trHeight w:val="710"/>
        </w:trPr>
        <w:tc>
          <w:tcPr>
            <w:tcW w:w="765" w:type="dxa"/>
            <w:vAlign w:val="center"/>
            <w:textDirection w:val="lrTb"/>
            <w:noWrap w:val="false"/>
          </w:tcPr>
          <w:p>
            <w:pPr>
              <w:pStyle w:val="744"/>
              <w:jc w:val="center"/>
              <w:spacing w:line="24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c>
          <w:tcPr>
            <w:tcW w:w="3098" w:type="dxa"/>
            <w:vAlign w:val="center"/>
            <w:textDirection w:val="lrTb"/>
            <w:noWrap w:val="false"/>
          </w:tcPr>
          <w:p>
            <w:pPr>
              <w:pStyle w:val="744"/>
              <w:jc w:val="left"/>
              <w:spacing w:line="240" w:lineRule="exact"/>
              <w:shd w:val="clear" w:color="auto" w:fill="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口蹄疫O型、A型二价灭活疫苗</w:t>
            </w:r>
            <w:r>
              <w:rPr>
                <w:rFonts w:hint="eastAsia" w:ascii="宋体" w:hAnsi="宋体" w:cs="宋体"/>
                <w:color w:val="000000"/>
                <w:sz w:val="24"/>
                <w:szCs w:val="24"/>
                <w:highlight w:val="none"/>
              </w:rPr>
            </w:r>
            <w:r/>
          </w:p>
        </w:tc>
        <w:tc>
          <w:tcPr>
            <w:tcW w:w="1448" w:type="dxa"/>
            <w:vAlign w:val="center"/>
            <w:textDirection w:val="lrTb"/>
            <w:noWrap w:val="false"/>
          </w:tcPr>
          <w:p>
            <w:pPr>
              <w:pStyle w:val="744"/>
              <w:spacing w:line="240" w:lineRule="exact"/>
              <w:shd w:val="clear" w:color="auto" w:fill="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50毫升/瓶</w:t>
            </w:r>
            <w:r>
              <w:rPr>
                <w:rFonts w:hint="eastAsia" w:ascii="宋体" w:hAnsi="宋体" w:cs="宋体"/>
                <w:color w:val="000000"/>
                <w:sz w:val="24"/>
                <w:szCs w:val="24"/>
                <w:highlight w:val="none"/>
              </w:rPr>
            </w:r>
            <w:r/>
          </w:p>
        </w:tc>
        <w:tc>
          <w:tcPr>
            <w:tcW w:w="1444" w:type="dxa"/>
            <w:vAlign w:val="center"/>
            <w:textDirection w:val="lrTb"/>
            <w:noWrap w:val="false"/>
          </w:tcPr>
          <w:p>
            <w:pPr>
              <w:pStyle w:val="744"/>
              <w:jc w:val="center"/>
              <w:spacing w:line="240" w:lineRule="exact"/>
              <w:shd w:val="clear" w:color="auto" w:fill="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w:t>
            </w:r>
            <w:r>
              <w:rPr>
                <w:rFonts w:hint="eastAsia" w:ascii="宋体" w:hAnsi="宋体" w:cs="宋体"/>
                <w:color w:val="000000"/>
                <w:sz w:val="24"/>
                <w:szCs w:val="24"/>
                <w:highlight w:val="none"/>
              </w:rPr>
            </w:r>
            <w:r/>
          </w:p>
        </w:tc>
        <w:tc>
          <w:tcPr>
            <w:tcW w:w="1970" w:type="dxa"/>
            <w:vAlign w:val="center"/>
            <w:vMerge w:val="continue"/>
            <w:textDirection w:val="lrTb"/>
            <w:noWrap w:val="false"/>
          </w:tcPr>
          <w:p>
            <w:pPr>
              <w:pStyle w:val="744"/>
              <w:jc w:val="left"/>
              <w:shd w:val="clear" w:color="auto" w:fill="auto"/>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r>
      <w:tr>
        <w:trPr>
          <w:trHeight w:val="651"/>
        </w:trPr>
        <w:tc>
          <w:tcPr>
            <w:tcW w:w="765" w:type="dxa"/>
            <w:vAlign w:val="center"/>
            <w:textDirection w:val="lrTb"/>
            <w:noWrap w:val="false"/>
          </w:tcPr>
          <w:p>
            <w:pPr>
              <w:pStyle w:val="744"/>
              <w:jc w:val="center"/>
              <w:spacing w:line="24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rPr>
            </w:r>
            <w:r/>
          </w:p>
        </w:tc>
        <w:tc>
          <w:tcPr>
            <w:tcW w:w="3098" w:type="dxa"/>
            <w:vAlign w:val="center"/>
            <w:textDirection w:val="lrTb"/>
            <w:noWrap w:val="false"/>
          </w:tcPr>
          <w:p>
            <w:pPr>
              <w:pStyle w:val="744"/>
              <w:jc w:val="left"/>
              <w:spacing w:line="240" w:lineRule="exact"/>
              <w:shd w:val="clear" w:color="auto" w:fill="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猪口蹄疫</w:t>
            </w:r>
            <w:r>
              <w:rPr>
                <w:rFonts w:hint="eastAsia" w:ascii="宋体" w:hAnsi="宋体" w:cs="宋体"/>
                <w:color w:val="000000"/>
                <w:sz w:val="24"/>
                <w:szCs w:val="24"/>
                <w:highlight w:val="none"/>
                <w:lang w:bidi="ar"/>
              </w:rPr>
              <w:t xml:space="preserve">O型合成肽疫苗</w:t>
            </w:r>
            <w:r>
              <w:rPr>
                <w:rFonts w:hint="eastAsia" w:ascii="宋体" w:hAnsi="宋体" w:cs="宋体"/>
                <w:color w:val="000000"/>
                <w:sz w:val="24"/>
                <w:szCs w:val="24"/>
                <w:highlight w:val="none"/>
              </w:rPr>
            </w:r>
            <w:r/>
          </w:p>
        </w:tc>
        <w:tc>
          <w:tcPr>
            <w:tcW w:w="1448" w:type="dxa"/>
            <w:vAlign w:val="center"/>
            <w:textDirection w:val="lrTb"/>
            <w:noWrap w:val="false"/>
          </w:tcPr>
          <w:p>
            <w:pPr>
              <w:pStyle w:val="744"/>
              <w:spacing w:line="240" w:lineRule="exact"/>
              <w:shd w:val="clear" w:color="auto" w:fill="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50毫升/瓶</w:t>
            </w:r>
            <w:r>
              <w:rPr>
                <w:rFonts w:hint="eastAsia" w:ascii="宋体" w:hAnsi="宋体" w:cs="宋体"/>
                <w:color w:val="000000"/>
                <w:sz w:val="24"/>
                <w:szCs w:val="24"/>
                <w:highlight w:val="none"/>
              </w:rPr>
            </w:r>
            <w:r/>
          </w:p>
        </w:tc>
        <w:tc>
          <w:tcPr>
            <w:tcW w:w="1444" w:type="dxa"/>
            <w:vAlign w:val="center"/>
            <w:textDirection w:val="lrTb"/>
            <w:noWrap w:val="false"/>
          </w:tcPr>
          <w:p>
            <w:pPr>
              <w:pStyle w:val="744"/>
              <w:jc w:val="center"/>
              <w:spacing w:line="240" w:lineRule="exact"/>
              <w:shd w:val="clear" w:color="auto" w:fill="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hint="eastAsia" w:ascii="宋体" w:hAnsi="宋体" w:cs="宋体"/>
                <w:color w:val="000000"/>
                <w:sz w:val="24"/>
                <w:szCs w:val="24"/>
                <w:highlight w:val="none"/>
              </w:rPr>
            </w:r>
            <w:r/>
          </w:p>
        </w:tc>
        <w:tc>
          <w:tcPr>
            <w:tcW w:w="1970" w:type="dxa"/>
            <w:vAlign w:val="center"/>
            <w:vMerge w:val="continue"/>
            <w:textDirection w:val="lrTb"/>
            <w:noWrap w:val="false"/>
          </w:tcPr>
          <w:p>
            <w:pPr>
              <w:pStyle w:val="744"/>
              <w:jc w:val="left"/>
              <w:shd w:val="clear" w:color="auto" w:fill="auto"/>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r>
      <w:tr>
        <w:trPr>
          <w:trHeight w:val="566"/>
        </w:trPr>
        <w:tc>
          <w:tcPr>
            <w:tcW w:w="765" w:type="dxa"/>
            <w:vAlign w:val="center"/>
            <w:textDirection w:val="lrTb"/>
            <w:noWrap w:val="false"/>
          </w:tcPr>
          <w:p>
            <w:pPr>
              <w:pStyle w:val="744"/>
              <w:jc w:val="center"/>
              <w:spacing w:line="240" w:lineRule="exact"/>
              <w:shd w:val="clear" w:color="auto" w:fill="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rPr>
            </w:r>
            <w:r/>
          </w:p>
        </w:tc>
        <w:tc>
          <w:tcPr>
            <w:shd w:val="clear" w:color="auto" w:fill="ffffff"/>
            <w:tcW w:w="3098" w:type="dxa"/>
            <w:vAlign w:val="center"/>
            <w:textDirection w:val="lrTb"/>
            <w:noWrap w:val="false"/>
          </w:tcPr>
          <w:p>
            <w:pPr>
              <w:pStyle w:val="744"/>
              <w:jc w:val="left"/>
              <w:spacing w:line="240" w:lineRule="exact"/>
              <w:shd w:val="clear" w:color="auto" w:fill="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小反刍兽疫活疫苗（或含小反刍）</w:t>
            </w:r>
            <w:r>
              <w:rPr>
                <w:rFonts w:hint="eastAsia" w:ascii="宋体" w:hAnsi="宋体" w:cs="宋体"/>
                <w:color w:val="000000"/>
                <w:sz w:val="24"/>
                <w:szCs w:val="24"/>
                <w:highlight w:val="none"/>
                <w:lang w:bidi="ar"/>
              </w:rPr>
            </w:r>
            <w:r/>
          </w:p>
        </w:tc>
        <w:tc>
          <w:tcPr>
            <w:tcW w:w="1448" w:type="dxa"/>
            <w:vAlign w:val="center"/>
            <w:textDirection w:val="lrTb"/>
            <w:noWrap w:val="false"/>
          </w:tcPr>
          <w:p>
            <w:pPr>
              <w:pStyle w:val="744"/>
              <w:spacing w:line="240" w:lineRule="exact"/>
              <w:shd w:val="clear" w:color="auto" w:fill="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50头份/瓶</w:t>
            </w:r>
            <w:r>
              <w:rPr>
                <w:rFonts w:hint="eastAsia" w:ascii="宋体" w:hAnsi="宋体" w:cs="宋体"/>
                <w:color w:val="000000"/>
                <w:sz w:val="24"/>
                <w:szCs w:val="24"/>
                <w:highlight w:val="none"/>
                <w:lang w:bidi="ar"/>
              </w:rPr>
            </w:r>
            <w:r/>
          </w:p>
        </w:tc>
        <w:tc>
          <w:tcPr>
            <w:tcW w:w="1444" w:type="dxa"/>
            <w:vAlign w:val="center"/>
            <w:textDirection w:val="lrTb"/>
            <w:noWrap w:val="false"/>
          </w:tcPr>
          <w:p>
            <w:pPr>
              <w:pStyle w:val="744"/>
              <w:jc w:val="center"/>
              <w:spacing w:line="240" w:lineRule="exact"/>
              <w:shd w:val="clear" w:color="auto" w:fill="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10</w:t>
            </w:r>
            <w:r>
              <w:rPr>
                <w:rFonts w:hint="eastAsia" w:ascii="宋体" w:hAnsi="宋体" w:cs="宋体"/>
                <w:color w:val="000000"/>
                <w:sz w:val="24"/>
                <w:szCs w:val="24"/>
                <w:highlight w:val="none"/>
                <w:lang w:bidi="ar"/>
              </w:rPr>
            </w:r>
            <w:r/>
          </w:p>
        </w:tc>
        <w:tc>
          <w:tcPr>
            <w:tcW w:w="1970" w:type="dxa"/>
            <w:vAlign w:val="center"/>
            <w:vMerge w:val="continue"/>
            <w:textDirection w:val="lrTb"/>
            <w:noWrap w:val="false"/>
          </w:tcPr>
          <w:p>
            <w:pPr>
              <w:pStyle w:val="744"/>
              <w:jc w:val="left"/>
              <w:shd w:val="clear" w:color="auto" w:fill="auto"/>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r>
      <w:tr>
        <w:trPr>
          <w:trHeight w:val="606"/>
        </w:trPr>
        <w:tc>
          <w:tcPr>
            <w:tcW w:w="765" w:type="dxa"/>
            <w:vAlign w:val="center"/>
            <w:vMerge w:val="restart"/>
            <w:textDirection w:val="lrTb"/>
            <w:noWrap w:val="false"/>
          </w:tcPr>
          <w:p>
            <w:pPr>
              <w:pStyle w:val="744"/>
              <w:jc w:val="center"/>
              <w:spacing w:line="240" w:lineRule="exact"/>
              <w:shd w:val="clear" w:color="auto" w:fill="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hint="eastAsia" w:ascii="宋体" w:hAnsi="宋体" w:cs="宋体"/>
                <w:color w:val="000000"/>
                <w:sz w:val="24"/>
                <w:szCs w:val="24"/>
                <w:highlight w:val="none"/>
              </w:rPr>
            </w:r>
            <w:r/>
          </w:p>
        </w:tc>
        <w:tc>
          <w:tcPr>
            <w:shd w:val="clear" w:color="auto" w:fill="ffffff"/>
            <w:tcW w:w="3098" w:type="dxa"/>
            <w:vAlign w:val="center"/>
            <w:textDirection w:val="lrTb"/>
            <w:noWrap w:val="false"/>
          </w:tcPr>
          <w:p>
            <w:pPr>
              <w:pStyle w:val="744"/>
              <w:jc w:val="left"/>
              <w:spacing w:line="240" w:lineRule="exact"/>
              <w:shd w:val="clear" w:color="auto" w:fill="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猪耳标</w:t>
            </w:r>
            <w:r>
              <w:rPr>
                <w:rFonts w:hint="eastAsia" w:ascii="宋体" w:hAnsi="宋体" w:cs="宋体"/>
                <w:color w:val="000000"/>
                <w:sz w:val="24"/>
                <w:szCs w:val="24"/>
                <w:highlight w:val="none"/>
                <w:lang w:bidi="ar"/>
              </w:rPr>
            </w:r>
            <w:r/>
          </w:p>
        </w:tc>
        <w:tc>
          <w:tcPr>
            <w:tcW w:w="1448" w:type="dxa"/>
            <w:vAlign w:val="center"/>
            <w:textDirection w:val="lrTb"/>
            <w:noWrap w:val="false"/>
          </w:tcPr>
          <w:p>
            <w:pPr>
              <w:pStyle w:val="744"/>
              <w:spacing w:line="240" w:lineRule="exact"/>
              <w:shd w:val="clear" w:color="auto" w:fill="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tcW w:w="1444" w:type="dxa"/>
            <w:vAlign w:val="center"/>
            <w:textDirection w:val="lrTb"/>
            <w:noWrap w:val="false"/>
          </w:tcPr>
          <w:p>
            <w:pPr>
              <w:pStyle w:val="744"/>
              <w:jc w:val="center"/>
              <w:spacing w:line="240" w:lineRule="exact"/>
              <w:shd w:val="clear" w:color="auto" w:fill="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rPr>
              <w:t xml:space="preserve">65</w:t>
            </w:r>
            <w:r>
              <w:rPr>
                <w:rFonts w:hint="eastAsia" w:ascii="宋体" w:hAnsi="宋体" w:cs="宋体"/>
                <w:color w:val="000000"/>
                <w:sz w:val="24"/>
                <w:szCs w:val="24"/>
                <w:highlight w:val="none"/>
                <w:lang w:bidi="ar"/>
              </w:rPr>
            </w:r>
            <w:r/>
          </w:p>
        </w:tc>
        <w:tc>
          <w:tcPr>
            <w:tcW w:w="1970" w:type="dxa"/>
            <w:vAlign w:val="center"/>
            <w:vMerge w:val="continue"/>
            <w:textDirection w:val="lrTb"/>
            <w:noWrap w:val="false"/>
          </w:tcPr>
          <w:p>
            <w:pPr>
              <w:pStyle w:val="744"/>
              <w:jc w:val="left"/>
              <w:shd w:val="clear" w:color="auto" w:fill="auto"/>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r>
      <w:tr>
        <w:trPr>
          <w:trHeight w:val="606"/>
        </w:trPr>
        <w:tc>
          <w:tcPr>
            <w:tcW w:w="765" w:type="dxa"/>
            <w:vAlign w:val="center"/>
            <w:vMerge w:val="continue"/>
            <w:textDirection w:val="lrTb"/>
            <w:noWrap w:val="false"/>
          </w:tcPr>
          <w:p>
            <w:pPr>
              <w:pStyle w:val="744"/>
              <w:jc w:val="center"/>
              <w:spacing w:line="240" w:lineRule="exact"/>
              <w:shd w:val="clear" w:color="auto" w:fill="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shd w:val="clear" w:color="auto" w:fill="ffffff"/>
            <w:tcW w:w="3098" w:type="dxa"/>
            <w:vAlign w:val="center"/>
            <w:textDirection w:val="lrTb"/>
            <w:noWrap w:val="false"/>
          </w:tcPr>
          <w:p>
            <w:pPr>
              <w:pStyle w:val="744"/>
              <w:jc w:val="left"/>
              <w:spacing w:line="240" w:lineRule="exact"/>
              <w:shd w:val="clear" w:color="auto" w:fill="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羊耳标</w:t>
            </w:r>
            <w:r>
              <w:rPr>
                <w:rFonts w:hint="eastAsia" w:ascii="宋体" w:hAnsi="宋体" w:cs="宋体"/>
                <w:color w:val="000000"/>
                <w:sz w:val="24"/>
                <w:szCs w:val="24"/>
                <w:highlight w:val="none"/>
                <w:lang w:bidi="ar"/>
              </w:rPr>
            </w:r>
            <w:r/>
          </w:p>
        </w:tc>
        <w:tc>
          <w:tcPr>
            <w:tcW w:w="1448" w:type="dxa"/>
            <w:vAlign w:val="center"/>
            <w:textDirection w:val="lrTb"/>
            <w:noWrap w:val="false"/>
          </w:tcPr>
          <w:p>
            <w:pPr>
              <w:pStyle w:val="744"/>
              <w:spacing w:line="240" w:lineRule="exact"/>
              <w:shd w:val="clear" w:color="auto" w:fill="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tcW w:w="1444" w:type="dxa"/>
            <w:vAlign w:val="center"/>
            <w:textDirection w:val="lrTb"/>
            <w:noWrap w:val="false"/>
          </w:tcPr>
          <w:p>
            <w:pPr>
              <w:pStyle w:val="744"/>
              <w:jc w:val="center"/>
              <w:spacing w:line="240" w:lineRule="exact"/>
              <w:shd w:val="clear" w:color="auto" w:fill="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rPr>
              <w:t xml:space="preserve">2.79</w:t>
            </w:r>
            <w:r>
              <w:rPr>
                <w:rFonts w:hint="eastAsia" w:ascii="宋体" w:hAnsi="宋体" w:cs="宋体"/>
                <w:color w:val="000000"/>
                <w:sz w:val="24"/>
                <w:szCs w:val="24"/>
                <w:highlight w:val="none"/>
                <w:lang w:bidi="ar"/>
              </w:rPr>
            </w:r>
            <w:r/>
          </w:p>
        </w:tc>
        <w:tc>
          <w:tcPr>
            <w:tcW w:w="1970" w:type="dxa"/>
            <w:vAlign w:val="center"/>
            <w:vMerge w:val="continue"/>
            <w:textDirection w:val="lrTb"/>
            <w:noWrap w:val="false"/>
          </w:tcPr>
          <w:p>
            <w:pPr>
              <w:pStyle w:val="744"/>
              <w:jc w:val="left"/>
              <w:shd w:val="clear" w:color="auto" w:fill="auto"/>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r>
    </w:tbl>
    <w:p>
      <w:pPr>
        <w:pStyle w:val="744"/>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 本项目按各包独立确定中标人；各分包之间可以单投，也可兼投，兼投不兼中。</w:t>
      </w:r>
      <w:r>
        <w:rPr>
          <w:rFonts w:hint="eastAsia" w:ascii="宋体" w:hAnsi="宋体" w:cs="宋体"/>
          <w:color w:val="000000"/>
          <w:sz w:val="24"/>
          <w:szCs w:val="24"/>
          <w:highlight w:val="none"/>
        </w:rPr>
      </w:r>
      <w:r/>
    </w:p>
    <w:p>
      <w:pPr>
        <w:pStyle w:val="744"/>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2.2 除上表要求外，还有购买上述疫苗后的配套服务和疫苗配套稀释液。耳标供应企业还需根据采购人需求免费提供并保证供应符合NY 534-2002《家畜用耳标及固定器》规定的耳标固定钳及针。</w:t>
      </w:r>
      <w:r>
        <w:rPr>
          <w:rFonts w:hint="eastAsia" w:ascii="宋体" w:hAnsi="宋体" w:cs="宋体"/>
          <w:color w:val="000000"/>
          <w:sz w:val="24"/>
          <w:szCs w:val="24"/>
          <w:highlight w:val="none"/>
        </w:rPr>
      </w:r>
      <w:r/>
    </w:p>
    <w:p>
      <w:pPr>
        <w:pStyle w:val="744"/>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 本项目采用电子投标。</w:t>
      </w:r>
      <w:r>
        <w:rPr>
          <w:rFonts w:hint="eastAsia" w:ascii="宋体" w:hAnsi="宋体" w:cs="宋体"/>
          <w:color w:val="000000"/>
          <w:sz w:val="24"/>
          <w:szCs w:val="24"/>
          <w:highlight w:val="none"/>
        </w:rPr>
      </w:r>
      <w:r/>
    </w:p>
    <w:p>
      <w:pPr>
        <w:pStyle w:val="744"/>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 如出现中标供应商不能履约，按合同条款处理；如因弄虚作假等原因被取消资格，不替补。</w:t>
      </w:r>
      <w:r>
        <w:rPr>
          <w:rFonts w:hint="eastAsia" w:ascii="宋体" w:hAnsi="宋体" w:cs="宋体"/>
          <w:color w:val="000000"/>
          <w:sz w:val="24"/>
          <w:szCs w:val="24"/>
          <w:highlight w:val="none"/>
        </w:rPr>
      </w:r>
      <w:r/>
    </w:p>
    <w:p>
      <w:pPr>
        <w:pStyle w:val="744"/>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  本项目</w:t>
      </w:r>
      <w:r>
        <w:rPr>
          <w:rFonts w:hint="eastAsia" w:ascii="宋体" w:hAnsi="宋体" w:cs="宋体"/>
          <w:color w:val="000000"/>
          <w:sz w:val="24"/>
          <w:szCs w:val="24"/>
          <w:highlight w:val="none"/>
          <w:u w:val="single"/>
        </w:rPr>
        <w:t xml:space="preserve"> 不接受 </w:t>
      </w:r>
      <w:r>
        <w:rPr>
          <w:rFonts w:hint="eastAsia" w:ascii="宋体" w:hAnsi="宋体" w:cs="宋体"/>
          <w:color w:val="000000"/>
          <w:sz w:val="24"/>
          <w:szCs w:val="24"/>
          <w:highlight w:val="none"/>
        </w:rPr>
        <w:t xml:space="preserve">进口产品投标。</w:t>
      </w:r>
      <w:r>
        <w:rPr>
          <w:rFonts w:hint="eastAsia" w:ascii="宋体" w:hAnsi="宋体" w:cs="宋体"/>
          <w:color w:val="000000"/>
          <w:sz w:val="24"/>
          <w:szCs w:val="24"/>
          <w:highlight w:val="none"/>
        </w:rPr>
      </w:r>
      <w:r/>
    </w:p>
    <w:p>
      <w:pPr>
        <w:pStyle w:val="744"/>
        <w:ind w:firstLine="482"/>
        <w:jc w:val="left"/>
        <w:spacing w:before="60" w:after="60" w:line="360" w:lineRule="auto"/>
        <w:shd w:val="clear" w:color="auto" w:fill="auto"/>
        <w:rPr>
          <w:rFonts w:hint="eastAsia" w:ascii="宋体" w:hAnsi="宋体" w:cs="宋体"/>
          <w:b/>
          <w:bCs/>
          <w:color w:val="000000"/>
          <w:sz w:val="24"/>
          <w:szCs w:val="24"/>
          <w:highlight w:val="none"/>
        </w:rPr>
        <w:outlineLvl w:val="1"/>
      </w:pPr>
      <w:r>
        <w:rPr>
          <w:rFonts w:hint="eastAsia" w:ascii="宋体" w:hAnsi="宋体" w:cs="宋体"/>
          <w:b/>
          <w:bCs/>
          <w:color w:val="000000"/>
          <w:sz w:val="24"/>
          <w:szCs w:val="24"/>
          <w:highlight w:val="none"/>
        </w:rPr>
        <w:t xml:space="preserve">四、疫苗质量要求</w:t>
      </w:r>
      <w:r>
        <w:rPr>
          <w:rFonts w:hint="eastAsia" w:ascii="宋体" w:hAnsi="宋体" w:cs="宋体"/>
          <w:b/>
          <w:bCs/>
          <w:color w:val="000000"/>
          <w:sz w:val="24"/>
          <w:szCs w:val="24"/>
          <w:highlight w:val="none"/>
        </w:rPr>
      </w:r>
      <w:r/>
    </w:p>
    <w:p>
      <w:pPr>
        <w:pStyle w:val="744"/>
        <w:ind w:firstLine="480"/>
        <w:spacing w:line="360" w:lineRule="auto"/>
        <w:shd w:val="clear" w:color="auto" w:fill="auto"/>
        <w:rPr>
          <w:rFonts w:hint="eastAsia" w:ascii="宋体" w:hAnsi="宋体" w:cs="宋体"/>
          <w:iCs/>
          <w:color w:val="000000"/>
          <w:sz w:val="24"/>
          <w:szCs w:val="24"/>
          <w:highlight w:val="none"/>
          <w:lang w:bidi="ar"/>
        </w:rPr>
      </w:pPr>
      <w:r>
        <w:rPr>
          <w:rFonts w:hint="eastAsia" w:ascii="宋体" w:hAnsi="宋体" w:cs="宋体"/>
          <w:iCs/>
          <w:color w:val="000000"/>
          <w:sz w:val="24"/>
          <w:szCs w:val="24"/>
          <w:highlight w:val="none"/>
          <w:lang w:bidi="ar"/>
        </w:rPr>
        <w:t xml:space="preserve">符合农业农村部对动物疫苗的现行相关质量要求。</w:t>
      </w:r>
      <w:r>
        <w:rPr>
          <w:rFonts w:hint="eastAsia" w:ascii="宋体" w:hAnsi="宋体" w:cs="宋体"/>
          <w:iCs/>
          <w:color w:val="000000"/>
          <w:sz w:val="24"/>
          <w:szCs w:val="24"/>
          <w:highlight w:val="none"/>
          <w:lang w:bidi="ar"/>
        </w:rPr>
      </w:r>
      <w:r/>
    </w:p>
    <w:p>
      <w:pPr>
        <w:pStyle w:val="744"/>
        <w:ind w:firstLine="480"/>
        <w:spacing w:line="360" w:lineRule="auto"/>
        <w:shd w:val="clear" w:color="auto" w:fill="auto"/>
        <w:rPr>
          <w:rFonts w:hint="eastAsia" w:ascii="宋体" w:hAnsi="宋体" w:cs="宋体"/>
          <w:iCs/>
          <w:color w:val="000000"/>
          <w:sz w:val="24"/>
          <w:szCs w:val="24"/>
          <w:highlight w:val="none"/>
          <w:lang w:bidi="ar"/>
        </w:rPr>
      </w:pPr>
      <w:r>
        <w:rPr>
          <w:rFonts w:hint="eastAsia" w:ascii="宋体" w:hAnsi="宋体" w:cs="宋体"/>
          <w:iCs/>
          <w:color w:val="000000"/>
          <w:sz w:val="24"/>
          <w:szCs w:val="24"/>
          <w:highlight w:val="none"/>
          <w:lang w:bidi="ar"/>
        </w:rPr>
        <w:t xml:space="preserve">重组禽流感病毒(H5+H7)三价灭活疫苗：HA效价不低于1∶512。疫苗必须符合农业农村部发布的“重组禽流感病毒（H5+H7）三价灭活疫苗质量标准”；疫苗的制苗毒株为H5N6 H5–Re13株+H5N8 H5–Re14株+H7N9 H7–Re4株，或者农业农村部批准的其他最新流行毒株，且符合农业农村部的相应质量标准。</w:t>
      </w:r>
      <w:r>
        <w:rPr>
          <w:rFonts w:hint="eastAsia" w:ascii="宋体" w:hAnsi="宋体" w:cs="宋体"/>
          <w:iCs/>
          <w:color w:val="000000"/>
          <w:sz w:val="24"/>
          <w:szCs w:val="24"/>
          <w:highlight w:val="none"/>
          <w:lang w:bidi="ar"/>
        </w:rPr>
      </w:r>
      <w:r/>
    </w:p>
    <w:p>
      <w:pPr>
        <w:pStyle w:val="744"/>
        <w:ind w:firstLine="480"/>
        <w:spacing w:line="360" w:lineRule="auto"/>
        <w:shd w:val="clear" w:color="auto" w:fill="auto"/>
        <w:rPr>
          <w:rFonts w:hint="eastAsia" w:ascii="宋体" w:hAnsi="宋体" w:cs="宋体"/>
          <w:iCs/>
          <w:color w:val="000000"/>
          <w:sz w:val="24"/>
          <w:szCs w:val="24"/>
          <w:highlight w:val="none"/>
          <w:lang w:bidi="ar"/>
        </w:rPr>
      </w:pPr>
      <w:r>
        <w:rPr>
          <w:rFonts w:hint="eastAsia" w:ascii="宋体" w:hAnsi="宋体" w:cs="宋体"/>
          <w:iCs/>
          <w:color w:val="000000"/>
          <w:sz w:val="24"/>
          <w:szCs w:val="24"/>
          <w:highlight w:val="none"/>
          <w:lang w:bidi="ar"/>
        </w:rPr>
        <w:t xml:space="preserve">口蹄疫疫苗：效力检验每头份疫苗各毒株的效力应≥10个PD50，且符合农业农村部的相应质量标准。</w:t>
      </w:r>
      <w:r>
        <w:rPr>
          <w:rFonts w:hint="eastAsia" w:ascii="宋体" w:hAnsi="宋体" w:cs="宋体"/>
          <w:iCs/>
          <w:color w:val="000000"/>
          <w:sz w:val="24"/>
          <w:szCs w:val="24"/>
          <w:highlight w:val="none"/>
          <w:lang w:bidi="ar"/>
        </w:rPr>
      </w:r>
      <w:r/>
    </w:p>
    <w:p>
      <w:pPr>
        <w:pStyle w:val="744"/>
        <w:ind w:right="-57" w:firstLine="480"/>
        <w:spacing w:line="360" w:lineRule="auto"/>
        <w:shd w:val="clear" w:color="auto" w:fill="auto"/>
        <w:widowControl/>
        <w:tabs>
          <w:tab w:val="left" w:pos="5900" w:leader="none"/>
        </w:tabs>
        <w:rPr>
          <w:rFonts w:hint="eastAsia" w:ascii="宋体" w:hAnsi="宋体" w:cs="宋体"/>
          <w:color w:val="000000"/>
          <w:sz w:val="24"/>
          <w:szCs w:val="24"/>
          <w:highlight w:val="none"/>
        </w:rPr>
      </w:pPr>
      <w:r>
        <w:rPr>
          <w:rFonts w:hint="eastAsia" w:ascii="宋体" w:hAnsi="宋体" w:cs="宋体"/>
          <w:iCs/>
          <w:color w:val="000000"/>
          <w:sz w:val="24"/>
          <w:szCs w:val="24"/>
          <w:highlight w:val="none"/>
        </w:rPr>
        <w:t xml:space="preserve">小反刍兽疫疫苗</w:t>
      </w:r>
      <w:r>
        <w:rPr>
          <w:rFonts w:hint="eastAsia" w:ascii="宋体" w:hAnsi="宋体" w:cs="宋体"/>
          <w:color w:val="000000"/>
          <w:sz w:val="24"/>
          <w:szCs w:val="24"/>
          <w:highlight w:val="none"/>
          <w:lang w:bidi="ar"/>
        </w:rPr>
        <w:t xml:space="preserve">（或含小反刍）</w:t>
      </w:r>
      <w:r>
        <w:rPr>
          <w:rFonts w:hint="eastAsia" w:ascii="宋体" w:hAnsi="宋体" w:cs="宋体"/>
          <w:iCs/>
          <w:color w:val="000000"/>
          <w:sz w:val="24"/>
          <w:szCs w:val="24"/>
          <w:highlight w:val="none"/>
        </w:rPr>
        <w:t xml:space="preserve">：每头份病毒含量≥10</w:t>
      </w:r>
      <w:r>
        <w:rPr>
          <w:rFonts w:hint="eastAsia" w:ascii="宋体" w:hAnsi="宋体" w:cs="宋体"/>
          <w:iCs/>
          <w:color w:val="000000"/>
          <w:sz w:val="24"/>
          <w:szCs w:val="24"/>
          <w:highlight w:val="none"/>
          <w:vertAlign w:val="superscript"/>
        </w:rPr>
        <w:t xml:space="preserve">3</w:t>
      </w:r>
      <w:r>
        <w:rPr>
          <w:rFonts w:hint="eastAsia" w:ascii="宋体" w:hAnsi="宋体" w:cs="宋体"/>
          <w:iCs/>
          <w:color w:val="000000"/>
          <w:sz w:val="24"/>
          <w:szCs w:val="24"/>
          <w:highlight w:val="none"/>
        </w:rPr>
        <w:t xml:space="preserve">TCID</w:t>
      </w:r>
      <w:r>
        <w:rPr>
          <w:rFonts w:hint="eastAsia" w:ascii="宋体" w:hAnsi="宋体" w:cs="宋体"/>
          <w:iCs/>
          <w:color w:val="000000"/>
          <w:sz w:val="24"/>
          <w:szCs w:val="24"/>
          <w:highlight w:val="none"/>
          <w:vertAlign w:val="subscript"/>
        </w:rPr>
        <w:t xml:space="preserve">50</w:t>
      </w:r>
      <w:r>
        <w:rPr>
          <w:rFonts w:hint="eastAsia" w:ascii="宋体" w:hAnsi="宋体" w:cs="宋体"/>
          <w:iCs/>
          <w:color w:val="000000"/>
          <w:sz w:val="24"/>
          <w:szCs w:val="24"/>
          <w:highlight w:val="none"/>
        </w:rPr>
        <w:t xml:space="preserve">。</w:t>
      </w:r>
      <w:r>
        <w:rPr>
          <w:rFonts w:hint="eastAsia" w:ascii="宋体" w:hAnsi="宋体" w:cs="宋体"/>
          <w:color w:val="000000"/>
          <w:sz w:val="24"/>
          <w:szCs w:val="24"/>
          <w:highlight w:val="none"/>
        </w:rPr>
      </w:r>
      <w:r/>
    </w:p>
    <w:p>
      <w:pPr>
        <w:pStyle w:val="744"/>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4.1.2 产品质量控制。针对自身产品开展调查；为提升产品质量开展产品控制、经费投入、创新研究、技术合作等措施。品控后产品质量提高，免疫副反应降低，抗体合格率提高，更能满足市场需求。投标企业在管理中的软、硬件设施，生产环节管理，原、辅料把控等方面进行综合质量控制。</w:t>
      </w:r>
      <w:r>
        <w:rPr>
          <w:rFonts w:hint="eastAsia" w:ascii="宋体" w:hAnsi="宋体" w:cs="宋体"/>
          <w:color w:val="000000"/>
          <w:sz w:val="24"/>
          <w:szCs w:val="24"/>
          <w:highlight w:val="none"/>
        </w:rPr>
      </w:r>
      <w:r/>
    </w:p>
    <w:p>
      <w:pPr>
        <w:pStyle w:val="744"/>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4.1.3投标人必须提供2023年以来中国兽医药品监察所CMA检测报告；如2023年以来某个疫苗品种中监所确实没有抽检，则必须提供2023年以来连续五个批次的批签发报告。（</w:t>
      </w:r>
      <w:r>
        <w:rPr>
          <w:rFonts w:hint="eastAsia" w:ascii="宋体" w:hAnsi="宋体" w:cs="宋体"/>
          <w:iCs/>
          <w:color w:val="000000"/>
          <w:sz w:val="24"/>
          <w:szCs w:val="24"/>
          <w:highlight w:val="none"/>
        </w:rPr>
        <w:t xml:space="preserve">有CMA报告不提供，而只提供批签发报告者，视作无检测报告</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744"/>
        <w:ind w:firstLine="480"/>
        <w:spacing w:line="360" w:lineRule="auto"/>
        <w:shd w:val="clear" w:color="auto" w:fill="auto"/>
        <w:rPr>
          <w:rFonts w:hint="eastAsia" w:ascii="宋体" w:hAnsi="宋体" w:cs="宋体"/>
          <w:i/>
          <w:iCs/>
          <w:color w:val="000000"/>
          <w:sz w:val="24"/>
          <w:szCs w:val="24"/>
          <w:highlight w:val="none"/>
          <w:u w:val="single"/>
        </w:rPr>
      </w:pPr>
      <w:r>
        <w:rPr>
          <w:rFonts w:hint="eastAsia" w:ascii="宋体" w:hAnsi="宋体" w:cs="宋体"/>
          <w:color w:val="000000"/>
          <w:sz w:val="24"/>
          <w:szCs w:val="24"/>
          <w:highlight w:val="none"/>
        </w:rPr>
        <w:t xml:space="preserve">4.1.4 招标之前或之后，如遇农业农村部政策调整，有关疫苗品种、毒株变更，相应产品直接变更。</w:t>
      </w:r>
      <w:r>
        <w:rPr>
          <w:rFonts w:hint="eastAsia" w:ascii="宋体" w:hAnsi="宋体" w:cs="宋体"/>
          <w:i/>
          <w:iCs/>
          <w:color w:val="000000"/>
          <w:sz w:val="24"/>
          <w:szCs w:val="24"/>
          <w:highlight w:val="none"/>
          <w:u w:val="single"/>
        </w:rPr>
      </w:r>
      <w:r/>
    </w:p>
    <w:p>
      <w:pPr>
        <w:pStyle w:val="744"/>
        <w:ind w:firstLine="480"/>
        <w:spacing w:line="360" w:lineRule="auto"/>
        <w:shd w:val="clear" w:color="auto" w:fill="auto"/>
        <w:rPr>
          <w:rFonts w:hint="eastAsia" w:ascii="宋体" w:hAnsi="宋体" w:cs="宋体"/>
          <w:iCs/>
          <w:color w:val="000000"/>
          <w:sz w:val="24"/>
          <w:szCs w:val="24"/>
          <w:highlight w:val="none"/>
        </w:rPr>
      </w:pPr>
      <w:r>
        <w:rPr>
          <w:rFonts w:hint="eastAsia" w:ascii="宋体" w:hAnsi="宋体" w:cs="宋体"/>
          <w:color w:val="000000"/>
          <w:sz w:val="24"/>
          <w:szCs w:val="24"/>
          <w:highlight w:val="none"/>
        </w:rPr>
        <w:t xml:space="preserve">4.1.5 </w:t>
      </w:r>
      <w:r>
        <w:rPr>
          <w:rFonts w:hint="eastAsia" w:ascii="宋体" w:hAnsi="宋体" w:cs="宋体"/>
          <w:iCs/>
          <w:color w:val="000000"/>
          <w:sz w:val="24"/>
          <w:szCs w:val="24"/>
          <w:highlight w:val="none"/>
        </w:rPr>
        <w:t xml:space="preserve">参加口蹄疫和高致病性禽流感投标的疫苗投标供应商，根据“</w:t>
      </w:r>
      <w:r>
        <w:rPr>
          <w:rFonts w:hint="eastAsia" w:ascii="宋体" w:hAnsi="宋体" w:cs="宋体"/>
          <w:iCs/>
          <w:color w:val="000000"/>
          <w:spacing w:val="6"/>
          <w:sz w:val="24"/>
          <w:szCs w:val="24"/>
          <w:highlight w:val="none"/>
        </w:rPr>
        <w:t xml:space="preserve">农办牧</w:t>
      </w:r>
      <w:r>
        <w:rPr>
          <w:rFonts w:hint="eastAsia" w:ascii="宋体" w:hAnsi="宋体" w:cs="宋体"/>
          <w:iCs/>
          <w:color w:val="000000"/>
          <w:sz w:val="24"/>
          <w:szCs w:val="24"/>
          <w:highlight w:val="none"/>
        </w:rPr>
        <w:t xml:space="preserve">〔</w:t>
      </w:r>
      <w:r>
        <w:rPr>
          <w:rFonts w:hint="eastAsia" w:ascii="宋体" w:hAnsi="宋体" w:cs="宋体"/>
          <w:iCs/>
          <w:color w:val="000000"/>
          <w:spacing w:val="6"/>
          <w:sz w:val="24"/>
          <w:szCs w:val="24"/>
          <w:highlight w:val="none"/>
        </w:rPr>
        <w:t xml:space="preserve">2018</w:t>
      </w:r>
      <w:r>
        <w:rPr>
          <w:rFonts w:hint="eastAsia" w:ascii="宋体" w:hAnsi="宋体" w:cs="宋体"/>
          <w:iCs/>
          <w:color w:val="000000"/>
          <w:sz w:val="24"/>
          <w:szCs w:val="24"/>
          <w:highlight w:val="none"/>
        </w:rPr>
        <w:t xml:space="preserve">〕</w:t>
      </w:r>
      <w:r>
        <w:rPr>
          <w:rFonts w:hint="eastAsia" w:ascii="宋体" w:hAnsi="宋体" w:cs="宋体"/>
          <w:iCs/>
          <w:color w:val="000000"/>
          <w:spacing w:val="6"/>
          <w:sz w:val="24"/>
          <w:szCs w:val="24"/>
          <w:highlight w:val="none"/>
        </w:rPr>
        <w:t xml:space="preserve">74号</w:t>
      </w:r>
      <w:r>
        <w:rPr>
          <w:rFonts w:hint="eastAsia" w:ascii="宋体" w:hAnsi="宋体" w:cs="宋体"/>
          <w:iCs/>
          <w:color w:val="000000"/>
          <w:sz w:val="24"/>
          <w:szCs w:val="24"/>
          <w:highlight w:val="none"/>
        </w:rPr>
        <w:t xml:space="preserve">”</w:t>
      </w:r>
      <w:r>
        <w:rPr>
          <w:rFonts w:hint="eastAsia" w:ascii="宋体" w:hAnsi="宋体" w:cs="宋体"/>
          <w:iCs/>
          <w:color w:val="000000"/>
          <w:spacing w:val="6"/>
          <w:sz w:val="24"/>
          <w:szCs w:val="24"/>
          <w:highlight w:val="none"/>
        </w:rPr>
        <w:t xml:space="preserve">文件规定，其所投的高致病性禽流感、口蹄疫疫苗需提供本企业生产工艺、固化控制指标</w:t>
      </w:r>
      <w:r>
        <w:rPr>
          <w:rFonts w:hint="eastAsia" w:ascii="宋体" w:hAnsi="宋体" w:cs="宋体"/>
          <w:iCs/>
          <w:color w:val="000000"/>
          <w:sz w:val="24"/>
          <w:szCs w:val="24"/>
          <w:highlight w:val="none"/>
        </w:rPr>
        <w:t xml:space="preserve">〔包含但不限于如下内容：培养方法、抗原含量、佐剂类型等〕承诺。不得擅自改变疫苗生产工艺。</w:t>
      </w:r>
      <w:r>
        <w:rPr>
          <w:rFonts w:hint="eastAsia" w:ascii="宋体" w:hAnsi="宋体" w:cs="宋体"/>
          <w:iCs/>
          <w:color w:val="000000"/>
          <w:sz w:val="24"/>
          <w:szCs w:val="24"/>
          <w:highlight w:val="none"/>
        </w:rPr>
      </w:r>
      <w:r/>
    </w:p>
    <w:p>
      <w:pPr>
        <w:pStyle w:val="744"/>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iCs/>
          <w:color w:val="000000"/>
          <w:sz w:val="24"/>
          <w:szCs w:val="24"/>
          <w:highlight w:val="none"/>
        </w:rPr>
        <w:t xml:space="preserve">4.1.6 </w:t>
      </w:r>
      <w:r>
        <w:rPr>
          <w:rFonts w:hint="eastAsia" w:ascii="宋体" w:hAnsi="宋体" w:cs="宋体"/>
          <w:color w:val="000000"/>
          <w:sz w:val="24"/>
          <w:szCs w:val="24"/>
          <w:highlight w:val="none"/>
        </w:rPr>
        <w:t xml:space="preserve">按规定具有完备的检测设备和人员，并能按规定标准和方法实施正常检测，各项制度、记录规范、齐全。</w:t>
      </w:r>
      <w:r>
        <w:rPr>
          <w:rFonts w:hint="eastAsia" w:ascii="宋体" w:hAnsi="宋体" w:cs="宋体"/>
          <w:color w:val="000000"/>
          <w:sz w:val="24"/>
          <w:szCs w:val="24"/>
          <w:highlight w:val="none"/>
        </w:rPr>
      </w:r>
      <w:r/>
    </w:p>
    <w:p>
      <w:pPr>
        <w:pStyle w:val="744"/>
        <w:ind w:firstLine="482"/>
        <w:jc w:val="left"/>
        <w:spacing w:before="60" w:after="60" w:line="360" w:lineRule="auto"/>
        <w:shd w:val="clear" w:color="auto" w:fill="auto"/>
        <w:rPr>
          <w:rFonts w:hint="eastAsia" w:ascii="宋体" w:hAnsi="宋体" w:cs="宋体"/>
          <w:b/>
          <w:bCs/>
          <w:color w:val="000000"/>
          <w:sz w:val="24"/>
          <w:szCs w:val="24"/>
          <w:highlight w:val="none"/>
        </w:rPr>
        <w:outlineLvl w:val="1"/>
      </w:pPr>
      <w:r>
        <w:rPr>
          <w:rFonts w:hint="eastAsia" w:ascii="宋体" w:hAnsi="宋体" w:cs="宋体"/>
          <w:b/>
          <w:bCs/>
          <w:color w:val="000000"/>
          <w:sz w:val="24"/>
          <w:szCs w:val="24"/>
          <w:highlight w:val="none"/>
        </w:rPr>
        <w:t xml:space="preserve">五、耳标质量要求</w:t>
      </w:r>
      <w:r>
        <w:rPr>
          <w:rFonts w:hint="eastAsia" w:ascii="宋体" w:hAnsi="宋体" w:cs="宋体"/>
          <w:b/>
          <w:bCs/>
          <w:color w:val="000000"/>
          <w:sz w:val="24"/>
          <w:szCs w:val="24"/>
          <w:highlight w:val="none"/>
        </w:rPr>
      </w:r>
      <w:r/>
    </w:p>
    <w:p>
      <w:pPr>
        <w:pStyle w:val="744"/>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5.1.1 符合农业农村部对耳标的现行相关质量要求。偏离农业农村部相关要求者，必须详细说明。</w:t>
      </w:r>
      <w:r>
        <w:rPr>
          <w:rFonts w:hint="eastAsia" w:ascii="宋体" w:hAnsi="宋体" w:cs="宋体"/>
          <w:color w:val="000000"/>
          <w:sz w:val="24"/>
          <w:szCs w:val="24"/>
          <w:highlight w:val="none"/>
        </w:rPr>
      </w:r>
      <w:r/>
    </w:p>
    <w:p>
      <w:pPr>
        <w:pStyle w:val="744"/>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产品技术参数执行的标准（文件）：NY534-2002家畜用耳标及固定器，NY/T938-2005动物防疫耳标规范，农办牧〔2021〕3号文件。</w:t>
      </w:r>
      <w:r>
        <w:rPr>
          <w:rFonts w:hint="eastAsia" w:ascii="宋体" w:hAnsi="宋体" w:cs="宋体"/>
          <w:color w:val="000000"/>
          <w:sz w:val="24"/>
          <w:szCs w:val="24"/>
          <w:highlight w:val="none"/>
        </w:rPr>
      </w:r>
      <w:r/>
    </w:p>
    <w:p>
      <w:pPr>
        <w:pStyle w:val="744"/>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5.1.2 产品质量控制。针对自身产品开展调查；为提升产品质量开展产品控制、经费投入、创新研究、技术合作等优化措施；投标企业在设备、原辅料、工艺、制度、自检、岗位培训、生产环节管理等方面进行综合质量控制，从源头上把关，通过质量控制，降低产品的断标率、掉标率，提高产品的二维码识别率等。</w:t>
      </w:r>
      <w:r>
        <w:rPr>
          <w:rFonts w:hint="eastAsia" w:ascii="宋体" w:hAnsi="宋体" w:cs="宋体"/>
          <w:color w:val="000000"/>
          <w:sz w:val="24"/>
          <w:szCs w:val="24"/>
          <w:highlight w:val="none"/>
        </w:rPr>
      </w:r>
      <w:r/>
    </w:p>
    <w:p>
      <w:pPr>
        <w:pStyle w:val="744"/>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5.1.3各品种耳标采用的主要原材料需符合动物防疫耳标规范标准。</w:t>
      </w:r>
      <w:r>
        <w:rPr>
          <w:rFonts w:hint="eastAsia" w:ascii="宋体" w:hAnsi="宋体" w:cs="宋体"/>
          <w:color w:val="000000"/>
          <w:sz w:val="24"/>
          <w:szCs w:val="24"/>
          <w:highlight w:val="none"/>
        </w:rPr>
      </w:r>
      <w:r/>
    </w:p>
    <w:p>
      <w:pPr>
        <w:pStyle w:val="744"/>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5.1.4 招标人在接到基层用户反映耳标质量有问题等情况时，会同所在地或上级畜牧兽医机构等对中标人所供畜用耳标按规定实施抽样，所抽样品送具备相应检验资质条件的检验机构检测。畜牧兽医等部门可根据国家和省有关要求进行抽检。对检测发现有不合格的，将取消中标人资格。</w:t>
      </w:r>
      <w:r>
        <w:rPr>
          <w:rFonts w:hint="eastAsia" w:ascii="宋体" w:hAnsi="宋体" w:cs="宋体"/>
          <w:color w:val="000000"/>
          <w:sz w:val="24"/>
          <w:szCs w:val="24"/>
          <w:highlight w:val="none"/>
        </w:rPr>
      </w:r>
      <w:r/>
    </w:p>
    <w:p>
      <w:pPr>
        <w:pStyle w:val="744"/>
        <w:ind w:firstLine="482"/>
        <w:spacing w:line="360" w:lineRule="auto"/>
        <w:shd w:val="clear" w:color="auto" w:fill="auto"/>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5.2 耳标生产场地和主要设备</w:t>
      </w:r>
      <w:r>
        <w:rPr>
          <w:rFonts w:hint="eastAsia" w:ascii="宋体" w:hAnsi="宋体" w:cs="宋体"/>
          <w:color w:val="000000"/>
          <w:sz w:val="24"/>
          <w:szCs w:val="24"/>
          <w:highlight w:val="none"/>
        </w:rPr>
      </w:r>
      <w:r/>
    </w:p>
    <w:p>
      <w:pPr>
        <w:pStyle w:val="744"/>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按照《畜禽标识和养殖档案管理办法》（2006年农业农村部令第67号）要求执行。</w:t>
      </w:r>
      <w:r>
        <w:rPr>
          <w:rFonts w:hint="eastAsia" w:ascii="宋体" w:hAnsi="宋体" w:cs="宋体"/>
          <w:color w:val="000000"/>
          <w:sz w:val="24"/>
          <w:szCs w:val="24"/>
          <w:highlight w:val="none"/>
        </w:rPr>
      </w:r>
      <w:r/>
    </w:p>
    <w:p>
      <w:pPr>
        <w:pStyle w:val="744"/>
        <w:ind w:firstLine="482"/>
        <w:spacing w:line="360" w:lineRule="auto"/>
        <w:shd w:val="clear" w:color="auto" w:fill="auto"/>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5.3 耳标备品备件及耗材等要求</w:t>
      </w:r>
      <w:r>
        <w:rPr>
          <w:rFonts w:hint="eastAsia" w:ascii="宋体" w:hAnsi="宋体" w:cs="宋体"/>
          <w:color w:val="000000"/>
          <w:sz w:val="24"/>
          <w:szCs w:val="24"/>
          <w:highlight w:val="none"/>
        </w:rPr>
      </w:r>
      <w:r/>
    </w:p>
    <w:p>
      <w:pPr>
        <w:pStyle w:val="744"/>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耳标供应企业免费配送符合NY 534-2002《家畜用耳标及固定器》规定的耳标固定钳及针。根据采购人需求免费提供并保证供应。</w:t>
      </w:r>
      <w:r>
        <w:rPr>
          <w:rFonts w:hint="eastAsia" w:ascii="宋体" w:hAnsi="宋体" w:cs="宋体"/>
          <w:color w:val="000000"/>
          <w:sz w:val="24"/>
          <w:szCs w:val="24"/>
          <w:highlight w:val="none"/>
        </w:rPr>
      </w:r>
      <w:r/>
    </w:p>
    <w:p>
      <w:pPr>
        <w:pStyle w:val="744"/>
        <w:ind w:firstLine="482"/>
        <w:jc w:val="left"/>
        <w:spacing w:before="60" w:after="60" w:line="360" w:lineRule="auto"/>
        <w:shd w:val="clear" w:color="auto" w:fill="auto"/>
        <w:rPr>
          <w:rFonts w:hint="eastAsia" w:ascii="宋体" w:hAnsi="宋体" w:cs="宋体"/>
          <w:bCs/>
          <w:color w:val="000000"/>
          <w:sz w:val="24"/>
          <w:szCs w:val="24"/>
          <w:highlight w:val="none"/>
        </w:rPr>
        <w:outlineLvl w:val="1"/>
      </w:pPr>
      <w:r/>
      <w:bookmarkStart w:id="149" w:name="_Toc504995980"/>
      <w:r>
        <w:rPr>
          <w:rFonts w:hint="eastAsia" w:ascii="宋体" w:hAnsi="宋体" w:cs="宋体"/>
          <w:b/>
          <w:bCs/>
          <w:color w:val="000000"/>
          <w:sz w:val="24"/>
          <w:szCs w:val="24"/>
          <w:highlight w:val="none"/>
        </w:rPr>
        <w:t xml:space="preserve">五、疫苗商务条款</w:t>
      </w:r>
      <w:bookmarkEnd w:id="149"/>
      <w:r>
        <w:rPr>
          <w:rFonts w:hint="eastAsia" w:ascii="宋体" w:hAnsi="宋体" w:cs="宋体"/>
          <w:bCs/>
          <w:color w:val="000000"/>
          <w:sz w:val="24"/>
          <w:szCs w:val="24"/>
          <w:highlight w:val="none"/>
        </w:rPr>
      </w:r>
      <w:r/>
    </w:p>
    <w:p>
      <w:pPr>
        <w:pStyle w:val="744"/>
        <w:ind w:firstLine="482"/>
        <w:spacing w:line="360" w:lineRule="auto"/>
        <w:shd w:val="clear" w:color="auto" w:fill="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5.1 质保期</w:t>
      </w:r>
      <w:r>
        <w:rPr>
          <w:rFonts w:hint="eastAsia" w:ascii="宋体" w:hAnsi="宋体" w:cs="宋体"/>
          <w:b/>
          <w:color w:val="000000"/>
          <w:sz w:val="24"/>
          <w:szCs w:val="24"/>
          <w:highlight w:val="none"/>
        </w:rPr>
      </w:r>
      <w:r/>
    </w:p>
    <w:p>
      <w:pPr>
        <w:pStyle w:val="744"/>
        <w:ind w:firstLine="420"/>
        <w:spacing w:line="360" w:lineRule="auto"/>
        <w:shd w:val="clear" w:color="auto" w:fill="auto"/>
        <w:rPr>
          <w:rFonts w:ascii="宋体" w:hAnsi="宋体" w:cs="宋体"/>
          <w:color w:val="000000"/>
          <w:sz w:val="24"/>
          <w:szCs w:val="24"/>
          <w:highlight w:val="none"/>
        </w:rPr>
      </w:pPr>
      <w:r>
        <w:rPr>
          <w:rFonts w:ascii="宋体" w:hAnsi="宋体" w:cs="宋体"/>
          <w:color w:val="000000"/>
          <w:sz w:val="24"/>
          <w:szCs w:val="24"/>
          <w:highlight w:val="none"/>
        </w:rPr>
        <w:t xml:space="preserve">产品最终交到使用方的有效期在7个月（疫苗有效期为12个月的）和11个月（疫苗有效期为18个月的）以上（自交货验收合格之日起计）。</w:t>
      </w:r>
      <w:r>
        <w:rPr>
          <w:rFonts w:ascii="宋体" w:hAnsi="宋体" w:cs="宋体"/>
          <w:color w:val="000000"/>
          <w:sz w:val="24"/>
          <w:szCs w:val="24"/>
          <w:highlight w:val="none"/>
        </w:rPr>
      </w:r>
      <w:r/>
    </w:p>
    <w:p>
      <w:pPr>
        <w:pStyle w:val="744"/>
        <w:ind w:firstLine="482"/>
        <w:spacing w:line="360" w:lineRule="auto"/>
        <w:shd w:val="clear" w:color="auto" w:fill="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5.2 服务与培训</w:t>
      </w:r>
      <w:r>
        <w:rPr>
          <w:rFonts w:hint="eastAsia" w:ascii="宋体" w:hAnsi="宋体" w:cs="宋体"/>
          <w:b/>
          <w:color w:val="000000"/>
          <w:sz w:val="24"/>
          <w:szCs w:val="24"/>
          <w:highlight w:val="none"/>
        </w:rPr>
      </w:r>
      <w:r/>
    </w:p>
    <w:p>
      <w:pPr>
        <w:pStyle w:val="744"/>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5.2.1 投标人提供其产品详细的售前、售中、售后服务方案和免疫效果跟踪评价方案，内容包括所能提供的产品批量（无论量大小、规格大小均能按用户需求发货）、规格、有效期、存储和使用等环节。重点服务项目明确、服务内容量化，可操作性较强。</w:t>
      </w:r>
      <w:r>
        <w:rPr>
          <w:rFonts w:hint="eastAsia" w:ascii="宋体" w:hAnsi="宋体" w:cs="宋体"/>
          <w:color w:val="000000"/>
          <w:sz w:val="24"/>
          <w:szCs w:val="24"/>
          <w:highlight w:val="none"/>
        </w:rPr>
      </w:r>
      <w:r/>
    </w:p>
    <w:p>
      <w:pPr>
        <w:pStyle w:val="744"/>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5.2.2 投标人提供详细的应急处理方案，内容包括免疫副反应的处理、理赔，用户反映问题的处理，用户走访等。免疫副反应和用户反映问题处理及时、理赔手续简化快速，服务内容量化，可操作性较强。</w:t>
      </w:r>
      <w:r>
        <w:rPr>
          <w:rFonts w:hint="eastAsia" w:ascii="宋体" w:hAnsi="宋体" w:cs="宋体"/>
          <w:color w:val="000000"/>
          <w:sz w:val="24"/>
          <w:szCs w:val="24"/>
          <w:highlight w:val="none"/>
        </w:rPr>
      </w:r>
      <w:r/>
    </w:p>
    <w:p>
      <w:pPr>
        <w:pStyle w:val="744"/>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5.2.3 投标人提供包含冷链运输方式、全程温度管理、突发事件处理等方面的冷链运输方案。重点服务项目明确、服务内容量化，有利于冷链运输管理，可操作性较强。</w:t>
      </w:r>
      <w:r>
        <w:rPr>
          <w:rFonts w:hint="eastAsia" w:ascii="宋体" w:hAnsi="宋体" w:cs="宋体"/>
          <w:color w:val="000000"/>
          <w:sz w:val="24"/>
          <w:szCs w:val="24"/>
          <w:highlight w:val="none"/>
        </w:rPr>
      </w:r>
      <w:r/>
    </w:p>
    <w:p>
      <w:pPr>
        <w:pStyle w:val="744"/>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5.2.4 投标人提供废弃疫苗瓶回收、处理方案。包括回收的品种、数量等，如何处理回收的废弃疫苗瓶。重点服务项目明确、内容量化，符合环保部门要求，可操作性较强。</w:t>
      </w:r>
      <w:r>
        <w:rPr>
          <w:rFonts w:hint="eastAsia" w:ascii="宋体" w:hAnsi="宋体" w:cs="宋体"/>
          <w:color w:val="000000"/>
          <w:sz w:val="24"/>
          <w:szCs w:val="24"/>
          <w:highlight w:val="none"/>
        </w:rPr>
      </w:r>
      <w:r/>
    </w:p>
    <w:p>
      <w:pPr>
        <w:pStyle w:val="744"/>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5.2.5 投标人提供培训方案。内容包括培训的内容、师资力量、区域、计划等。培训内容符合当前重大动物疫病防控需求，内容新颖实用，服务内容量化，可操作性较强。</w:t>
      </w:r>
      <w:r>
        <w:rPr>
          <w:rFonts w:hint="eastAsia" w:ascii="宋体" w:hAnsi="宋体" w:cs="宋体"/>
          <w:color w:val="000000"/>
          <w:sz w:val="24"/>
          <w:szCs w:val="24"/>
          <w:highlight w:val="none"/>
        </w:rPr>
      </w:r>
      <w:r/>
    </w:p>
    <w:p>
      <w:pPr>
        <w:pStyle w:val="744"/>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5.2.6 投标人提供强制免疫“先打后补”实施方案。内容包括投标人对强制免疫“先打后补”政策实施过程中提供的实施方案、案例。能积极配合强制免疫先打后补工作。</w:t>
      </w:r>
      <w:r>
        <w:rPr>
          <w:rFonts w:hint="eastAsia" w:ascii="宋体" w:hAnsi="宋体" w:cs="宋体"/>
          <w:color w:val="000000"/>
          <w:sz w:val="24"/>
          <w:szCs w:val="24"/>
          <w:highlight w:val="none"/>
        </w:rPr>
      </w:r>
      <w:r/>
    </w:p>
    <w:p>
      <w:pPr>
        <w:pStyle w:val="744"/>
        <w:ind w:firstLine="480"/>
        <w:spacing w:line="360" w:lineRule="auto"/>
        <w:shd w:val="clear" w:color="auto" w:fill="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5.3 疫苗储备</w:t>
      </w:r>
      <w:r>
        <w:rPr>
          <w:rFonts w:hint="eastAsia" w:ascii="宋体" w:hAnsi="宋体" w:cs="宋体"/>
          <w:b/>
          <w:bCs/>
          <w:color w:val="000000"/>
          <w:sz w:val="24"/>
          <w:szCs w:val="24"/>
          <w:highlight w:val="none"/>
        </w:rPr>
      </w:r>
      <w:r/>
    </w:p>
    <w:p>
      <w:pPr>
        <w:pStyle w:val="744"/>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iCs/>
          <w:color w:val="000000"/>
          <w:sz w:val="24"/>
          <w:szCs w:val="24"/>
          <w:highlight w:val="none"/>
        </w:rPr>
        <w:t xml:space="preserve">乙方应按甲方本次采购总量的20%进行疫苗储备，并按甲方要求随时保证供应。如发生动用储备疫苗情况时，用苗量纳入当年供苗计划，并按合同价进行结算。</w:t>
      </w:r>
      <w:r>
        <w:rPr>
          <w:rFonts w:hint="eastAsia" w:ascii="宋体" w:hAnsi="宋体" w:cs="宋体"/>
          <w:color w:val="000000"/>
          <w:sz w:val="24"/>
          <w:szCs w:val="24"/>
          <w:highlight w:val="none"/>
        </w:rPr>
      </w:r>
      <w:r/>
    </w:p>
    <w:p>
      <w:pPr>
        <w:pStyle w:val="744"/>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w:t>
      </w:r>
      <w:r>
        <w:rPr>
          <w:rFonts w:hint="eastAsia" w:ascii="宋体" w:hAnsi="宋体" w:cs="宋体"/>
          <w:color w:val="000000"/>
          <w:spacing w:val="6"/>
          <w:sz w:val="24"/>
          <w:szCs w:val="24"/>
          <w:highlight w:val="none"/>
        </w:rPr>
        <w:t xml:space="preserve">农办牧</w:t>
      </w:r>
      <w:r>
        <w:rPr>
          <w:rFonts w:hint="eastAsia" w:ascii="宋体" w:hAnsi="宋体" w:cs="宋体"/>
          <w:color w:val="000000"/>
          <w:sz w:val="24"/>
          <w:szCs w:val="24"/>
          <w:highlight w:val="none"/>
        </w:rPr>
        <w:t xml:space="preserve">〔</w:t>
      </w:r>
      <w:r>
        <w:rPr>
          <w:rFonts w:hint="eastAsia" w:ascii="宋体" w:hAnsi="宋体" w:cs="宋体"/>
          <w:color w:val="000000"/>
          <w:spacing w:val="6"/>
          <w:sz w:val="24"/>
          <w:szCs w:val="24"/>
          <w:highlight w:val="none"/>
        </w:rPr>
        <w:t xml:space="preserve">2018</w:t>
      </w:r>
      <w:r>
        <w:rPr>
          <w:rFonts w:hint="eastAsia" w:ascii="宋体" w:hAnsi="宋体" w:cs="宋体"/>
          <w:color w:val="000000"/>
          <w:sz w:val="24"/>
          <w:szCs w:val="24"/>
          <w:highlight w:val="none"/>
        </w:rPr>
        <w:t xml:space="preserve">〕</w:t>
      </w:r>
      <w:r>
        <w:rPr>
          <w:rFonts w:hint="eastAsia" w:ascii="宋体" w:hAnsi="宋体" w:cs="宋体"/>
          <w:color w:val="000000"/>
          <w:spacing w:val="6"/>
          <w:sz w:val="24"/>
          <w:szCs w:val="24"/>
          <w:highlight w:val="none"/>
        </w:rPr>
        <w:t xml:space="preserve">74号</w:t>
      </w:r>
      <w:r>
        <w:rPr>
          <w:rFonts w:hint="eastAsia" w:ascii="宋体" w:hAnsi="宋体" w:cs="宋体"/>
          <w:color w:val="000000"/>
          <w:sz w:val="24"/>
          <w:szCs w:val="24"/>
          <w:highlight w:val="none"/>
        </w:rPr>
        <w:t xml:space="preserve">”</w:t>
      </w:r>
      <w:r>
        <w:rPr>
          <w:rFonts w:hint="eastAsia" w:ascii="宋体" w:hAnsi="宋体" w:cs="宋体"/>
          <w:color w:val="000000"/>
          <w:spacing w:val="6"/>
          <w:sz w:val="24"/>
          <w:szCs w:val="24"/>
          <w:highlight w:val="none"/>
        </w:rPr>
        <w:t xml:space="preserve">文件规定，</w:t>
      </w:r>
      <w:r>
        <w:rPr>
          <w:rFonts w:hint="eastAsia" w:ascii="宋体" w:hAnsi="宋体" w:cs="宋体"/>
          <w:color w:val="000000"/>
          <w:sz w:val="24"/>
          <w:szCs w:val="24"/>
          <w:highlight w:val="none"/>
        </w:rPr>
        <w:t xml:space="preserve">口蹄疫和高致病性禽流感产品投标人必须对其自身市场行为自律做出郑重承诺：同一批准文号的品种疫苗在江苏省不得出现不同标签和说明书的产品，一经发现，立即终止合同并承担约定的违约金。未对上述内容做出承诺的，将视为未实质性响应招标文件要求做无效标处理。</w:t>
      </w:r>
      <w:r>
        <w:rPr>
          <w:rFonts w:hint="eastAsia" w:ascii="宋体" w:hAnsi="宋体" w:cs="宋体"/>
          <w:color w:val="000000"/>
          <w:sz w:val="24"/>
          <w:szCs w:val="24"/>
          <w:highlight w:val="none"/>
        </w:rPr>
      </w:r>
      <w:r/>
    </w:p>
    <w:p>
      <w:pPr>
        <w:pStyle w:val="744"/>
        <w:ind w:firstLine="482"/>
        <w:spacing w:line="360" w:lineRule="auto"/>
        <w:shd w:val="clear" w:color="auto" w:fill="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5.4 货物验收</w:t>
      </w:r>
      <w:r>
        <w:rPr>
          <w:rFonts w:hint="eastAsia" w:ascii="宋体" w:hAnsi="宋体" w:cs="宋体"/>
          <w:b/>
          <w:bCs/>
          <w:color w:val="000000"/>
          <w:sz w:val="24"/>
          <w:szCs w:val="24"/>
          <w:highlight w:val="none"/>
        </w:rPr>
      </w:r>
      <w:r/>
    </w:p>
    <w:p>
      <w:pPr>
        <w:pStyle w:val="744"/>
        <w:ind w:firstLine="480"/>
        <w:spacing w:line="360" w:lineRule="auto"/>
        <w:shd w:val="clear" w:color="auto" w:fill="auto"/>
        <w:rPr>
          <w:rFonts w:hint="eastAsia" w:ascii="宋体" w:hAnsi="宋体" w:cs="宋体"/>
          <w:i/>
          <w:iCs/>
          <w:color w:val="000000"/>
          <w:sz w:val="24"/>
          <w:szCs w:val="24"/>
          <w:highlight w:val="none"/>
          <w:u w:val="single"/>
        </w:rPr>
      </w:pPr>
      <w:r>
        <w:rPr>
          <w:rFonts w:hint="eastAsia" w:ascii="宋体" w:hAnsi="宋体" w:cs="宋体"/>
          <w:color w:val="000000"/>
          <w:sz w:val="24"/>
          <w:szCs w:val="24"/>
          <w:highlight w:val="none"/>
        </w:rPr>
        <w:t xml:space="preserve">动物疫苗的验收，由送达地的动物疫病预防控制机构（部门）（以下简称收货方），根据动物疫苗有关质量要求等实施验收，并出具验收合格书面证明；交货时收货方对疫苗产品进行抽检，液态疫苗如发现产品有沉淀、混浊、分层、破乳等质变先兆，收货方拒收；上述凭现状的初步验收，不能解除在使用过程中供方对货物的内部缺陷应负的责任。</w:t>
      </w:r>
      <w:r>
        <w:rPr>
          <w:rFonts w:hint="eastAsia" w:ascii="宋体" w:hAnsi="宋体" w:cs="宋体"/>
          <w:i/>
          <w:iCs/>
          <w:color w:val="000000"/>
          <w:sz w:val="24"/>
          <w:szCs w:val="24"/>
          <w:highlight w:val="none"/>
          <w:u w:val="single"/>
        </w:rPr>
      </w:r>
      <w:r/>
    </w:p>
    <w:p>
      <w:pPr>
        <w:pStyle w:val="744"/>
        <w:ind w:firstLine="482"/>
        <w:spacing w:line="360" w:lineRule="auto"/>
        <w:shd w:val="clear" w:color="auto" w:fill="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5.5 合同部分内容</w:t>
      </w:r>
      <w:r>
        <w:rPr>
          <w:rFonts w:hint="eastAsia" w:ascii="宋体" w:hAnsi="宋体" w:cs="宋体"/>
          <w:b/>
          <w:color w:val="000000"/>
          <w:sz w:val="24"/>
          <w:szCs w:val="24"/>
          <w:highlight w:val="none"/>
        </w:rPr>
      </w:r>
      <w:r/>
    </w:p>
    <w:p>
      <w:pPr>
        <w:pStyle w:val="744"/>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5.5.1 交货期、交货方式及交货地点</w:t>
      </w:r>
      <w:r>
        <w:rPr>
          <w:rFonts w:hint="eastAsia" w:ascii="宋体" w:hAnsi="宋体" w:cs="宋体"/>
          <w:color w:val="000000"/>
          <w:sz w:val="24"/>
          <w:szCs w:val="24"/>
          <w:highlight w:val="none"/>
        </w:rPr>
      </w:r>
      <w:r/>
    </w:p>
    <w:p>
      <w:pPr>
        <w:pStyle w:val="744"/>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5.5.1.1 交货期：接供货通知后，五日内发货；</w:t>
      </w:r>
      <w:r>
        <w:rPr>
          <w:rFonts w:hint="eastAsia" w:ascii="宋体" w:hAnsi="宋体" w:cs="宋体"/>
          <w:color w:val="000000"/>
          <w:sz w:val="24"/>
          <w:szCs w:val="24"/>
          <w:highlight w:val="none"/>
        </w:rPr>
      </w:r>
      <w:r/>
    </w:p>
    <w:p>
      <w:pPr>
        <w:pStyle w:val="744"/>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5.5.1.2 交货方式：按照疫苗的运输管理具体要求，快速送达交货地点。</w:t>
      </w:r>
      <w:r>
        <w:rPr>
          <w:rFonts w:hint="eastAsia" w:ascii="宋体" w:hAnsi="宋体" w:cs="宋体"/>
          <w:color w:val="000000"/>
          <w:sz w:val="24"/>
          <w:szCs w:val="24"/>
          <w:highlight w:val="none"/>
        </w:rPr>
      </w:r>
      <w:r/>
    </w:p>
    <w:p>
      <w:pPr>
        <w:pStyle w:val="744"/>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5.5.1.3 交货地点：收货方指定地点。</w:t>
      </w:r>
      <w:r>
        <w:rPr>
          <w:rFonts w:hint="eastAsia" w:ascii="宋体" w:hAnsi="宋体" w:cs="宋体"/>
          <w:color w:val="000000"/>
          <w:sz w:val="24"/>
          <w:szCs w:val="24"/>
          <w:highlight w:val="none"/>
        </w:rPr>
      </w:r>
      <w:r/>
    </w:p>
    <w:p>
      <w:pPr>
        <w:pStyle w:val="744"/>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5.5.2 </w:t>
      </w:r>
      <w:r>
        <w:rPr>
          <w:rFonts w:hint="eastAsia" w:ascii="宋体" w:hAnsi="宋体" w:cs="宋体"/>
          <w:b/>
          <w:bCs/>
          <w:color w:val="000000"/>
          <w:sz w:val="24"/>
          <w:szCs w:val="24"/>
          <w:highlight w:val="none"/>
        </w:rPr>
        <w:t xml:space="preserve">货款支付</w:t>
      </w:r>
      <w:r>
        <w:rPr>
          <w:rFonts w:hint="eastAsia" w:ascii="宋体" w:hAnsi="宋体" w:cs="宋体"/>
          <w:color w:val="000000"/>
          <w:sz w:val="24"/>
          <w:szCs w:val="24"/>
          <w:highlight w:val="none"/>
        </w:rPr>
      </w:r>
      <w:r/>
    </w:p>
    <w:p>
      <w:pPr>
        <w:pStyle w:val="744"/>
        <w:ind w:firstLine="422"/>
        <w:spacing w:line="360" w:lineRule="auto"/>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合同签订后，收到供应商发票之日起10个工作日内，付合同价的30%作为预付款，待全部货物供货完成且验收合格后付至合同款的90%，余款10%在全部供货完成满一年且产品无质量问题及其他纠纷后支付（按以上进度付款无任何利息补偿，甲方在收到乙方发票且财政资金全部到账后30日内完成支付）。</w:t>
      </w:r>
      <w:r>
        <w:rPr>
          <w:rFonts w:hint="eastAsia" w:ascii="宋体" w:hAnsi="宋体" w:cs="宋体"/>
          <w:b/>
          <w:bCs/>
          <w:color w:val="000000"/>
          <w:sz w:val="24"/>
          <w:highlight w:val="none"/>
        </w:rPr>
      </w:r>
      <w:r/>
    </w:p>
    <w:p>
      <w:pPr>
        <w:pStyle w:val="744"/>
        <w:ind w:firstLine="422"/>
        <w:spacing w:line="360" w:lineRule="auto"/>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合同款一律通过银行非现金结算，结算方式：转账。</w:t>
      </w:r>
      <w:r>
        <w:rPr>
          <w:rFonts w:hint="eastAsia" w:ascii="宋体" w:hAnsi="宋体" w:cs="宋体"/>
          <w:b/>
          <w:bCs/>
          <w:color w:val="000000"/>
          <w:sz w:val="24"/>
          <w:highlight w:val="none"/>
        </w:rPr>
      </w:r>
      <w:r/>
    </w:p>
    <w:p>
      <w:pPr>
        <w:pStyle w:val="744"/>
        <w:ind w:firstLine="422"/>
        <w:spacing w:line="360" w:lineRule="auto"/>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注:在签订合同时，成交人明确表示无需预付款或者主动要求降低预付款比例的金额，采购人可不适用预付款规定。</w:t>
      </w:r>
      <w:r>
        <w:rPr>
          <w:rFonts w:hint="eastAsia" w:ascii="宋体" w:hAnsi="宋体" w:cs="宋体"/>
          <w:b/>
          <w:bCs/>
          <w:color w:val="000000"/>
          <w:sz w:val="24"/>
          <w:highlight w:val="none"/>
        </w:rPr>
      </w:r>
      <w:r/>
    </w:p>
    <w:p>
      <w:pPr>
        <w:pStyle w:val="744"/>
        <w:ind w:firstLine="482"/>
        <w:jc w:val="left"/>
        <w:spacing w:before="60" w:after="60" w:line="360" w:lineRule="auto"/>
        <w:shd w:val="clear" w:color="auto" w:fill="auto"/>
        <w:rPr>
          <w:rFonts w:hint="eastAsia" w:ascii="宋体" w:hAnsi="宋体" w:cs="宋体"/>
          <w:b/>
          <w:bCs/>
          <w:color w:val="000000"/>
          <w:sz w:val="24"/>
          <w:szCs w:val="24"/>
          <w:highlight w:val="none"/>
        </w:rPr>
        <w:outlineLvl w:val="1"/>
      </w:pPr>
      <w:r>
        <w:rPr>
          <w:rFonts w:hint="eastAsia" w:ascii="宋体" w:hAnsi="宋体" w:cs="宋体"/>
          <w:b/>
          <w:bCs/>
          <w:color w:val="000000"/>
          <w:sz w:val="24"/>
          <w:szCs w:val="24"/>
          <w:highlight w:val="none"/>
        </w:rPr>
        <w:t xml:space="preserve">六、耳标商务条款</w:t>
      </w:r>
      <w:r>
        <w:rPr>
          <w:rFonts w:hint="eastAsia" w:ascii="宋体" w:hAnsi="宋体" w:cs="宋体"/>
          <w:b/>
          <w:bCs/>
          <w:color w:val="000000"/>
          <w:sz w:val="24"/>
          <w:szCs w:val="24"/>
          <w:highlight w:val="none"/>
        </w:rPr>
      </w:r>
      <w:r/>
    </w:p>
    <w:p>
      <w:pPr>
        <w:pStyle w:val="744"/>
        <w:ind w:firstLine="482"/>
        <w:jc w:val="left"/>
        <w:spacing w:line="360" w:lineRule="auto"/>
        <w:shd w:val="clear" w:color="auto" w:fill="auto"/>
        <w:widowControl/>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highlight w:val="none"/>
          <w:shd w:val="clear" w:color="auto" w:fill="ffffff"/>
          <w:lang w:bidi="ar"/>
        </w:rPr>
        <w:t xml:space="preserve">6.1 质保期</w:t>
      </w:r>
      <w:r>
        <w:rPr>
          <w:rFonts w:hint="eastAsia" w:ascii="宋体" w:hAnsi="宋体" w:cs="宋体"/>
          <w:color w:val="000000"/>
          <w:sz w:val="24"/>
          <w:szCs w:val="24"/>
          <w:highlight w:val="none"/>
        </w:rPr>
      </w:r>
      <w:r/>
    </w:p>
    <w:p>
      <w:pPr>
        <w:pStyle w:val="744"/>
        <w:ind w:firstLine="480"/>
        <w:jc w:val="left"/>
        <w:spacing w:line="360" w:lineRule="auto"/>
        <w:shd w:val="clear" w:color="auto" w:fill="auto"/>
        <w:widowControl/>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shd w:val="clear" w:color="auto" w:fill="ffffff"/>
          <w:lang w:bidi="ar"/>
        </w:rPr>
        <w:t xml:space="preserve">产品最终交到使用方的有效期在12个月以上（自交货验收合格之日起计）。</w:t>
      </w:r>
      <w:r>
        <w:rPr>
          <w:rFonts w:hint="eastAsia" w:ascii="宋体" w:hAnsi="宋体" w:cs="宋体"/>
          <w:color w:val="000000"/>
          <w:sz w:val="24"/>
          <w:szCs w:val="24"/>
          <w:highlight w:val="none"/>
        </w:rPr>
      </w:r>
      <w:r/>
    </w:p>
    <w:p>
      <w:pPr>
        <w:pStyle w:val="744"/>
        <w:ind w:firstLine="482"/>
        <w:jc w:val="left"/>
        <w:spacing w:line="360" w:lineRule="auto"/>
        <w:shd w:val="clear" w:color="auto" w:fill="auto"/>
        <w:widowControl/>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highlight w:val="none"/>
          <w:shd w:val="clear" w:color="auto" w:fill="ffffff"/>
          <w:lang w:bidi="ar"/>
        </w:rPr>
        <w:t xml:space="preserve">6.2 规格和包装</w:t>
      </w:r>
      <w:r>
        <w:rPr>
          <w:rFonts w:hint="eastAsia" w:ascii="宋体" w:hAnsi="宋体" w:cs="宋体"/>
          <w:color w:val="000000"/>
          <w:sz w:val="24"/>
          <w:szCs w:val="24"/>
          <w:highlight w:val="none"/>
        </w:rPr>
      </w:r>
      <w:r/>
    </w:p>
    <w:p>
      <w:pPr>
        <w:pStyle w:val="744"/>
        <w:ind w:firstLine="480"/>
        <w:jc w:val="left"/>
        <w:spacing w:line="360" w:lineRule="auto"/>
        <w:shd w:val="clear" w:color="auto" w:fill="auto"/>
        <w:widowControl/>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shd w:val="clear" w:color="auto" w:fill="ffffff"/>
          <w:lang w:bidi="ar"/>
        </w:rPr>
        <w:t xml:space="preserve">所供耳标连号（不缺号），猪标每16个连号耳标为一个小袋，羊标每20个连号耳标为一小袋，小袋上需标注包装袋的顺序号和袋里耳标的号段，并在外包装箱内按顺序摆放。在外包装箱上根据号段标注该箱顺序号的标签。内外包装符合国家有关规定，未经授权同意，不得擅自使用兽医部门（机构）名称。</w:t>
      </w:r>
      <w:r>
        <w:rPr>
          <w:rFonts w:hint="eastAsia" w:ascii="宋体" w:hAnsi="宋体" w:cs="宋体"/>
          <w:color w:val="000000"/>
          <w:sz w:val="24"/>
          <w:szCs w:val="24"/>
          <w:highlight w:val="none"/>
        </w:rPr>
      </w:r>
      <w:r/>
    </w:p>
    <w:p>
      <w:pPr>
        <w:pStyle w:val="744"/>
        <w:ind w:firstLine="482"/>
        <w:jc w:val="left"/>
        <w:spacing w:line="360" w:lineRule="auto"/>
        <w:shd w:val="clear" w:color="auto" w:fill="auto"/>
        <w:widowControl/>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highlight w:val="none"/>
          <w:shd w:val="clear" w:color="auto" w:fill="ffffff"/>
          <w:lang w:bidi="ar"/>
        </w:rPr>
        <w:t xml:space="preserve">6.3 服务与培训</w:t>
      </w:r>
      <w:r>
        <w:rPr>
          <w:rFonts w:hint="eastAsia" w:ascii="宋体" w:hAnsi="宋体" w:cs="宋体"/>
          <w:color w:val="000000"/>
          <w:sz w:val="24"/>
          <w:szCs w:val="24"/>
          <w:highlight w:val="none"/>
        </w:rPr>
      </w:r>
      <w:r/>
    </w:p>
    <w:p>
      <w:pPr>
        <w:pStyle w:val="744"/>
        <w:ind w:firstLine="480"/>
        <w:jc w:val="left"/>
        <w:spacing w:line="360" w:lineRule="auto"/>
        <w:shd w:val="clear" w:color="auto" w:fill="auto"/>
        <w:widowControl/>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shd w:val="clear" w:color="auto" w:fill="ffffff"/>
          <w:lang w:bidi="ar"/>
        </w:rPr>
        <w:t xml:space="preserve">6.3.1 投标人提供其产品详细的售前、售中、售后服务方案和产品使用跟踪评价方案，内容包括所能提供的产品批量（无论需求量大小均能按用户需求发货）、规格、有效期、存储和使用等环节。重点服务项目明确、服务内容量化，可操作性较强。</w:t>
      </w:r>
      <w:r>
        <w:rPr>
          <w:rFonts w:hint="eastAsia" w:ascii="宋体" w:hAnsi="宋体" w:cs="宋体"/>
          <w:color w:val="000000"/>
          <w:sz w:val="24"/>
          <w:szCs w:val="24"/>
          <w:highlight w:val="none"/>
        </w:rPr>
      </w:r>
      <w:r/>
    </w:p>
    <w:p>
      <w:pPr>
        <w:pStyle w:val="744"/>
        <w:ind w:firstLine="480"/>
        <w:jc w:val="left"/>
        <w:spacing w:line="360" w:lineRule="auto"/>
        <w:shd w:val="clear" w:color="auto" w:fill="auto"/>
        <w:widowControl/>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shd w:val="clear" w:color="auto" w:fill="ffffff"/>
          <w:lang w:bidi="ar"/>
        </w:rPr>
        <w:t xml:space="preserve">6.3.2 投标人提供详细的应急处理方案，内容包括用户反映问题的处理，用户走访等。用户反映问题及异常掉标、断标、碎标等问题的及时处理，可操作性较强。</w:t>
      </w:r>
      <w:r>
        <w:rPr>
          <w:rFonts w:hint="eastAsia" w:ascii="宋体" w:hAnsi="宋体" w:cs="宋体"/>
          <w:color w:val="000000"/>
          <w:sz w:val="24"/>
          <w:szCs w:val="24"/>
          <w:highlight w:val="none"/>
        </w:rPr>
      </w:r>
      <w:r/>
    </w:p>
    <w:p>
      <w:pPr>
        <w:pStyle w:val="744"/>
        <w:ind w:firstLine="480"/>
        <w:jc w:val="left"/>
        <w:spacing w:line="360" w:lineRule="auto"/>
        <w:shd w:val="clear" w:color="auto" w:fill="auto"/>
        <w:widowControl/>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shd w:val="clear" w:color="auto" w:fill="ffffff"/>
          <w:lang w:bidi="ar"/>
        </w:rPr>
        <w:t xml:space="preserve">6.3.3 投标人提供用户回收耳标（已在</w:t>
      </w:r>
      <w:r>
        <w:rPr>
          <w:rFonts w:hint="eastAsia" w:ascii="宋体" w:hAnsi="宋体" w:cs="宋体"/>
          <w:color w:val="000000"/>
          <w:spacing w:val="-7"/>
          <w:sz w:val="24"/>
          <w:szCs w:val="24"/>
          <w:highlight w:val="none"/>
          <w:shd w:val="clear" w:color="auto" w:fill="ffffff"/>
          <w:lang w:bidi="ar"/>
        </w:rPr>
        <w:t xml:space="preserve">全国兽医卫生综合信息平台</w:t>
      </w:r>
      <w:r>
        <w:rPr>
          <w:rFonts w:hint="eastAsia" w:ascii="宋体" w:hAnsi="宋体" w:cs="宋体"/>
          <w:color w:val="000000"/>
          <w:sz w:val="24"/>
          <w:szCs w:val="24"/>
          <w:highlight w:val="none"/>
          <w:shd w:val="clear" w:color="auto" w:fill="ffffff"/>
          <w:lang w:bidi="ar"/>
        </w:rPr>
        <w:t xml:space="preserve">注销）后的销毁方案，内容包括回收耳标的运输、销毁、全程监控等服务。服务项目明确，内容量化，符合环保部门要求，可操作性较强。</w:t>
      </w:r>
      <w:r>
        <w:rPr>
          <w:rFonts w:hint="eastAsia" w:ascii="宋体" w:hAnsi="宋体" w:cs="宋体"/>
          <w:color w:val="000000"/>
          <w:sz w:val="24"/>
          <w:szCs w:val="24"/>
          <w:highlight w:val="none"/>
        </w:rPr>
      </w:r>
      <w:r/>
    </w:p>
    <w:p>
      <w:pPr>
        <w:pStyle w:val="744"/>
        <w:ind w:firstLine="480"/>
        <w:jc w:val="left"/>
        <w:spacing w:line="360" w:lineRule="auto"/>
        <w:shd w:val="clear" w:color="auto" w:fill="auto"/>
        <w:widowControl/>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shd w:val="clear" w:color="auto" w:fill="ffffff"/>
          <w:lang w:bidi="ar"/>
        </w:rPr>
        <w:t xml:space="preserve">6.3.4投标人提供其产品的使用效果调查方案，内容包括</w:t>
      </w:r>
      <w:r>
        <w:rPr>
          <w:rFonts w:hint="eastAsia" w:ascii="宋体" w:hAnsi="宋体" w:cs="宋体"/>
          <w:color w:val="000000"/>
          <w:spacing w:val="-9"/>
          <w:sz w:val="24"/>
          <w:szCs w:val="24"/>
          <w:highlight w:val="none"/>
          <w:shd w:val="clear" w:color="auto" w:fill="ffffff"/>
          <w:lang w:bidi="ar"/>
        </w:rPr>
        <w:t xml:space="preserve">耳标检测方案（主动送检、抽检）、用户评价、市县疫控部门评价等，</w:t>
      </w:r>
      <w:r>
        <w:rPr>
          <w:rFonts w:hint="eastAsia" w:ascii="宋体" w:hAnsi="宋体" w:cs="宋体"/>
          <w:color w:val="000000"/>
          <w:sz w:val="24"/>
          <w:szCs w:val="24"/>
          <w:highlight w:val="none"/>
          <w:shd w:val="clear" w:color="auto" w:fill="ffffff"/>
          <w:lang w:bidi="ar"/>
        </w:rPr>
        <w:t xml:space="preserve">重点服务项目明确、服务内容量化，可操作性较强。</w:t>
      </w:r>
      <w:r>
        <w:rPr>
          <w:rFonts w:hint="eastAsia" w:ascii="宋体" w:hAnsi="宋体" w:cs="宋体"/>
          <w:color w:val="000000"/>
          <w:sz w:val="24"/>
          <w:szCs w:val="24"/>
          <w:highlight w:val="none"/>
        </w:rPr>
      </w:r>
      <w:r/>
    </w:p>
    <w:p>
      <w:pPr>
        <w:pStyle w:val="744"/>
        <w:ind w:firstLine="480"/>
        <w:jc w:val="left"/>
        <w:spacing w:line="360" w:lineRule="auto"/>
        <w:shd w:val="clear" w:color="auto" w:fill="auto"/>
        <w:widowControl/>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shd w:val="clear" w:color="auto" w:fill="ffffff"/>
          <w:lang w:bidi="ar"/>
        </w:rPr>
        <w:t xml:space="preserve">6.3.6 投标人提供培训方案。内容包括培训的内容、师资力量、区域、时间计划等。培训内容符合当前耳标管理需求，内容规范实用。</w:t>
      </w:r>
      <w:r>
        <w:rPr>
          <w:rFonts w:hint="eastAsia" w:ascii="宋体" w:hAnsi="宋体" w:cs="宋体"/>
          <w:color w:val="000000"/>
          <w:sz w:val="24"/>
          <w:szCs w:val="24"/>
          <w:highlight w:val="none"/>
        </w:rPr>
      </w:r>
      <w:r/>
    </w:p>
    <w:p>
      <w:pPr>
        <w:pStyle w:val="744"/>
        <w:ind w:firstLine="482"/>
        <w:jc w:val="left"/>
        <w:spacing w:line="360" w:lineRule="auto"/>
        <w:shd w:val="clear" w:color="auto" w:fill="auto"/>
        <w:widowControl/>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highlight w:val="none"/>
          <w:shd w:val="clear" w:color="auto" w:fill="ffffff"/>
          <w:lang w:bidi="ar"/>
        </w:rPr>
        <w:t xml:space="preserve">6.4 货物验收</w:t>
      </w:r>
      <w:r>
        <w:rPr>
          <w:rFonts w:hint="eastAsia" w:ascii="宋体" w:hAnsi="宋体" w:cs="宋体"/>
          <w:color w:val="000000"/>
          <w:sz w:val="24"/>
          <w:szCs w:val="24"/>
          <w:highlight w:val="none"/>
        </w:rPr>
      </w:r>
      <w:r/>
    </w:p>
    <w:p>
      <w:pPr>
        <w:pStyle w:val="744"/>
        <w:ind w:firstLine="480"/>
        <w:jc w:val="left"/>
        <w:spacing w:line="360" w:lineRule="auto"/>
        <w:shd w:val="clear" w:color="auto" w:fill="auto"/>
        <w:widowControl/>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shd w:val="clear" w:color="auto" w:fill="ffffff"/>
          <w:lang w:bidi="ar"/>
        </w:rPr>
        <w:t xml:space="preserve">由送达地的动物疫病预防控制机构，根据有关要求实施验收，并出具验收合格书面证明。</w:t>
      </w:r>
      <w:r>
        <w:rPr>
          <w:rFonts w:hint="eastAsia" w:ascii="宋体" w:hAnsi="宋体" w:cs="宋体"/>
          <w:color w:val="000000"/>
          <w:sz w:val="24"/>
          <w:szCs w:val="24"/>
          <w:highlight w:val="none"/>
        </w:rPr>
      </w:r>
      <w:r/>
    </w:p>
    <w:p>
      <w:pPr>
        <w:pStyle w:val="744"/>
        <w:jc w:val="left"/>
        <w:spacing w:before="60" w:after="60" w:line="460" w:lineRule="exact"/>
        <w:shd w:val="clear" w:color="auto" w:fill="auto"/>
        <w:rPr>
          <w:rFonts w:hint="eastAsia" w:ascii="宋体" w:hAnsi="宋体" w:cs="宋体"/>
          <w:b/>
          <w:bCs/>
          <w:color w:val="000000"/>
          <w:sz w:val="24"/>
          <w:szCs w:val="24"/>
          <w:highlight w:val="none"/>
        </w:rPr>
        <w:outlineLvl w:val="1"/>
      </w:pPr>
      <w:r>
        <w:rPr>
          <w:rFonts w:hint="eastAsia" w:ascii="宋体" w:hAnsi="宋体" w:cs="宋体"/>
          <w:b/>
          <w:bCs/>
          <w:color w:val="000000"/>
          <w:sz w:val="24"/>
          <w:szCs w:val="24"/>
          <w:highlight w:val="none"/>
        </w:rPr>
        <w:t xml:space="preserve">七、疫苗耳标招标控制价</w:t>
      </w:r>
      <w:r>
        <w:rPr>
          <w:rFonts w:hint="eastAsia" w:ascii="宋体" w:hAnsi="宋体" w:cs="宋体"/>
          <w:b/>
          <w:bCs/>
          <w:color w:val="000000"/>
          <w:sz w:val="24"/>
          <w:szCs w:val="24"/>
          <w:highlight w:val="none"/>
        </w:rPr>
      </w:r>
      <w:r/>
    </w:p>
    <w:tbl>
      <w:tblPr>
        <w:tblW w:w="694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3098"/>
        <w:gridCol w:w="1824"/>
        <w:gridCol w:w="1068"/>
      </w:tblGrid>
      <w:tr>
        <w:trPr>
          <w:trHeight w:val="902"/>
        </w:trPr>
        <w:tc>
          <w:tcPr>
            <w:tcW w:w="958" w:type="dxa"/>
            <w:vAlign w:val="center"/>
            <w:textDirection w:val="lrTb"/>
            <w:noWrap w:val="false"/>
          </w:tcPr>
          <w:p>
            <w:pPr>
              <w:pStyle w:val="744"/>
              <w:jc w:val="center"/>
              <w:spacing w:line="240" w:lineRule="exact"/>
              <w:shd w:val="clear" w:color="auto" w:fill="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序号</w:t>
            </w:r>
            <w:r>
              <w:rPr>
                <w:rFonts w:hint="eastAsia" w:ascii="宋体" w:hAnsi="宋体" w:cs="宋体"/>
                <w:b/>
                <w:bCs/>
                <w:color w:val="000000"/>
                <w:sz w:val="24"/>
                <w:szCs w:val="24"/>
                <w:highlight w:val="none"/>
              </w:rPr>
            </w:r>
            <w:r/>
          </w:p>
        </w:tc>
        <w:tc>
          <w:tcPr>
            <w:tcW w:w="3098" w:type="dxa"/>
            <w:vAlign w:val="center"/>
            <w:textDirection w:val="lrTb"/>
            <w:noWrap w:val="false"/>
          </w:tcPr>
          <w:p>
            <w:pPr>
              <w:pStyle w:val="744"/>
              <w:jc w:val="center"/>
              <w:spacing w:line="240" w:lineRule="exact"/>
              <w:shd w:val="clear" w:color="auto" w:fill="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物品名称</w:t>
            </w:r>
            <w:r>
              <w:rPr>
                <w:rFonts w:hint="eastAsia" w:ascii="宋体" w:hAnsi="宋体" w:cs="宋体"/>
                <w:b/>
                <w:bCs/>
                <w:color w:val="000000"/>
                <w:sz w:val="24"/>
                <w:szCs w:val="24"/>
                <w:highlight w:val="none"/>
              </w:rPr>
            </w:r>
            <w:r/>
          </w:p>
        </w:tc>
        <w:tc>
          <w:tcPr>
            <w:tcW w:w="1824" w:type="dxa"/>
            <w:vAlign w:val="center"/>
            <w:textDirection w:val="lrTb"/>
            <w:noWrap w:val="false"/>
          </w:tcPr>
          <w:p>
            <w:pPr>
              <w:pStyle w:val="744"/>
              <w:jc w:val="center"/>
              <w:spacing w:line="240" w:lineRule="exact"/>
              <w:shd w:val="clear" w:color="auto" w:fill="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招标</w:t>
            </w:r>
            <w:r>
              <w:rPr>
                <w:rFonts w:hint="eastAsia" w:ascii="宋体" w:hAnsi="宋体" w:cs="宋体"/>
                <w:b/>
                <w:bCs/>
                <w:color w:val="000000"/>
                <w:sz w:val="24"/>
                <w:szCs w:val="24"/>
                <w:highlight w:val="none"/>
              </w:rPr>
              <w:t xml:space="preserve">控制</w:t>
            </w:r>
            <w:r>
              <w:rPr>
                <w:rFonts w:hint="eastAsia" w:ascii="宋体" w:hAnsi="宋体" w:cs="宋体"/>
                <w:b/>
                <w:bCs/>
                <w:color w:val="000000"/>
                <w:sz w:val="24"/>
                <w:szCs w:val="24"/>
                <w:highlight w:val="none"/>
              </w:rPr>
              <w:t xml:space="preserve">单价</w:t>
            </w:r>
            <w:r>
              <w:rPr>
                <w:rFonts w:hint="eastAsia" w:ascii="宋体" w:hAnsi="宋体" w:cs="宋体"/>
                <w:b/>
                <w:bCs/>
                <w:color w:val="000000"/>
                <w:sz w:val="24"/>
                <w:szCs w:val="24"/>
                <w:highlight w:val="none"/>
              </w:rPr>
              <w:t xml:space="preserve">限价</w:t>
            </w:r>
            <w:r>
              <w:rPr>
                <w:rFonts w:hint="eastAsia" w:ascii="宋体" w:hAnsi="宋体" w:cs="宋体"/>
                <w:b/>
                <w:bCs/>
                <w:color w:val="000000"/>
                <w:sz w:val="24"/>
                <w:szCs w:val="24"/>
                <w:highlight w:val="none"/>
              </w:rPr>
            </w:r>
            <w:r/>
          </w:p>
        </w:tc>
        <w:tc>
          <w:tcPr>
            <w:tcW w:w="1068" w:type="dxa"/>
            <w:vAlign w:val="center"/>
            <w:textDirection w:val="lrTb"/>
            <w:noWrap w:val="false"/>
          </w:tcPr>
          <w:p>
            <w:pPr>
              <w:pStyle w:val="744"/>
              <w:jc w:val="center"/>
              <w:spacing w:line="240" w:lineRule="exact"/>
              <w:shd w:val="clear" w:color="auto" w:fill="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单位</w:t>
            </w:r>
            <w:r>
              <w:rPr>
                <w:rFonts w:hint="eastAsia" w:ascii="宋体" w:hAnsi="宋体" w:cs="宋体"/>
                <w:b/>
                <w:bCs/>
                <w:color w:val="000000"/>
                <w:sz w:val="24"/>
                <w:szCs w:val="24"/>
                <w:highlight w:val="none"/>
              </w:rPr>
            </w:r>
            <w:r/>
          </w:p>
        </w:tc>
      </w:tr>
      <w:tr>
        <w:trPr>
          <w:trHeight w:val="698"/>
        </w:trPr>
        <w:tc>
          <w:tcPr>
            <w:tcW w:w="958" w:type="dxa"/>
            <w:vAlign w:val="center"/>
            <w:textDirection w:val="lrTb"/>
            <w:noWrap w:val="false"/>
          </w:tcPr>
          <w:p>
            <w:pPr>
              <w:pStyle w:val="744"/>
              <w:jc w:val="center"/>
              <w:spacing w:line="24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shd w:val="clear" w:color="auto" w:fill="ffffff"/>
                <w:lang w:bidi="ar"/>
              </w:rPr>
              <w:t xml:space="preserve">1</w:t>
            </w:r>
            <w:r>
              <w:rPr>
                <w:rFonts w:hint="eastAsia" w:ascii="宋体" w:hAnsi="宋体" w:cs="宋体"/>
                <w:color w:val="000000"/>
                <w:sz w:val="24"/>
                <w:szCs w:val="24"/>
                <w:highlight w:val="none"/>
              </w:rPr>
            </w:r>
            <w:r/>
          </w:p>
        </w:tc>
        <w:tc>
          <w:tcPr>
            <w:tcW w:w="3098" w:type="dxa"/>
            <w:vAlign w:val="center"/>
            <w:textDirection w:val="lrTb"/>
            <w:noWrap w:val="false"/>
          </w:tcPr>
          <w:p>
            <w:pPr>
              <w:pStyle w:val="744"/>
              <w:jc w:val="left"/>
              <w:spacing w:line="240" w:lineRule="exact"/>
              <w:shd w:val="clear" w:color="auto" w:fill="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重组禽流感病毒(H5+H7)三价灭活疫苗</w:t>
            </w:r>
            <w:r>
              <w:rPr>
                <w:rFonts w:hint="eastAsia" w:ascii="宋体" w:hAnsi="宋体" w:cs="宋体"/>
                <w:color w:val="000000"/>
                <w:sz w:val="24"/>
                <w:szCs w:val="24"/>
                <w:highlight w:val="none"/>
              </w:rPr>
            </w:r>
            <w:r/>
          </w:p>
        </w:tc>
        <w:tc>
          <w:tcPr>
            <w:tcW w:w="1824" w:type="dxa"/>
            <w:vAlign w:val="center"/>
            <w:textDirection w:val="lrTb"/>
            <w:noWrap w:val="false"/>
          </w:tcPr>
          <w:p>
            <w:pPr>
              <w:pStyle w:val="744"/>
              <w:spacing w:line="240" w:lineRule="exact"/>
              <w:shd w:val="clear" w:color="auto" w:fill="auto"/>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0.2800</w:t>
            </w:r>
            <w:r>
              <w:rPr>
                <w:rFonts w:hint="eastAsia" w:ascii="宋体" w:hAnsi="宋体" w:cs="宋体"/>
                <w:bCs/>
                <w:color w:val="000000"/>
                <w:sz w:val="24"/>
                <w:szCs w:val="24"/>
                <w:highlight w:val="none"/>
              </w:rPr>
            </w:r>
            <w:r/>
          </w:p>
        </w:tc>
        <w:tc>
          <w:tcPr>
            <w:tcW w:w="1068" w:type="dxa"/>
            <w:vAlign w:val="center"/>
            <w:textDirection w:val="lrTb"/>
            <w:noWrap w:val="false"/>
          </w:tcPr>
          <w:p>
            <w:pPr>
              <w:pStyle w:val="744"/>
              <w:jc w:val="center"/>
              <w:spacing w:line="240" w:lineRule="exact"/>
              <w:shd w:val="clear" w:color="auto" w:fill="auto"/>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元/毫升</w:t>
            </w:r>
            <w:r>
              <w:rPr>
                <w:rFonts w:hint="eastAsia" w:ascii="宋体" w:hAnsi="宋体" w:cs="宋体"/>
                <w:bCs/>
                <w:color w:val="000000"/>
                <w:sz w:val="24"/>
                <w:szCs w:val="24"/>
                <w:highlight w:val="none"/>
              </w:rPr>
            </w:r>
            <w:r/>
          </w:p>
        </w:tc>
      </w:tr>
      <w:tr>
        <w:trPr>
          <w:trHeight w:val="710"/>
        </w:trPr>
        <w:tc>
          <w:tcPr>
            <w:tcW w:w="958" w:type="dxa"/>
            <w:vAlign w:val="center"/>
            <w:textDirection w:val="lrTb"/>
            <w:noWrap w:val="false"/>
          </w:tcPr>
          <w:p>
            <w:pPr>
              <w:pStyle w:val="744"/>
              <w:jc w:val="center"/>
              <w:spacing w:line="240" w:lineRule="exact"/>
              <w:shd w:val="clear" w:color="auto" w:fill="auto"/>
              <w:rPr>
                <w:rFonts w:hint="eastAsia" w:ascii="宋体" w:hAnsi="宋体" w:cs="宋体"/>
                <w:color w:val="000000"/>
                <w:sz w:val="24"/>
                <w:szCs w:val="24"/>
                <w:highlight w:val="none"/>
                <w:shd w:val="clear" w:color="auto" w:fill="ffffff"/>
                <w:lang w:bidi="ar"/>
              </w:rPr>
            </w:pPr>
            <w:r>
              <w:rPr>
                <w:rFonts w:hint="eastAsia" w:ascii="宋体" w:hAnsi="宋体" w:cs="宋体"/>
                <w:color w:val="000000"/>
                <w:sz w:val="24"/>
                <w:szCs w:val="24"/>
                <w:highlight w:val="none"/>
                <w:shd w:val="clear" w:color="auto" w:fill="ffffff"/>
                <w:lang w:bidi="ar"/>
              </w:rPr>
              <w:t xml:space="preserve">2</w:t>
            </w:r>
            <w:r>
              <w:rPr>
                <w:rFonts w:hint="eastAsia" w:ascii="宋体" w:hAnsi="宋体" w:cs="宋体"/>
                <w:color w:val="000000"/>
                <w:sz w:val="24"/>
                <w:szCs w:val="24"/>
                <w:highlight w:val="none"/>
                <w:shd w:val="clear" w:color="auto" w:fill="ffffff"/>
                <w:lang w:bidi="ar"/>
              </w:rPr>
            </w:r>
            <w:r/>
          </w:p>
        </w:tc>
        <w:tc>
          <w:tcPr>
            <w:tcW w:w="3098" w:type="dxa"/>
            <w:vAlign w:val="center"/>
            <w:textDirection w:val="lrTb"/>
            <w:noWrap w:val="false"/>
          </w:tcPr>
          <w:p>
            <w:pPr>
              <w:pStyle w:val="744"/>
              <w:jc w:val="left"/>
              <w:spacing w:line="240" w:lineRule="exact"/>
              <w:shd w:val="clear" w:color="auto" w:fill="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口蹄疫O型、A型二价灭活疫苗</w:t>
            </w:r>
            <w:r>
              <w:rPr>
                <w:rFonts w:hint="eastAsia" w:ascii="宋体" w:hAnsi="宋体" w:cs="宋体"/>
                <w:color w:val="000000"/>
                <w:sz w:val="24"/>
                <w:szCs w:val="24"/>
                <w:highlight w:val="none"/>
              </w:rPr>
            </w:r>
            <w:r/>
          </w:p>
        </w:tc>
        <w:tc>
          <w:tcPr>
            <w:tcW w:w="1824" w:type="dxa"/>
            <w:vAlign w:val="center"/>
            <w:textDirection w:val="lrTb"/>
            <w:noWrap w:val="false"/>
          </w:tcPr>
          <w:p>
            <w:pPr>
              <w:pStyle w:val="744"/>
              <w:spacing w:line="240" w:lineRule="exact"/>
              <w:shd w:val="clear" w:color="auto" w:fill="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2.0000</w:t>
            </w:r>
            <w:r>
              <w:rPr>
                <w:rFonts w:hint="eastAsia" w:ascii="宋体" w:hAnsi="宋体" w:cs="宋体"/>
                <w:color w:val="000000"/>
                <w:sz w:val="24"/>
                <w:szCs w:val="24"/>
                <w:highlight w:val="none"/>
              </w:rPr>
            </w:r>
            <w:r/>
          </w:p>
        </w:tc>
        <w:tc>
          <w:tcPr>
            <w:tcW w:w="1068" w:type="dxa"/>
            <w:vAlign w:val="center"/>
            <w:textDirection w:val="lrTb"/>
            <w:noWrap w:val="false"/>
          </w:tcPr>
          <w:p>
            <w:pPr>
              <w:pStyle w:val="744"/>
              <w:jc w:val="center"/>
              <w:spacing w:line="240" w:lineRule="exact"/>
              <w:shd w:val="clear" w:color="auto" w:fill="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元/头份</w:t>
            </w:r>
            <w:r>
              <w:rPr>
                <w:rFonts w:hint="eastAsia" w:ascii="宋体" w:hAnsi="宋体" w:cs="宋体"/>
                <w:color w:val="000000"/>
                <w:sz w:val="24"/>
                <w:szCs w:val="24"/>
                <w:highlight w:val="none"/>
              </w:rPr>
            </w:r>
            <w:r/>
          </w:p>
        </w:tc>
      </w:tr>
      <w:tr>
        <w:trPr>
          <w:trHeight w:val="651"/>
        </w:trPr>
        <w:tc>
          <w:tcPr>
            <w:tcW w:w="958" w:type="dxa"/>
            <w:vAlign w:val="center"/>
            <w:textDirection w:val="lrTb"/>
            <w:noWrap w:val="false"/>
          </w:tcPr>
          <w:p>
            <w:pPr>
              <w:pStyle w:val="744"/>
              <w:jc w:val="center"/>
              <w:spacing w:line="24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shd w:val="clear" w:color="auto" w:fill="ffffff"/>
                <w:lang w:bidi="ar"/>
              </w:rPr>
              <w:t xml:space="preserve">3</w:t>
            </w:r>
            <w:r>
              <w:rPr>
                <w:rFonts w:hint="eastAsia" w:ascii="宋体" w:hAnsi="宋体" w:cs="宋体"/>
                <w:color w:val="000000"/>
                <w:sz w:val="24"/>
                <w:szCs w:val="24"/>
                <w:highlight w:val="none"/>
              </w:rPr>
            </w:r>
            <w:r/>
          </w:p>
        </w:tc>
        <w:tc>
          <w:tcPr>
            <w:shd w:val="clear" w:color="auto" w:fill="ffffff"/>
            <w:tcW w:w="3098" w:type="dxa"/>
            <w:vAlign w:val="center"/>
            <w:textDirection w:val="lrTb"/>
            <w:noWrap w:val="false"/>
          </w:tcPr>
          <w:p>
            <w:pPr>
              <w:pStyle w:val="744"/>
              <w:jc w:val="left"/>
              <w:spacing w:line="240" w:lineRule="exact"/>
              <w:shd w:val="clear" w:color="auto" w:fill="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猪口蹄疫</w:t>
            </w:r>
            <w:r>
              <w:rPr>
                <w:rFonts w:hint="eastAsia" w:ascii="宋体" w:hAnsi="宋体" w:cs="宋体"/>
                <w:color w:val="000000"/>
                <w:sz w:val="24"/>
                <w:szCs w:val="24"/>
                <w:highlight w:val="none"/>
                <w:lang w:bidi="ar"/>
              </w:rPr>
              <w:t xml:space="preserve">O型合成肽疫苗</w:t>
            </w:r>
            <w:r>
              <w:rPr>
                <w:rFonts w:hint="eastAsia" w:ascii="宋体" w:hAnsi="宋体" w:cs="宋体"/>
                <w:color w:val="000000"/>
                <w:sz w:val="24"/>
                <w:szCs w:val="24"/>
                <w:highlight w:val="none"/>
              </w:rPr>
            </w:r>
            <w:r/>
          </w:p>
        </w:tc>
        <w:tc>
          <w:tcPr>
            <w:tcW w:w="1824" w:type="dxa"/>
            <w:vAlign w:val="center"/>
            <w:textDirection w:val="lrTb"/>
            <w:noWrap w:val="false"/>
          </w:tcPr>
          <w:p>
            <w:pPr>
              <w:pStyle w:val="744"/>
              <w:spacing w:line="240" w:lineRule="exact"/>
              <w:shd w:val="clear" w:color="auto" w:fill="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1.6000</w:t>
            </w:r>
            <w:r>
              <w:rPr>
                <w:rFonts w:hint="eastAsia" w:ascii="宋体" w:hAnsi="宋体" w:cs="宋体"/>
                <w:color w:val="000000"/>
                <w:sz w:val="24"/>
                <w:szCs w:val="24"/>
                <w:highlight w:val="none"/>
                <w:lang w:bidi="ar"/>
              </w:rPr>
            </w:r>
            <w:r/>
          </w:p>
        </w:tc>
        <w:tc>
          <w:tcPr>
            <w:tcW w:w="1068" w:type="dxa"/>
            <w:vAlign w:val="center"/>
            <w:textDirection w:val="lrTb"/>
            <w:noWrap w:val="false"/>
          </w:tcPr>
          <w:p>
            <w:pPr>
              <w:pStyle w:val="744"/>
              <w:jc w:val="center"/>
              <w:spacing w:line="240" w:lineRule="exact"/>
              <w:shd w:val="clear" w:color="auto" w:fill="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元/毫升</w:t>
            </w:r>
            <w:r>
              <w:rPr>
                <w:rFonts w:hint="eastAsia" w:ascii="宋体" w:hAnsi="宋体" w:cs="宋体"/>
                <w:color w:val="000000"/>
                <w:sz w:val="24"/>
                <w:szCs w:val="24"/>
                <w:highlight w:val="none"/>
                <w:lang w:bidi="ar"/>
              </w:rPr>
            </w:r>
            <w:r/>
          </w:p>
        </w:tc>
      </w:tr>
      <w:tr>
        <w:trPr>
          <w:trHeight w:val="606"/>
        </w:trPr>
        <w:tc>
          <w:tcPr>
            <w:tcW w:w="958" w:type="dxa"/>
            <w:vAlign w:val="center"/>
            <w:textDirection w:val="lrTb"/>
            <w:noWrap w:val="false"/>
          </w:tcPr>
          <w:p>
            <w:pPr>
              <w:pStyle w:val="744"/>
              <w:jc w:val="center"/>
              <w:spacing w:line="240" w:lineRule="exact"/>
              <w:shd w:val="clear" w:color="auto" w:fill="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shd w:val="clear" w:color="auto" w:fill="ffffff"/>
                <w:lang w:bidi="ar"/>
              </w:rPr>
              <w:t xml:space="preserve">4</w:t>
            </w:r>
            <w:r>
              <w:rPr>
                <w:rFonts w:hint="eastAsia" w:ascii="宋体" w:hAnsi="宋体" w:cs="宋体"/>
                <w:color w:val="000000"/>
                <w:sz w:val="24"/>
                <w:szCs w:val="24"/>
                <w:highlight w:val="none"/>
              </w:rPr>
            </w:r>
            <w:r/>
          </w:p>
        </w:tc>
        <w:tc>
          <w:tcPr>
            <w:shd w:val="clear" w:color="auto" w:fill="ffffff"/>
            <w:tcW w:w="3098" w:type="dxa"/>
            <w:vAlign w:val="center"/>
            <w:textDirection w:val="lrTb"/>
            <w:noWrap w:val="false"/>
          </w:tcPr>
          <w:p>
            <w:pPr>
              <w:pStyle w:val="744"/>
              <w:jc w:val="left"/>
              <w:spacing w:line="240" w:lineRule="exact"/>
              <w:shd w:val="clear" w:color="auto" w:fill="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小反刍兽疫活疫苗（或含小反刍）</w:t>
            </w:r>
            <w:r>
              <w:rPr>
                <w:rFonts w:hint="eastAsia" w:ascii="宋体" w:hAnsi="宋体" w:cs="宋体"/>
                <w:color w:val="000000"/>
                <w:sz w:val="24"/>
                <w:szCs w:val="24"/>
                <w:highlight w:val="none"/>
                <w:lang w:bidi="ar"/>
              </w:rPr>
            </w:r>
            <w:r/>
          </w:p>
        </w:tc>
        <w:tc>
          <w:tcPr>
            <w:tcW w:w="1824" w:type="dxa"/>
            <w:vAlign w:val="center"/>
            <w:textDirection w:val="lrTb"/>
            <w:noWrap w:val="false"/>
          </w:tcPr>
          <w:p>
            <w:pPr>
              <w:pStyle w:val="744"/>
              <w:spacing w:line="240" w:lineRule="exact"/>
              <w:shd w:val="clear" w:color="auto" w:fill="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0.4900</w:t>
            </w:r>
            <w:r>
              <w:rPr>
                <w:rFonts w:hint="eastAsia" w:ascii="宋体" w:hAnsi="宋体" w:cs="宋体"/>
                <w:color w:val="000000"/>
                <w:sz w:val="24"/>
                <w:szCs w:val="24"/>
                <w:highlight w:val="none"/>
                <w:lang w:bidi="ar"/>
              </w:rPr>
            </w:r>
            <w:r/>
          </w:p>
        </w:tc>
        <w:tc>
          <w:tcPr>
            <w:tcW w:w="1068" w:type="dxa"/>
            <w:vAlign w:val="center"/>
            <w:textDirection w:val="lrTb"/>
            <w:noWrap w:val="false"/>
          </w:tcPr>
          <w:p>
            <w:pPr>
              <w:pStyle w:val="744"/>
              <w:jc w:val="center"/>
              <w:spacing w:line="240" w:lineRule="exact"/>
              <w:shd w:val="clear" w:color="auto" w:fill="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元/头份</w:t>
            </w:r>
            <w:r>
              <w:rPr>
                <w:rFonts w:hint="eastAsia" w:ascii="宋体" w:hAnsi="宋体" w:cs="宋体"/>
                <w:color w:val="000000"/>
                <w:sz w:val="24"/>
                <w:szCs w:val="24"/>
                <w:highlight w:val="none"/>
                <w:lang w:bidi="ar"/>
              </w:rPr>
            </w:r>
            <w:r/>
          </w:p>
        </w:tc>
      </w:tr>
      <w:tr>
        <w:trPr>
          <w:trHeight w:val="606"/>
        </w:trPr>
        <w:tc>
          <w:tcPr>
            <w:tcW w:w="958" w:type="dxa"/>
            <w:vAlign w:val="center"/>
            <w:vMerge w:val="restart"/>
            <w:textDirection w:val="lrTb"/>
            <w:noWrap w:val="false"/>
          </w:tcPr>
          <w:p>
            <w:pPr>
              <w:pStyle w:val="744"/>
              <w:jc w:val="center"/>
              <w:spacing w:line="240" w:lineRule="exact"/>
              <w:shd w:val="clear" w:color="auto" w:fill="auto"/>
              <w:widowControl/>
              <w:rPr>
                <w:rFonts w:hint="eastAsia" w:ascii="宋体" w:hAnsi="宋体" w:cs="宋体"/>
                <w:color w:val="000000"/>
                <w:sz w:val="24"/>
                <w:szCs w:val="24"/>
                <w:highlight w:val="none"/>
                <w:shd w:val="clear" w:color="auto" w:fill="ffffff"/>
                <w:lang w:bidi="ar"/>
              </w:rPr>
            </w:pPr>
            <w:r>
              <w:rPr>
                <w:rFonts w:hint="eastAsia" w:ascii="宋体" w:hAnsi="宋体" w:cs="宋体"/>
                <w:color w:val="000000"/>
                <w:sz w:val="24"/>
                <w:szCs w:val="24"/>
                <w:highlight w:val="none"/>
                <w:shd w:val="clear" w:color="auto" w:fill="ffffff"/>
                <w:lang w:bidi="ar"/>
              </w:rPr>
              <w:t xml:space="preserve">5</w:t>
            </w:r>
            <w:r>
              <w:rPr>
                <w:rFonts w:hint="eastAsia" w:ascii="宋体" w:hAnsi="宋体" w:cs="宋体"/>
                <w:color w:val="000000"/>
                <w:sz w:val="24"/>
                <w:szCs w:val="24"/>
                <w:highlight w:val="none"/>
                <w:shd w:val="clear" w:color="auto" w:fill="ffffff"/>
                <w:lang w:bidi="ar"/>
              </w:rPr>
            </w:r>
            <w:r/>
          </w:p>
        </w:tc>
        <w:tc>
          <w:tcPr>
            <w:shd w:val="clear" w:color="auto" w:fill="ffffff"/>
            <w:tcW w:w="3098" w:type="dxa"/>
            <w:vAlign w:val="center"/>
            <w:textDirection w:val="lrTb"/>
            <w:noWrap w:val="false"/>
          </w:tcPr>
          <w:p>
            <w:pPr>
              <w:pStyle w:val="744"/>
              <w:jc w:val="left"/>
              <w:spacing w:line="240" w:lineRule="exact"/>
              <w:shd w:val="clear" w:color="auto" w:fill="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猪耳标</w:t>
            </w:r>
            <w:r>
              <w:rPr>
                <w:rFonts w:hint="eastAsia" w:ascii="宋体" w:hAnsi="宋体" w:cs="宋体"/>
                <w:color w:val="000000"/>
                <w:sz w:val="24"/>
                <w:szCs w:val="24"/>
                <w:highlight w:val="none"/>
                <w:lang w:bidi="ar"/>
              </w:rPr>
            </w:r>
            <w:r/>
          </w:p>
        </w:tc>
        <w:tc>
          <w:tcPr>
            <w:tcW w:w="1824" w:type="dxa"/>
            <w:vAlign w:val="center"/>
            <w:textDirection w:val="lrTb"/>
            <w:noWrap w:val="false"/>
          </w:tcPr>
          <w:p>
            <w:pPr>
              <w:pStyle w:val="744"/>
              <w:spacing w:line="240" w:lineRule="exact"/>
              <w:shd w:val="clear" w:color="auto" w:fill="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0.3100</w:t>
            </w:r>
            <w:r>
              <w:rPr>
                <w:rFonts w:hint="eastAsia" w:ascii="宋体" w:hAnsi="宋体" w:cs="宋体"/>
                <w:color w:val="000000"/>
                <w:sz w:val="24"/>
                <w:szCs w:val="24"/>
                <w:highlight w:val="none"/>
                <w:lang w:bidi="ar"/>
              </w:rPr>
            </w:r>
            <w:r/>
          </w:p>
        </w:tc>
        <w:tc>
          <w:tcPr>
            <w:tcW w:w="1068" w:type="dxa"/>
            <w:vAlign w:val="center"/>
            <w:textDirection w:val="lrTb"/>
            <w:noWrap w:val="false"/>
          </w:tcPr>
          <w:p>
            <w:pPr>
              <w:pStyle w:val="744"/>
              <w:jc w:val="center"/>
              <w:spacing w:line="240" w:lineRule="exact"/>
              <w:shd w:val="clear" w:color="auto" w:fill="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元/套</w:t>
            </w:r>
            <w:r>
              <w:rPr>
                <w:rFonts w:hint="eastAsia" w:ascii="宋体" w:hAnsi="宋体" w:cs="宋体"/>
                <w:color w:val="000000"/>
                <w:sz w:val="24"/>
                <w:szCs w:val="24"/>
                <w:highlight w:val="none"/>
                <w:lang w:bidi="ar"/>
              </w:rPr>
            </w:r>
            <w:r/>
          </w:p>
        </w:tc>
      </w:tr>
      <w:tr>
        <w:trPr>
          <w:trHeight w:val="606"/>
        </w:trPr>
        <w:tc>
          <w:tcPr>
            <w:tcW w:w="958" w:type="dxa"/>
            <w:vAlign w:val="center"/>
            <w:vMerge w:val="continue"/>
            <w:textDirection w:val="lrTb"/>
            <w:noWrap w:val="false"/>
          </w:tcPr>
          <w:p>
            <w:pPr>
              <w:pStyle w:val="744"/>
              <w:jc w:val="center"/>
              <w:spacing w:line="240" w:lineRule="exact"/>
              <w:shd w:val="clear" w:color="auto" w:fill="auto"/>
              <w:widowControl/>
              <w:rPr>
                <w:rFonts w:hint="eastAsia" w:ascii="宋体" w:hAnsi="宋体" w:cs="宋体"/>
                <w:color w:val="000000"/>
                <w:sz w:val="24"/>
                <w:szCs w:val="24"/>
                <w:highlight w:val="none"/>
                <w:shd w:val="clear" w:color="auto" w:fill="ffffff"/>
                <w:lang w:bidi="ar"/>
              </w:rPr>
            </w:pPr>
            <w:r>
              <w:rPr>
                <w:rFonts w:hint="eastAsia" w:ascii="宋体" w:hAnsi="宋体" w:cs="宋体"/>
                <w:color w:val="000000"/>
                <w:sz w:val="24"/>
                <w:szCs w:val="24"/>
                <w:highlight w:val="none"/>
                <w:shd w:val="clear" w:color="auto" w:fill="ffffff"/>
                <w:lang w:bidi="ar"/>
              </w:rPr>
            </w:r>
            <w:r/>
          </w:p>
        </w:tc>
        <w:tc>
          <w:tcPr>
            <w:shd w:val="clear" w:color="auto" w:fill="ffffff"/>
            <w:tcW w:w="3098" w:type="dxa"/>
            <w:vAlign w:val="center"/>
            <w:textDirection w:val="lrTb"/>
            <w:noWrap w:val="false"/>
          </w:tcPr>
          <w:p>
            <w:pPr>
              <w:pStyle w:val="744"/>
              <w:jc w:val="left"/>
              <w:spacing w:line="240" w:lineRule="exact"/>
              <w:shd w:val="clear" w:color="auto" w:fill="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羊耳标</w:t>
            </w:r>
            <w:r>
              <w:rPr>
                <w:rFonts w:hint="eastAsia" w:ascii="宋体" w:hAnsi="宋体" w:cs="宋体"/>
                <w:color w:val="000000"/>
                <w:sz w:val="24"/>
                <w:szCs w:val="24"/>
                <w:highlight w:val="none"/>
                <w:lang w:bidi="ar"/>
              </w:rPr>
            </w:r>
            <w:r/>
          </w:p>
        </w:tc>
        <w:tc>
          <w:tcPr>
            <w:tcW w:w="1824" w:type="dxa"/>
            <w:vAlign w:val="center"/>
            <w:textDirection w:val="lrTb"/>
            <w:noWrap w:val="false"/>
          </w:tcPr>
          <w:p>
            <w:pPr>
              <w:pStyle w:val="744"/>
              <w:spacing w:line="240" w:lineRule="exact"/>
              <w:shd w:val="clear" w:color="auto" w:fill="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0.3500</w:t>
            </w:r>
            <w:r>
              <w:rPr>
                <w:rFonts w:hint="eastAsia" w:ascii="宋体" w:hAnsi="宋体" w:cs="宋体"/>
                <w:color w:val="000000"/>
                <w:sz w:val="24"/>
                <w:szCs w:val="24"/>
                <w:highlight w:val="none"/>
                <w:lang w:bidi="ar"/>
              </w:rPr>
            </w:r>
            <w:r/>
          </w:p>
        </w:tc>
        <w:tc>
          <w:tcPr>
            <w:tcW w:w="1068" w:type="dxa"/>
            <w:vAlign w:val="center"/>
            <w:textDirection w:val="lrTb"/>
            <w:noWrap w:val="false"/>
          </w:tcPr>
          <w:p>
            <w:pPr>
              <w:pStyle w:val="744"/>
              <w:jc w:val="center"/>
              <w:spacing w:line="240" w:lineRule="exact"/>
              <w:shd w:val="clear" w:color="auto" w:fill="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元/套</w:t>
            </w:r>
            <w:r>
              <w:rPr>
                <w:rFonts w:hint="eastAsia" w:ascii="宋体" w:hAnsi="宋体" w:cs="宋体"/>
                <w:color w:val="000000"/>
                <w:sz w:val="24"/>
                <w:szCs w:val="24"/>
                <w:highlight w:val="none"/>
                <w:lang w:bidi="ar"/>
              </w:rPr>
            </w:r>
            <w:r/>
          </w:p>
        </w:tc>
      </w:tr>
    </w:tbl>
    <w:p>
      <w:pPr>
        <w:pStyle w:val="744"/>
        <w:ind w:firstLine="482"/>
        <w:jc w:val="left"/>
        <w:shd w:val="clear" w:color="auto" w:fill="auto"/>
        <w:rPr>
          <w:color w:val="000000"/>
          <w:highlight w:val="none"/>
        </w:rPr>
      </w:pPr>
      <w:r>
        <w:rPr>
          <w:rFonts w:hint="eastAsia" w:ascii="宋体" w:hAnsi="宋体" w:cs="宋体"/>
          <w:b/>
          <w:bCs/>
          <w:color w:val="000000"/>
          <w:sz w:val="24"/>
          <w:szCs w:val="24"/>
          <w:highlight w:val="none"/>
        </w:rPr>
        <w:t xml:space="preserve">报价时单价保留小数点后4位。</w:t>
      </w:r>
      <w:r>
        <w:rPr>
          <w:rFonts w:hint="eastAsia" w:ascii="宋体" w:hAnsi="宋体" w:cs="宋体"/>
          <w:color w:val="000000"/>
          <w:sz w:val="24"/>
          <w:szCs w:val="24"/>
          <w:highlight w:val="none"/>
        </w:rPr>
        <w:br w:type="page" w:clear="all"/>
      </w:r>
      <w:r>
        <w:rPr>
          <w:color w:val="000000"/>
          <w:highlight w:val="none"/>
        </w:rPr>
      </w:r>
      <w:r/>
    </w:p>
    <w:p>
      <w:pPr>
        <w:pStyle w:val="745"/>
        <w:numPr>
          <w:ilvl w:val="0"/>
          <w:numId w:val="6"/>
        </w:numPr>
        <w:shd w:val="clear" w:color="auto" w:fill="auto"/>
        <w:rPr>
          <w:rFonts w:hint="eastAsia" w:ascii="宋体" w:hAnsi="宋体" w:eastAsia="宋体" w:cs="宋体"/>
          <w:b/>
          <w:bCs/>
          <w:color w:val="000000"/>
          <w:sz w:val="44"/>
          <w:highlight w:val="none"/>
        </w:rPr>
      </w:pPr>
      <w:r>
        <w:rPr>
          <w:rFonts w:hint="eastAsia" w:ascii="宋体" w:hAnsi="宋体" w:eastAsia="宋体" w:cs="宋体"/>
          <w:bCs/>
          <w:color w:val="000000"/>
          <w:sz w:val="44"/>
          <w:highlight w:val="none"/>
        </w:rPr>
        <w:t xml:space="preserve"> </w:t>
      </w:r>
      <w:r>
        <w:rPr>
          <w:rFonts w:hint="eastAsia" w:ascii="宋体" w:hAnsi="宋体" w:eastAsia="宋体" w:cs="宋体"/>
          <w:b/>
          <w:bCs/>
          <w:color w:val="000000"/>
          <w:sz w:val="44"/>
          <w:highlight w:val="none"/>
        </w:rPr>
        <w:t xml:space="preserve">定标原则与评标标准</w:t>
      </w:r>
      <w:r>
        <w:rPr>
          <w:rFonts w:hint="eastAsia" w:ascii="宋体" w:hAnsi="宋体" w:eastAsia="宋体" w:cs="宋体"/>
          <w:b/>
          <w:bCs/>
          <w:color w:val="000000"/>
          <w:sz w:val="44"/>
          <w:highlight w:val="none"/>
        </w:rPr>
      </w:r>
      <w:r/>
    </w:p>
    <w:p>
      <w:pPr>
        <w:pStyle w:val="745"/>
        <w:shd w:val="clear" w:color="auto" w:fill="auto"/>
        <w:rPr>
          <w:rFonts w:ascii="Calibri" w:hAnsi="Calibri"/>
          <w:color w:val="000000"/>
          <w:sz w:val="24"/>
          <w:highlight w:val="none"/>
        </w:rPr>
      </w:pPr>
      <w:r>
        <w:rPr>
          <w:rFonts w:hint="eastAsia" w:ascii="宋体" w:hAnsi="宋体" w:eastAsia="宋体" w:cs="宋体"/>
          <w:b/>
          <w:bCs/>
          <w:color w:val="000000"/>
          <w:sz w:val="44"/>
          <w:highlight w:val="none"/>
        </w:rPr>
        <w:t xml:space="preserve">（最低评标价法）</w:t>
      </w:r>
      <w:r>
        <w:rPr>
          <w:rFonts w:ascii="Calibri" w:hAnsi="Calibri"/>
          <w:color w:val="000000"/>
          <w:sz w:val="24"/>
          <w:highlight w:val="none"/>
        </w:rPr>
      </w:r>
      <w:r/>
    </w:p>
    <w:p>
      <w:pPr>
        <w:pStyle w:val="885"/>
        <w:ind w:firstLine="422"/>
        <w:jc w:val="left"/>
        <w:spacing w:before="0" w:after="0" w:line="48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开标时特别说明：</w:t>
      </w:r>
      <w:r>
        <w:rPr>
          <w:rFonts w:hint="eastAsia" w:ascii="宋体" w:hAnsi="宋体" w:eastAsia="宋体" w:cs="宋体"/>
          <w:color w:val="000000"/>
          <w:sz w:val="21"/>
          <w:szCs w:val="21"/>
          <w:highlight w:val="none"/>
        </w:rPr>
      </w:r>
      <w:r/>
    </w:p>
    <w:p>
      <w:pPr>
        <w:pStyle w:val="885"/>
        <w:ind w:firstLine="422"/>
        <w:jc w:val="left"/>
        <w:spacing w:before="0" w:after="0" w:line="48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采用全程电子化及不见面开评标的模式，开标当日，投标人无需到达开标现场，仅需在任意地点通过“苏采云”系统（网址：http://jszfcg.jsczt.cn/）“开标大厅”及相应的配套软硬件设备，完成远程解密、文件传输、提疑澄清、开标唱标、结果公布等交互环节，具体内容和规定详见招标文件。</w:t>
      </w:r>
      <w:r>
        <w:rPr>
          <w:rFonts w:hint="eastAsia" w:ascii="宋体" w:hAnsi="宋体" w:eastAsia="宋体" w:cs="宋体"/>
          <w:color w:val="000000"/>
          <w:sz w:val="21"/>
          <w:szCs w:val="21"/>
          <w:highlight w:val="none"/>
        </w:rPr>
      </w:r>
      <w:r/>
    </w:p>
    <w:p>
      <w:pPr>
        <w:pStyle w:val="744"/>
        <w:ind w:firstLine="420"/>
        <w:spacing w:line="480" w:lineRule="exact"/>
        <w:shd w:val="clear" w:color="auto" w:fill="auto"/>
        <w:rPr>
          <w:rFonts w:ascii="宋体" w:hAnsi="宋体" w:cs="宋体"/>
          <w:color w:val="000000"/>
          <w:highlight w:val="none"/>
        </w:rPr>
      </w:pPr>
      <w:r>
        <w:rPr>
          <w:rFonts w:hint="eastAsia" w:ascii="宋体" w:hAnsi="宋体"/>
          <w:color w:val="000000"/>
          <w:highlight w:val="none"/>
        </w:rPr>
        <w:t xml:space="preserve">本次评标采用最低评标价法。评标委员会对满足招标文件全部实质性要求，按投标单价</w:t>
      </w:r>
      <w:r>
        <w:rPr>
          <w:rFonts w:hint="eastAsia" w:ascii="宋体" w:hAnsi="宋体" w:cs="宋体"/>
          <w:color w:val="000000"/>
          <w:highlight w:val="none"/>
        </w:rPr>
        <w:t xml:space="preserve">由低至高推荐有排序的1-3名中标侯选人</w:t>
      </w:r>
      <w:r>
        <w:rPr>
          <w:rFonts w:hint="eastAsia" w:ascii="宋体" w:hAnsi="宋体"/>
          <w:color w:val="000000"/>
          <w:highlight w:val="none"/>
        </w:rPr>
        <w:t xml:space="preserve">。如不同投标人的最低报价相同的</w:t>
      </w:r>
      <w:r>
        <w:rPr>
          <w:rFonts w:ascii="宋体" w:hAnsi="宋体" w:cs="宋体"/>
          <w:color w:val="000000"/>
          <w:sz w:val="22"/>
          <w:highlight w:val="none"/>
        </w:rPr>
        <w:t xml:space="preserve">则</w:t>
      </w:r>
      <w:r>
        <w:rPr>
          <w:rFonts w:hint="eastAsia" w:ascii="宋体" w:hAnsi="宋体"/>
          <w:color w:val="000000"/>
          <w:highlight w:val="none"/>
        </w:rPr>
        <w:t xml:space="preserve">由由采购人或评标委员会采取随机抽取方式确定排序。</w:t>
      </w:r>
      <w:r>
        <w:rPr>
          <w:rFonts w:ascii="宋体" w:hAnsi="宋体" w:cs="宋体"/>
          <w:color w:val="000000"/>
          <w:highlight w:val="none"/>
        </w:rPr>
      </w:r>
      <w:r/>
    </w:p>
    <w:p>
      <w:pPr>
        <w:pStyle w:val="744"/>
        <w:numPr>
          <w:ilvl w:val="0"/>
          <w:numId w:val="7"/>
        </w:numPr>
        <w:ind w:firstLine="420"/>
        <w:spacing w:line="480" w:lineRule="exact"/>
        <w:shd w:val="clear" w:color="auto" w:fill="auto"/>
        <w:rPr>
          <w:rFonts w:ascii="宋体" w:hAnsi="宋体" w:cs="宋体"/>
          <w:color w:val="000000"/>
          <w:highlight w:val="none"/>
        </w:rPr>
      </w:pPr>
      <w:r>
        <w:rPr>
          <w:rFonts w:hint="eastAsia" w:ascii="宋体" w:hAnsi="宋体" w:cs="宋体"/>
          <w:color w:val="000000"/>
          <w:highlight w:val="none"/>
        </w:rPr>
        <w:t xml:space="preserve">初步评审</w:t>
      </w:r>
      <w:r>
        <w:rPr>
          <w:rFonts w:ascii="宋体" w:hAnsi="宋体" w:cs="宋体"/>
          <w:color w:val="000000"/>
          <w:highlight w:val="none"/>
        </w:rPr>
      </w:r>
      <w:r/>
    </w:p>
    <w:p>
      <w:pPr>
        <w:pStyle w:val="744"/>
        <w:ind w:firstLine="420"/>
        <w:spacing w:line="480" w:lineRule="exact"/>
        <w:shd w:val="clear" w:color="auto" w:fill="auto"/>
        <w:rPr>
          <w:rFonts w:ascii="宋体" w:hAnsi="宋体" w:cs="宋体"/>
          <w:color w:val="000000"/>
          <w:highlight w:val="none"/>
        </w:rPr>
      </w:pPr>
      <w:r>
        <w:rPr>
          <w:rFonts w:hint="eastAsia" w:ascii="宋体" w:hAnsi="宋体" w:cs="宋体"/>
          <w:color w:val="000000"/>
          <w:highlight w:val="none"/>
        </w:rPr>
        <w:t xml:space="preserve">1、资格审查</w:t>
      </w:r>
      <w:r>
        <w:rPr>
          <w:rFonts w:ascii="宋体" w:hAnsi="宋体" w:cs="宋体"/>
          <w:color w:val="000000"/>
          <w:highlight w:val="none"/>
        </w:rPr>
      </w:r>
      <w:r/>
    </w:p>
    <w:p>
      <w:pPr>
        <w:pStyle w:val="744"/>
        <w:ind w:firstLine="420"/>
        <w:spacing w:line="480" w:lineRule="exact"/>
        <w:shd w:val="clear" w:color="auto" w:fill="auto"/>
        <w:rPr>
          <w:rFonts w:hint="eastAsia" w:ascii="宋体" w:hAnsi="宋体"/>
          <w:color w:val="000000"/>
          <w:highlight w:val="none"/>
        </w:rPr>
      </w:pPr>
      <w:r>
        <w:rPr>
          <w:rFonts w:hint="eastAsia" w:ascii="宋体" w:hAnsi="宋体"/>
          <w:color w:val="000000"/>
          <w:highlight w:val="none"/>
        </w:rPr>
        <w:t xml:space="preserve">（1）法人或者其他组织的营业执照等证明文件；</w:t>
      </w:r>
      <w:r>
        <w:rPr>
          <w:rFonts w:hint="eastAsia" w:ascii="宋体" w:hAnsi="宋体"/>
          <w:color w:val="000000"/>
          <w:highlight w:val="none"/>
        </w:rPr>
      </w:r>
      <w:r/>
    </w:p>
    <w:p>
      <w:pPr>
        <w:pStyle w:val="744"/>
        <w:ind w:firstLine="420"/>
        <w:spacing w:line="480" w:lineRule="exact"/>
        <w:shd w:val="clear" w:color="auto" w:fill="auto"/>
        <w:rPr>
          <w:rFonts w:hint="eastAsia" w:ascii="宋体" w:hAnsi="宋体"/>
          <w:color w:val="000000"/>
          <w:highlight w:val="none"/>
        </w:rPr>
      </w:pPr>
      <w:r>
        <w:rPr>
          <w:rFonts w:hint="eastAsia" w:ascii="宋体" w:hAnsi="宋体"/>
          <w:color w:val="000000"/>
          <w:highlight w:val="none"/>
        </w:rPr>
        <w:t xml:space="preserve">（2）上一年度的财务报表</w:t>
      </w:r>
      <w:r>
        <w:rPr>
          <w:rFonts w:hint="eastAsia" w:ascii="宋体" w:hAnsi="宋体" w:cs="宋体"/>
          <w:color w:val="000000"/>
          <w:highlight w:val="none"/>
          <w:shd w:val="clear" w:color="auto" w:fill="ffffff"/>
        </w:rPr>
        <w:t xml:space="preserve">（成立不满一年不需提供）</w:t>
      </w:r>
      <w:r>
        <w:rPr>
          <w:rFonts w:hint="eastAsia" w:ascii="宋体" w:hAnsi="宋体"/>
          <w:color w:val="000000"/>
          <w:highlight w:val="none"/>
        </w:rPr>
        <w:t xml:space="preserve">；</w:t>
      </w:r>
      <w:r>
        <w:rPr>
          <w:rFonts w:hint="eastAsia" w:ascii="宋体" w:hAnsi="宋体"/>
          <w:color w:val="000000"/>
          <w:highlight w:val="none"/>
        </w:rPr>
      </w:r>
      <w:r/>
    </w:p>
    <w:p>
      <w:pPr>
        <w:pStyle w:val="744"/>
        <w:ind w:firstLine="420"/>
        <w:spacing w:line="480" w:lineRule="exact"/>
        <w:shd w:val="clear" w:color="auto" w:fill="auto"/>
        <w:rPr>
          <w:rFonts w:hint="eastAsia" w:ascii="宋体" w:hAnsi="宋体"/>
          <w:color w:val="000000"/>
          <w:highlight w:val="none"/>
        </w:rPr>
      </w:pPr>
      <w:r>
        <w:rPr>
          <w:rFonts w:hint="eastAsia" w:ascii="宋体" w:hAnsi="宋体"/>
          <w:color w:val="000000"/>
          <w:highlight w:val="none"/>
        </w:rPr>
        <w:t xml:space="preserve">（3）依法缴纳税收和社会保障资金的相关材料（投标时提供投标截止时间前一年内至少一个月依法缴纳税收及缴纳社会保障资金的证明材料。供应商依法享受缓缴、免缴税收、社会保障资金的提供证明材料）；</w:t>
      </w:r>
      <w:r>
        <w:rPr>
          <w:rFonts w:hint="eastAsia" w:ascii="宋体" w:hAnsi="宋体"/>
          <w:color w:val="000000"/>
          <w:highlight w:val="none"/>
        </w:rPr>
      </w:r>
      <w:r/>
    </w:p>
    <w:p>
      <w:pPr>
        <w:pStyle w:val="744"/>
        <w:ind w:firstLine="420"/>
        <w:spacing w:line="480" w:lineRule="exact"/>
        <w:shd w:val="clear" w:color="auto" w:fill="auto"/>
        <w:rPr>
          <w:rFonts w:hint="eastAsia" w:ascii="宋体" w:hAnsi="宋体"/>
          <w:color w:val="000000"/>
          <w:highlight w:val="none"/>
        </w:rPr>
      </w:pPr>
      <w:r>
        <w:rPr>
          <w:rFonts w:hint="eastAsia" w:ascii="宋体" w:hAnsi="宋体"/>
          <w:color w:val="000000"/>
          <w:highlight w:val="none"/>
        </w:rPr>
        <w:t xml:space="preserve">（4）具备履行合同所必需的设备和专业技术能力的书面声明；</w:t>
      </w:r>
      <w:r>
        <w:rPr>
          <w:rFonts w:hint="eastAsia" w:ascii="宋体" w:hAnsi="宋体"/>
          <w:color w:val="000000"/>
          <w:highlight w:val="none"/>
        </w:rPr>
      </w:r>
      <w:r/>
    </w:p>
    <w:p>
      <w:pPr>
        <w:pStyle w:val="744"/>
        <w:ind w:firstLine="420"/>
        <w:spacing w:line="480" w:lineRule="exact"/>
        <w:shd w:val="clear" w:color="auto" w:fill="auto"/>
        <w:rPr>
          <w:rFonts w:hint="eastAsia" w:ascii="宋体" w:hAnsi="宋体"/>
          <w:color w:val="000000"/>
          <w:highlight w:val="none"/>
        </w:rPr>
      </w:pPr>
      <w:r>
        <w:rPr>
          <w:rFonts w:hint="eastAsia" w:ascii="宋体" w:hAnsi="宋体"/>
          <w:color w:val="000000"/>
          <w:highlight w:val="none"/>
        </w:rPr>
        <w:t xml:space="preserve">（5）参加政府采购活动前3年内在经营活动中没有重大违法记录的书面声明。</w:t>
      </w:r>
      <w:r>
        <w:rPr>
          <w:rFonts w:hint="eastAsia" w:ascii="宋体" w:hAnsi="宋体"/>
          <w:color w:val="000000"/>
          <w:highlight w:val="none"/>
        </w:rPr>
      </w:r>
      <w:r/>
    </w:p>
    <w:p>
      <w:pPr>
        <w:pStyle w:val="744"/>
        <w:ind w:firstLine="420"/>
        <w:spacing w:line="480" w:lineRule="exact"/>
        <w:shd w:val="clear" w:color="auto" w:fill="auto"/>
        <w:rPr>
          <w:rFonts w:hint="eastAsia" w:ascii="宋体" w:hAnsi="宋体" w:eastAsia="宋体" w:cs="Times New Roman"/>
          <w:color w:val="000000"/>
          <w:highlight w:val="none"/>
        </w:rPr>
      </w:pPr>
      <w:r>
        <w:rPr>
          <w:rFonts w:hint="eastAsia" w:ascii="宋体" w:hAnsi="宋体" w:eastAsia="宋体" w:cs="Times New Roman"/>
          <w:color w:val="000000"/>
          <w:highlight w:val="none"/>
          <w:lang w:eastAsia="zh-CN"/>
        </w:rPr>
        <w:t xml:space="preserve">（</w:t>
      </w:r>
      <w:r>
        <w:rPr>
          <w:rFonts w:hint="eastAsia" w:ascii="宋体" w:hAnsi="宋体" w:eastAsia="宋体" w:cs="Times New Roman"/>
          <w:color w:val="000000"/>
          <w:highlight w:val="none"/>
          <w:lang w:val="en-US" w:eastAsia="zh-CN"/>
        </w:rPr>
        <w:t xml:space="preserve">6）</w:t>
      </w:r>
      <w:r>
        <w:rPr>
          <w:rFonts w:hint="eastAsia" w:ascii="宋体" w:hAnsi="宋体" w:eastAsia="宋体" w:cs="Times New Roman"/>
          <w:color w:val="000000"/>
          <w:highlight w:val="none"/>
        </w:rPr>
        <w:t xml:space="preserve">本项目的特定资格要求：本项目只接受生产厂家报名不接受经销商报名。分包1、分包2、分包3、分包4：投标单位须具有所投产品的有效兽药生产许可证及兽药GMP证书，扫描件上传至电子标书。分包5：投标单位为在中国动物疫病预防控制中心登记的二维码耳标厂商，网站截图上传至电子标书。</w:t>
      </w:r>
      <w:r>
        <w:rPr>
          <w:rFonts w:hint="eastAsia" w:ascii="宋体" w:hAnsi="宋体" w:eastAsia="宋体" w:cs="Times New Roman"/>
          <w:color w:val="000000"/>
          <w:highlight w:val="none"/>
        </w:rPr>
      </w:r>
      <w:r/>
    </w:p>
    <w:p>
      <w:pPr>
        <w:pStyle w:val="744"/>
        <w:ind w:firstLine="420"/>
        <w:spacing w:line="480" w:lineRule="exact"/>
        <w:shd w:val="clear" w:color="auto" w:fill="auto"/>
        <w:rPr>
          <w:rFonts w:hint="eastAsia" w:ascii="宋体" w:hAnsi="宋体" w:cs="宋体"/>
          <w:color w:val="000000"/>
          <w:highlight w:val="none"/>
        </w:rPr>
      </w:pPr>
      <w:r>
        <w:rPr>
          <w:rFonts w:hint="eastAsia" w:ascii="宋体" w:hAnsi="宋体" w:cs="宋体"/>
          <w:color w:val="000000"/>
          <w:highlight w:val="none"/>
        </w:rPr>
        <w:t xml:space="preserve">注：</w:t>
      </w:r>
      <w:r>
        <w:rPr>
          <w:rFonts w:ascii="宋体" w:hAnsi="宋体" w:cs="宋体"/>
          <w:color w:val="000000"/>
          <w:highlight w:val="none"/>
        </w:rPr>
        <w:t xml:space="preserve">a</w:t>
      </w:r>
      <w:r>
        <w:rPr>
          <w:rFonts w:hint="eastAsia" w:ascii="宋体" w:hAnsi="宋体" w:cs="宋体"/>
          <w:color w:val="000000"/>
          <w:highlight w:val="none"/>
        </w:rPr>
        <w:t xml:space="preserve">、因上述扫描件不清晰无法辨认、或提供的关键信息不全、更新不及时导致被招标人或评标委员会评委认定为无效投标的，其不利的后果由投标人自行承担。</w:t>
      </w:r>
      <w:r>
        <w:rPr>
          <w:rFonts w:hint="eastAsia" w:ascii="宋体" w:hAnsi="宋体" w:cs="宋体"/>
          <w:color w:val="000000"/>
          <w:highlight w:val="none"/>
        </w:rPr>
      </w:r>
      <w:r/>
    </w:p>
    <w:p>
      <w:pPr>
        <w:pStyle w:val="744"/>
        <w:ind w:firstLine="420"/>
        <w:spacing w:line="480" w:lineRule="exact"/>
        <w:shd w:val="clear" w:color="auto" w:fill="auto"/>
        <w:rPr>
          <w:rFonts w:hint="eastAsia" w:ascii="宋体" w:hAnsi="宋体" w:cs="宋体"/>
          <w:color w:val="000000"/>
          <w:highlight w:val="none"/>
        </w:rPr>
      </w:pPr>
      <w:r>
        <w:rPr>
          <w:rFonts w:ascii="宋体" w:hAnsi="宋体" w:cs="宋体"/>
          <w:color w:val="000000"/>
          <w:highlight w:val="none"/>
        </w:rPr>
        <w:t xml:space="preserve">b</w:t>
      </w:r>
      <w:r>
        <w:rPr>
          <w:rFonts w:hint="eastAsia" w:ascii="宋体" w:hAnsi="宋体" w:cs="宋体"/>
          <w:color w:val="000000"/>
          <w:highlight w:val="none"/>
        </w:rPr>
        <w:t xml:space="preserve">、若中标候选人上述有关证书有效性被质疑的，被质疑人出具发证机关证明或通过二维码或证书查询系统能够证明有效即可。</w:t>
      </w:r>
      <w:r>
        <w:rPr>
          <w:rFonts w:hint="eastAsia" w:ascii="宋体" w:hAnsi="宋体" w:cs="宋体"/>
          <w:color w:val="000000"/>
          <w:highlight w:val="none"/>
        </w:rPr>
      </w:r>
      <w:r/>
    </w:p>
    <w:p>
      <w:pPr>
        <w:pStyle w:val="744"/>
        <w:ind w:firstLine="420"/>
        <w:spacing w:line="480" w:lineRule="exact"/>
        <w:shd w:val="clear" w:color="auto" w:fill="auto"/>
        <w:rPr>
          <w:rFonts w:ascii="宋体" w:hAnsi="宋体" w:cs="宋体"/>
          <w:color w:val="000000"/>
          <w:highlight w:val="none"/>
        </w:rPr>
      </w:pPr>
      <w:r>
        <w:rPr>
          <w:rFonts w:ascii="宋体" w:hAnsi="宋体" w:cs="宋体"/>
          <w:color w:val="000000"/>
          <w:highlight w:val="none"/>
        </w:rPr>
        <w:t xml:space="preserve">c</w:t>
      </w:r>
      <w:r>
        <w:rPr>
          <w:rFonts w:hint="eastAsia" w:ascii="宋体" w:hAnsi="宋体" w:cs="宋体"/>
          <w:color w:val="000000"/>
          <w:highlight w:val="none"/>
        </w:rPr>
        <w:t xml:space="preserve">、招标人或评标委员会的审查或评审仅针对投标文件提交截止时间前投标人提交的投标文件（包含以链接形式提供的附件资料）进行审查或评审，投标人后续撤回、修改、补充、更新、作废诚信库信息，不影响按照投标文件提交截止时间前投标人提交的投标文件形成的审查或评审结果。投标人若需要更正投标资料信息，应在投标文件提交截止时间前撤回投标文件，重新勾选投标资料后上传。投标文件提交后，投标人不得对投标资料信息进行改动。</w:t>
      </w:r>
      <w:r>
        <w:rPr>
          <w:rFonts w:ascii="宋体" w:hAnsi="宋体" w:cs="宋体"/>
          <w:color w:val="000000"/>
          <w:highlight w:val="none"/>
        </w:rPr>
      </w:r>
      <w:r/>
    </w:p>
    <w:p>
      <w:pPr>
        <w:pStyle w:val="744"/>
        <w:ind w:firstLine="420"/>
        <w:spacing w:line="480" w:lineRule="exact"/>
        <w:shd w:val="clear" w:color="auto" w:fill="auto"/>
        <w:rPr>
          <w:rFonts w:ascii="宋体" w:hAnsi="宋体" w:cs="宋体"/>
          <w:color w:val="000000"/>
          <w:highlight w:val="none"/>
        </w:rPr>
      </w:pPr>
      <w:r>
        <w:rPr>
          <w:rFonts w:hint="eastAsia" w:ascii="宋体" w:hAnsi="宋体" w:cs="宋体"/>
          <w:color w:val="000000"/>
          <w:highlight w:val="none"/>
        </w:rPr>
        <w:t xml:space="preserve">2、符合性评审：</w:t>
      </w:r>
      <w:r>
        <w:rPr>
          <w:rFonts w:ascii="宋体" w:hAnsi="宋体" w:cs="宋体"/>
          <w:color w:val="000000"/>
          <w:highlight w:val="none"/>
        </w:rPr>
      </w:r>
      <w:r/>
    </w:p>
    <w:p>
      <w:pPr>
        <w:pStyle w:val="744"/>
        <w:ind w:firstLine="420"/>
        <w:spacing w:line="480" w:lineRule="exact"/>
        <w:shd w:val="clear" w:color="auto" w:fill="auto"/>
        <w:rPr>
          <w:rFonts w:ascii="宋体" w:hAnsi="宋体" w:cs="宋体"/>
          <w:color w:val="000000"/>
          <w:highlight w:val="none"/>
        </w:rPr>
      </w:pPr>
      <w:r>
        <w:rPr>
          <w:rFonts w:hint="eastAsia" w:ascii="宋体" w:hAnsi="宋体" w:cs="宋体"/>
          <w:color w:val="000000"/>
          <w:highlight w:val="none"/>
        </w:rPr>
        <w:t xml:space="preserve">投标人的投标文件符合招标文件、招标答疑的要求，主要包括：采购需求、合同履行期限、质量、投标报价、签章等符合招标文件的实质性要求等。不符合招标文件采购需求最低要求的一律作为无效标书，不得作为中标候选人。</w:t>
      </w:r>
      <w:r>
        <w:rPr>
          <w:rFonts w:ascii="宋体" w:hAnsi="宋体" w:cs="宋体"/>
          <w:color w:val="000000"/>
          <w:highlight w:val="none"/>
        </w:rPr>
      </w:r>
      <w:r/>
    </w:p>
    <w:p>
      <w:pPr>
        <w:pStyle w:val="744"/>
        <w:ind w:firstLine="422"/>
        <w:spacing w:line="480" w:lineRule="exact"/>
        <w:shd w:val="clear" w:color="auto" w:fill="auto"/>
        <w:rPr>
          <w:rFonts w:ascii="宋体" w:hAnsi="宋体" w:cs="宋体"/>
          <w:b/>
          <w:bCs/>
          <w:color w:val="000000"/>
          <w:highlight w:val="none"/>
        </w:rPr>
      </w:pPr>
      <w:r>
        <w:rPr>
          <w:rFonts w:hint="eastAsia" w:ascii="宋体" w:hAnsi="宋体" w:cs="宋体"/>
          <w:b/>
          <w:bCs/>
          <w:color w:val="000000"/>
          <w:highlight w:val="none"/>
        </w:rPr>
        <w:t xml:space="preserve">注意：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rPr>
          <w:rFonts w:ascii="宋体" w:hAnsi="宋体" w:cs="宋体"/>
          <w:b/>
          <w:bCs/>
          <w:color w:val="000000"/>
          <w:highlight w:val="none"/>
        </w:rPr>
      </w:r>
      <w:r/>
    </w:p>
    <w:p>
      <w:pPr>
        <w:pStyle w:val="744"/>
        <w:ind w:firstLine="420"/>
        <w:spacing w:line="480" w:lineRule="exact"/>
        <w:shd w:val="clear" w:color="auto" w:fill="auto"/>
        <w:rPr>
          <w:rFonts w:ascii="宋体" w:hAnsi="宋体" w:cs="宋体"/>
          <w:color w:val="000000"/>
          <w:highlight w:val="none"/>
        </w:rPr>
      </w:pPr>
      <w:r>
        <w:rPr>
          <w:rFonts w:hint="eastAsia" w:ascii="宋体" w:hAnsi="宋体" w:cs="宋体"/>
          <w:color w:val="000000"/>
          <w:highlight w:val="none"/>
        </w:rPr>
        <w:t xml:space="preserve">二、详细评审</w:t>
      </w:r>
      <w:r>
        <w:rPr>
          <w:rFonts w:ascii="宋体" w:hAnsi="宋体" w:cs="宋体"/>
          <w:color w:val="000000"/>
          <w:highlight w:val="none"/>
        </w:rPr>
      </w:r>
      <w:r/>
    </w:p>
    <w:p>
      <w:pPr>
        <w:pStyle w:val="744"/>
        <w:ind w:firstLine="420"/>
        <w:spacing w:line="480" w:lineRule="exact"/>
        <w:shd w:val="clear" w:color="auto" w:fill="auto"/>
        <w:rPr>
          <w:rFonts w:hint="eastAsia" w:ascii="宋体" w:hAnsi="宋体" w:cs="宋体"/>
          <w:color w:val="000000"/>
          <w:highlight w:val="none"/>
        </w:rPr>
      </w:pPr>
      <w:r>
        <w:rPr>
          <w:rFonts w:hint="eastAsia" w:ascii="宋体" w:hAnsi="宋体" w:cs="宋体"/>
          <w:color w:val="000000"/>
          <w:highlight w:val="none"/>
        </w:rPr>
        <w:t xml:space="preserve">对通过初步评审的投标文件，按照有效投标单价由低至高推荐有排序的1-3名中标侯选人，招标人根据评标委员会提供的书面评标报告，依法确定中标人。</w:t>
      </w:r>
      <w:r>
        <w:rPr>
          <w:rFonts w:hint="eastAsia" w:ascii="宋体" w:hAnsi="宋体" w:cs="宋体"/>
          <w:color w:val="000000"/>
          <w:highlight w:val="none"/>
        </w:rPr>
      </w:r>
      <w:r/>
    </w:p>
    <w:p>
      <w:pPr>
        <w:pStyle w:val="810"/>
        <w:ind w:firstLine="413"/>
        <w:shd w:val="clear" w:color="auto" w:fil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注：分包5按照猪耳标单价的96%+羊耳标单价的4%的合价作为计算排名的投标单价。</w:t>
      </w:r>
      <w:r>
        <w:rPr>
          <w:rFonts w:hint="eastAsia" w:ascii="宋体" w:hAnsi="宋体" w:eastAsia="宋体" w:cs="宋体"/>
          <w:b/>
          <w:bCs/>
          <w:color w:val="000000"/>
          <w:sz w:val="21"/>
          <w:szCs w:val="21"/>
          <w:highlight w:val="none"/>
        </w:rPr>
      </w:r>
      <w:r/>
    </w:p>
    <w:p>
      <w:pPr>
        <w:pStyle w:val="744"/>
        <w:ind w:firstLine="422"/>
        <w:spacing w:line="480" w:lineRule="exact"/>
        <w:shd w:val="clear" w:color="auto" w:fill="auto"/>
        <w:rPr>
          <w:rFonts w:hint="eastAsia" w:ascii="宋体" w:hAnsi="宋体" w:cs="宋体"/>
          <w:b/>
          <w:color w:val="000000"/>
          <w:highlight w:val="none"/>
        </w:rPr>
      </w:pPr>
      <w:r/>
      <w:bookmarkStart w:id="150" w:name="_Toc29388462"/>
      <w:r>
        <w:rPr>
          <w:rFonts w:hint="eastAsia" w:ascii="宋体" w:hAnsi="宋体" w:cs="宋体"/>
          <w:b/>
          <w:color w:val="000000"/>
          <w:highlight w:val="none"/>
        </w:rPr>
        <w:t xml:space="preserve">政府采购政策功能落实</w:t>
      </w:r>
      <w:r>
        <w:rPr>
          <w:rFonts w:hint="eastAsia" w:ascii="宋体" w:hAnsi="宋体" w:cs="宋体"/>
          <w:b/>
          <w:color w:val="000000"/>
          <w:highlight w:val="none"/>
        </w:rPr>
      </w:r>
      <w:r/>
    </w:p>
    <w:p>
      <w:pPr>
        <w:pStyle w:val="744"/>
        <w:ind w:firstLine="422"/>
        <w:spacing w:line="480" w:lineRule="exact"/>
        <w:shd w:val="clear" w:color="auto" w:fill="auto"/>
        <w:rPr>
          <w:rFonts w:hint="eastAsia" w:ascii="宋体" w:hAnsi="宋体" w:cs="宋体"/>
          <w:b/>
          <w:color w:val="000000"/>
          <w:highlight w:val="none"/>
        </w:rPr>
      </w:pPr>
      <w:r>
        <w:rPr>
          <w:rFonts w:hint="eastAsia" w:ascii="宋体" w:hAnsi="宋体" w:cs="宋体"/>
          <w:b/>
          <w:color w:val="000000"/>
          <w:highlight w:val="none"/>
        </w:rPr>
        <w:t xml:space="preserve">1、小微型企业价格扣除</w:t>
      </w:r>
      <w:r>
        <w:rPr>
          <w:rFonts w:hint="eastAsia" w:ascii="宋体" w:hAnsi="宋体" w:cs="宋体"/>
          <w:b/>
          <w:color w:val="000000"/>
          <w:highlight w:val="none"/>
        </w:rPr>
      </w:r>
      <w:r/>
    </w:p>
    <w:p>
      <w:pPr>
        <w:pStyle w:val="744"/>
        <w:ind w:firstLine="422"/>
        <w:spacing w:line="480" w:lineRule="exact"/>
        <w:shd w:val="clear" w:color="auto" w:fill="auto"/>
        <w:rPr>
          <w:rFonts w:hint="eastAsia" w:ascii="宋体" w:hAnsi="宋体" w:cs="宋体"/>
          <w:b/>
          <w:color w:val="000000"/>
          <w:highlight w:val="none"/>
        </w:rPr>
      </w:pPr>
      <w:r>
        <w:rPr>
          <w:rFonts w:hint="eastAsia" w:ascii="宋体" w:hAnsi="宋体" w:cs="宋体"/>
          <w:b/>
          <w:color w:val="000000"/>
          <w:highlight w:val="none"/>
        </w:rPr>
        <w:t xml:space="preserve">（1）本项目对小型和微型企业给予20%的扣除价格，用扣除后的价格参与评审。</w:t>
      </w:r>
      <w:r>
        <w:rPr>
          <w:rFonts w:hint="eastAsia" w:ascii="宋体" w:hAnsi="宋体" w:cs="宋体"/>
          <w:b/>
          <w:color w:val="000000"/>
          <w:highlight w:val="none"/>
        </w:rPr>
      </w:r>
      <w:r/>
    </w:p>
    <w:p>
      <w:pPr>
        <w:pStyle w:val="744"/>
        <w:ind w:firstLine="422"/>
        <w:spacing w:line="480" w:lineRule="exact"/>
        <w:shd w:val="clear" w:color="auto" w:fill="auto"/>
        <w:rPr>
          <w:rFonts w:hint="eastAsia" w:ascii="宋体" w:hAnsi="宋体" w:cs="宋体"/>
          <w:b/>
          <w:color w:val="000000"/>
          <w:highlight w:val="none"/>
        </w:rPr>
      </w:pPr>
      <w:r>
        <w:rPr>
          <w:rFonts w:hint="eastAsia" w:ascii="宋体" w:hAnsi="宋体" w:cs="宋体"/>
          <w:b/>
          <w:color w:val="000000"/>
          <w:highlight w:val="none"/>
        </w:rPr>
        <w:t xml:space="preserve">（2）供应商需按照采购文件的要求提供相应的《企业声明函》。</w:t>
      </w:r>
      <w:r>
        <w:rPr>
          <w:rFonts w:hint="eastAsia" w:ascii="宋体" w:hAnsi="宋体" w:cs="宋体"/>
          <w:b/>
          <w:color w:val="000000"/>
          <w:highlight w:val="none"/>
        </w:rPr>
      </w:r>
      <w:r/>
    </w:p>
    <w:p>
      <w:pPr>
        <w:pStyle w:val="744"/>
        <w:ind w:firstLine="422"/>
        <w:spacing w:line="480" w:lineRule="exact"/>
        <w:shd w:val="clear" w:color="auto" w:fill="auto"/>
        <w:rPr>
          <w:rFonts w:hint="eastAsia" w:ascii="宋体" w:hAnsi="宋体" w:cs="宋体"/>
          <w:b/>
          <w:color w:val="000000"/>
          <w:highlight w:val="none"/>
        </w:rPr>
      </w:pPr>
      <w:r>
        <w:rPr>
          <w:rFonts w:hint="eastAsia" w:ascii="宋体" w:hAnsi="宋体" w:cs="宋体"/>
          <w:b/>
          <w:color w:val="000000"/>
          <w:highlight w:val="none"/>
        </w:rPr>
        <w:t xml:space="preserve">（3）企业标准请参照《关于印发中小企业划型标准规定的通知》（工信部联企业[2011]300号）文件规定自行填写。</w:t>
      </w:r>
      <w:r>
        <w:rPr>
          <w:rFonts w:hint="eastAsia" w:ascii="宋体" w:hAnsi="宋体" w:cs="宋体"/>
          <w:b/>
          <w:color w:val="000000"/>
          <w:highlight w:val="none"/>
        </w:rPr>
      </w:r>
      <w:r/>
    </w:p>
    <w:p>
      <w:pPr>
        <w:pStyle w:val="744"/>
        <w:ind w:firstLine="422"/>
        <w:spacing w:line="480" w:lineRule="exact"/>
        <w:shd w:val="clear" w:color="auto" w:fill="auto"/>
        <w:rPr>
          <w:rFonts w:hint="eastAsia" w:ascii="宋体" w:hAnsi="宋体" w:cs="宋体"/>
          <w:b/>
          <w:color w:val="000000"/>
          <w:highlight w:val="none"/>
        </w:rPr>
      </w:pPr>
      <w:r>
        <w:rPr>
          <w:rFonts w:hint="eastAsia" w:ascii="宋体" w:hAnsi="宋体" w:cs="宋体"/>
          <w:b/>
          <w:color w:val="000000"/>
          <w:highlight w:val="none"/>
        </w:rPr>
        <w:t xml:space="preserve">2、残疾人福利单位价格扣除</w:t>
      </w:r>
      <w:r>
        <w:rPr>
          <w:rFonts w:hint="eastAsia" w:ascii="宋体" w:hAnsi="宋体" w:cs="宋体"/>
          <w:b/>
          <w:color w:val="000000"/>
          <w:highlight w:val="none"/>
        </w:rPr>
      </w:r>
      <w:r/>
    </w:p>
    <w:p>
      <w:pPr>
        <w:pStyle w:val="744"/>
        <w:ind w:firstLine="422"/>
        <w:spacing w:line="480" w:lineRule="exact"/>
        <w:shd w:val="clear" w:color="auto" w:fill="auto"/>
        <w:rPr>
          <w:rFonts w:hint="eastAsia" w:ascii="宋体" w:hAnsi="宋体" w:cs="宋体"/>
          <w:b/>
          <w:color w:val="000000"/>
          <w:highlight w:val="none"/>
        </w:rPr>
      </w:pPr>
      <w:r>
        <w:rPr>
          <w:rFonts w:hint="eastAsia" w:ascii="宋体" w:hAnsi="宋体" w:cs="宋体"/>
          <w:b/>
          <w:color w:val="000000"/>
          <w:highlight w:val="none"/>
        </w:rPr>
        <w:t xml:space="preserve">（1）本项目对残疾人福利性单位视同小型、微型企业，给予20%的价格扣除，用扣除后的价格参与评审。</w:t>
      </w:r>
      <w:r>
        <w:rPr>
          <w:rFonts w:hint="eastAsia" w:ascii="宋体" w:hAnsi="宋体" w:cs="宋体"/>
          <w:b/>
          <w:color w:val="000000"/>
          <w:highlight w:val="none"/>
        </w:rPr>
      </w:r>
      <w:r/>
    </w:p>
    <w:p>
      <w:pPr>
        <w:pStyle w:val="744"/>
        <w:ind w:firstLine="422"/>
        <w:spacing w:line="480" w:lineRule="exact"/>
        <w:shd w:val="clear" w:color="auto" w:fill="auto"/>
        <w:rPr>
          <w:rFonts w:hint="eastAsia" w:ascii="宋体" w:hAnsi="宋体" w:cs="宋体"/>
          <w:b/>
          <w:color w:val="000000"/>
          <w:highlight w:val="none"/>
        </w:rPr>
      </w:pPr>
      <w:r>
        <w:rPr>
          <w:rFonts w:hint="eastAsia" w:ascii="宋体" w:hAnsi="宋体" w:cs="宋体"/>
          <w:b/>
          <w:color w:val="000000"/>
          <w:highlight w:val="none"/>
        </w:rPr>
        <w:t xml:space="preserve">（2）残疾人福利单位需按照采购文件的要求提供《残疾人福利性单位声明函》。</w:t>
      </w:r>
      <w:r>
        <w:rPr>
          <w:rFonts w:hint="eastAsia" w:ascii="宋体" w:hAnsi="宋体" w:cs="宋体"/>
          <w:b/>
          <w:color w:val="000000"/>
          <w:highlight w:val="none"/>
        </w:rPr>
      </w:r>
      <w:r/>
    </w:p>
    <w:p>
      <w:pPr>
        <w:pStyle w:val="744"/>
        <w:ind w:firstLine="422"/>
        <w:spacing w:line="480" w:lineRule="exact"/>
        <w:shd w:val="clear" w:color="auto" w:fill="auto"/>
        <w:rPr>
          <w:rFonts w:hint="eastAsia" w:ascii="宋体" w:hAnsi="宋体" w:cs="宋体"/>
          <w:b/>
          <w:color w:val="000000"/>
          <w:highlight w:val="none"/>
        </w:rPr>
      </w:pPr>
      <w:r>
        <w:rPr>
          <w:rFonts w:hint="eastAsia" w:ascii="宋体" w:hAnsi="宋体" w:cs="宋体"/>
          <w:b/>
          <w:color w:val="000000"/>
          <w:highlight w:val="none"/>
        </w:rPr>
        <w:t xml:space="preserve">（3）残疾人福利单位标准请参照《关于促进残疾人就业政府采购政策的通知》（财库〔2017〕141号）。</w:t>
      </w:r>
      <w:r>
        <w:rPr>
          <w:rFonts w:hint="eastAsia" w:ascii="宋体" w:hAnsi="宋体" w:cs="宋体"/>
          <w:b/>
          <w:color w:val="000000"/>
          <w:highlight w:val="none"/>
        </w:rPr>
      </w:r>
      <w:r/>
    </w:p>
    <w:p>
      <w:pPr>
        <w:pStyle w:val="744"/>
        <w:ind w:firstLine="422"/>
        <w:spacing w:line="480" w:lineRule="exact"/>
        <w:shd w:val="clear" w:color="auto" w:fill="auto"/>
        <w:rPr>
          <w:rFonts w:hint="eastAsia" w:ascii="宋体" w:hAnsi="宋体" w:cs="宋体"/>
          <w:b/>
          <w:color w:val="000000"/>
          <w:highlight w:val="none"/>
        </w:rPr>
      </w:pPr>
      <w:r>
        <w:rPr>
          <w:rFonts w:hint="eastAsia" w:ascii="宋体" w:hAnsi="宋体" w:cs="宋体"/>
          <w:b/>
          <w:color w:val="000000"/>
          <w:highlight w:val="none"/>
        </w:rPr>
        <w:t xml:space="preserve">3、监狱和戒毒企业价格扣除</w:t>
      </w:r>
      <w:r>
        <w:rPr>
          <w:rFonts w:hint="eastAsia" w:ascii="宋体" w:hAnsi="宋体" w:cs="宋体"/>
          <w:b/>
          <w:color w:val="000000"/>
          <w:highlight w:val="none"/>
        </w:rPr>
      </w:r>
      <w:r/>
    </w:p>
    <w:p>
      <w:pPr>
        <w:pStyle w:val="744"/>
        <w:ind w:firstLine="422"/>
        <w:spacing w:line="480" w:lineRule="exact"/>
        <w:shd w:val="clear" w:color="auto" w:fill="auto"/>
        <w:rPr>
          <w:rFonts w:hint="eastAsia" w:ascii="宋体" w:hAnsi="宋体" w:cs="宋体"/>
          <w:b/>
          <w:color w:val="000000"/>
          <w:highlight w:val="none"/>
        </w:rPr>
      </w:pPr>
      <w:r>
        <w:rPr>
          <w:rFonts w:hint="eastAsia" w:ascii="宋体" w:hAnsi="宋体" w:cs="宋体"/>
          <w:b/>
          <w:color w:val="000000"/>
          <w:highlight w:val="none"/>
        </w:rPr>
        <w:t xml:space="preserve">（1）本项目对监狱和戒毒企业（简称监狱企业）视同小型、微型企业，给予20%的价格扣除，用扣除后的价格参与评审。</w:t>
      </w:r>
      <w:r>
        <w:rPr>
          <w:rFonts w:hint="eastAsia" w:ascii="宋体" w:hAnsi="宋体" w:cs="宋体"/>
          <w:b/>
          <w:color w:val="000000"/>
          <w:highlight w:val="none"/>
        </w:rPr>
      </w:r>
      <w:r/>
    </w:p>
    <w:p>
      <w:pPr>
        <w:pStyle w:val="744"/>
        <w:ind w:firstLine="422"/>
        <w:spacing w:line="480" w:lineRule="exact"/>
        <w:shd w:val="clear" w:color="auto" w:fill="auto"/>
        <w:rPr>
          <w:rFonts w:hint="eastAsia" w:ascii="宋体" w:hAnsi="宋体" w:cs="宋体"/>
          <w:b/>
          <w:color w:val="000000"/>
          <w:highlight w:val="none"/>
        </w:rPr>
      </w:pPr>
      <w:r>
        <w:rPr>
          <w:rFonts w:hint="eastAsia" w:ascii="宋体" w:hAnsi="宋体" w:cs="宋体"/>
          <w:b/>
          <w:color w:val="000000"/>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cs="宋体"/>
          <w:b/>
          <w:color w:val="000000"/>
          <w:highlight w:val="none"/>
        </w:rPr>
      </w:r>
      <w:r/>
    </w:p>
    <w:p>
      <w:pPr>
        <w:pStyle w:val="744"/>
        <w:ind w:firstLine="422"/>
        <w:spacing w:line="480" w:lineRule="exact"/>
        <w:shd w:val="clear" w:color="auto" w:fill="auto"/>
        <w:rPr>
          <w:rFonts w:hint="eastAsia" w:ascii="宋体" w:hAnsi="宋体" w:cs="宋体"/>
          <w:b/>
          <w:color w:val="000000"/>
          <w:highlight w:val="none"/>
        </w:rPr>
      </w:pPr>
      <w:r>
        <w:rPr>
          <w:rFonts w:hint="eastAsia" w:ascii="宋体" w:hAnsi="宋体" w:cs="宋体"/>
          <w:b/>
          <w:color w:val="000000"/>
          <w:highlight w:val="none"/>
        </w:rPr>
        <w:t xml:space="preserve">（3）监狱企业标准请参照《关于政府采购支持监狱企业发展有关问题的通知》（财库[2014]68号）。</w:t>
      </w:r>
      <w:r>
        <w:rPr>
          <w:rFonts w:hint="eastAsia" w:ascii="宋体" w:hAnsi="宋体" w:cs="宋体"/>
          <w:b/>
          <w:color w:val="000000"/>
          <w:highlight w:val="none"/>
        </w:rPr>
      </w:r>
      <w:r/>
    </w:p>
    <w:p>
      <w:pPr>
        <w:pStyle w:val="744"/>
        <w:ind w:firstLine="422"/>
        <w:spacing w:line="480" w:lineRule="exact"/>
        <w:shd w:val="clear" w:color="auto" w:fill="auto"/>
        <w:rPr>
          <w:rFonts w:ascii="宋体" w:hAnsi="宋体" w:cs="宋体"/>
          <w:b/>
          <w:color w:val="000000"/>
          <w:highlight w:val="none"/>
        </w:rPr>
      </w:pPr>
      <w:r>
        <w:rPr>
          <w:rFonts w:hint="eastAsia" w:ascii="宋体" w:hAnsi="宋体" w:cs="宋体"/>
          <w:b/>
          <w:color w:val="000000"/>
          <w:highlight w:val="none"/>
        </w:rPr>
        <w:t xml:space="preserve">4、残疾人福利单位、监狱企业属于小型、微型企业的，不重复享受政策。</w:t>
      </w:r>
      <w:r>
        <w:rPr>
          <w:rFonts w:ascii="宋体" w:hAnsi="宋体" w:cs="宋体"/>
          <w:b/>
          <w:color w:val="000000"/>
          <w:highlight w:val="none"/>
        </w:rPr>
      </w:r>
      <w:r/>
    </w:p>
    <w:p>
      <w:pPr>
        <w:pStyle w:val="744"/>
        <w:ind w:firstLine="420"/>
        <w:spacing w:line="480" w:lineRule="exact"/>
        <w:shd w:val="clear" w:color="auto" w:fill="auto"/>
        <w:rPr>
          <w:rFonts w:ascii="宋体" w:hAnsi="宋体" w:cs="宋体"/>
          <w:color w:val="000000"/>
          <w:highlight w:val="none"/>
        </w:rPr>
      </w:pPr>
      <w:r>
        <w:rPr>
          <w:rFonts w:hint="eastAsia" w:ascii="宋体" w:hAnsi="宋体" w:cs="宋体"/>
          <w:color w:val="000000"/>
          <w:highlight w:val="none"/>
        </w:rPr>
        <w:t xml:space="preserve">三、评标程序</w:t>
      </w:r>
      <w:bookmarkEnd w:id="150"/>
      <w:r>
        <w:rPr>
          <w:rFonts w:ascii="宋体" w:hAnsi="宋体" w:cs="宋体"/>
          <w:color w:val="000000"/>
          <w:highlight w:val="none"/>
        </w:rPr>
      </w:r>
      <w:r/>
    </w:p>
    <w:p>
      <w:pPr>
        <w:pStyle w:val="744"/>
        <w:ind w:firstLine="420"/>
        <w:spacing w:line="480" w:lineRule="exact"/>
        <w:shd w:val="clear" w:color="auto" w:fill="auto"/>
        <w:rPr>
          <w:rFonts w:ascii="宋体" w:hAnsi="宋体" w:cs="宋体"/>
          <w:color w:val="000000"/>
          <w:highlight w:val="none"/>
        </w:rPr>
      </w:pPr>
      <w:r/>
      <w:bookmarkStart w:id="151" w:name="_Toc29388463"/>
      <w:r/>
      <w:bookmarkStart w:id="152" w:name="_Toc397928606"/>
      <w:r/>
      <w:bookmarkStart w:id="153" w:name="_Toc22907"/>
      <w:r>
        <w:rPr>
          <w:rFonts w:hint="eastAsia" w:ascii="宋体" w:hAnsi="宋体" w:cs="宋体"/>
          <w:color w:val="000000"/>
          <w:highlight w:val="none"/>
        </w:rPr>
        <w:t xml:space="preserve">3.1 评标准备</w:t>
      </w:r>
      <w:bookmarkEnd w:id="151"/>
      <w:r/>
      <w:bookmarkEnd w:id="152"/>
      <w:r/>
      <w:bookmarkEnd w:id="153"/>
      <w:r>
        <w:rPr>
          <w:rFonts w:ascii="宋体" w:hAnsi="宋体" w:cs="宋体"/>
          <w:color w:val="000000"/>
          <w:highlight w:val="none"/>
        </w:rPr>
      </w:r>
      <w:r/>
    </w:p>
    <w:p>
      <w:pPr>
        <w:pStyle w:val="744"/>
        <w:ind w:firstLine="420"/>
        <w:spacing w:line="480" w:lineRule="exact"/>
        <w:shd w:val="clear" w:color="auto" w:fill="auto"/>
        <w:rPr>
          <w:rFonts w:ascii="宋体" w:hAnsi="宋体" w:cs="宋体"/>
          <w:color w:val="000000"/>
          <w:highlight w:val="none"/>
        </w:rPr>
      </w:pPr>
      <w:r>
        <w:rPr>
          <w:rFonts w:hint="eastAsia" w:ascii="宋体" w:hAnsi="宋体" w:cs="宋体"/>
          <w:color w:val="000000"/>
          <w:highlight w:val="none"/>
        </w:rPr>
        <w:t xml:space="preserve">3.1.</w:t>
      </w:r>
      <w:r>
        <w:rPr>
          <w:rFonts w:ascii="宋体" w:hAnsi="宋体" w:cs="宋体"/>
          <w:color w:val="000000"/>
          <w:highlight w:val="none"/>
        </w:rPr>
        <w:t xml:space="preserve">1</w:t>
      </w:r>
      <w:r>
        <w:rPr>
          <w:rFonts w:hint="eastAsia" w:ascii="宋体" w:hAnsi="宋体" w:cs="宋体"/>
          <w:color w:val="000000"/>
          <w:highlight w:val="none"/>
        </w:rPr>
        <w:t xml:space="preserve"> 评标委员会成员首先推选一名评标委员会负责人，负责评标活动的组织领导工作。</w:t>
      </w:r>
      <w:r>
        <w:rPr>
          <w:rFonts w:ascii="宋体" w:hAnsi="宋体" w:cs="宋体"/>
          <w:color w:val="000000"/>
          <w:highlight w:val="none"/>
        </w:rPr>
      </w:r>
      <w:r/>
    </w:p>
    <w:p>
      <w:pPr>
        <w:pStyle w:val="744"/>
        <w:ind w:firstLine="420"/>
        <w:spacing w:line="480" w:lineRule="exact"/>
        <w:shd w:val="clear" w:color="auto" w:fill="auto"/>
        <w:rPr>
          <w:rFonts w:ascii="宋体" w:hAnsi="宋体" w:cs="宋体"/>
          <w:color w:val="000000"/>
          <w:highlight w:val="none"/>
        </w:rPr>
      </w:pPr>
      <w:r>
        <w:rPr>
          <w:rFonts w:hint="eastAsia" w:ascii="宋体" w:hAnsi="宋体" w:cs="宋体"/>
          <w:color w:val="000000"/>
          <w:highlight w:val="none"/>
        </w:rPr>
        <w:t xml:space="preserve">3.1.</w:t>
      </w:r>
      <w:r>
        <w:rPr>
          <w:rFonts w:ascii="宋体" w:hAnsi="宋体" w:cs="宋体"/>
          <w:color w:val="000000"/>
          <w:highlight w:val="none"/>
        </w:rPr>
        <w:t xml:space="preserve">2</w:t>
      </w:r>
      <w:r>
        <w:rPr>
          <w:rFonts w:hint="eastAsia" w:ascii="宋体" w:hAnsi="宋体" w:cs="宋体"/>
          <w:color w:val="000000"/>
          <w:highlight w:val="none"/>
        </w:rPr>
        <w:t xml:space="preserve"> 招标人或招标代理机构应向评标委员会提供评标所需的信息和数据。评标委员会负责人应组织评标委员会成员认真研究招标文件，未在招标文件中规定的标准和方法不得作为评标的依据。</w:t>
      </w:r>
      <w:r>
        <w:rPr>
          <w:rFonts w:ascii="宋体" w:hAnsi="宋体" w:cs="宋体"/>
          <w:color w:val="000000"/>
          <w:highlight w:val="none"/>
        </w:rPr>
      </w:r>
      <w:r/>
    </w:p>
    <w:p>
      <w:pPr>
        <w:pStyle w:val="744"/>
        <w:ind w:firstLine="420"/>
        <w:spacing w:line="480" w:lineRule="exact"/>
        <w:shd w:val="clear" w:color="auto" w:fill="auto"/>
        <w:rPr>
          <w:rFonts w:ascii="宋体" w:hAnsi="宋体" w:cs="宋体"/>
          <w:color w:val="000000"/>
          <w:highlight w:val="none"/>
        </w:rPr>
      </w:pPr>
      <w:r/>
      <w:bookmarkStart w:id="154" w:name="_Toc397928607"/>
      <w:r/>
      <w:bookmarkStart w:id="155" w:name="_Toc29388464"/>
      <w:r/>
      <w:bookmarkStart w:id="156" w:name="_Toc6331"/>
      <w:r>
        <w:rPr>
          <w:rFonts w:hint="eastAsia" w:ascii="宋体" w:hAnsi="宋体" w:cs="宋体"/>
          <w:color w:val="000000"/>
          <w:highlight w:val="none"/>
        </w:rPr>
        <w:t xml:space="preserve">3.2 初步评审</w:t>
      </w:r>
      <w:bookmarkEnd w:id="154"/>
      <w:r/>
      <w:bookmarkEnd w:id="155"/>
      <w:r/>
      <w:bookmarkEnd w:id="156"/>
      <w:r>
        <w:rPr>
          <w:rFonts w:ascii="宋体" w:hAnsi="宋体" w:cs="宋体"/>
          <w:color w:val="000000"/>
          <w:highlight w:val="none"/>
        </w:rPr>
      </w:r>
      <w:r/>
    </w:p>
    <w:p>
      <w:pPr>
        <w:pStyle w:val="744"/>
        <w:ind w:firstLine="420"/>
        <w:spacing w:line="480" w:lineRule="exact"/>
        <w:shd w:val="clear" w:color="auto" w:fill="auto"/>
        <w:rPr>
          <w:rFonts w:ascii="宋体" w:hAnsi="宋体" w:cs="宋体"/>
          <w:color w:val="000000"/>
          <w:highlight w:val="none"/>
        </w:rPr>
      </w:pPr>
      <w:r>
        <w:rPr>
          <w:rFonts w:hint="eastAsia" w:ascii="宋体" w:hAnsi="宋体" w:cs="宋体"/>
          <w:color w:val="000000"/>
          <w:highlight w:val="none"/>
        </w:rPr>
        <w:t xml:space="preserve">3.2.1评标委员会依据本章第一款规定的标准对投标文件进行初步评审。</w:t>
      </w:r>
      <w:r>
        <w:rPr>
          <w:rFonts w:ascii="宋体" w:hAnsi="宋体" w:cs="宋体"/>
          <w:color w:val="000000"/>
          <w:highlight w:val="none"/>
        </w:rPr>
      </w:r>
      <w:r/>
    </w:p>
    <w:p>
      <w:pPr>
        <w:pStyle w:val="744"/>
        <w:ind w:firstLine="420"/>
        <w:spacing w:line="480" w:lineRule="exact"/>
        <w:shd w:val="clear" w:color="auto" w:fill="auto"/>
        <w:rPr>
          <w:rFonts w:ascii="宋体" w:hAnsi="宋体" w:cs="宋体"/>
          <w:color w:val="000000"/>
          <w:highlight w:val="none"/>
        </w:rPr>
      </w:pPr>
      <w:r>
        <w:rPr>
          <w:rFonts w:hint="eastAsia" w:ascii="宋体" w:hAnsi="宋体" w:cs="宋体"/>
          <w:color w:val="000000"/>
          <w:highlight w:val="none"/>
        </w:rPr>
        <w:t xml:space="preserve">3.2.2投标文件不符合本章第一款评审标准的，属于重大偏差，视为未能对招标文件作出实质性响应，应当作为无效投标予以否决。</w:t>
      </w:r>
      <w:r>
        <w:rPr>
          <w:rFonts w:ascii="宋体" w:hAnsi="宋体" w:cs="宋体"/>
          <w:color w:val="000000"/>
          <w:highlight w:val="none"/>
        </w:rPr>
      </w:r>
      <w:r/>
    </w:p>
    <w:p>
      <w:pPr>
        <w:pStyle w:val="744"/>
        <w:ind w:firstLine="420"/>
        <w:spacing w:line="480" w:lineRule="exact"/>
        <w:shd w:val="clear" w:color="auto" w:fill="auto"/>
        <w:rPr>
          <w:rFonts w:ascii="宋体" w:hAnsi="宋体" w:cs="宋体"/>
          <w:color w:val="000000"/>
          <w:highlight w:val="none"/>
        </w:rPr>
      </w:pPr>
      <w:r>
        <w:rPr>
          <w:rFonts w:hint="eastAsia" w:ascii="宋体" w:hAnsi="宋体" w:cs="宋体"/>
          <w:color w:val="000000"/>
          <w:highlight w:val="none"/>
        </w:rPr>
        <w:t xml:space="preserve">3.2.</w:t>
      </w:r>
      <w:r>
        <w:rPr>
          <w:rFonts w:ascii="宋体" w:hAnsi="宋体" w:cs="宋体"/>
          <w:color w:val="000000"/>
          <w:highlight w:val="none"/>
        </w:rPr>
        <w:t xml:space="preserve">3</w:t>
      </w:r>
      <w:r>
        <w:rPr>
          <w:rFonts w:hint="eastAsia" w:ascii="宋体" w:hAnsi="宋体" w:cs="宋体"/>
          <w:color w:val="000000"/>
          <w:highlight w:val="none"/>
        </w:rPr>
        <w:t xml:space="preserve">只有通过初步评审的投标文件才能进入详细评审。</w:t>
      </w:r>
      <w:r>
        <w:rPr>
          <w:rFonts w:ascii="宋体" w:hAnsi="宋体" w:cs="宋体"/>
          <w:color w:val="000000"/>
          <w:highlight w:val="none"/>
        </w:rPr>
      </w:r>
      <w:r/>
    </w:p>
    <w:p>
      <w:pPr>
        <w:pStyle w:val="744"/>
        <w:ind w:firstLine="420"/>
        <w:spacing w:line="480" w:lineRule="exact"/>
        <w:shd w:val="clear" w:color="auto" w:fill="auto"/>
        <w:rPr>
          <w:rFonts w:ascii="宋体" w:hAnsi="宋体" w:cs="宋体"/>
          <w:color w:val="000000"/>
          <w:highlight w:val="none"/>
        </w:rPr>
      </w:pPr>
      <w:r/>
      <w:bookmarkStart w:id="157" w:name="_Toc397928608"/>
      <w:r/>
      <w:bookmarkStart w:id="158" w:name="_Toc29388465"/>
      <w:r/>
      <w:bookmarkStart w:id="159" w:name="_Toc7389"/>
      <w:r>
        <w:rPr>
          <w:rFonts w:hint="eastAsia" w:ascii="宋体" w:hAnsi="宋体" w:cs="宋体"/>
          <w:color w:val="000000"/>
          <w:highlight w:val="none"/>
        </w:rPr>
        <w:t xml:space="preserve">3.3 详细评审</w:t>
      </w:r>
      <w:bookmarkEnd w:id="157"/>
      <w:r/>
      <w:bookmarkEnd w:id="158"/>
      <w:r/>
      <w:bookmarkEnd w:id="159"/>
      <w:r>
        <w:rPr>
          <w:rFonts w:ascii="宋体" w:hAnsi="宋体" w:cs="宋体"/>
          <w:color w:val="000000"/>
          <w:highlight w:val="none"/>
        </w:rPr>
      </w:r>
      <w:r/>
    </w:p>
    <w:p>
      <w:pPr>
        <w:pStyle w:val="744"/>
        <w:ind w:firstLine="420"/>
        <w:spacing w:line="480" w:lineRule="exact"/>
        <w:shd w:val="clear" w:color="auto" w:fill="auto"/>
        <w:rPr>
          <w:rFonts w:ascii="宋体" w:hAnsi="宋体" w:cs="宋体"/>
          <w:color w:val="000000"/>
          <w:highlight w:val="none"/>
        </w:rPr>
      </w:pPr>
      <w:r/>
      <w:bookmarkStart w:id="160" w:name="_Toc29388466"/>
      <w:r/>
      <w:bookmarkStart w:id="161" w:name="_Toc397928609"/>
      <w:r/>
      <w:bookmarkStart w:id="162" w:name="_Toc5826"/>
      <w:r>
        <w:rPr>
          <w:rFonts w:hint="eastAsia" w:ascii="宋体" w:hAnsi="宋体" w:cs="宋体"/>
          <w:color w:val="000000"/>
          <w:highlight w:val="none"/>
        </w:rPr>
        <w:t xml:space="preserve">3.4 投标文件的澄清和补正</w:t>
      </w:r>
      <w:bookmarkEnd w:id="160"/>
      <w:r/>
      <w:bookmarkEnd w:id="161"/>
      <w:r/>
      <w:bookmarkEnd w:id="162"/>
      <w:r>
        <w:rPr>
          <w:rFonts w:ascii="宋体" w:hAnsi="宋体" w:cs="宋体"/>
          <w:color w:val="000000"/>
          <w:highlight w:val="none"/>
        </w:rPr>
      </w:r>
      <w:r/>
    </w:p>
    <w:p>
      <w:pPr>
        <w:pStyle w:val="744"/>
        <w:ind w:firstLine="420"/>
        <w:spacing w:line="480" w:lineRule="exact"/>
        <w:shd w:val="clear" w:color="auto" w:fill="auto"/>
        <w:rPr>
          <w:rFonts w:ascii="宋体" w:hAnsi="宋体" w:cs="宋体"/>
          <w:color w:val="000000"/>
          <w:highlight w:val="none"/>
        </w:rPr>
      </w:pPr>
      <w:r>
        <w:rPr>
          <w:rFonts w:hint="eastAsia" w:ascii="宋体" w:hAnsi="宋体" w:cs="宋体"/>
          <w:color w:val="000000"/>
          <w:highlight w:val="none"/>
        </w:rPr>
        <w:t xml:space="preserve">3.4.1 在评标过程中，评标委员会可以书面形式要求投标人对所提交投标文件中不明确的内容进行书面澄清或说明，或者对细微偏差进行补正。评标委员会不接受投标人主动提出的澄清、说明或补正。</w:t>
      </w:r>
      <w:r>
        <w:rPr>
          <w:rFonts w:ascii="宋体" w:hAnsi="宋体" w:cs="宋体"/>
          <w:color w:val="000000"/>
          <w:highlight w:val="none"/>
        </w:rPr>
      </w:r>
      <w:r/>
    </w:p>
    <w:p>
      <w:pPr>
        <w:pStyle w:val="744"/>
        <w:ind w:firstLine="420"/>
        <w:spacing w:line="480" w:lineRule="exact"/>
        <w:shd w:val="clear" w:color="auto" w:fill="auto"/>
        <w:rPr>
          <w:rFonts w:ascii="宋体" w:hAnsi="宋体" w:cs="宋体"/>
          <w:color w:val="000000"/>
          <w:highlight w:val="none"/>
        </w:rPr>
      </w:pPr>
      <w:r>
        <w:rPr>
          <w:rFonts w:hint="eastAsia" w:ascii="宋体" w:hAnsi="宋体" w:cs="宋体"/>
          <w:color w:val="000000"/>
          <w:highlight w:val="none"/>
        </w:rPr>
        <w:t xml:space="preserve">3.4.2 澄清、说明和补正不得改变投标文件的实质性内容（算术性错误修正的除外）。投标人的书面澄清、说明和补正属于投标文件的组成部分。</w:t>
      </w:r>
      <w:r>
        <w:rPr>
          <w:rFonts w:ascii="宋体" w:hAnsi="宋体" w:cs="宋体"/>
          <w:color w:val="000000"/>
          <w:highlight w:val="none"/>
        </w:rPr>
      </w:r>
      <w:r/>
    </w:p>
    <w:p>
      <w:pPr>
        <w:pStyle w:val="744"/>
        <w:ind w:firstLine="420"/>
        <w:spacing w:line="480" w:lineRule="exact"/>
        <w:shd w:val="clear" w:color="auto" w:fill="auto"/>
        <w:rPr>
          <w:rFonts w:ascii="宋体" w:hAnsi="宋体" w:cs="宋体"/>
          <w:color w:val="000000"/>
          <w:highlight w:val="none"/>
        </w:rPr>
      </w:pPr>
      <w:r>
        <w:rPr>
          <w:rFonts w:hint="eastAsia" w:ascii="宋体" w:hAnsi="宋体" w:cs="宋体"/>
          <w:color w:val="000000"/>
          <w:highlight w:val="none"/>
        </w:rPr>
        <w:t xml:space="preserve">3.4.3 评标委员会对投标人提交的澄清、说明或补正有疑问的，可以要求投标人进一步澄清、说明或补正。</w:t>
      </w:r>
      <w:r>
        <w:rPr>
          <w:rFonts w:ascii="宋体" w:hAnsi="宋体" w:cs="宋体"/>
          <w:color w:val="000000"/>
          <w:highlight w:val="none"/>
        </w:rPr>
      </w:r>
      <w:r/>
    </w:p>
    <w:p>
      <w:pPr>
        <w:pStyle w:val="744"/>
        <w:ind w:firstLine="420"/>
        <w:spacing w:line="480" w:lineRule="exact"/>
        <w:shd w:val="clear" w:color="auto" w:fill="auto"/>
        <w:rPr>
          <w:rFonts w:ascii="宋体" w:hAnsi="宋体" w:cs="宋体"/>
          <w:color w:val="000000"/>
          <w:highlight w:val="none"/>
        </w:rPr>
      </w:pPr>
      <w:r/>
      <w:bookmarkStart w:id="163" w:name="_Toc29288"/>
      <w:r/>
      <w:bookmarkStart w:id="164" w:name="_Toc397928610"/>
      <w:r/>
      <w:bookmarkStart w:id="165" w:name="_Toc29388467"/>
      <w:r>
        <w:rPr>
          <w:rFonts w:hint="eastAsia" w:ascii="宋体" w:hAnsi="宋体" w:cs="宋体"/>
          <w:color w:val="000000"/>
          <w:highlight w:val="none"/>
        </w:rPr>
        <w:t xml:space="preserve">3.5 推荐中标候选人或直接确定中标人</w:t>
      </w:r>
      <w:bookmarkEnd w:id="163"/>
      <w:r/>
      <w:bookmarkEnd w:id="164"/>
      <w:r/>
      <w:bookmarkEnd w:id="165"/>
      <w:r>
        <w:rPr>
          <w:rFonts w:ascii="宋体" w:hAnsi="宋体" w:cs="宋体"/>
          <w:color w:val="000000"/>
          <w:highlight w:val="none"/>
        </w:rPr>
      </w:r>
      <w:r/>
    </w:p>
    <w:p>
      <w:pPr>
        <w:pStyle w:val="744"/>
        <w:ind w:firstLine="420"/>
        <w:spacing w:line="480" w:lineRule="exact"/>
        <w:shd w:val="clear" w:color="auto" w:fill="auto"/>
        <w:rPr>
          <w:rFonts w:ascii="宋体" w:hAnsi="宋体" w:cs="宋体"/>
          <w:color w:val="000000"/>
          <w:highlight w:val="none"/>
        </w:rPr>
      </w:pPr>
      <w:r>
        <w:rPr>
          <w:rFonts w:hint="eastAsia" w:ascii="宋体" w:hAnsi="宋体" w:cs="宋体"/>
          <w:color w:val="000000"/>
          <w:highlight w:val="none"/>
        </w:rPr>
        <w:t xml:space="preserve">3.5.1 除投标人须知前附表授权直接确定中标人外，评标委员会在推荐中标候选人时，应遵照以下原则:</w:t>
      </w:r>
      <w:r>
        <w:rPr>
          <w:rFonts w:ascii="宋体" w:hAnsi="宋体" w:cs="宋体"/>
          <w:color w:val="000000"/>
          <w:highlight w:val="none"/>
        </w:rPr>
      </w:r>
      <w:r/>
    </w:p>
    <w:p>
      <w:pPr>
        <w:pStyle w:val="744"/>
        <w:ind w:firstLine="420"/>
        <w:spacing w:line="480" w:lineRule="exact"/>
        <w:shd w:val="clear" w:color="auto" w:fill="auto"/>
        <w:rPr>
          <w:rFonts w:ascii="宋体" w:hAnsi="宋体" w:cs="宋体"/>
          <w:color w:val="000000"/>
          <w:highlight w:val="none"/>
        </w:rPr>
      </w:pPr>
      <w:r>
        <w:rPr>
          <w:rFonts w:hint="eastAsia" w:ascii="宋体" w:hAnsi="宋体" w:cs="宋体"/>
          <w:color w:val="000000"/>
          <w:highlight w:val="none"/>
        </w:rPr>
        <w:t xml:space="preserve">评标委员会对满足招标文件全部实质性要求，按投标单价由低至高推荐有排序的1-3名中标侯选人，招标人根据评标委员会提供的书面评标报告，依法确定中标人。</w:t>
      </w:r>
      <w:r>
        <w:rPr>
          <w:rFonts w:ascii="宋体" w:hAnsi="宋体" w:cs="宋体"/>
          <w:color w:val="000000"/>
          <w:highlight w:val="none"/>
        </w:rPr>
      </w:r>
      <w:r/>
    </w:p>
    <w:p>
      <w:pPr>
        <w:pStyle w:val="744"/>
        <w:ind w:firstLine="420"/>
        <w:spacing w:line="480" w:lineRule="exact"/>
        <w:shd w:val="clear" w:color="auto" w:fill="auto"/>
        <w:rPr>
          <w:rFonts w:ascii="宋体" w:hAnsi="宋体" w:cs="宋体"/>
          <w:color w:val="000000"/>
          <w:highlight w:val="none"/>
        </w:rPr>
      </w:pPr>
      <w:r/>
      <w:bookmarkStart w:id="166" w:name="_Toc397928611"/>
      <w:r/>
      <w:bookmarkStart w:id="167" w:name="_Toc29388468"/>
      <w:r>
        <w:rPr>
          <w:rFonts w:hint="eastAsia" w:ascii="宋体" w:hAnsi="宋体" w:cs="宋体"/>
          <w:color w:val="000000"/>
          <w:highlight w:val="none"/>
        </w:rPr>
        <w:t xml:space="preserve">3.6 提交评标报告</w:t>
      </w:r>
      <w:bookmarkEnd w:id="166"/>
      <w:r/>
      <w:bookmarkEnd w:id="167"/>
      <w:r>
        <w:rPr>
          <w:rFonts w:ascii="宋体" w:hAnsi="宋体" w:cs="宋体"/>
          <w:color w:val="000000"/>
          <w:highlight w:val="none"/>
        </w:rPr>
      </w:r>
      <w:r/>
    </w:p>
    <w:p>
      <w:pPr>
        <w:pStyle w:val="744"/>
        <w:ind w:firstLine="420"/>
        <w:spacing w:line="480" w:lineRule="exact"/>
        <w:shd w:val="clear" w:color="auto" w:fill="auto"/>
        <w:rPr>
          <w:rFonts w:ascii="宋体" w:hAnsi="宋体" w:cs="宋体"/>
          <w:color w:val="000000"/>
          <w:highlight w:val="none"/>
        </w:rPr>
      </w:pPr>
      <w:r>
        <w:rPr>
          <w:rFonts w:hint="eastAsia" w:ascii="宋体" w:hAnsi="宋体" w:cs="宋体"/>
          <w:color w:val="000000"/>
          <w:highlight w:val="none"/>
        </w:rPr>
        <w:t xml:space="preserve">评标委员会完成评标后，应当向招标人提交书面评标报告。评标报告应当由全体评标委员会成员签字，并于评标结束时抄送有关行政监督部门。</w:t>
      </w:r>
      <w:r>
        <w:rPr>
          <w:rFonts w:ascii="宋体" w:hAnsi="宋体" w:cs="宋体"/>
          <w:color w:val="000000"/>
          <w:highlight w:val="none"/>
        </w:rPr>
      </w:r>
      <w:r/>
    </w:p>
    <w:p>
      <w:pPr>
        <w:pStyle w:val="744"/>
        <w:ind w:firstLine="420"/>
        <w:spacing w:line="480" w:lineRule="exact"/>
        <w:shd w:val="clear" w:color="auto" w:fill="auto"/>
        <w:rPr>
          <w:rFonts w:ascii="宋体" w:hAnsi="宋体" w:cs="宋体"/>
          <w:color w:val="000000"/>
          <w:highlight w:val="none"/>
        </w:rPr>
      </w:pPr>
      <w:r/>
      <w:bookmarkStart w:id="168" w:name="_Toc29388469"/>
      <w:r>
        <w:rPr>
          <w:rFonts w:hint="eastAsia" w:ascii="宋体" w:hAnsi="宋体" w:cs="宋体"/>
          <w:color w:val="000000"/>
          <w:highlight w:val="none"/>
        </w:rPr>
        <w:t xml:space="preserve">4． 通用评标规则</w:t>
      </w:r>
      <w:bookmarkEnd w:id="168"/>
      <w:r>
        <w:rPr>
          <w:rFonts w:ascii="宋体" w:hAnsi="宋体" w:cs="宋体"/>
          <w:color w:val="000000"/>
          <w:highlight w:val="none"/>
        </w:rPr>
      </w:r>
      <w:r/>
    </w:p>
    <w:p>
      <w:pPr>
        <w:pStyle w:val="744"/>
        <w:ind w:firstLine="420"/>
        <w:spacing w:line="480" w:lineRule="exact"/>
        <w:shd w:val="clear" w:color="auto" w:fill="auto"/>
        <w:rPr>
          <w:rFonts w:ascii="宋体" w:hAnsi="宋体" w:cs="宋体"/>
          <w:color w:val="000000"/>
          <w:highlight w:val="none"/>
        </w:rPr>
      </w:pPr>
      <w:r/>
      <w:bookmarkStart w:id="169" w:name="_Toc29388470"/>
      <w:r>
        <w:rPr>
          <w:rFonts w:hint="eastAsia" w:ascii="宋体" w:hAnsi="宋体" w:cs="宋体"/>
          <w:color w:val="000000"/>
          <w:highlight w:val="none"/>
        </w:rPr>
        <w:t xml:space="preserve">4.1 评标程序</w:t>
      </w:r>
      <w:bookmarkEnd w:id="169"/>
      <w:r>
        <w:rPr>
          <w:rFonts w:ascii="宋体" w:hAnsi="宋体" w:cs="宋体"/>
          <w:color w:val="000000"/>
          <w:highlight w:val="none"/>
        </w:rPr>
      </w:r>
      <w:r/>
    </w:p>
    <w:p>
      <w:pPr>
        <w:pStyle w:val="744"/>
        <w:ind w:firstLine="420"/>
        <w:spacing w:line="480" w:lineRule="exact"/>
        <w:shd w:val="clear" w:color="auto" w:fill="auto"/>
        <w:rPr>
          <w:rFonts w:ascii="宋体" w:hAnsi="宋体" w:cs="宋体"/>
          <w:color w:val="000000"/>
          <w:highlight w:val="none"/>
        </w:rPr>
      </w:pPr>
      <w:r>
        <w:rPr>
          <w:rFonts w:hint="eastAsia" w:ascii="宋体" w:hAnsi="宋体" w:cs="宋体"/>
          <w:color w:val="000000"/>
          <w:highlight w:val="none"/>
        </w:rPr>
        <w:t xml:space="preserve">资信文件、商务文件应分别评审，评审后不得更改。</w:t>
      </w:r>
      <w:r>
        <w:rPr>
          <w:rFonts w:ascii="宋体" w:hAnsi="宋体" w:cs="宋体"/>
          <w:color w:val="000000"/>
          <w:highlight w:val="none"/>
        </w:rPr>
      </w:r>
      <w:r/>
    </w:p>
    <w:p>
      <w:pPr>
        <w:pStyle w:val="744"/>
        <w:ind w:firstLine="420"/>
        <w:spacing w:line="480" w:lineRule="exact"/>
        <w:shd w:val="clear" w:color="auto" w:fill="auto"/>
        <w:rPr>
          <w:rFonts w:ascii="宋体" w:hAnsi="宋体" w:cs="宋体"/>
          <w:color w:val="000000"/>
          <w:highlight w:val="none"/>
        </w:rPr>
      </w:pPr>
      <w:r/>
      <w:bookmarkStart w:id="170" w:name="_Toc29388472"/>
      <w:r>
        <w:rPr>
          <w:rFonts w:hint="eastAsia" w:ascii="宋体" w:hAnsi="宋体" w:cs="宋体"/>
          <w:color w:val="000000"/>
          <w:highlight w:val="none"/>
        </w:rPr>
        <w:t xml:space="preserve">4.2计价文件评审规定</w:t>
      </w:r>
      <w:bookmarkEnd w:id="170"/>
      <w:r>
        <w:rPr>
          <w:rFonts w:ascii="宋体" w:hAnsi="宋体" w:cs="宋体"/>
          <w:color w:val="000000"/>
          <w:highlight w:val="none"/>
        </w:rPr>
      </w:r>
      <w:r/>
    </w:p>
    <w:p>
      <w:pPr>
        <w:pStyle w:val="744"/>
        <w:ind w:firstLine="420"/>
        <w:spacing w:line="480" w:lineRule="exact"/>
        <w:shd w:val="clear" w:color="auto" w:fill="auto"/>
        <w:rPr>
          <w:rFonts w:ascii="宋体" w:hAnsi="宋体" w:cs="宋体"/>
          <w:color w:val="000000"/>
          <w:highlight w:val="none"/>
        </w:rPr>
      </w:pPr>
      <w:r>
        <w:rPr>
          <w:rFonts w:hint="eastAsia" w:ascii="宋体" w:hAnsi="宋体" w:cs="宋体"/>
          <w:color w:val="000000"/>
          <w:highlight w:val="none"/>
        </w:rPr>
        <w:t xml:space="preserve">评标委员会认为投标人的投标报价有可能低于其个别成本时，应当要求投标人以书面方式作出澄清，并提供相关证明材料后再进行认定。</w:t>
      </w:r>
      <w:r>
        <w:rPr>
          <w:rFonts w:ascii="宋体" w:hAnsi="宋体" w:cs="宋体"/>
          <w:color w:val="000000"/>
          <w:highlight w:val="none"/>
        </w:rPr>
      </w:r>
      <w:r/>
    </w:p>
    <w:p>
      <w:pPr>
        <w:pStyle w:val="744"/>
        <w:ind w:firstLine="420"/>
        <w:spacing w:line="480" w:lineRule="exact"/>
        <w:shd w:val="clear" w:color="auto" w:fill="auto"/>
        <w:rPr>
          <w:rFonts w:ascii="宋体" w:hAnsi="宋体" w:cs="宋体"/>
          <w:color w:val="000000"/>
          <w:highlight w:val="none"/>
        </w:rPr>
      </w:pPr>
      <w:r/>
      <w:bookmarkStart w:id="171" w:name="_Toc29388474"/>
      <w:r>
        <w:rPr>
          <w:rFonts w:hint="eastAsia" w:ascii="宋体" w:hAnsi="宋体" w:cs="宋体"/>
          <w:color w:val="000000"/>
          <w:highlight w:val="none"/>
        </w:rPr>
        <w:t xml:space="preserve">4.3争议处理</w:t>
      </w:r>
      <w:bookmarkEnd w:id="171"/>
      <w:r>
        <w:rPr>
          <w:rFonts w:ascii="宋体" w:hAnsi="宋体" w:cs="宋体"/>
          <w:color w:val="000000"/>
          <w:highlight w:val="none"/>
        </w:rPr>
      </w:r>
      <w:r/>
    </w:p>
    <w:p>
      <w:pPr>
        <w:pStyle w:val="744"/>
        <w:ind w:firstLine="420"/>
        <w:spacing w:line="480" w:lineRule="exact"/>
        <w:shd w:val="clear" w:color="auto" w:fill="auto"/>
        <w:rPr>
          <w:rFonts w:ascii="宋体" w:hAnsi="宋体" w:cs="宋体"/>
          <w:color w:val="000000"/>
          <w:highlight w:val="none"/>
        </w:rPr>
      </w:pPr>
      <w:r>
        <w:rPr>
          <w:rFonts w:hint="eastAsia" w:ascii="宋体" w:hAnsi="宋体" w:cs="宋体"/>
          <w:color w:val="000000"/>
          <w:highlight w:val="none"/>
        </w:rPr>
        <w:t xml:space="preserve">评标中发生重大情况或重大争议，需要进一步调查了解、协调处理的，现场监督人员报招标投标管理部门同意后可暂时休会，待有关问题得到澄清后再行复会。休会期间，所有招投标资料一律封存，所有与会人员一律不得泄露评标情况。</w:t>
      </w:r>
      <w:r>
        <w:rPr>
          <w:rFonts w:ascii="宋体" w:hAnsi="宋体" w:cs="宋体"/>
          <w:color w:val="000000"/>
          <w:highlight w:val="none"/>
        </w:rPr>
      </w:r>
      <w:r/>
    </w:p>
    <w:p>
      <w:pPr>
        <w:pStyle w:val="744"/>
        <w:ind w:firstLine="420"/>
        <w:spacing w:line="480" w:lineRule="exact"/>
        <w:shd w:val="clear" w:color="auto" w:fill="auto"/>
        <w:rPr>
          <w:rFonts w:ascii="宋体" w:hAnsi="宋体" w:cs="宋体"/>
          <w:color w:val="000000"/>
          <w:highlight w:val="none"/>
        </w:rPr>
      </w:pPr>
      <w:r/>
      <w:bookmarkStart w:id="172" w:name="_Toc29388475"/>
      <w:r>
        <w:rPr>
          <w:rFonts w:hint="eastAsia" w:ascii="宋体" w:hAnsi="宋体" w:cs="宋体"/>
          <w:color w:val="000000"/>
          <w:highlight w:val="none"/>
        </w:rPr>
        <w:t xml:space="preserve">4.4违法违纪行为</w:t>
      </w:r>
      <w:bookmarkEnd w:id="172"/>
      <w:r>
        <w:rPr>
          <w:rFonts w:ascii="宋体" w:hAnsi="宋体" w:cs="宋体"/>
          <w:color w:val="000000"/>
          <w:highlight w:val="none"/>
        </w:rPr>
      </w:r>
      <w:r/>
    </w:p>
    <w:p>
      <w:pPr>
        <w:pStyle w:val="744"/>
        <w:ind w:firstLine="420"/>
        <w:spacing w:line="480" w:lineRule="exact"/>
        <w:shd w:val="clear" w:color="auto" w:fill="auto"/>
        <w:rPr>
          <w:rFonts w:ascii="宋体" w:hAnsi="宋体" w:cs="宋体"/>
          <w:color w:val="000000"/>
          <w:highlight w:val="none"/>
        </w:rPr>
      </w:pPr>
      <w:r>
        <w:rPr>
          <w:rFonts w:hint="eastAsia" w:ascii="宋体" w:hAnsi="宋体" w:cs="宋体"/>
          <w:color w:val="000000"/>
          <w:highlight w:val="none"/>
        </w:rPr>
        <w:t xml:space="preserve">在招投标过程中发生行贿受贿、扰乱招投标活动秩序及其他严重违法违纪行为的，一律取消有关责任人参与招投标活动的资格；影响评审结果的，应宣布评审结果无效。</w:t>
      </w:r>
      <w:r>
        <w:rPr>
          <w:rFonts w:ascii="宋体" w:hAnsi="宋体" w:cs="宋体"/>
          <w:color w:val="000000"/>
          <w:highlight w:val="none"/>
        </w:rPr>
      </w:r>
      <w:r/>
    </w:p>
    <w:p>
      <w:pPr>
        <w:pStyle w:val="745"/>
        <w:shd w:val="clear" w:color="auto" w:fill="auto"/>
        <w:rPr>
          <w:rFonts w:hint="eastAsia" w:ascii="宋体" w:hAnsi="宋体" w:eastAsia="宋体" w:cs="宋体"/>
          <w:bCs/>
          <w:color w:val="000000"/>
          <w:sz w:val="44"/>
          <w:highlight w:val="none"/>
        </w:rPr>
      </w:pPr>
      <w:r>
        <w:rPr>
          <w:rFonts w:hint="eastAsia" w:ascii="宋体" w:hAnsi="宋体" w:eastAsia="宋体" w:cs="宋体"/>
          <w:bCs/>
          <w:color w:val="000000"/>
          <w:sz w:val="44"/>
          <w:highlight w:val="none"/>
        </w:rPr>
        <w:br w:type="page" w:clear="all"/>
      </w:r>
      <w:r>
        <w:rPr>
          <w:rFonts w:hint="eastAsia" w:ascii="宋体" w:hAnsi="宋体" w:eastAsia="宋体" w:cs="宋体"/>
          <w:bCs/>
          <w:color w:val="000000"/>
          <w:sz w:val="44"/>
          <w:highlight w:val="none"/>
        </w:rPr>
        <w:t xml:space="preserve">第六章  投标</w:t>
      </w:r>
      <w:bookmarkEnd w:id="143"/>
      <w:r/>
      <w:bookmarkEnd w:id="144"/>
      <w:r/>
      <w:bookmarkEnd w:id="148"/>
      <w:r>
        <w:rPr>
          <w:rFonts w:hint="eastAsia" w:ascii="宋体" w:hAnsi="宋体" w:eastAsia="宋体" w:cs="宋体"/>
          <w:bCs/>
          <w:color w:val="000000"/>
          <w:sz w:val="44"/>
          <w:highlight w:val="none"/>
        </w:rPr>
        <w:t xml:space="preserve">文件格式</w:t>
      </w:r>
      <w:r>
        <w:rPr>
          <w:rFonts w:hint="eastAsia" w:ascii="宋体" w:hAnsi="宋体" w:eastAsia="宋体" w:cs="宋体"/>
          <w:bCs/>
          <w:color w:val="000000"/>
          <w:sz w:val="44"/>
          <w:highlight w:val="none"/>
        </w:rPr>
      </w:r>
      <w:r/>
    </w:p>
    <w:p>
      <w:pPr>
        <w:pStyle w:val="744"/>
        <w:jc w:val="center"/>
        <w:shd w:val="clear" w:color="auto" w:fill="auto"/>
        <w:rPr>
          <w:rFonts w:hint="eastAsia" w:ascii="宋体" w:hAnsi="宋体" w:cs="宋体"/>
          <w:b/>
          <w:color w:val="000000"/>
          <w:sz w:val="72"/>
          <w:highlight w:val="none"/>
        </w:rPr>
      </w:pPr>
      <w:r/>
      <w:bookmarkStart w:id="173" w:name="_Hlt26955039"/>
      <w:r/>
      <w:bookmarkEnd w:id="173"/>
      <w:r/>
      <w:bookmarkStart w:id="174" w:name="_Hlt26671244"/>
      <w:r/>
      <w:bookmarkEnd w:id="174"/>
      <w:r/>
      <w:bookmarkStart w:id="175" w:name="_Toc120614282"/>
      <w:r/>
      <w:bookmarkStart w:id="176" w:name="_Toc26554094"/>
      <w:r/>
      <w:bookmarkStart w:id="177" w:name="_Toc49090576"/>
      <w:r>
        <w:rPr>
          <w:rFonts w:hint="eastAsia" w:ascii="宋体" w:hAnsi="宋体" w:cs="宋体"/>
          <w:b/>
          <w:color w:val="000000"/>
          <w:sz w:val="72"/>
          <w:highlight w:val="none"/>
        </w:rPr>
      </w:r>
      <w:r/>
    </w:p>
    <w:p>
      <w:pPr>
        <w:pStyle w:val="744"/>
        <w:jc w:val="center"/>
        <w:shd w:val="clear" w:color="auto" w:fill="auto"/>
        <w:rPr>
          <w:rFonts w:hint="eastAsia" w:ascii="宋体" w:hAnsi="宋体" w:cs="宋体"/>
          <w:b/>
          <w:color w:val="000000"/>
          <w:sz w:val="72"/>
          <w:highlight w:val="none"/>
        </w:rPr>
      </w:pPr>
      <w:r>
        <w:rPr>
          <w:rFonts w:hint="eastAsia" w:ascii="宋体" w:hAnsi="宋体" w:cs="宋体"/>
          <w:b/>
          <w:color w:val="000000"/>
          <w:sz w:val="72"/>
          <w:highlight w:val="none"/>
        </w:rPr>
        <w:t xml:space="preserve">投  标  文  件</w:t>
      </w:r>
      <w:r>
        <w:rPr>
          <w:rFonts w:hint="eastAsia" w:ascii="宋体" w:hAnsi="宋体" w:cs="宋体"/>
          <w:b/>
          <w:color w:val="000000"/>
          <w:sz w:val="72"/>
          <w:highlight w:val="none"/>
        </w:rPr>
      </w:r>
      <w:r/>
    </w:p>
    <w:p>
      <w:pPr>
        <w:pStyle w:val="744"/>
        <w:jc w:val="center"/>
        <w:shd w:val="clear" w:color="auto" w:fill="auto"/>
        <w:rPr>
          <w:rFonts w:hint="eastAsia" w:ascii="宋体" w:hAnsi="宋体" w:cs="宋体"/>
          <w:b/>
          <w:color w:val="000000"/>
          <w:sz w:val="72"/>
          <w:highlight w:val="none"/>
        </w:rPr>
      </w:pPr>
      <w:r>
        <w:rPr>
          <w:rFonts w:hint="eastAsia" w:ascii="宋体" w:hAnsi="宋体" w:cs="宋体"/>
          <w:b/>
          <w:color w:val="000000"/>
          <w:sz w:val="36"/>
          <w:highlight w:val="none"/>
        </w:rPr>
        <w:t xml:space="preserve">（正或副本）</w:t>
      </w:r>
      <w:r>
        <w:rPr>
          <w:rFonts w:hint="eastAsia" w:ascii="宋体" w:hAnsi="宋体" w:cs="宋体"/>
          <w:b/>
          <w:color w:val="000000"/>
          <w:sz w:val="72"/>
          <w:highlight w:val="none"/>
        </w:rPr>
      </w:r>
      <w:r/>
    </w:p>
    <w:p>
      <w:pPr>
        <w:pStyle w:val="744"/>
        <w:jc w:val="center"/>
        <w:shd w:val="clear" w:color="auto" w:fill="auto"/>
        <w:rPr>
          <w:rFonts w:hint="eastAsia" w:ascii="宋体" w:hAnsi="宋体" w:cs="宋体"/>
          <w:b/>
          <w:color w:val="000000"/>
          <w:sz w:val="72"/>
          <w:highlight w:val="none"/>
        </w:rPr>
      </w:pPr>
      <w:r>
        <w:rPr>
          <w:rFonts w:hint="eastAsia" w:ascii="宋体" w:hAnsi="宋体" w:cs="宋体"/>
          <w:b/>
          <w:color w:val="000000"/>
          <w:sz w:val="72"/>
          <w:highlight w:val="none"/>
        </w:rPr>
      </w:r>
      <w:r/>
    </w:p>
    <w:p>
      <w:pPr>
        <w:pStyle w:val="744"/>
        <w:jc w:val="center"/>
        <w:shd w:val="clear" w:color="auto" w:fill="auto"/>
        <w:rPr>
          <w:rFonts w:hint="eastAsia" w:ascii="宋体" w:hAnsi="宋体" w:cs="宋体"/>
          <w:b/>
          <w:color w:val="000000"/>
          <w:sz w:val="36"/>
          <w:highlight w:val="none"/>
        </w:rPr>
      </w:pPr>
      <w:r>
        <w:rPr>
          <w:rFonts w:hint="eastAsia" w:ascii="宋体" w:hAnsi="宋体" w:cs="宋体"/>
          <w:b/>
          <w:color w:val="000000"/>
          <w:sz w:val="36"/>
          <w:highlight w:val="none"/>
        </w:rPr>
      </w:r>
      <w:r/>
    </w:p>
    <w:p>
      <w:pPr>
        <w:pStyle w:val="744"/>
        <w:jc w:val="center"/>
        <w:shd w:val="clear" w:color="auto" w:fill="auto"/>
        <w:rPr>
          <w:rFonts w:hint="eastAsia" w:ascii="宋体" w:hAnsi="宋体" w:cs="宋体"/>
          <w:b/>
          <w:color w:val="000000"/>
          <w:sz w:val="36"/>
          <w:highlight w:val="none"/>
        </w:rPr>
      </w:pPr>
      <w:r>
        <w:rPr>
          <w:rFonts w:hint="eastAsia" w:ascii="宋体" w:hAnsi="宋体" w:cs="宋体"/>
          <w:b/>
          <w:color w:val="000000"/>
          <w:sz w:val="36"/>
          <w:highlight w:val="none"/>
        </w:rPr>
      </w:r>
      <w:r/>
    </w:p>
    <w:p>
      <w:pPr>
        <w:pStyle w:val="744"/>
        <w:jc w:val="center"/>
        <w:shd w:val="clear" w:color="auto" w:fill="auto"/>
        <w:rPr>
          <w:rFonts w:hint="eastAsia" w:ascii="宋体" w:hAnsi="宋体" w:cs="宋体"/>
          <w:b/>
          <w:color w:val="000000"/>
          <w:sz w:val="36"/>
          <w:highlight w:val="none"/>
        </w:rPr>
      </w:pPr>
      <w:r>
        <w:rPr>
          <w:rFonts w:hint="eastAsia" w:ascii="宋体" w:hAnsi="宋体" w:cs="宋体"/>
          <w:b/>
          <w:color w:val="000000"/>
          <w:sz w:val="36"/>
          <w:highlight w:val="none"/>
        </w:rPr>
      </w:r>
      <w:r/>
    </w:p>
    <w:p>
      <w:pPr>
        <w:pStyle w:val="744"/>
        <w:ind w:firstLine="1084"/>
        <w:shd w:val="clear" w:color="auto" w:fill="auto"/>
        <w:rPr>
          <w:rFonts w:hint="eastAsia" w:ascii="宋体" w:hAnsi="宋体" w:cs="宋体"/>
          <w:b/>
          <w:color w:val="000000"/>
          <w:sz w:val="36"/>
          <w:highlight w:val="none"/>
        </w:rPr>
      </w:pPr>
      <w:r>
        <w:rPr>
          <w:rFonts w:hint="eastAsia" w:ascii="宋体" w:hAnsi="宋体" w:cs="宋体"/>
          <w:b/>
          <w:color w:val="000000"/>
          <w:sz w:val="36"/>
          <w:highlight w:val="none"/>
        </w:rPr>
        <w:t xml:space="preserve">项 目 名 称：</w:t>
      </w:r>
      <w:r>
        <w:rPr>
          <w:rFonts w:hint="eastAsia" w:ascii="宋体" w:hAnsi="宋体" w:cs="宋体"/>
          <w:b/>
          <w:color w:val="000000"/>
          <w:sz w:val="36"/>
          <w:highlight w:val="none"/>
          <w:u w:val="single"/>
        </w:rPr>
        <w:t xml:space="preserve">               </w:t>
      </w:r>
      <w:r>
        <w:rPr>
          <w:rFonts w:hint="eastAsia" w:ascii="宋体" w:hAnsi="宋体" w:cs="宋体"/>
          <w:b/>
          <w:color w:val="000000"/>
          <w:sz w:val="36"/>
          <w:highlight w:val="none"/>
        </w:rPr>
      </w:r>
      <w:r/>
    </w:p>
    <w:p>
      <w:pPr>
        <w:pStyle w:val="744"/>
        <w:ind w:firstLine="1084"/>
        <w:shd w:val="clear" w:color="auto" w:fill="auto"/>
        <w:rPr>
          <w:rFonts w:hint="eastAsia" w:ascii="宋体" w:hAnsi="宋体" w:cs="宋体"/>
          <w:b/>
          <w:color w:val="000000"/>
          <w:sz w:val="36"/>
          <w:highlight w:val="none"/>
          <w:u w:val="single"/>
        </w:rPr>
      </w:pPr>
      <w:r>
        <w:rPr>
          <w:rFonts w:hint="eastAsia" w:ascii="宋体" w:hAnsi="宋体" w:cs="宋体"/>
          <w:b/>
          <w:color w:val="000000"/>
          <w:sz w:val="36"/>
          <w:highlight w:val="none"/>
        </w:rPr>
        <w:t xml:space="preserve">招 标 编 号：</w:t>
      </w:r>
      <w:r>
        <w:rPr>
          <w:rFonts w:hint="eastAsia" w:ascii="宋体" w:hAnsi="宋体" w:cs="宋体"/>
          <w:b/>
          <w:color w:val="000000"/>
          <w:sz w:val="36"/>
          <w:highlight w:val="none"/>
          <w:u w:val="single"/>
        </w:rPr>
        <w:t xml:space="preserve">               </w:t>
      </w:r>
      <w:r>
        <w:rPr>
          <w:rFonts w:hint="eastAsia" w:ascii="宋体" w:hAnsi="宋体" w:cs="宋体"/>
          <w:b/>
          <w:color w:val="000000"/>
          <w:sz w:val="36"/>
          <w:highlight w:val="none"/>
          <w:u w:val="single"/>
        </w:rPr>
      </w:r>
      <w:r/>
    </w:p>
    <w:p>
      <w:pPr>
        <w:pStyle w:val="744"/>
        <w:shd w:val="clear" w:color="auto" w:fill="auto"/>
        <w:rPr>
          <w:rFonts w:hint="eastAsia" w:ascii="宋体" w:hAnsi="宋体" w:cs="宋体"/>
          <w:b/>
          <w:color w:val="000000"/>
          <w:sz w:val="36"/>
          <w:highlight w:val="none"/>
          <w:u w:val="single"/>
        </w:rPr>
      </w:pPr>
      <w:r>
        <w:rPr>
          <w:rFonts w:hint="eastAsia" w:ascii="宋体" w:hAnsi="宋体" w:cs="宋体"/>
          <w:b/>
          <w:color w:val="000000"/>
          <w:sz w:val="36"/>
          <w:highlight w:val="none"/>
        </w:rPr>
        <w:t xml:space="preserve">      投标人名称 ：</w:t>
      </w:r>
      <w:r>
        <w:rPr>
          <w:rFonts w:hint="eastAsia" w:ascii="宋体" w:hAnsi="宋体" w:cs="宋体"/>
          <w:b/>
          <w:color w:val="000000"/>
          <w:sz w:val="36"/>
          <w:highlight w:val="none"/>
          <w:u w:val="single"/>
        </w:rPr>
        <w:t xml:space="preserve">               </w:t>
      </w:r>
      <w:r>
        <w:rPr>
          <w:rFonts w:hint="eastAsia" w:ascii="宋体" w:hAnsi="宋体" w:cs="宋体"/>
          <w:b/>
          <w:color w:val="000000"/>
          <w:sz w:val="36"/>
          <w:highlight w:val="none"/>
          <w:u w:val="single"/>
        </w:rPr>
      </w:r>
      <w:r/>
    </w:p>
    <w:p>
      <w:pPr>
        <w:pStyle w:val="744"/>
        <w:shd w:val="clear" w:color="auto" w:fill="auto"/>
        <w:rPr>
          <w:rFonts w:hint="eastAsia" w:ascii="宋体" w:hAnsi="宋体" w:cs="宋体"/>
          <w:b/>
          <w:color w:val="000000"/>
          <w:sz w:val="36"/>
          <w:highlight w:val="none"/>
        </w:rPr>
      </w:pPr>
      <w:r>
        <w:rPr>
          <w:rFonts w:hint="eastAsia" w:ascii="宋体" w:hAnsi="宋体" w:cs="宋体"/>
          <w:b/>
          <w:color w:val="000000"/>
          <w:sz w:val="36"/>
          <w:highlight w:val="none"/>
        </w:rPr>
        <w:t xml:space="preserve">      日      期 ：</w:t>
      </w:r>
      <w:r>
        <w:rPr>
          <w:rFonts w:hint="eastAsia" w:ascii="宋体" w:hAnsi="宋体" w:cs="宋体"/>
          <w:b/>
          <w:color w:val="000000"/>
          <w:sz w:val="36"/>
          <w:highlight w:val="none"/>
          <w:u w:val="single"/>
        </w:rPr>
        <w:t xml:space="preserve">               </w:t>
      </w:r>
      <w:r>
        <w:rPr>
          <w:rFonts w:hint="eastAsia" w:ascii="宋体" w:hAnsi="宋体" w:cs="宋体"/>
          <w:b/>
          <w:color w:val="000000"/>
          <w:sz w:val="36"/>
          <w:highlight w:val="none"/>
        </w:rPr>
      </w:r>
      <w:r/>
    </w:p>
    <w:p>
      <w:pPr>
        <w:pStyle w:val="744"/>
        <w:jc w:val="center"/>
        <w:spacing w:line="440" w:lineRule="exact"/>
        <w:shd w:val="clear" w:color="auto" w:fill="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744"/>
        <w:ind w:firstLine="480"/>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744"/>
        <w:ind w:firstLine="480"/>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744"/>
        <w:jc w:val="center"/>
        <w:spacing w:line="440" w:lineRule="exact"/>
        <w:shd w:val="clear" w:color="auto" w:fill="auto"/>
        <w:rPr>
          <w:rFonts w:hint="eastAsia" w:ascii="宋体" w:hAnsi="宋体" w:cs="宋体"/>
          <w:b/>
          <w:color w:val="000000"/>
          <w:sz w:val="30"/>
          <w:szCs w:val="30"/>
          <w:highlight w:val="none"/>
        </w:rPr>
      </w:pPr>
      <w:r>
        <w:rPr>
          <w:rFonts w:hint="eastAsia" w:ascii="宋体" w:hAnsi="宋体" w:cs="宋体"/>
          <w:color w:val="000000"/>
          <w:sz w:val="24"/>
          <w:highlight w:val="none"/>
        </w:rPr>
        <w:br w:type="page" w:clear="all"/>
      </w:r>
      <w:r>
        <w:rPr>
          <w:rFonts w:hint="eastAsia" w:ascii="宋体" w:hAnsi="宋体" w:cs="宋体"/>
          <w:b/>
          <w:color w:val="000000"/>
          <w:sz w:val="30"/>
          <w:szCs w:val="30"/>
          <w:highlight w:val="none"/>
        </w:rPr>
        <w:t xml:space="preserve">评分索引表</w:t>
      </w:r>
      <w:r>
        <w:rPr>
          <w:rFonts w:hint="eastAsia" w:ascii="宋体" w:hAnsi="宋体" w:cs="宋体"/>
          <w:b/>
          <w:color w:val="000000"/>
          <w:sz w:val="30"/>
          <w:szCs w:val="30"/>
          <w:highlight w:val="none"/>
        </w:rPr>
      </w:r>
      <w:r/>
    </w:p>
    <w:p>
      <w:pPr>
        <w:pStyle w:val="744"/>
        <w:jc w:val="center"/>
        <w:spacing w:line="440" w:lineRule="exact"/>
        <w:shd w:val="clear" w:color="auto" w:fill="auto"/>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0"/>
        <w:gridCol w:w="3570"/>
      </w:tblGrid>
      <w:tr>
        <w:trPr>
          <w:trHeight w:val="460"/>
        </w:trPr>
        <w:tc>
          <w:tcPr>
            <w:tcW w:w="5670" w:type="dxa"/>
            <w:vAlign w:val="top"/>
            <w:textDirection w:val="lrTb"/>
            <w:noWrap w:val="false"/>
          </w:tcPr>
          <w:p>
            <w:pPr>
              <w:pStyle w:val="823"/>
              <w:ind w:left="420"/>
              <w:jc w:val="center"/>
              <w:spacing w:line="265" w:lineRule="atLeast"/>
              <w:shd w:val="clear" w:color="auto" w:fill="auto"/>
              <w:rPr>
                <w:rFonts w:hint="eastAsia" w:ascii="宋体" w:hAnsi="宋体" w:cs="宋体"/>
                <w:b/>
                <w:bCs/>
                <w:color w:val="000000"/>
                <w:highlight w:val="none"/>
                <w:lang w:eastAsia="zh-CN"/>
              </w:rPr>
            </w:pPr>
            <w:r>
              <w:rPr>
                <w:rFonts w:hint="eastAsia" w:ascii="宋体" w:hAnsi="宋体" w:cs="宋体"/>
                <w:b/>
                <w:color w:val="000000"/>
                <w:highlight w:val="none"/>
              </w:rPr>
              <w:t xml:space="preserve">评分项目</w:t>
            </w:r>
            <w:r>
              <w:rPr>
                <w:rFonts w:hint="eastAsia" w:ascii="宋体" w:hAnsi="宋体" w:cs="宋体"/>
                <w:b/>
                <w:bCs/>
                <w:color w:val="000000"/>
                <w:highlight w:val="none"/>
                <w:lang w:eastAsia="zh-CN"/>
              </w:rPr>
            </w:r>
            <w:r/>
          </w:p>
        </w:tc>
        <w:tc>
          <w:tcPr>
            <w:tcW w:w="3570" w:type="dxa"/>
            <w:vAlign w:val="top"/>
            <w:textDirection w:val="lrTb"/>
            <w:noWrap w:val="false"/>
          </w:tcPr>
          <w:p>
            <w:pPr>
              <w:pStyle w:val="744"/>
              <w:jc w:val="center"/>
              <w:shd w:val="clear" w:color="auto" w:fill="auto"/>
              <w:rPr>
                <w:rFonts w:hint="eastAsia" w:ascii="宋体" w:hAnsi="宋体" w:cs="宋体"/>
                <w:b/>
                <w:color w:val="000000"/>
                <w:highlight w:val="none"/>
              </w:rPr>
            </w:pPr>
            <w:r>
              <w:rPr>
                <w:rFonts w:hint="eastAsia" w:ascii="宋体" w:hAnsi="宋体" w:cs="宋体"/>
                <w:b/>
                <w:color w:val="000000"/>
                <w:sz w:val="24"/>
                <w:highlight w:val="none"/>
                <w:lang w:bidi="en-US"/>
              </w:rPr>
              <w:t xml:space="preserve">在投标文件中的页码位置</w:t>
            </w:r>
            <w:r>
              <w:rPr>
                <w:rFonts w:hint="eastAsia" w:ascii="宋体" w:hAnsi="宋体" w:cs="宋体"/>
                <w:b/>
                <w:color w:val="000000"/>
                <w:highlight w:val="none"/>
              </w:rPr>
            </w:r>
            <w:r/>
          </w:p>
        </w:tc>
      </w:tr>
      <w:tr>
        <w:trPr>
          <w:trHeight w:val="446"/>
        </w:trPr>
        <w:tc>
          <w:tcPr>
            <w:tcW w:w="5670" w:type="dxa"/>
            <w:vAlign w:val="top"/>
            <w:textDirection w:val="lrTb"/>
            <w:noWrap w:val="false"/>
          </w:tcPr>
          <w:p>
            <w:pPr>
              <w:pStyle w:val="823"/>
              <w:ind w:left="420"/>
              <w:jc w:val="both"/>
              <w:spacing w:line="265" w:lineRule="atLeast"/>
              <w:shd w:val="clear" w:color="auto" w:fill="auto"/>
              <w:rPr>
                <w:rFonts w:hint="eastAsia" w:ascii="宋体" w:hAnsi="宋体" w:cs="宋体"/>
                <w:b/>
                <w:color w:val="000000"/>
                <w:highlight w:val="none"/>
                <w:lang w:eastAsia="zh-CN"/>
              </w:rPr>
            </w:pPr>
            <w:r>
              <w:rPr>
                <w:rFonts w:hint="eastAsia" w:ascii="宋体" w:hAnsi="宋体" w:cs="宋体"/>
                <w:b/>
                <w:color w:val="000000"/>
                <w:highlight w:val="none"/>
                <w:lang w:eastAsia="zh-CN"/>
              </w:rPr>
            </w:r>
            <w:r/>
          </w:p>
        </w:tc>
        <w:tc>
          <w:tcPr>
            <w:tcW w:w="3570" w:type="dxa"/>
            <w:vAlign w:val="top"/>
            <w:textDirection w:val="lrTb"/>
            <w:noWrap w:val="false"/>
          </w:tcPr>
          <w:p>
            <w:pPr>
              <w:pStyle w:val="744"/>
              <w:shd w:val="clear" w:color="auto" w:fill="auto"/>
              <w:rPr>
                <w:rFonts w:hint="eastAsia" w:ascii="宋体" w:hAnsi="宋体" w:cs="宋体"/>
                <w:b/>
                <w:color w:val="000000"/>
                <w:sz w:val="24"/>
                <w:highlight w:val="none"/>
                <w:lang w:bidi="en-US"/>
              </w:rPr>
            </w:pPr>
            <w:r>
              <w:rPr>
                <w:rFonts w:hint="eastAsia" w:ascii="宋体" w:hAnsi="宋体" w:cs="宋体"/>
                <w:b/>
                <w:color w:val="000000"/>
                <w:sz w:val="24"/>
                <w:highlight w:val="none"/>
                <w:lang w:bidi="en-US"/>
              </w:rPr>
            </w:r>
            <w:r/>
          </w:p>
        </w:tc>
      </w:tr>
      <w:tr>
        <w:trPr>
          <w:trHeight w:val="300"/>
        </w:trPr>
        <w:tc>
          <w:tcPr>
            <w:gridSpan w:val="2"/>
            <w:tcW w:w="9240" w:type="dxa"/>
            <w:vAlign w:val="top"/>
            <w:textDirection w:val="lrTb"/>
            <w:noWrap w:val="false"/>
          </w:tcPr>
          <w:p>
            <w:pPr>
              <w:pStyle w:val="823"/>
              <w:ind w:left="420"/>
              <w:jc w:val="both"/>
              <w:spacing w:line="265" w:lineRule="atLeast"/>
              <w:shd w:val="clear" w:color="auto" w:fill="auto"/>
              <w:rPr>
                <w:rFonts w:hint="eastAsia" w:ascii="宋体" w:hAnsi="宋体" w:cs="宋体"/>
                <w:color w:val="000000"/>
                <w:highlight w:val="none"/>
                <w:lang w:eastAsia="zh-CN"/>
              </w:rPr>
            </w:pPr>
            <w:r>
              <w:rPr>
                <w:rFonts w:hint="eastAsia" w:ascii="宋体" w:hAnsi="宋体" w:cs="宋体"/>
                <w:color w:val="000000"/>
                <w:highlight w:val="none"/>
                <w:lang w:eastAsia="zh-CN"/>
              </w:rPr>
            </w:r>
            <w:r/>
          </w:p>
        </w:tc>
      </w:tr>
      <w:tr>
        <w:trPr>
          <w:trHeight w:val="320"/>
        </w:trPr>
        <w:tc>
          <w:tcPr>
            <w:tcW w:w="5670" w:type="dxa"/>
            <w:vAlign w:val="top"/>
            <w:textDirection w:val="lrTb"/>
            <w:noWrap w:val="false"/>
          </w:tcPr>
          <w:p>
            <w:pPr>
              <w:pStyle w:val="823"/>
              <w:ind w:left="420"/>
              <w:spacing w:line="265" w:lineRule="atLeast"/>
              <w:shd w:val="clear" w:color="auto" w:fill="auto"/>
              <w:rPr>
                <w:rFonts w:hint="eastAsia" w:ascii="宋体" w:hAnsi="宋体" w:cs="宋体"/>
                <w:color w:val="000000"/>
                <w:highlight w:val="none"/>
                <w:lang w:eastAsia="zh-CN"/>
              </w:rPr>
            </w:pPr>
            <w:r>
              <w:rPr>
                <w:rFonts w:hint="eastAsia" w:ascii="宋体" w:hAnsi="宋体" w:cs="宋体"/>
                <w:color w:val="000000"/>
                <w:highlight w:val="none"/>
                <w:lang w:eastAsia="zh-CN"/>
              </w:rPr>
            </w:r>
            <w:r/>
          </w:p>
        </w:tc>
        <w:tc>
          <w:tcPr>
            <w:tcW w:w="3570" w:type="dxa"/>
            <w:vAlign w:val="top"/>
            <w:textDirection w:val="lrTb"/>
            <w:noWrap w:val="false"/>
          </w:tcPr>
          <w:p>
            <w:pPr>
              <w:pStyle w:val="744"/>
              <w:shd w:val="clear" w:color="auto" w:fill="auto"/>
              <w:rPr>
                <w:rFonts w:hint="eastAsia" w:ascii="宋体" w:hAnsi="宋体" w:cs="宋体"/>
                <w:color w:val="000000"/>
                <w:highlight w:val="none"/>
              </w:rPr>
            </w:pPr>
            <w:r>
              <w:rPr>
                <w:rFonts w:hint="eastAsia" w:ascii="宋体" w:hAnsi="宋体" w:cs="宋体"/>
                <w:color w:val="000000"/>
                <w:highlight w:val="none"/>
              </w:rPr>
            </w:r>
            <w:r/>
          </w:p>
        </w:tc>
      </w:tr>
      <w:tr>
        <w:trPr>
          <w:trHeight w:val="280"/>
        </w:trPr>
        <w:tc>
          <w:tcPr>
            <w:tcW w:w="5670" w:type="dxa"/>
            <w:vAlign w:val="top"/>
            <w:textDirection w:val="lrTb"/>
            <w:noWrap w:val="false"/>
          </w:tcPr>
          <w:p>
            <w:pPr>
              <w:pStyle w:val="823"/>
              <w:ind w:left="420"/>
              <w:spacing w:line="265" w:lineRule="atLeast"/>
              <w:shd w:val="clear" w:color="auto" w:fill="auto"/>
              <w:rPr>
                <w:rFonts w:hint="eastAsia" w:ascii="宋体" w:hAnsi="宋体" w:cs="宋体"/>
                <w:color w:val="000000"/>
                <w:highlight w:val="none"/>
                <w:lang w:eastAsia="zh-CN"/>
              </w:rPr>
            </w:pPr>
            <w:r>
              <w:rPr>
                <w:rFonts w:hint="eastAsia" w:ascii="宋体" w:hAnsi="宋体" w:cs="宋体"/>
                <w:color w:val="000000"/>
                <w:highlight w:val="none"/>
                <w:lang w:eastAsia="zh-CN"/>
              </w:rPr>
            </w:r>
            <w:r/>
          </w:p>
        </w:tc>
        <w:tc>
          <w:tcPr>
            <w:tcW w:w="3570" w:type="dxa"/>
            <w:vAlign w:val="top"/>
            <w:textDirection w:val="lrTb"/>
            <w:noWrap w:val="false"/>
          </w:tcPr>
          <w:p>
            <w:pPr>
              <w:pStyle w:val="744"/>
              <w:shd w:val="clear" w:color="auto" w:fill="auto"/>
              <w:rPr>
                <w:rFonts w:hint="eastAsia" w:ascii="宋体" w:hAnsi="宋体" w:cs="宋体"/>
                <w:color w:val="000000"/>
                <w:highlight w:val="none"/>
              </w:rPr>
            </w:pPr>
            <w:r>
              <w:rPr>
                <w:rFonts w:hint="eastAsia" w:ascii="宋体" w:hAnsi="宋体" w:cs="宋体"/>
                <w:color w:val="000000"/>
                <w:highlight w:val="none"/>
              </w:rPr>
            </w:r>
            <w:r/>
          </w:p>
        </w:tc>
      </w:tr>
      <w:tr>
        <w:trPr>
          <w:trHeight w:val="460"/>
        </w:trPr>
        <w:tc>
          <w:tcPr>
            <w:tcW w:w="5670" w:type="dxa"/>
            <w:vAlign w:val="top"/>
            <w:textDirection w:val="lrTb"/>
            <w:noWrap w:val="false"/>
          </w:tcPr>
          <w:p>
            <w:pPr>
              <w:pStyle w:val="823"/>
              <w:ind w:left="420"/>
              <w:spacing w:line="265" w:lineRule="atLeast"/>
              <w:shd w:val="clear" w:color="auto" w:fill="auto"/>
              <w:rPr>
                <w:rFonts w:hint="eastAsia" w:ascii="宋体" w:hAnsi="宋体" w:cs="宋体"/>
                <w:color w:val="000000"/>
                <w:highlight w:val="none"/>
                <w:lang w:eastAsia="zh-CN"/>
              </w:rPr>
            </w:pPr>
            <w:r>
              <w:rPr>
                <w:rFonts w:hint="eastAsia" w:ascii="宋体" w:hAnsi="宋体" w:cs="宋体"/>
                <w:color w:val="000000"/>
                <w:highlight w:val="none"/>
                <w:lang w:eastAsia="zh-CN"/>
              </w:rPr>
            </w:r>
            <w:r/>
          </w:p>
        </w:tc>
        <w:tc>
          <w:tcPr>
            <w:tcW w:w="3570" w:type="dxa"/>
            <w:vAlign w:val="top"/>
            <w:textDirection w:val="lrTb"/>
            <w:noWrap w:val="false"/>
          </w:tcPr>
          <w:p>
            <w:pPr>
              <w:pStyle w:val="744"/>
              <w:shd w:val="clear" w:color="auto" w:fill="auto"/>
              <w:rPr>
                <w:rFonts w:hint="eastAsia" w:ascii="宋体" w:hAnsi="宋体" w:cs="宋体"/>
                <w:color w:val="000000"/>
                <w:highlight w:val="none"/>
              </w:rPr>
            </w:pPr>
            <w:r>
              <w:rPr>
                <w:rFonts w:hint="eastAsia" w:ascii="宋体" w:hAnsi="宋体" w:cs="宋体"/>
                <w:color w:val="000000"/>
                <w:highlight w:val="none"/>
              </w:rPr>
            </w:r>
            <w:r/>
          </w:p>
        </w:tc>
      </w:tr>
      <w:tr>
        <w:trPr>
          <w:trHeight w:val="460"/>
        </w:trPr>
        <w:tc>
          <w:tcPr>
            <w:tcW w:w="5670" w:type="dxa"/>
            <w:vAlign w:val="top"/>
            <w:textDirection w:val="lrTb"/>
            <w:noWrap w:val="false"/>
          </w:tcPr>
          <w:p>
            <w:pPr>
              <w:pStyle w:val="823"/>
              <w:ind w:left="420"/>
              <w:spacing w:line="265" w:lineRule="atLeast"/>
              <w:shd w:val="clear" w:color="auto" w:fill="auto"/>
              <w:rPr>
                <w:rFonts w:hint="eastAsia" w:ascii="宋体" w:hAnsi="宋体" w:cs="宋体"/>
                <w:color w:val="000000"/>
                <w:highlight w:val="none"/>
                <w:lang w:eastAsia="zh-CN"/>
              </w:rPr>
            </w:pPr>
            <w:r>
              <w:rPr>
                <w:rFonts w:hint="eastAsia" w:ascii="宋体" w:hAnsi="宋体" w:cs="宋体"/>
                <w:color w:val="000000"/>
                <w:highlight w:val="none"/>
                <w:lang w:eastAsia="zh-CN"/>
              </w:rPr>
            </w:r>
            <w:r/>
          </w:p>
        </w:tc>
        <w:tc>
          <w:tcPr>
            <w:tcW w:w="3570" w:type="dxa"/>
            <w:vAlign w:val="top"/>
            <w:textDirection w:val="lrTb"/>
            <w:noWrap w:val="false"/>
          </w:tcPr>
          <w:p>
            <w:pPr>
              <w:pStyle w:val="744"/>
              <w:shd w:val="clear" w:color="auto" w:fill="auto"/>
              <w:rPr>
                <w:rFonts w:hint="eastAsia" w:ascii="宋体" w:hAnsi="宋体" w:cs="宋体"/>
                <w:color w:val="000000"/>
                <w:highlight w:val="none"/>
              </w:rPr>
            </w:pPr>
            <w:r>
              <w:rPr>
                <w:rFonts w:hint="eastAsia" w:ascii="宋体" w:hAnsi="宋体" w:cs="宋体"/>
                <w:color w:val="000000"/>
                <w:highlight w:val="none"/>
              </w:rPr>
            </w:r>
            <w:r/>
          </w:p>
        </w:tc>
      </w:tr>
      <w:tr>
        <w:trPr>
          <w:trHeight w:val="280"/>
        </w:trPr>
        <w:tc>
          <w:tcPr>
            <w:tcW w:w="5670" w:type="dxa"/>
            <w:vAlign w:val="top"/>
            <w:textDirection w:val="lrTb"/>
            <w:noWrap w:val="false"/>
          </w:tcPr>
          <w:p>
            <w:pPr>
              <w:pStyle w:val="823"/>
              <w:ind w:left="420"/>
              <w:spacing w:line="265" w:lineRule="atLeast"/>
              <w:shd w:val="clear" w:color="auto" w:fill="auto"/>
              <w:rPr>
                <w:rFonts w:hint="eastAsia" w:ascii="宋体" w:hAnsi="宋体" w:cs="宋体"/>
                <w:color w:val="000000"/>
                <w:highlight w:val="none"/>
                <w:lang w:eastAsia="zh-CN"/>
              </w:rPr>
            </w:pPr>
            <w:r>
              <w:rPr>
                <w:rFonts w:hint="eastAsia" w:ascii="宋体" w:hAnsi="宋体" w:cs="宋体"/>
                <w:color w:val="000000"/>
                <w:highlight w:val="none"/>
                <w:lang w:eastAsia="zh-CN"/>
              </w:rPr>
            </w:r>
            <w:r/>
          </w:p>
        </w:tc>
        <w:tc>
          <w:tcPr>
            <w:tcW w:w="3570" w:type="dxa"/>
            <w:vAlign w:val="top"/>
            <w:textDirection w:val="lrTb"/>
            <w:noWrap w:val="false"/>
          </w:tcPr>
          <w:p>
            <w:pPr>
              <w:pStyle w:val="744"/>
              <w:shd w:val="clear" w:color="auto" w:fill="auto"/>
              <w:rPr>
                <w:rFonts w:hint="eastAsia" w:ascii="宋体" w:hAnsi="宋体" w:cs="宋体"/>
                <w:color w:val="000000"/>
                <w:highlight w:val="none"/>
              </w:rPr>
            </w:pPr>
            <w:r>
              <w:rPr>
                <w:rFonts w:hint="eastAsia" w:ascii="宋体" w:hAnsi="宋体" w:cs="宋体"/>
                <w:color w:val="000000"/>
                <w:highlight w:val="none"/>
              </w:rPr>
            </w:r>
            <w:r/>
          </w:p>
        </w:tc>
      </w:tr>
      <w:tr>
        <w:trPr>
          <w:trHeight w:val="389"/>
        </w:trPr>
        <w:tc>
          <w:tcPr>
            <w:gridSpan w:val="2"/>
            <w:tcW w:w="9240" w:type="dxa"/>
            <w:vAlign w:val="top"/>
            <w:textDirection w:val="lrTb"/>
            <w:noWrap w:val="false"/>
          </w:tcPr>
          <w:p>
            <w:pPr>
              <w:pStyle w:val="823"/>
              <w:ind w:left="420"/>
              <w:jc w:val="both"/>
              <w:spacing w:line="265" w:lineRule="atLeast"/>
              <w:shd w:val="clear" w:color="auto" w:fill="auto"/>
              <w:rPr>
                <w:rFonts w:hint="eastAsia" w:ascii="宋体" w:hAnsi="宋体" w:cs="宋体"/>
                <w:color w:val="000000"/>
                <w:highlight w:val="none"/>
                <w:lang w:eastAsia="zh-CN"/>
              </w:rPr>
            </w:pPr>
            <w:r>
              <w:rPr>
                <w:rFonts w:hint="eastAsia" w:ascii="宋体" w:hAnsi="宋体" w:cs="宋体"/>
                <w:color w:val="000000"/>
                <w:highlight w:val="none"/>
                <w:lang w:eastAsia="zh-CN"/>
              </w:rPr>
            </w:r>
            <w:r/>
          </w:p>
        </w:tc>
      </w:tr>
      <w:tr>
        <w:trPr>
          <w:trHeight w:val="600"/>
        </w:trPr>
        <w:tc>
          <w:tcPr>
            <w:tcW w:w="5670" w:type="dxa"/>
            <w:vAlign w:val="top"/>
            <w:textDirection w:val="lrTb"/>
            <w:noWrap w:val="false"/>
          </w:tcPr>
          <w:p>
            <w:pPr>
              <w:pStyle w:val="823"/>
              <w:ind w:left="420"/>
              <w:spacing w:line="265" w:lineRule="atLeast"/>
              <w:shd w:val="clear" w:color="auto" w:fill="auto"/>
              <w:rPr>
                <w:rFonts w:hint="eastAsia" w:ascii="宋体" w:hAnsi="宋体" w:cs="宋体"/>
                <w:color w:val="000000"/>
                <w:highlight w:val="none"/>
                <w:lang w:eastAsia="zh-CN"/>
              </w:rPr>
            </w:pPr>
            <w:r>
              <w:rPr>
                <w:rFonts w:hint="eastAsia" w:ascii="宋体" w:hAnsi="宋体" w:cs="宋体"/>
                <w:color w:val="000000"/>
                <w:highlight w:val="none"/>
                <w:lang w:eastAsia="zh-CN"/>
              </w:rPr>
            </w:r>
            <w:r/>
          </w:p>
        </w:tc>
        <w:tc>
          <w:tcPr>
            <w:tcW w:w="3570" w:type="dxa"/>
            <w:vAlign w:val="top"/>
            <w:textDirection w:val="lrTb"/>
            <w:noWrap w:val="false"/>
          </w:tcPr>
          <w:p>
            <w:pPr>
              <w:pStyle w:val="744"/>
              <w:shd w:val="clear" w:color="auto" w:fill="auto"/>
              <w:rPr>
                <w:rFonts w:hint="eastAsia" w:ascii="宋体" w:hAnsi="宋体" w:cs="宋体"/>
                <w:color w:val="000000"/>
                <w:highlight w:val="none"/>
              </w:rPr>
            </w:pPr>
            <w:r>
              <w:rPr>
                <w:rFonts w:hint="eastAsia" w:ascii="宋体" w:hAnsi="宋体" w:cs="宋体"/>
                <w:color w:val="000000"/>
                <w:highlight w:val="none"/>
              </w:rPr>
            </w:r>
            <w:r/>
          </w:p>
        </w:tc>
      </w:tr>
      <w:tr>
        <w:trPr>
          <w:trHeight w:val="160"/>
        </w:trPr>
        <w:tc>
          <w:tcPr>
            <w:tcW w:w="5670" w:type="dxa"/>
            <w:vAlign w:val="top"/>
            <w:textDirection w:val="lrTb"/>
            <w:noWrap w:val="false"/>
          </w:tcPr>
          <w:p>
            <w:pPr>
              <w:pStyle w:val="823"/>
              <w:ind w:left="420"/>
              <w:spacing w:line="265" w:lineRule="atLeast"/>
              <w:shd w:val="clear" w:color="auto" w:fill="auto"/>
              <w:rPr>
                <w:rFonts w:hint="eastAsia" w:ascii="宋体" w:hAnsi="宋体" w:cs="宋体"/>
                <w:color w:val="000000"/>
                <w:highlight w:val="none"/>
                <w:lang w:eastAsia="zh-CN"/>
              </w:rPr>
            </w:pPr>
            <w:r>
              <w:rPr>
                <w:rFonts w:hint="eastAsia" w:ascii="宋体" w:hAnsi="宋体" w:cs="宋体"/>
                <w:color w:val="000000"/>
                <w:highlight w:val="none"/>
                <w:lang w:eastAsia="zh-CN"/>
              </w:rPr>
            </w:r>
            <w:r/>
          </w:p>
        </w:tc>
        <w:tc>
          <w:tcPr>
            <w:tcW w:w="3570" w:type="dxa"/>
            <w:vAlign w:val="top"/>
            <w:textDirection w:val="lrTb"/>
            <w:noWrap w:val="false"/>
          </w:tcPr>
          <w:p>
            <w:pPr>
              <w:pStyle w:val="744"/>
              <w:shd w:val="clear" w:color="auto" w:fill="auto"/>
              <w:rPr>
                <w:rFonts w:hint="eastAsia" w:ascii="宋体" w:hAnsi="宋体" w:cs="宋体"/>
                <w:color w:val="000000"/>
                <w:highlight w:val="none"/>
              </w:rPr>
            </w:pPr>
            <w:r>
              <w:rPr>
                <w:rFonts w:hint="eastAsia" w:ascii="宋体" w:hAnsi="宋体" w:cs="宋体"/>
                <w:color w:val="000000"/>
                <w:highlight w:val="none"/>
              </w:rPr>
            </w:r>
            <w:r/>
          </w:p>
        </w:tc>
      </w:tr>
      <w:tr>
        <w:trPr>
          <w:trHeight w:val="289"/>
        </w:trPr>
        <w:tc>
          <w:tcPr>
            <w:tcW w:w="5670" w:type="dxa"/>
            <w:vAlign w:val="top"/>
            <w:textDirection w:val="lrTb"/>
            <w:noWrap w:val="false"/>
          </w:tcPr>
          <w:p>
            <w:pPr>
              <w:pStyle w:val="823"/>
              <w:ind w:left="420"/>
              <w:spacing w:line="265" w:lineRule="atLeast"/>
              <w:shd w:val="clear" w:color="auto" w:fill="auto"/>
              <w:rPr>
                <w:rFonts w:hint="eastAsia" w:ascii="宋体" w:hAnsi="宋体" w:cs="宋体"/>
                <w:color w:val="000000"/>
                <w:highlight w:val="none"/>
                <w:lang w:eastAsia="zh-CN"/>
              </w:rPr>
            </w:pPr>
            <w:r>
              <w:rPr>
                <w:rFonts w:hint="eastAsia" w:ascii="宋体" w:hAnsi="宋体" w:cs="宋体"/>
                <w:color w:val="000000"/>
                <w:highlight w:val="none"/>
                <w:lang w:eastAsia="zh-CN"/>
              </w:rPr>
            </w:r>
            <w:r/>
          </w:p>
        </w:tc>
        <w:tc>
          <w:tcPr>
            <w:tcW w:w="3570" w:type="dxa"/>
            <w:vAlign w:val="top"/>
            <w:textDirection w:val="lrTb"/>
            <w:noWrap w:val="false"/>
          </w:tcPr>
          <w:p>
            <w:pPr>
              <w:pStyle w:val="744"/>
              <w:shd w:val="clear" w:color="auto" w:fill="auto"/>
              <w:rPr>
                <w:rFonts w:hint="eastAsia" w:ascii="宋体" w:hAnsi="宋体" w:cs="宋体"/>
                <w:color w:val="000000"/>
                <w:highlight w:val="none"/>
              </w:rPr>
            </w:pPr>
            <w:r>
              <w:rPr>
                <w:rFonts w:hint="eastAsia" w:ascii="宋体" w:hAnsi="宋体" w:cs="宋体"/>
                <w:color w:val="000000"/>
                <w:highlight w:val="none"/>
              </w:rPr>
            </w:r>
            <w:r/>
          </w:p>
        </w:tc>
      </w:tr>
      <w:tr>
        <w:trPr>
          <w:trHeight w:val="278"/>
        </w:trPr>
        <w:tc>
          <w:tcPr>
            <w:tcW w:w="5670" w:type="dxa"/>
            <w:vAlign w:val="top"/>
            <w:textDirection w:val="lrTb"/>
            <w:noWrap w:val="false"/>
          </w:tcPr>
          <w:p>
            <w:pPr>
              <w:pStyle w:val="823"/>
              <w:ind w:left="420"/>
              <w:spacing w:line="265" w:lineRule="atLeast"/>
              <w:shd w:val="clear" w:color="auto" w:fill="auto"/>
              <w:rPr>
                <w:rFonts w:hint="eastAsia" w:ascii="宋体" w:hAnsi="宋体" w:cs="宋体"/>
                <w:color w:val="000000"/>
                <w:highlight w:val="none"/>
                <w:lang w:eastAsia="zh-CN"/>
              </w:rPr>
            </w:pPr>
            <w:r>
              <w:rPr>
                <w:rFonts w:hint="eastAsia" w:ascii="宋体" w:hAnsi="宋体" w:cs="宋体"/>
                <w:color w:val="000000"/>
                <w:highlight w:val="none"/>
                <w:lang w:eastAsia="zh-CN"/>
              </w:rPr>
            </w:r>
            <w:r/>
          </w:p>
        </w:tc>
        <w:tc>
          <w:tcPr>
            <w:tcW w:w="3570" w:type="dxa"/>
            <w:vAlign w:val="top"/>
            <w:textDirection w:val="lrTb"/>
            <w:noWrap w:val="false"/>
          </w:tcPr>
          <w:p>
            <w:pPr>
              <w:pStyle w:val="744"/>
              <w:shd w:val="clear" w:color="auto" w:fill="auto"/>
              <w:rPr>
                <w:rFonts w:hint="eastAsia" w:ascii="宋体" w:hAnsi="宋体" w:cs="宋体"/>
                <w:color w:val="000000"/>
                <w:highlight w:val="none"/>
              </w:rPr>
            </w:pPr>
            <w:r>
              <w:rPr>
                <w:rFonts w:hint="eastAsia" w:ascii="宋体" w:hAnsi="宋体" w:cs="宋体"/>
                <w:color w:val="000000"/>
                <w:highlight w:val="none"/>
              </w:rPr>
            </w:r>
            <w:r/>
          </w:p>
        </w:tc>
      </w:tr>
      <w:tr>
        <w:trPr>
          <w:trHeight w:val="269"/>
        </w:trPr>
        <w:tc>
          <w:tcPr>
            <w:tcW w:w="5670" w:type="dxa"/>
            <w:vAlign w:val="top"/>
            <w:textDirection w:val="lrTb"/>
            <w:noWrap w:val="false"/>
          </w:tcPr>
          <w:p>
            <w:pPr>
              <w:pStyle w:val="823"/>
              <w:ind w:left="420"/>
              <w:spacing w:line="265" w:lineRule="atLeast"/>
              <w:shd w:val="clear" w:color="auto" w:fill="auto"/>
              <w:rPr>
                <w:rFonts w:hint="eastAsia" w:ascii="宋体" w:hAnsi="宋体" w:cs="宋体"/>
                <w:color w:val="000000"/>
                <w:highlight w:val="none"/>
                <w:lang w:eastAsia="zh-CN"/>
              </w:rPr>
            </w:pPr>
            <w:r>
              <w:rPr>
                <w:rFonts w:hint="eastAsia" w:ascii="宋体" w:hAnsi="宋体" w:cs="宋体"/>
                <w:color w:val="000000"/>
                <w:highlight w:val="none"/>
                <w:lang w:eastAsia="zh-CN"/>
              </w:rPr>
            </w:r>
            <w:r/>
          </w:p>
        </w:tc>
        <w:tc>
          <w:tcPr>
            <w:tcW w:w="3570" w:type="dxa"/>
            <w:vAlign w:val="top"/>
            <w:textDirection w:val="lrTb"/>
            <w:noWrap w:val="false"/>
          </w:tcPr>
          <w:p>
            <w:pPr>
              <w:pStyle w:val="744"/>
              <w:shd w:val="clear" w:color="auto" w:fill="auto"/>
              <w:rPr>
                <w:rFonts w:hint="eastAsia" w:ascii="宋体" w:hAnsi="宋体" w:cs="宋体"/>
                <w:color w:val="000000"/>
                <w:highlight w:val="none"/>
              </w:rPr>
            </w:pPr>
            <w:r>
              <w:rPr>
                <w:rFonts w:hint="eastAsia" w:ascii="宋体" w:hAnsi="宋体" w:cs="宋体"/>
                <w:color w:val="000000"/>
                <w:highlight w:val="none"/>
              </w:rPr>
            </w:r>
            <w:r/>
          </w:p>
        </w:tc>
      </w:tr>
      <w:tr>
        <w:trPr>
          <w:trHeight w:val="460"/>
        </w:trPr>
        <w:tc>
          <w:tcPr>
            <w:gridSpan w:val="2"/>
            <w:tcW w:w="9240" w:type="dxa"/>
            <w:vAlign w:val="top"/>
            <w:textDirection w:val="lrTb"/>
            <w:noWrap w:val="false"/>
          </w:tcPr>
          <w:p>
            <w:pPr>
              <w:pStyle w:val="823"/>
              <w:ind w:left="420"/>
              <w:jc w:val="both"/>
              <w:spacing w:line="265" w:lineRule="atLeast"/>
              <w:shd w:val="clear" w:color="auto" w:fill="auto"/>
              <w:rPr>
                <w:rFonts w:hint="eastAsia" w:ascii="宋体" w:hAnsi="宋体" w:cs="宋体"/>
                <w:b/>
                <w:color w:val="000000"/>
                <w:highlight w:val="none"/>
                <w:lang w:eastAsia="zh-CN"/>
              </w:rPr>
            </w:pPr>
            <w:r>
              <w:rPr>
                <w:rFonts w:hint="eastAsia" w:ascii="宋体" w:hAnsi="宋体" w:cs="宋体"/>
                <w:b/>
                <w:color w:val="000000"/>
                <w:highlight w:val="none"/>
                <w:lang w:eastAsia="zh-CN"/>
              </w:rPr>
            </w:r>
            <w:r/>
          </w:p>
        </w:tc>
      </w:tr>
      <w:tr>
        <w:trPr>
          <w:trHeight w:val="320"/>
        </w:trPr>
        <w:tc>
          <w:tcPr>
            <w:tcW w:w="5670" w:type="dxa"/>
            <w:vAlign w:val="top"/>
            <w:textDirection w:val="lrTb"/>
            <w:noWrap w:val="false"/>
          </w:tcPr>
          <w:p>
            <w:pPr>
              <w:pStyle w:val="823"/>
              <w:ind w:left="420"/>
              <w:spacing w:line="265" w:lineRule="atLeast"/>
              <w:shd w:val="clear" w:color="auto" w:fill="auto"/>
              <w:rPr>
                <w:rFonts w:hint="eastAsia" w:ascii="宋体" w:hAnsi="宋体" w:cs="宋体"/>
                <w:b/>
                <w:bCs/>
                <w:color w:val="000000"/>
                <w:highlight w:val="none"/>
                <w:lang w:eastAsia="zh-CN"/>
              </w:rPr>
            </w:pPr>
            <w:r>
              <w:rPr>
                <w:rFonts w:hint="eastAsia" w:ascii="宋体" w:hAnsi="宋体" w:cs="宋体"/>
                <w:b/>
                <w:bCs/>
                <w:color w:val="000000"/>
                <w:highlight w:val="none"/>
                <w:lang w:eastAsia="zh-CN"/>
              </w:rPr>
            </w:r>
            <w:r/>
          </w:p>
        </w:tc>
        <w:tc>
          <w:tcPr>
            <w:tcW w:w="3570" w:type="dxa"/>
            <w:vAlign w:val="top"/>
            <w:textDirection w:val="lrTb"/>
            <w:noWrap w:val="false"/>
          </w:tcPr>
          <w:p>
            <w:pPr>
              <w:pStyle w:val="744"/>
              <w:shd w:val="clear" w:color="auto" w:fill="auto"/>
              <w:rPr>
                <w:rFonts w:hint="eastAsia" w:ascii="宋体" w:hAnsi="宋体" w:cs="宋体"/>
                <w:color w:val="000000"/>
                <w:highlight w:val="none"/>
              </w:rPr>
            </w:pPr>
            <w:r>
              <w:rPr>
                <w:rFonts w:hint="eastAsia" w:ascii="宋体" w:hAnsi="宋体" w:cs="宋体"/>
                <w:color w:val="000000"/>
                <w:highlight w:val="none"/>
              </w:rPr>
            </w:r>
            <w:r/>
          </w:p>
        </w:tc>
      </w:tr>
      <w:tr>
        <w:trPr>
          <w:trHeight w:val="280"/>
        </w:trPr>
        <w:tc>
          <w:tcPr>
            <w:tcW w:w="5670" w:type="dxa"/>
            <w:vAlign w:val="top"/>
            <w:textDirection w:val="lrTb"/>
            <w:noWrap w:val="false"/>
          </w:tcPr>
          <w:p>
            <w:pPr>
              <w:pStyle w:val="823"/>
              <w:ind w:left="420"/>
              <w:spacing w:line="265" w:lineRule="atLeast"/>
              <w:shd w:val="clear" w:color="auto" w:fill="auto"/>
              <w:rPr>
                <w:rFonts w:hint="eastAsia" w:ascii="宋体" w:hAnsi="宋体" w:cs="宋体"/>
                <w:color w:val="000000"/>
                <w:highlight w:val="none"/>
                <w:lang w:eastAsia="zh-CN"/>
              </w:rPr>
            </w:pPr>
            <w:r>
              <w:rPr>
                <w:rFonts w:hint="eastAsia" w:ascii="宋体" w:hAnsi="宋体" w:cs="宋体"/>
                <w:color w:val="000000"/>
                <w:highlight w:val="none"/>
                <w:lang w:eastAsia="zh-CN"/>
              </w:rPr>
            </w:r>
            <w:r/>
          </w:p>
        </w:tc>
        <w:tc>
          <w:tcPr>
            <w:tcW w:w="3570" w:type="dxa"/>
            <w:vAlign w:val="top"/>
            <w:textDirection w:val="lrTb"/>
            <w:noWrap w:val="false"/>
          </w:tcPr>
          <w:p>
            <w:pPr>
              <w:pStyle w:val="744"/>
              <w:shd w:val="clear" w:color="auto" w:fill="auto"/>
              <w:rPr>
                <w:rFonts w:hint="eastAsia" w:ascii="宋体" w:hAnsi="宋体" w:cs="宋体"/>
                <w:color w:val="000000"/>
                <w:highlight w:val="none"/>
              </w:rPr>
            </w:pPr>
            <w:r>
              <w:rPr>
                <w:rFonts w:hint="eastAsia" w:ascii="宋体" w:hAnsi="宋体" w:cs="宋体"/>
                <w:color w:val="000000"/>
                <w:highlight w:val="none"/>
              </w:rPr>
            </w:r>
            <w:r/>
          </w:p>
        </w:tc>
      </w:tr>
      <w:tr>
        <w:trPr>
          <w:trHeight w:val="320"/>
        </w:trPr>
        <w:tc>
          <w:tcPr>
            <w:tcW w:w="5670" w:type="dxa"/>
            <w:vAlign w:val="top"/>
            <w:textDirection w:val="lrTb"/>
            <w:noWrap w:val="false"/>
          </w:tcPr>
          <w:p>
            <w:pPr>
              <w:pStyle w:val="823"/>
              <w:ind w:left="420"/>
              <w:spacing w:line="265" w:lineRule="atLeast"/>
              <w:shd w:val="clear" w:color="auto" w:fill="auto"/>
              <w:rPr>
                <w:rFonts w:hint="eastAsia" w:ascii="宋体" w:hAnsi="宋体" w:cs="宋体"/>
                <w:b/>
                <w:bCs/>
                <w:color w:val="000000"/>
                <w:highlight w:val="none"/>
                <w:lang w:eastAsia="zh-CN"/>
              </w:rPr>
            </w:pPr>
            <w:r>
              <w:rPr>
                <w:rFonts w:hint="eastAsia" w:ascii="宋体" w:hAnsi="宋体" w:cs="宋体"/>
                <w:b/>
                <w:bCs/>
                <w:color w:val="000000"/>
                <w:highlight w:val="none"/>
                <w:lang w:eastAsia="zh-CN"/>
              </w:rPr>
            </w:r>
            <w:r/>
          </w:p>
        </w:tc>
        <w:tc>
          <w:tcPr>
            <w:tcW w:w="3570" w:type="dxa"/>
            <w:vAlign w:val="top"/>
            <w:textDirection w:val="lrTb"/>
            <w:noWrap w:val="false"/>
          </w:tcPr>
          <w:p>
            <w:pPr>
              <w:pStyle w:val="744"/>
              <w:shd w:val="clear" w:color="auto" w:fill="auto"/>
              <w:rPr>
                <w:rFonts w:hint="eastAsia" w:ascii="宋体" w:hAnsi="宋体" w:cs="宋体"/>
                <w:color w:val="000000"/>
                <w:highlight w:val="none"/>
              </w:rPr>
            </w:pPr>
            <w:r>
              <w:rPr>
                <w:rFonts w:hint="eastAsia" w:ascii="宋体" w:hAnsi="宋体" w:cs="宋体"/>
                <w:color w:val="000000"/>
                <w:highlight w:val="none"/>
              </w:rPr>
            </w:r>
            <w:r/>
          </w:p>
        </w:tc>
      </w:tr>
      <w:tr>
        <w:trPr>
          <w:trHeight w:val="260"/>
        </w:trPr>
        <w:tc>
          <w:tcPr>
            <w:gridSpan w:val="2"/>
            <w:tcW w:w="9240" w:type="dxa"/>
            <w:vAlign w:val="top"/>
            <w:textDirection w:val="lrTb"/>
            <w:noWrap w:val="false"/>
          </w:tcPr>
          <w:p>
            <w:pPr>
              <w:pStyle w:val="823"/>
              <w:ind w:left="420"/>
              <w:jc w:val="both"/>
              <w:spacing w:line="265" w:lineRule="atLeast"/>
              <w:shd w:val="clear" w:color="auto" w:fill="auto"/>
              <w:rPr>
                <w:rFonts w:hint="eastAsia" w:ascii="宋体" w:hAnsi="宋体" w:cs="宋体"/>
                <w:b/>
                <w:color w:val="000000"/>
                <w:highlight w:val="none"/>
                <w:lang w:eastAsia="zh-CN"/>
              </w:rPr>
            </w:pPr>
            <w:r>
              <w:rPr>
                <w:rFonts w:hint="eastAsia" w:ascii="宋体" w:hAnsi="宋体" w:cs="宋体"/>
                <w:b/>
                <w:color w:val="000000"/>
                <w:highlight w:val="none"/>
                <w:lang w:eastAsia="zh-CN"/>
              </w:rPr>
            </w:r>
            <w:r/>
          </w:p>
        </w:tc>
      </w:tr>
      <w:tr>
        <w:trPr>
          <w:trHeight w:val="500"/>
        </w:trPr>
        <w:tc>
          <w:tcPr>
            <w:tcW w:w="5670" w:type="dxa"/>
            <w:vAlign w:val="top"/>
            <w:textDirection w:val="lrTb"/>
            <w:noWrap w:val="false"/>
          </w:tcPr>
          <w:p>
            <w:pPr>
              <w:pStyle w:val="823"/>
              <w:ind w:left="0" w:firstLine="480"/>
              <w:spacing w:line="265" w:lineRule="atLeast"/>
              <w:shd w:val="clear" w:color="auto" w:fill="auto"/>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r>
            <w:r/>
          </w:p>
        </w:tc>
        <w:tc>
          <w:tcPr>
            <w:tcW w:w="3570" w:type="dxa"/>
            <w:vAlign w:val="top"/>
            <w:textDirection w:val="lrTb"/>
            <w:noWrap w:val="false"/>
          </w:tcPr>
          <w:p>
            <w:pPr>
              <w:pStyle w:val="744"/>
              <w:shd w:val="clear" w:color="auto" w:fill="auto"/>
              <w:rPr>
                <w:rFonts w:hint="eastAsia" w:ascii="宋体" w:hAnsi="宋体" w:cs="宋体"/>
                <w:color w:val="000000"/>
                <w:highlight w:val="none"/>
              </w:rPr>
            </w:pPr>
            <w:r>
              <w:rPr>
                <w:rFonts w:hint="eastAsia" w:ascii="宋体" w:hAnsi="宋体" w:cs="宋体"/>
                <w:color w:val="000000"/>
                <w:highlight w:val="none"/>
              </w:rPr>
            </w:r>
            <w:r/>
          </w:p>
        </w:tc>
      </w:tr>
      <w:tr>
        <w:trPr>
          <w:trHeight w:val="440"/>
        </w:trPr>
        <w:tc>
          <w:tcPr>
            <w:tcW w:w="5670" w:type="dxa"/>
            <w:vAlign w:val="top"/>
            <w:textDirection w:val="lrTb"/>
            <w:noWrap w:val="false"/>
          </w:tcPr>
          <w:p>
            <w:pPr>
              <w:pStyle w:val="823"/>
              <w:ind w:left="0" w:firstLine="480"/>
              <w:spacing w:line="265" w:lineRule="atLeast"/>
              <w:shd w:val="clear" w:color="auto" w:fill="auto"/>
              <w:rPr>
                <w:rFonts w:hint="eastAsia" w:ascii="宋体" w:hAnsi="宋体" w:cs="宋体"/>
                <w:color w:val="000000"/>
                <w:highlight w:val="none"/>
                <w:lang w:eastAsia="zh-CN"/>
              </w:rPr>
            </w:pPr>
            <w:r>
              <w:rPr>
                <w:rFonts w:hint="eastAsia" w:ascii="宋体" w:hAnsi="宋体" w:cs="宋体"/>
                <w:color w:val="000000"/>
                <w:highlight w:val="none"/>
                <w:lang w:eastAsia="zh-CN"/>
              </w:rPr>
            </w:r>
            <w:r/>
          </w:p>
        </w:tc>
        <w:tc>
          <w:tcPr>
            <w:tcW w:w="3570" w:type="dxa"/>
            <w:vAlign w:val="top"/>
            <w:textDirection w:val="lrTb"/>
            <w:noWrap w:val="false"/>
          </w:tcPr>
          <w:p>
            <w:pPr>
              <w:pStyle w:val="744"/>
              <w:shd w:val="clear" w:color="auto" w:fill="auto"/>
              <w:rPr>
                <w:rFonts w:hint="eastAsia" w:ascii="宋体" w:hAnsi="宋体" w:cs="宋体"/>
                <w:color w:val="000000"/>
                <w:highlight w:val="none"/>
              </w:rPr>
            </w:pPr>
            <w:r>
              <w:rPr>
                <w:rFonts w:hint="eastAsia" w:ascii="宋体" w:hAnsi="宋体" w:cs="宋体"/>
                <w:color w:val="000000"/>
                <w:highlight w:val="none"/>
              </w:rPr>
            </w:r>
            <w:r/>
          </w:p>
        </w:tc>
      </w:tr>
    </w:tbl>
    <w:p>
      <w:pPr>
        <w:pStyle w:val="744"/>
        <w:shd w:val="clear" w:color="auto" w:fill="auto"/>
        <w:rPr>
          <w:rFonts w:hint="eastAsia" w:ascii="宋体" w:hAnsi="宋体" w:cs="宋体"/>
          <w:color w:val="000000"/>
          <w:highlight w:val="none"/>
        </w:rPr>
      </w:pPr>
      <w:r>
        <w:rPr>
          <w:rFonts w:hint="eastAsia" w:ascii="宋体" w:hAnsi="宋体" w:cs="宋体"/>
          <w:color w:val="000000"/>
          <w:highlight w:val="none"/>
        </w:rPr>
      </w:r>
      <w:r/>
    </w:p>
    <w:p>
      <w:pPr>
        <w:pStyle w:val="744"/>
        <w:ind w:firstLine="1084"/>
        <w:jc w:val="center"/>
        <w:shd w:val="clear" w:color="auto" w:fill="auto"/>
        <w:rPr>
          <w:rFonts w:hint="eastAsia" w:ascii="宋体" w:hAnsi="宋体" w:cs="宋体"/>
          <w:b/>
          <w:bCs/>
          <w:color w:val="000000"/>
          <w:sz w:val="32"/>
          <w:szCs w:val="32"/>
          <w:highlight w:val="none"/>
        </w:rPr>
      </w:pPr>
      <w:r>
        <w:rPr>
          <w:rFonts w:hint="eastAsia" w:ascii="宋体" w:hAnsi="宋体" w:cs="宋体"/>
          <w:b/>
          <w:color w:val="000000"/>
          <w:sz w:val="36"/>
          <w:highlight w:val="none"/>
          <w:u w:val="single"/>
        </w:rPr>
        <w:br w:type="page" w:clear="all"/>
      </w:r>
      <w:r>
        <w:rPr>
          <w:rFonts w:hint="eastAsia" w:ascii="宋体" w:hAnsi="宋体" w:cs="宋体"/>
          <w:b/>
          <w:bCs/>
          <w:color w:val="000000"/>
          <w:sz w:val="32"/>
          <w:szCs w:val="32"/>
          <w:highlight w:val="none"/>
        </w:rPr>
        <w:t xml:space="preserve">投标主要文件目录</w:t>
      </w:r>
      <w:r>
        <w:rPr>
          <w:rFonts w:hint="eastAsia" w:ascii="宋体" w:hAnsi="宋体" w:cs="宋体"/>
          <w:b/>
          <w:bCs/>
          <w:color w:val="000000"/>
          <w:sz w:val="32"/>
          <w:szCs w:val="32"/>
          <w:highlight w:val="none"/>
        </w:rPr>
      </w:r>
      <w:r/>
    </w:p>
    <w:p>
      <w:pPr>
        <w:pStyle w:val="744"/>
        <w:jc w:val="center"/>
        <w:spacing w:line="440" w:lineRule="exact"/>
        <w:shd w:val="clear" w:color="auto" w:fill="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744"/>
        <w:numPr>
          <w:ilvl w:val="0"/>
          <w:numId w:val="8"/>
        </w:numPr>
        <w:spacing w:line="360" w:lineRule="auto"/>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资信证明文件</w:t>
      </w:r>
      <w:r>
        <w:rPr>
          <w:rFonts w:hint="eastAsia" w:ascii="宋体" w:hAnsi="宋体" w:cs="宋体"/>
          <w:bCs/>
          <w:color w:val="000000"/>
          <w:sz w:val="24"/>
          <w:highlight w:val="none"/>
        </w:rPr>
      </w:r>
      <w:r/>
    </w:p>
    <w:p>
      <w:pPr>
        <w:pStyle w:val="744"/>
        <w:numPr>
          <w:ilvl w:val="0"/>
          <w:numId w:val="8"/>
        </w:numP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资格性审查响应对照表</w:t>
      </w:r>
      <w:r>
        <w:rPr>
          <w:rFonts w:hint="eastAsia" w:ascii="宋体" w:hAnsi="宋体" w:cs="宋体"/>
          <w:color w:val="000000"/>
          <w:sz w:val="24"/>
          <w:highlight w:val="none"/>
        </w:rPr>
      </w:r>
      <w:r/>
    </w:p>
    <w:p>
      <w:pPr>
        <w:pStyle w:val="744"/>
        <w:ind w:firstLine="480"/>
        <w:spacing w:line="360" w:lineRule="auto"/>
        <w:shd w:val="clear" w:color="auto" w:fill="auto"/>
        <w:rPr>
          <w:rFonts w:hint="eastAsia" w:ascii="宋体" w:hAnsi="宋体" w:cs="宋体"/>
          <w:bCs/>
          <w:color w:val="000000"/>
          <w:sz w:val="24"/>
          <w:highlight w:val="none"/>
        </w:rPr>
      </w:pPr>
      <w:r>
        <w:rPr>
          <w:rFonts w:hint="eastAsia" w:ascii="宋体" w:hAnsi="宋体" w:cs="宋体"/>
          <w:color w:val="000000"/>
          <w:sz w:val="24"/>
          <w:highlight w:val="none"/>
        </w:rPr>
        <w:t xml:space="preserve">三、符合性检查响应对照表</w:t>
      </w:r>
      <w:r>
        <w:rPr>
          <w:rFonts w:hint="eastAsia" w:ascii="宋体" w:hAnsi="宋体" w:cs="宋体"/>
          <w:bCs/>
          <w:color w:val="000000"/>
          <w:sz w:val="24"/>
          <w:highlight w:val="none"/>
        </w:rPr>
      </w:r>
      <w:r/>
    </w:p>
    <w:p>
      <w:pPr>
        <w:pStyle w:val="744"/>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四、投标函</w:t>
      </w:r>
      <w:r>
        <w:rPr>
          <w:rFonts w:hint="eastAsia" w:ascii="宋体" w:hAnsi="宋体" w:cs="宋体"/>
          <w:color w:val="000000"/>
          <w:sz w:val="24"/>
          <w:highlight w:val="none"/>
        </w:rPr>
      </w:r>
      <w:r/>
    </w:p>
    <w:p>
      <w:pPr>
        <w:pStyle w:val="744"/>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五</w:t>
      </w:r>
      <w:r>
        <w:rPr>
          <w:rFonts w:hint="eastAsia" w:ascii="宋体" w:hAnsi="宋体" w:cs="宋体"/>
          <w:b/>
          <w:bCs/>
          <w:color w:val="000000"/>
          <w:sz w:val="24"/>
          <w:highlight w:val="none"/>
        </w:rPr>
        <w:t xml:space="preserve">、</w:t>
      </w:r>
      <w:r>
        <w:rPr>
          <w:rFonts w:hint="eastAsia" w:ascii="宋体" w:hAnsi="宋体" w:cs="宋体"/>
          <w:color w:val="000000"/>
          <w:sz w:val="24"/>
          <w:highlight w:val="none"/>
        </w:rPr>
        <w:t xml:space="preserve">开标一览表</w:t>
      </w:r>
      <w:r>
        <w:rPr>
          <w:rFonts w:hint="eastAsia" w:ascii="宋体" w:hAnsi="宋体" w:cs="宋体"/>
          <w:color w:val="000000"/>
          <w:sz w:val="24"/>
          <w:highlight w:val="none"/>
        </w:rPr>
      </w:r>
      <w:r/>
    </w:p>
    <w:p>
      <w:pPr>
        <w:pStyle w:val="744"/>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六、投标报价分项表</w:t>
      </w:r>
      <w:r>
        <w:rPr>
          <w:rFonts w:hint="eastAsia" w:ascii="宋体" w:hAnsi="宋体" w:cs="宋体"/>
          <w:color w:val="000000"/>
          <w:sz w:val="24"/>
          <w:highlight w:val="none"/>
        </w:rPr>
      </w:r>
      <w:r/>
    </w:p>
    <w:p>
      <w:pPr>
        <w:pStyle w:val="744"/>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七、技术部分</w:t>
      </w:r>
      <w:r>
        <w:rPr>
          <w:rFonts w:hint="eastAsia" w:ascii="宋体" w:hAnsi="宋体" w:cs="宋体"/>
          <w:color w:val="000000"/>
          <w:sz w:val="24"/>
          <w:szCs w:val="24"/>
          <w:highlight w:val="none"/>
        </w:rPr>
      </w:r>
      <w:r/>
    </w:p>
    <w:p>
      <w:pPr>
        <w:pStyle w:val="744"/>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八、招标文件中规定要求提供的证明材料和投标人认为需要提供的其他材料</w:t>
      </w:r>
      <w:r>
        <w:rPr>
          <w:rFonts w:hint="eastAsia" w:ascii="宋体" w:hAnsi="宋体" w:cs="宋体"/>
          <w:color w:val="000000"/>
          <w:sz w:val="24"/>
          <w:szCs w:val="24"/>
          <w:highlight w:val="none"/>
        </w:rPr>
      </w:r>
      <w:r/>
    </w:p>
    <w:p>
      <w:pPr>
        <w:pStyle w:val="744"/>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九、盐城市大丰区政府采购供应商承诺书</w:t>
      </w:r>
      <w:r>
        <w:rPr>
          <w:rFonts w:hint="eastAsia" w:ascii="宋体" w:hAnsi="宋体" w:cs="宋体"/>
          <w:color w:val="000000"/>
          <w:sz w:val="24"/>
          <w:szCs w:val="24"/>
          <w:highlight w:val="none"/>
        </w:rPr>
      </w:r>
      <w:r/>
    </w:p>
    <w:p>
      <w:pPr>
        <w:pStyle w:val="744"/>
        <w:ind w:firstLine="480"/>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744"/>
        <w:ind w:firstLine="480"/>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744"/>
        <w:ind w:firstLine="480"/>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744"/>
        <w:ind w:firstLine="480"/>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744"/>
        <w:ind w:firstLine="480"/>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744"/>
        <w:ind w:firstLine="480"/>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744"/>
        <w:ind w:firstLine="480"/>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744"/>
        <w:ind w:firstLine="480"/>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744"/>
        <w:ind w:firstLine="480"/>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744"/>
        <w:ind w:firstLine="480"/>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744"/>
        <w:ind w:firstLine="480"/>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744"/>
        <w:ind w:firstLine="480"/>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744"/>
        <w:ind w:firstLine="480"/>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744"/>
        <w:numPr>
          <w:ilvl w:val="0"/>
          <w:numId w:val="9"/>
        </w:numPr>
        <w:jc w:val="center"/>
        <w:spacing w:before="50" w:after="50"/>
        <w:shd w:val="clear" w:color="auto" w:fill="auto"/>
        <w:rPr>
          <w:rFonts w:hint="eastAsia" w:ascii="宋体" w:hAnsi="宋体" w:cs="宋体"/>
          <w:b/>
          <w:bCs/>
          <w:color w:val="000000"/>
          <w:sz w:val="32"/>
          <w:szCs w:val="32"/>
          <w:highlight w:val="none"/>
        </w:rPr>
      </w:pPr>
      <w:r>
        <w:rPr>
          <w:rFonts w:hint="eastAsia" w:ascii="宋体" w:hAnsi="宋体" w:cs="宋体"/>
          <w:color w:val="000000"/>
          <w:sz w:val="24"/>
          <w:highlight w:val="none"/>
        </w:rPr>
        <w:br w:type="page" w:clear="all"/>
      </w:r>
      <w:r>
        <w:rPr>
          <w:rFonts w:hint="eastAsia" w:ascii="宋体" w:hAnsi="宋体" w:cs="宋体"/>
          <w:b/>
          <w:bCs/>
          <w:color w:val="000000"/>
          <w:sz w:val="32"/>
          <w:szCs w:val="32"/>
          <w:highlight w:val="none"/>
        </w:rPr>
        <w:t xml:space="preserve">资信证明文件要求</w:t>
      </w:r>
      <w:r>
        <w:rPr>
          <w:rFonts w:hint="eastAsia" w:ascii="宋体" w:hAnsi="宋体" w:cs="宋体"/>
          <w:b/>
          <w:bCs/>
          <w:color w:val="000000"/>
          <w:sz w:val="32"/>
          <w:szCs w:val="32"/>
          <w:highlight w:val="none"/>
        </w:rPr>
      </w:r>
      <w:r/>
    </w:p>
    <w:p>
      <w:pPr>
        <w:pStyle w:val="823"/>
        <w:ind w:left="0"/>
        <w:shd w:val="clear" w:color="auto" w:fill="auto"/>
        <w:rPr>
          <w:rFonts w:hint="eastAsia" w:ascii="宋体" w:hAnsi="宋体" w:cs="宋体"/>
          <w:color w:val="000000"/>
          <w:highlight w:val="none"/>
        </w:rPr>
      </w:pPr>
      <w:r>
        <w:rPr>
          <w:rFonts w:hint="eastAsia" w:ascii="宋体" w:hAnsi="宋体" w:cs="宋体"/>
          <w:color w:val="000000"/>
          <w:highlight w:val="none"/>
        </w:rPr>
      </w:r>
      <w:r/>
    </w:p>
    <w:p>
      <w:pPr>
        <w:pStyle w:val="744"/>
        <w:spacing w:before="50" w:after="50"/>
        <w:shd w:val="clear" w:color="auto" w:fill="auto"/>
        <w:rPr>
          <w:rFonts w:hint="eastAsia" w:ascii="宋体" w:hAnsi="宋体" w:cs="宋体"/>
          <w:color w:val="000000"/>
          <w:sz w:val="24"/>
          <w:szCs w:val="20"/>
          <w:highlight w:val="none"/>
        </w:rPr>
      </w:pPr>
      <w:r>
        <w:rPr>
          <w:rFonts w:hint="eastAsia" w:ascii="宋体" w:hAnsi="宋体" w:cs="宋体"/>
          <w:color w:val="000000"/>
          <w:sz w:val="44"/>
          <w:highlight w:val="none"/>
        </w:rPr>
        <w:t xml:space="preserve"> </w:t>
      </w:r>
      <w:r>
        <w:rPr>
          <w:rFonts w:hint="eastAsia" w:ascii="宋体" w:hAnsi="宋体" w:cs="宋体"/>
          <w:b/>
          <w:bCs/>
          <w:color w:val="000000"/>
          <w:sz w:val="24"/>
          <w:highlight w:val="none"/>
        </w:rPr>
        <w:t xml:space="preserve">1、实质性资格证明文件目录</w:t>
      </w:r>
      <w:r>
        <w:rPr>
          <w:rFonts w:hint="eastAsia" w:ascii="宋体" w:hAnsi="宋体" w:cs="宋体"/>
          <w:color w:val="000000"/>
          <w:sz w:val="24"/>
          <w:szCs w:val="20"/>
          <w:highlight w:val="none"/>
        </w:rPr>
      </w:r>
      <w:r/>
    </w:p>
    <w:p>
      <w:pPr>
        <w:pStyle w:val="759"/>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文件1  法人或者其他组织的营业执照等证明文件，自然人的身份证明</w:t>
      </w:r>
      <w:r>
        <w:rPr>
          <w:rFonts w:hint="eastAsia" w:ascii="宋体" w:hAnsi="宋体" w:cs="宋体"/>
          <w:color w:val="000000"/>
          <w:sz w:val="24"/>
          <w:szCs w:val="24"/>
          <w:highlight w:val="none"/>
        </w:rPr>
      </w:r>
      <w:r/>
    </w:p>
    <w:p>
      <w:pPr>
        <w:pStyle w:val="759"/>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文件2  上一年度财务状况报表（成立不满一年不需提供）</w:t>
      </w:r>
      <w:r>
        <w:rPr>
          <w:rFonts w:hint="eastAsia" w:ascii="宋体" w:hAnsi="宋体" w:cs="宋体"/>
          <w:color w:val="000000"/>
          <w:sz w:val="24"/>
          <w:szCs w:val="24"/>
          <w:highlight w:val="none"/>
        </w:rPr>
      </w:r>
      <w:r/>
    </w:p>
    <w:p>
      <w:pPr>
        <w:pStyle w:val="759"/>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文件3  依法缴纳税收和社会保障资金的相关材料</w:t>
      </w:r>
      <w:r>
        <w:rPr>
          <w:rFonts w:hint="eastAsia" w:ascii="宋体" w:hAnsi="宋体" w:cs="宋体"/>
          <w:color w:val="000000"/>
          <w:sz w:val="24"/>
          <w:szCs w:val="24"/>
          <w:highlight w:val="none"/>
        </w:rPr>
      </w:r>
      <w:r/>
    </w:p>
    <w:p>
      <w:pPr>
        <w:pStyle w:val="759"/>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文件4  具备履行合同所必需的设备和专业技术能力证明材料</w:t>
      </w:r>
      <w:r>
        <w:rPr>
          <w:rFonts w:hint="eastAsia" w:ascii="宋体" w:hAnsi="宋体" w:cs="宋体"/>
          <w:color w:val="000000"/>
          <w:sz w:val="24"/>
          <w:szCs w:val="24"/>
          <w:highlight w:val="none"/>
        </w:rPr>
      </w:r>
      <w:r/>
    </w:p>
    <w:p>
      <w:pPr>
        <w:pStyle w:val="759"/>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文件5  参加政府采购活动前 3 年内在经营活动中没有重大违法记录的书面声明</w:t>
      </w:r>
      <w:r>
        <w:rPr>
          <w:rFonts w:hint="eastAsia" w:ascii="宋体" w:hAnsi="宋体" w:cs="宋体"/>
          <w:color w:val="000000"/>
          <w:sz w:val="24"/>
          <w:szCs w:val="24"/>
          <w:highlight w:val="none"/>
        </w:rPr>
      </w:r>
      <w:r/>
    </w:p>
    <w:p>
      <w:pPr>
        <w:pStyle w:val="759"/>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文件6  法人授权书</w:t>
      </w:r>
      <w:r>
        <w:rPr>
          <w:rFonts w:hint="eastAsia" w:ascii="宋体" w:hAnsi="宋体" w:cs="宋体"/>
          <w:color w:val="000000"/>
          <w:sz w:val="24"/>
          <w:szCs w:val="24"/>
          <w:highlight w:val="none"/>
        </w:rPr>
      </w:r>
      <w:r/>
    </w:p>
    <w:p>
      <w:pPr>
        <w:pStyle w:val="759"/>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文件7  招标文件中规定要求提供的证明材料和投标人认为需要提供的其他材料</w:t>
      </w:r>
      <w:r>
        <w:rPr>
          <w:rFonts w:hint="eastAsia" w:ascii="宋体" w:hAnsi="宋体" w:cs="宋体"/>
          <w:color w:val="000000"/>
          <w:sz w:val="24"/>
          <w:szCs w:val="24"/>
          <w:highlight w:val="none"/>
        </w:rPr>
      </w:r>
      <w:r/>
    </w:p>
    <w:p>
      <w:pPr>
        <w:pStyle w:val="744"/>
        <w:jc w:val="left"/>
        <w:spacing w:before="50" w:after="145"/>
        <w:shd w:val="clear" w:color="auto" w:fill="auto"/>
        <w:rPr>
          <w:rFonts w:hint="eastAsia" w:ascii="宋体" w:hAnsi="宋体" w:cs="宋体"/>
          <w:b/>
          <w:i/>
          <w:color w:val="000000"/>
          <w:sz w:val="24"/>
          <w:highlight w:val="none"/>
          <w:u w:val="single"/>
        </w:rPr>
      </w:pPr>
      <w:r>
        <w:rPr>
          <w:rFonts w:hint="eastAsia" w:ascii="宋体" w:hAnsi="宋体" w:cs="宋体"/>
          <w:b/>
          <w:i/>
          <w:color w:val="000000"/>
          <w:sz w:val="24"/>
          <w:highlight w:val="none"/>
          <w:u w:val="single"/>
        </w:rPr>
      </w:r>
      <w:r/>
    </w:p>
    <w:p>
      <w:pPr>
        <w:pStyle w:val="759"/>
        <w:spacing w:line="0" w:lineRule="atLeas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59"/>
        <w:spacing w:line="0" w:lineRule="atLeas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59"/>
        <w:spacing w:line="0" w:lineRule="atLeas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59"/>
        <w:spacing w:line="0" w:lineRule="atLeas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59"/>
        <w:spacing w:line="0" w:lineRule="atLeas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59"/>
        <w:spacing w:line="0" w:lineRule="atLeas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59"/>
        <w:spacing w:line="0" w:lineRule="atLeas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59"/>
        <w:spacing w:line="0" w:lineRule="atLeas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59"/>
        <w:spacing w:line="0" w:lineRule="atLeas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59"/>
        <w:spacing w:line="0" w:lineRule="atLeas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59"/>
        <w:spacing w:line="0" w:lineRule="atLeas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59"/>
        <w:spacing w:line="0" w:lineRule="atLeas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59"/>
        <w:spacing w:line="0" w:lineRule="atLeas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59"/>
        <w:spacing w:line="0" w:lineRule="atLeas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59"/>
        <w:spacing w:line="0" w:lineRule="atLeas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59"/>
        <w:spacing w:line="0" w:lineRule="atLeas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59"/>
        <w:spacing w:line="0" w:lineRule="atLeas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59"/>
        <w:spacing w:line="0" w:lineRule="atLeas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59"/>
        <w:spacing w:line="0" w:lineRule="atLeas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59"/>
        <w:spacing w:line="0" w:lineRule="atLeas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59"/>
        <w:spacing w:line="0" w:lineRule="atLeas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59"/>
        <w:ind w:firstLine="0"/>
        <w:spacing w:line="0" w:lineRule="atLeas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47"/>
        <w:jc w:val="center"/>
        <w:shd w:val="clear" w:color="auto" w:fill="auto"/>
        <w:rPr>
          <w:rFonts w:hint="eastAsia" w:ascii="宋体" w:hAnsi="宋体" w:cs="宋体"/>
          <w:b w:val="0"/>
          <w:bCs w:val="0"/>
          <w:color w:val="000000"/>
          <w:sz w:val="30"/>
          <w:szCs w:val="30"/>
          <w:highlight w:val="none"/>
        </w:rPr>
      </w:pPr>
      <w:r>
        <w:rPr>
          <w:rFonts w:hint="eastAsia" w:ascii="宋体" w:hAnsi="宋体" w:cs="宋体"/>
          <w:color w:val="000000"/>
          <w:sz w:val="24"/>
          <w:szCs w:val="24"/>
          <w:highlight w:val="none"/>
        </w:rPr>
        <w:t xml:space="preserve">具备履行合同所必需的设备和专业技术能力的书面声明</w:t>
      </w:r>
      <w:r>
        <w:rPr>
          <w:rFonts w:hint="eastAsia" w:ascii="宋体" w:hAnsi="宋体" w:cs="宋体"/>
          <w:b w:val="0"/>
          <w:bCs w:val="0"/>
          <w:color w:val="000000"/>
          <w:sz w:val="30"/>
          <w:szCs w:val="30"/>
          <w:highlight w:val="none"/>
        </w:rPr>
      </w:r>
      <w:r/>
    </w:p>
    <w:p>
      <w:pPr>
        <w:pStyle w:val="744"/>
        <w:ind w:firstLine="492"/>
        <w:spacing w:line="460" w:lineRule="exact"/>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我公司郑重声明：我公司具备履行本项采购合同所必需的设备和专业技术能力，为履行本项采购合同我公司具备如下主要设备和主要专业技术能力：</w:t>
      </w:r>
      <w:r>
        <w:rPr>
          <w:rFonts w:hint="eastAsia" w:ascii="宋体" w:hAnsi="宋体" w:cs="宋体"/>
          <w:bCs/>
          <w:color w:val="000000"/>
          <w:sz w:val="24"/>
          <w:highlight w:val="none"/>
        </w:rPr>
      </w:r>
      <w:r/>
    </w:p>
    <w:p>
      <w:pPr>
        <w:pStyle w:val="744"/>
        <w:ind w:firstLine="492"/>
        <w:spacing w:line="460" w:lineRule="exact"/>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主要设备有：</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744"/>
        <w:ind w:firstLine="492"/>
        <w:spacing w:line="460" w:lineRule="exact"/>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主要专业技术能力有：</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744"/>
        <w:ind w:firstLine="492"/>
        <w:spacing w:line="460" w:lineRule="exact"/>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744"/>
        <w:ind w:firstLine="492"/>
        <w:spacing w:line="460" w:lineRule="exact"/>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744"/>
        <w:ind w:firstLine="492"/>
        <w:spacing w:line="460" w:lineRule="exact"/>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744"/>
        <w:spacing w:line="460" w:lineRule="exact"/>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                                      供应商名称（公章）：</w:t>
      </w:r>
      <w:r>
        <w:rPr>
          <w:rFonts w:hint="eastAsia" w:ascii="宋体" w:hAnsi="宋体" w:cs="宋体"/>
          <w:bCs/>
          <w:color w:val="000000"/>
          <w:sz w:val="24"/>
          <w:highlight w:val="none"/>
        </w:rPr>
      </w:r>
      <w:r/>
    </w:p>
    <w:p>
      <w:pPr>
        <w:pStyle w:val="744"/>
        <w:spacing w:line="460" w:lineRule="exact"/>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                                     </w:t>
      </w:r>
      <w:r>
        <w:rPr>
          <w:rFonts w:hint="eastAsia" w:ascii="宋体" w:hAnsi="宋体" w:cs="宋体"/>
          <w:bCs/>
          <w:color w:val="000000"/>
          <w:sz w:val="24"/>
          <w:highlight w:val="none"/>
        </w:rPr>
      </w:r>
      <w:r/>
    </w:p>
    <w:p>
      <w:pPr>
        <w:pStyle w:val="744"/>
        <w:spacing w:line="460" w:lineRule="exact"/>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                                     日期：</w:t>
      </w:r>
      <w:r>
        <w:rPr>
          <w:rFonts w:hint="eastAsia" w:ascii="宋体" w:hAnsi="宋体" w:cs="宋体"/>
          <w:bCs/>
          <w:color w:val="000000"/>
          <w:sz w:val="24"/>
          <w:highlight w:val="none"/>
          <w:u w:val="single"/>
        </w:rPr>
        <w:t xml:space="preserve">______</w:t>
      </w:r>
      <w:r>
        <w:rPr>
          <w:rFonts w:hint="eastAsia" w:ascii="宋体" w:hAnsi="宋体" w:cs="宋体"/>
          <w:bCs/>
          <w:color w:val="000000"/>
          <w:sz w:val="24"/>
          <w:highlight w:val="none"/>
        </w:rPr>
        <w:t xml:space="preserve">年</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月</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日</w:t>
      </w:r>
      <w:r>
        <w:rPr>
          <w:rFonts w:hint="eastAsia" w:ascii="宋体" w:hAnsi="宋体" w:cs="宋体"/>
          <w:bCs/>
          <w:color w:val="000000"/>
          <w:sz w:val="24"/>
          <w:highlight w:val="none"/>
        </w:rPr>
      </w:r>
      <w:r/>
    </w:p>
    <w:p>
      <w:pPr>
        <w:pStyle w:val="744"/>
        <w:spacing w:line="460" w:lineRule="exact"/>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                             </w:t>
      </w:r>
      <w:r>
        <w:rPr>
          <w:rFonts w:hint="eastAsia" w:ascii="宋体" w:hAnsi="宋体" w:cs="宋体"/>
          <w:bCs/>
          <w:color w:val="000000"/>
          <w:sz w:val="24"/>
          <w:highlight w:val="none"/>
        </w:rPr>
      </w:r>
      <w:r/>
    </w:p>
    <w:p>
      <w:pPr>
        <w:pStyle w:val="747"/>
        <w:jc w:val="center"/>
        <w:shd w:val="clear" w:color="auto" w:fill="auto"/>
        <w:rPr>
          <w:rFonts w:hint="eastAsia" w:ascii="宋体" w:hAnsi="宋体" w:cs="宋体"/>
          <w:color w:val="000000"/>
          <w:sz w:val="24"/>
          <w:szCs w:val="24"/>
          <w:highlight w:val="none"/>
        </w:rPr>
      </w:pPr>
      <w:r>
        <w:rPr>
          <w:rFonts w:hint="eastAsia" w:ascii="宋体" w:hAnsi="宋体" w:cs="宋体"/>
          <w:color w:val="000000"/>
          <w:highlight w:val="none"/>
        </w:rPr>
        <w:br w:type="page" w:clear="all"/>
      </w:r>
      <w:r>
        <w:rPr>
          <w:rFonts w:hint="eastAsia" w:ascii="宋体" w:hAnsi="宋体" w:cs="宋体"/>
          <w:color w:val="000000"/>
          <w:sz w:val="24"/>
          <w:szCs w:val="24"/>
          <w:highlight w:val="none"/>
        </w:rPr>
        <w:t xml:space="preserve">参加政府采购活动前 3 年内在经营活动中没有重大违法记录的书面声明</w:t>
      </w:r>
      <w:r>
        <w:rPr>
          <w:rFonts w:hint="eastAsia" w:ascii="宋体" w:hAnsi="宋体" w:cs="宋体"/>
          <w:color w:val="000000"/>
          <w:sz w:val="24"/>
          <w:szCs w:val="24"/>
          <w:highlight w:val="none"/>
        </w:rPr>
      </w:r>
      <w:r/>
    </w:p>
    <w:p>
      <w:pPr>
        <w:pStyle w:val="744"/>
        <w:spacing w:line="460" w:lineRule="exact"/>
        <w:shd w:val="clear" w:color="auto" w:fill="auto"/>
        <w:rPr>
          <w:rFonts w:hint="eastAsia" w:ascii="宋体" w:hAnsi="宋体" w:cs="宋体"/>
          <w:b/>
          <w:bCs/>
          <w:color w:val="000000"/>
          <w:sz w:val="44"/>
          <w:szCs w:val="44"/>
          <w:highlight w:val="none"/>
        </w:rPr>
      </w:pPr>
      <w:r>
        <w:rPr>
          <w:rFonts w:hint="eastAsia" w:ascii="宋体" w:hAnsi="宋体" w:cs="宋体"/>
          <w:b/>
          <w:bCs/>
          <w:color w:val="000000"/>
          <w:sz w:val="24"/>
          <w:highlight w:val="none"/>
        </w:rPr>
        <w:t xml:space="preserve">                       </w:t>
      </w:r>
      <w:r>
        <w:rPr>
          <w:rFonts w:hint="eastAsia" w:ascii="宋体" w:hAnsi="宋体" w:cs="宋体"/>
          <w:b/>
          <w:bCs/>
          <w:color w:val="000000"/>
          <w:sz w:val="44"/>
          <w:szCs w:val="44"/>
          <w:highlight w:val="none"/>
        </w:rPr>
        <w:t xml:space="preserve">   </w:t>
      </w:r>
      <w:r>
        <w:rPr>
          <w:rFonts w:hint="eastAsia" w:ascii="宋体" w:hAnsi="宋体" w:cs="宋体"/>
          <w:b/>
          <w:bCs/>
          <w:color w:val="000000"/>
          <w:sz w:val="44"/>
          <w:szCs w:val="44"/>
          <w:highlight w:val="none"/>
        </w:rPr>
      </w:r>
      <w:r/>
    </w:p>
    <w:p>
      <w:pPr>
        <w:pStyle w:val="744"/>
        <w:spacing w:line="460" w:lineRule="exact"/>
        <w:shd w:val="clear" w:color="auto" w:fill="auto"/>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t xml:space="preserve">                   声  明</w:t>
      </w:r>
      <w:r>
        <w:rPr>
          <w:rFonts w:hint="eastAsia" w:ascii="宋体" w:hAnsi="宋体" w:cs="宋体"/>
          <w:b/>
          <w:bCs/>
          <w:color w:val="000000"/>
          <w:sz w:val="44"/>
          <w:szCs w:val="44"/>
          <w:highlight w:val="none"/>
        </w:rPr>
      </w:r>
      <w:r/>
    </w:p>
    <w:p>
      <w:pPr>
        <w:pStyle w:val="744"/>
        <w:spacing w:line="460" w:lineRule="exact"/>
        <w:shd w:val="clear" w:color="auto" w:fill="auto"/>
        <w:rPr>
          <w:rFonts w:hint="eastAsia" w:ascii="宋体" w:hAnsi="宋体" w:cs="宋体"/>
          <w:bCs/>
          <w:color w:val="000000"/>
          <w:sz w:val="24"/>
          <w:highlight w:val="none"/>
        </w:rPr>
      </w:pPr>
      <w:r>
        <w:rPr>
          <w:rFonts w:hint="eastAsia" w:ascii="宋体" w:hAnsi="宋体" w:cs="宋体"/>
          <w:b/>
          <w:bCs/>
          <w:color w:val="000000"/>
          <w:sz w:val="24"/>
          <w:highlight w:val="none"/>
        </w:rPr>
        <w:t xml:space="preserve">    </w:t>
      </w:r>
      <w:r>
        <w:rPr>
          <w:rFonts w:hint="eastAsia" w:ascii="宋体" w:hAnsi="宋体" w:cs="宋体"/>
          <w:bCs/>
          <w:color w:val="000000"/>
          <w:sz w:val="24"/>
          <w:highlight w:val="none"/>
        </w:rPr>
        <w:t xml:space="preserve">我公司郑重声明：参加本次政府采购活动前 3 年内，我公司在经营活动中没有因违法经营受到刑事处罚或者责令停产停业、吊销许可证或者执照、较大数额罚款等行政处罚。</w:t>
      </w:r>
      <w:r>
        <w:rPr>
          <w:rFonts w:hint="eastAsia" w:ascii="宋体" w:hAnsi="宋体" w:cs="宋体"/>
          <w:bCs/>
          <w:color w:val="000000"/>
          <w:sz w:val="24"/>
          <w:highlight w:val="none"/>
        </w:rPr>
      </w:r>
      <w:r/>
    </w:p>
    <w:p>
      <w:pPr>
        <w:pStyle w:val="744"/>
        <w:spacing w:line="460" w:lineRule="exact"/>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                                      供应商名称（公章）：</w:t>
      </w:r>
      <w:r>
        <w:rPr>
          <w:rFonts w:hint="eastAsia" w:ascii="宋体" w:hAnsi="宋体" w:cs="宋体"/>
          <w:bCs/>
          <w:color w:val="000000"/>
          <w:sz w:val="24"/>
          <w:highlight w:val="none"/>
        </w:rPr>
      </w:r>
      <w:r/>
    </w:p>
    <w:p>
      <w:pPr>
        <w:pStyle w:val="744"/>
        <w:spacing w:line="460" w:lineRule="exact"/>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                                      授权代表签字：</w:t>
      </w:r>
      <w:r>
        <w:rPr>
          <w:rFonts w:hint="eastAsia" w:ascii="宋体" w:hAnsi="宋体" w:cs="宋体"/>
          <w:bCs/>
          <w:color w:val="000000"/>
          <w:sz w:val="24"/>
          <w:highlight w:val="none"/>
          <w:u w:val="single"/>
        </w:rPr>
        <w:t xml:space="preserve">_______________________</w:t>
      </w:r>
      <w:r>
        <w:rPr>
          <w:rFonts w:hint="eastAsia" w:ascii="宋体" w:hAnsi="宋体" w:cs="宋体"/>
          <w:bCs/>
          <w:color w:val="000000"/>
          <w:sz w:val="24"/>
          <w:highlight w:val="none"/>
        </w:rPr>
      </w:r>
      <w:r/>
    </w:p>
    <w:p>
      <w:pPr>
        <w:pStyle w:val="744"/>
        <w:spacing w:line="460" w:lineRule="exact"/>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                                      日期：</w:t>
      </w:r>
      <w:r>
        <w:rPr>
          <w:rFonts w:hint="eastAsia" w:ascii="宋体" w:hAnsi="宋体" w:cs="宋体"/>
          <w:bCs/>
          <w:color w:val="000000"/>
          <w:sz w:val="24"/>
          <w:highlight w:val="none"/>
          <w:u w:val="single"/>
        </w:rPr>
        <w:t xml:space="preserve">______</w:t>
      </w:r>
      <w:r>
        <w:rPr>
          <w:rFonts w:hint="eastAsia" w:ascii="宋体" w:hAnsi="宋体" w:cs="宋体"/>
          <w:bCs/>
          <w:color w:val="000000"/>
          <w:sz w:val="24"/>
          <w:highlight w:val="none"/>
        </w:rPr>
        <w:t xml:space="preserve">年</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月</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日</w:t>
      </w:r>
      <w:r>
        <w:rPr>
          <w:rFonts w:hint="eastAsia" w:ascii="宋体" w:hAnsi="宋体" w:cs="宋体"/>
          <w:bCs/>
          <w:color w:val="000000"/>
          <w:sz w:val="24"/>
          <w:highlight w:val="none"/>
        </w:rPr>
      </w:r>
      <w:r/>
    </w:p>
    <w:p>
      <w:pPr>
        <w:pStyle w:val="744"/>
        <w:spacing w:line="460" w:lineRule="exact"/>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759"/>
        <w:shd w:val="clear" w:color="auto" w:fill="auto"/>
        <w:rPr>
          <w:rFonts w:hint="eastAsia" w:ascii="宋体" w:hAnsi="宋体" w:cs="宋体"/>
          <w:color w:val="000000"/>
          <w:highlight w:val="none"/>
        </w:rPr>
      </w:pPr>
      <w:r>
        <w:rPr>
          <w:rFonts w:hint="eastAsia" w:ascii="宋体" w:hAnsi="宋体" w:cs="宋体"/>
          <w:color w:val="000000"/>
          <w:highlight w:val="none"/>
        </w:rPr>
      </w:r>
      <w:r/>
    </w:p>
    <w:p>
      <w:pPr>
        <w:pStyle w:val="759"/>
        <w:shd w:val="clear" w:color="auto" w:fill="auto"/>
        <w:rPr>
          <w:rFonts w:hint="eastAsia" w:ascii="宋体" w:hAnsi="宋体" w:cs="宋体"/>
          <w:color w:val="000000"/>
          <w:highlight w:val="none"/>
        </w:rPr>
      </w:pPr>
      <w:r>
        <w:rPr>
          <w:rFonts w:hint="eastAsia" w:ascii="宋体" w:hAnsi="宋体" w:cs="宋体"/>
          <w:color w:val="000000"/>
          <w:highlight w:val="none"/>
        </w:rPr>
      </w:r>
      <w:r/>
    </w:p>
    <w:p>
      <w:pPr>
        <w:pStyle w:val="759"/>
        <w:shd w:val="clear" w:color="auto" w:fill="auto"/>
        <w:rPr>
          <w:rFonts w:hint="eastAsia" w:ascii="宋体" w:hAnsi="宋体" w:cs="宋体"/>
          <w:color w:val="000000"/>
          <w:highlight w:val="none"/>
        </w:rPr>
      </w:pPr>
      <w:r>
        <w:rPr>
          <w:rFonts w:hint="eastAsia" w:ascii="宋体" w:hAnsi="宋体" w:cs="宋体"/>
          <w:color w:val="000000"/>
          <w:highlight w:val="none"/>
        </w:rPr>
      </w:r>
      <w:r/>
    </w:p>
    <w:p>
      <w:pPr>
        <w:pStyle w:val="759"/>
        <w:shd w:val="clear" w:color="auto" w:fill="auto"/>
        <w:rPr>
          <w:rFonts w:hint="eastAsia" w:ascii="宋体" w:hAnsi="宋体" w:cs="宋体"/>
          <w:color w:val="000000"/>
          <w:highlight w:val="none"/>
        </w:rPr>
      </w:pPr>
      <w:r>
        <w:rPr>
          <w:rFonts w:hint="eastAsia" w:ascii="宋体" w:hAnsi="宋体" w:cs="宋体"/>
          <w:color w:val="000000"/>
          <w:highlight w:val="none"/>
        </w:rPr>
      </w:r>
      <w:r/>
    </w:p>
    <w:p>
      <w:pPr>
        <w:pStyle w:val="759"/>
        <w:shd w:val="clear" w:color="auto" w:fill="auto"/>
        <w:rPr>
          <w:rFonts w:hint="eastAsia" w:ascii="宋体" w:hAnsi="宋体" w:cs="宋体"/>
          <w:color w:val="000000"/>
          <w:highlight w:val="none"/>
        </w:rPr>
      </w:pPr>
      <w:r>
        <w:rPr>
          <w:rFonts w:hint="eastAsia" w:ascii="宋体" w:hAnsi="宋体" w:cs="宋体"/>
          <w:color w:val="000000"/>
          <w:highlight w:val="none"/>
        </w:rPr>
      </w:r>
      <w:r/>
    </w:p>
    <w:p>
      <w:pPr>
        <w:pStyle w:val="759"/>
        <w:shd w:val="clear" w:color="auto" w:fill="auto"/>
        <w:rPr>
          <w:rFonts w:hint="eastAsia" w:ascii="宋体" w:hAnsi="宋体" w:cs="宋体"/>
          <w:color w:val="000000"/>
          <w:highlight w:val="none"/>
        </w:rPr>
      </w:pPr>
      <w:r>
        <w:rPr>
          <w:rFonts w:hint="eastAsia" w:ascii="宋体" w:hAnsi="宋体" w:cs="宋体"/>
          <w:color w:val="000000"/>
          <w:highlight w:val="none"/>
        </w:rPr>
      </w:r>
      <w:r/>
    </w:p>
    <w:p>
      <w:pPr>
        <w:pStyle w:val="759"/>
        <w:shd w:val="clear" w:color="auto" w:fill="auto"/>
        <w:rPr>
          <w:rFonts w:hint="eastAsia" w:ascii="宋体" w:hAnsi="宋体" w:cs="宋体"/>
          <w:color w:val="000000"/>
          <w:highlight w:val="none"/>
        </w:rPr>
      </w:pPr>
      <w:r>
        <w:rPr>
          <w:rFonts w:hint="eastAsia" w:ascii="宋体" w:hAnsi="宋体" w:cs="宋体"/>
          <w:color w:val="000000"/>
          <w:highlight w:val="none"/>
        </w:rPr>
      </w:r>
      <w:r/>
    </w:p>
    <w:p>
      <w:pPr>
        <w:pStyle w:val="759"/>
        <w:shd w:val="clear" w:color="auto" w:fill="auto"/>
        <w:rPr>
          <w:rFonts w:hint="eastAsia" w:ascii="宋体" w:hAnsi="宋体" w:cs="宋体"/>
          <w:color w:val="000000"/>
          <w:highlight w:val="none"/>
        </w:rPr>
      </w:pPr>
      <w:r>
        <w:rPr>
          <w:rFonts w:hint="eastAsia" w:ascii="宋体" w:hAnsi="宋体" w:cs="宋体"/>
          <w:color w:val="000000"/>
          <w:highlight w:val="none"/>
        </w:rPr>
      </w:r>
      <w:r/>
    </w:p>
    <w:p>
      <w:pPr>
        <w:pStyle w:val="759"/>
        <w:shd w:val="clear" w:color="auto" w:fill="auto"/>
        <w:rPr>
          <w:rFonts w:hint="eastAsia" w:ascii="宋体" w:hAnsi="宋体" w:cs="宋体"/>
          <w:color w:val="000000"/>
          <w:highlight w:val="none"/>
        </w:rPr>
      </w:pPr>
      <w:r>
        <w:rPr>
          <w:rFonts w:hint="eastAsia" w:ascii="宋体" w:hAnsi="宋体" w:cs="宋体"/>
          <w:color w:val="000000"/>
          <w:highlight w:val="none"/>
        </w:rPr>
      </w:r>
      <w:r/>
    </w:p>
    <w:p>
      <w:pPr>
        <w:pStyle w:val="759"/>
        <w:shd w:val="clear" w:color="auto" w:fill="auto"/>
        <w:rPr>
          <w:rFonts w:hint="eastAsia" w:ascii="宋体" w:hAnsi="宋体" w:cs="宋体"/>
          <w:color w:val="000000"/>
          <w:highlight w:val="none"/>
        </w:rPr>
      </w:pPr>
      <w:r>
        <w:rPr>
          <w:rFonts w:hint="eastAsia" w:ascii="宋体" w:hAnsi="宋体" w:cs="宋体"/>
          <w:color w:val="000000"/>
          <w:highlight w:val="none"/>
        </w:rPr>
      </w:r>
      <w:r/>
    </w:p>
    <w:p>
      <w:pPr>
        <w:pStyle w:val="759"/>
        <w:shd w:val="clear" w:color="auto" w:fill="auto"/>
        <w:rPr>
          <w:rFonts w:hint="eastAsia" w:ascii="宋体" w:hAnsi="宋体" w:cs="宋体"/>
          <w:color w:val="000000"/>
          <w:highlight w:val="none"/>
        </w:rPr>
      </w:pPr>
      <w:r>
        <w:rPr>
          <w:rFonts w:hint="eastAsia" w:ascii="宋体" w:hAnsi="宋体" w:cs="宋体"/>
          <w:color w:val="000000"/>
          <w:highlight w:val="none"/>
        </w:rPr>
      </w:r>
      <w:r/>
    </w:p>
    <w:p>
      <w:pPr>
        <w:pStyle w:val="759"/>
        <w:shd w:val="clear" w:color="auto" w:fill="auto"/>
        <w:rPr>
          <w:rFonts w:hint="eastAsia" w:ascii="宋体" w:hAnsi="宋体" w:cs="宋体"/>
          <w:color w:val="000000"/>
          <w:highlight w:val="none"/>
        </w:rPr>
      </w:pPr>
      <w:r>
        <w:rPr>
          <w:rFonts w:hint="eastAsia" w:ascii="宋体" w:hAnsi="宋体" w:cs="宋体"/>
          <w:color w:val="000000"/>
          <w:highlight w:val="none"/>
        </w:rPr>
      </w:r>
      <w:r/>
    </w:p>
    <w:p>
      <w:pPr>
        <w:pStyle w:val="759"/>
        <w:shd w:val="clear" w:color="auto" w:fill="auto"/>
        <w:rPr>
          <w:rFonts w:hint="eastAsia" w:ascii="宋体" w:hAnsi="宋体" w:cs="宋体"/>
          <w:color w:val="000000"/>
          <w:highlight w:val="none"/>
        </w:rPr>
      </w:pPr>
      <w:r>
        <w:rPr>
          <w:rFonts w:hint="eastAsia" w:ascii="宋体" w:hAnsi="宋体" w:cs="宋体"/>
          <w:color w:val="000000"/>
          <w:highlight w:val="none"/>
        </w:rPr>
      </w:r>
      <w:r/>
    </w:p>
    <w:p>
      <w:pPr>
        <w:pStyle w:val="759"/>
        <w:shd w:val="clear" w:color="auto" w:fill="auto"/>
        <w:rPr>
          <w:rFonts w:hint="eastAsia" w:ascii="宋体" w:hAnsi="宋体" w:cs="宋体"/>
          <w:color w:val="000000"/>
          <w:highlight w:val="none"/>
        </w:rPr>
      </w:pPr>
      <w:r>
        <w:rPr>
          <w:rFonts w:hint="eastAsia" w:ascii="宋体" w:hAnsi="宋体" w:cs="宋体"/>
          <w:color w:val="000000"/>
          <w:highlight w:val="none"/>
        </w:rPr>
      </w:r>
      <w:r/>
    </w:p>
    <w:p>
      <w:pPr>
        <w:pStyle w:val="759"/>
        <w:shd w:val="clear" w:color="auto" w:fill="auto"/>
        <w:rPr>
          <w:rFonts w:hint="eastAsia" w:ascii="宋体" w:hAnsi="宋体" w:cs="宋体"/>
          <w:color w:val="000000"/>
          <w:highlight w:val="none"/>
        </w:rPr>
      </w:pPr>
      <w:r>
        <w:rPr>
          <w:rFonts w:hint="eastAsia" w:ascii="宋体" w:hAnsi="宋体" w:cs="宋体"/>
          <w:color w:val="000000"/>
          <w:highlight w:val="none"/>
        </w:rPr>
      </w:r>
      <w:r/>
    </w:p>
    <w:p>
      <w:pPr>
        <w:pStyle w:val="759"/>
        <w:shd w:val="clear" w:color="auto" w:fill="auto"/>
        <w:rPr>
          <w:rFonts w:hint="eastAsia" w:ascii="宋体" w:hAnsi="宋体" w:cs="宋体"/>
          <w:color w:val="000000"/>
          <w:highlight w:val="none"/>
        </w:rPr>
      </w:pPr>
      <w:r>
        <w:rPr>
          <w:rFonts w:hint="eastAsia" w:ascii="宋体" w:hAnsi="宋体" w:cs="宋体"/>
          <w:color w:val="000000"/>
          <w:highlight w:val="none"/>
        </w:rPr>
      </w:r>
      <w:r/>
    </w:p>
    <w:p>
      <w:pPr>
        <w:pStyle w:val="759"/>
        <w:shd w:val="clear" w:color="auto" w:fill="auto"/>
        <w:rPr>
          <w:rFonts w:hint="eastAsia" w:ascii="宋体" w:hAnsi="宋体" w:cs="宋体"/>
          <w:color w:val="000000"/>
          <w:highlight w:val="none"/>
        </w:rPr>
      </w:pPr>
      <w:r>
        <w:rPr>
          <w:rFonts w:hint="eastAsia" w:ascii="宋体" w:hAnsi="宋体" w:cs="宋体"/>
          <w:color w:val="000000"/>
          <w:highlight w:val="none"/>
        </w:rPr>
      </w:r>
      <w:r/>
    </w:p>
    <w:p>
      <w:pPr>
        <w:pStyle w:val="759"/>
        <w:shd w:val="clear" w:color="auto" w:fill="auto"/>
        <w:rPr>
          <w:rFonts w:hint="eastAsia" w:ascii="宋体" w:hAnsi="宋体" w:cs="宋体"/>
          <w:color w:val="000000"/>
          <w:highlight w:val="none"/>
        </w:rPr>
      </w:pPr>
      <w:r>
        <w:rPr>
          <w:rFonts w:hint="eastAsia" w:ascii="宋体" w:hAnsi="宋体" w:cs="宋体"/>
          <w:color w:val="000000"/>
          <w:highlight w:val="none"/>
        </w:rPr>
      </w:r>
      <w:r/>
    </w:p>
    <w:p>
      <w:pPr>
        <w:pStyle w:val="759"/>
        <w:shd w:val="clear" w:color="auto" w:fill="auto"/>
        <w:rPr>
          <w:rFonts w:hint="eastAsia" w:ascii="宋体" w:hAnsi="宋体" w:cs="宋体"/>
          <w:color w:val="000000"/>
          <w:highlight w:val="none"/>
        </w:rPr>
      </w:pPr>
      <w:r>
        <w:rPr>
          <w:rFonts w:hint="eastAsia" w:ascii="宋体" w:hAnsi="宋体" w:cs="宋体"/>
          <w:color w:val="000000"/>
          <w:highlight w:val="none"/>
        </w:rPr>
      </w:r>
      <w:r/>
    </w:p>
    <w:p>
      <w:pPr>
        <w:pStyle w:val="759"/>
        <w:shd w:val="clear" w:color="auto" w:fill="auto"/>
        <w:rPr>
          <w:rFonts w:hint="eastAsia" w:ascii="宋体" w:hAnsi="宋体" w:cs="宋体"/>
          <w:color w:val="000000"/>
          <w:highlight w:val="none"/>
        </w:rPr>
      </w:pPr>
      <w:r>
        <w:rPr>
          <w:rFonts w:hint="eastAsia" w:ascii="宋体" w:hAnsi="宋体" w:cs="宋体"/>
          <w:color w:val="000000"/>
          <w:highlight w:val="none"/>
        </w:rPr>
      </w:r>
      <w:r/>
    </w:p>
    <w:p>
      <w:pPr>
        <w:pStyle w:val="759"/>
        <w:shd w:val="clear" w:color="auto" w:fill="auto"/>
        <w:rPr>
          <w:rFonts w:hint="eastAsia" w:ascii="宋体" w:hAnsi="宋体" w:cs="宋体"/>
          <w:color w:val="000000"/>
          <w:highlight w:val="none"/>
        </w:rPr>
      </w:pPr>
      <w:r>
        <w:rPr>
          <w:rFonts w:hint="eastAsia" w:ascii="宋体" w:hAnsi="宋体" w:cs="宋体"/>
          <w:color w:val="000000"/>
          <w:highlight w:val="none"/>
        </w:rPr>
      </w:r>
      <w:r/>
    </w:p>
    <w:p>
      <w:pPr>
        <w:pStyle w:val="759"/>
        <w:shd w:val="clear" w:color="auto" w:fill="auto"/>
        <w:rPr>
          <w:rFonts w:hint="eastAsia" w:ascii="宋体" w:hAnsi="宋体" w:cs="宋体"/>
          <w:color w:val="000000"/>
          <w:highlight w:val="none"/>
        </w:rPr>
      </w:pPr>
      <w:r>
        <w:rPr>
          <w:rFonts w:hint="eastAsia" w:ascii="宋体" w:hAnsi="宋体" w:cs="宋体"/>
          <w:color w:val="000000"/>
          <w:highlight w:val="none"/>
        </w:rPr>
      </w:r>
      <w:r/>
    </w:p>
    <w:p>
      <w:pPr>
        <w:pStyle w:val="759"/>
        <w:shd w:val="clear" w:color="auto" w:fill="auto"/>
        <w:rPr>
          <w:rFonts w:hint="eastAsia" w:ascii="宋体" w:hAnsi="宋体" w:cs="宋体"/>
          <w:color w:val="000000"/>
          <w:highlight w:val="none"/>
        </w:rPr>
      </w:pPr>
      <w:r>
        <w:rPr>
          <w:rFonts w:hint="eastAsia" w:ascii="宋体" w:hAnsi="宋体" w:cs="宋体"/>
          <w:color w:val="000000"/>
          <w:highlight w:val="none"/>
        </w:rPr>
      </w:r>
      <w:r/>
    </w:p>
    <w:p>
      <w:pPr>
        <w:pStyle w:val="759"/>
        <w:shd w:val="clear" w:color="auto" w:fill="auto"/>
        <w:rPr>
          <w:rFonts w:hint="eastAsia" w:ascii="宋体" w:hAnsi="宋体" w:cs="宋体"/>
          <w:color w:val="000000"/>
          <w:highlight w:val="none"/>
        </w:rPr>
      </w:pPr>
      <w:r>
        <w:rPr>
          <w:rFonts w:hint="eastAsia" w:ascii="宋体" w:hAnsi="宋体" w:cs="宋体"/>
          <w:color w:val="000000"/>
          <w:highlight w:val="none"/>
        </w:rPr>
      </w:r>
      <w:r/>
    </w:p>
    <w:p>
      <w:pPr>
        <w:pStyle w:val="759"/>
        <w:shd w:val="clear" w:color="auto" w:fill="auto"/>
        <w:rPr>
          <w:rFonts w:hint="eastAsia" w:ascii="宋体" w:hAnsi="宋体" w:cs="宋体"/>
          <w:color w:val="000000"/>
          <w:highlight w:val="none"/>
        </w:rPr>
      </w:pPr>
      <w:r>
        <w:rPr>
          <w:rFonts w:hint="eastAsia" w:ascii="宋体" w:hAnsi="宋体" w:cs="宋体"/>
          <w:color w:val="000000"/>
          <w:highlight w:val="none"/>
        </w:rPr>
      </w:r>
      <w:r/>
    </w:p>
    <w:p>
      <w:pPr>
        <w:pStyle w:val="759"/>
        <w:shd w:val="clear" w:color="auto" w:fill="auto"/>
        <w:rPr>
          <w:rFonts w:hint="eastAsia" w:ascii="宋体" w:hAnsi="宋体" w:cs="宋体"/>
          <w:color w:val="000000"/>
          <w:highlight w:val="none"/>
        </w:rPr>
      </w:pPr>
      <w:r>
        <w:rPr>
          <w:rFonts w:hint="eastAsia" w:ascii="宋体" w:hAnsi="宋体" w:cs="宋体"/>
          <w:color w:val="000000"/>
          <w:highlight w:val="none"/>
        </w:rPr>
      </w:r>
      <w:r/>
    </w:p>
    <w:p>
      <w:pPr>
        <w:pStyle w:val="747"/>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法人授权书</w:t>
      </w:r>
      <w:r>
        <w:rPr>
          <w:rFonts w:hint="eastAsia" w:ascii="宋体" w:hAnsi="宋体" w:cs="宋体"/>
          <w:color w:val="000000"/>
          <w:sz w:val="24"/>
          <w:szCs w:val="24"/>
          <w:highlight w:val="none"/>
        </w:rPr>
      </w:r>
      <w:r/>
    </w:p>
    <w:p>
      <w:pPr>
        <w:pStyle w:val="838"/>
        <w:ind w:firstLine="480"/>
        <w:shd w:val="clear" w:color="auto" w:fill="auto"/>
        <w:tabs>
          <w:tab w:val="left" w:pos="3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本授权书声明：____________（供应商名称）授权________________（被授权人的姓名）为我方就</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号项目采购活动的合法代理人，以本公司名义全权处理一切与该项目采购有关的事务。</w:t>
      </w:r>
      <w:r>
        <w:rPr>
          <w:rFonts w:hint="eastAsia" w:ascii="宋体" w:hAnsi="宋体" w:cs="宋体"/>
          <w:color w:val="000000"/>
          <w:sz w:val="24"/>
          <w:szCs w:val="24"/>
          <w:highlight w:val="none"/>
        </w:rPr>
      </w:r>
      <w:r/>
    </w:p>
    <w:p>
      <w:pPr>
        <w:pStyle w:val="838"/>
        <w:ind w:firstLine="480"/>
        <w:shd w:val="clear" w:color="auto" w:fill="auto"/>
        <w:tabs>
          <w:tab w:val="left" w:pos="3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本授权书于______年____月____日起生效，特此声明。</w:t>
      </w:r>
      <w:r>
        <w:rPr>
          <w:rFonts w:hint="eastAsia" w:ascii="宋体" w:hAnsi="宋体" w:cs="宋体"/>
          <w:color w:val="000000"/>
          <w:sz w:val="24"/>
          <w:szCs w:val="24"/>
          <w:highlight w:val="none"/>
        </w:rPr>
      </w:r>
      <w:r/>
    </w:p>
    <w:p>
      <w:pPr>
        <w:pStyle w:val="838"/>
        <w:ind w:firstLine="0"/>
        <w:shd w:val="clear" w:color="auto" w:fill="auto"/>
        <w:tabs>
          <w:tab w:val="left" w:pos="3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代理人（被授权人）：_______________________</w:t>
      </w:r>
      <w:r>
        <w:rPr>
          <w:rFonts w:hint="eastAsia" w:ascii="宋体" w:hAnsi="宋体" w:cs="宋体"/>
          <w:color w:val="000000"/>
          <w:sz w:val="24"/>
          <w:szCs w:val="24"/>
          <w:highlight w:val="none"/>
        </w:rPr>
      </w:r>
      <w:r/>
    </w:p>
    <w:p>
      <w:pPr>
        <w:pStyle w:val="838"/>
        <w:ind w:firstLine="0"/>
        <w:shd w:val="clear" w:color="auto" w:fill="auto"/>
        <w:tabs>
          <w:tab w:val="left" w:pos="3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r>
      <w:r/>
    </w:p>
    <w:p>
      <w:pPr>
        <w:pStyle w:val="838"/>
        <w:ind w:firstLine="0"/>
        <w:shd w:val="clear" w:color="auto" w:fill="auto"/>
        <w:tabs>
          <w:tab w:val="left" w:pos="3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单位名称：_____________________________________</w:t>
      </w:r>
      <w:r>
        <w:rPr>
          <w:rFonts w:hint="eastAsia" w:ascii="宋体" w:hAnsi="宋体" w:cs="宋体"/>
          <w:color w:val="000000"/>
          <w:sz w:val="24"/>
          <w:szCs w:val="24"/>
          <w:highlight w:val="none"/>
        </w:rPr>
      </w:r>
      <w:r/>
    </w:p>
    <w:p>
      <w:pPr>
        <w:pStyle w:val="838"/>
        <w:ind w:firstLine="480"/>
        <w:shd w:val="clear" w:color="auto" w:fill="auto"/>
        <w:tabs>
          <w:tab w:val="left" w:pos="3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38"/>
        <w:ind w:firstLine="0"/>
        <w:shd w:val="clear" w:color="auto" w:fill="auto"/>
        <w:tabs>
          <w:tab w:val="left" w:pos="3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授权单位盖章：_________________________________</w:t>
      </w:r>
      <w:r>
        <w:rPr>
          <w:rFonts w:hint="eastAsia" w:ascii="宋体" w:hAnsi="宋体" w:cs="宋体"/>
          <w:color w:val="000000"/>
          <w:sz w:val="24"/>
          <w:szCs w:val="24"/>
          <w:highlight w:val="none"/>
        </w:rPr>
      </w:r>
      <w:r/>
    </w:p>
    <w:p>
      <w:pPr>
        <w:pStyle w:val="838"/>
        <w:ind w:firstLine="480"/>
        <w:shd w:val="clear" w:color="auto" w:fill="auto"/>
        <w:tabs>
          <w:tab w:val="left" w:pos="3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单位名称：_____________________________________</w:t>
      </w:r>
      <w:r>
        <w:rPr>
          <w:rFonts w:hint="eastAsia" w:ascii="宋体" w:hAnsi="宋体" w:cs="宋体"/>
          <w:color w:val="000000"/>
          <w:sz w:val="24"/>
          <w:szCs w:val="24"/>
          <w:highlight w:val="none"/>
        </w:rPr>
      </w:r>
      <w:r/>
    </w:p>
    <w:p>
      <w:pPr>
        <w:pStyle w:val="838"/>
        <w:ind w:firstLine="480"/>
        <w:shd w:val="clear" w:color="auto" w:fill="auto"/>
        <w:tabs>
          <w:tab w:val="left" w:pos="360" w:leader="none"/>
        </w:tabs>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      地址：</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rPr>
      </w:r>
      <w:r/>
    </w:p>
    <w:p>
      <w:pPr>
        <w:pStyle w:val="838"/>
        <w:ind w:firstLine="480"/>
        <w:shd w:val="clear" w:color="auto" w:fill="auto"/>
        <w:tabs>
          <w:tab w:val="left" w:pos="3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日期：                    </w:t>
      </w:r>
      <w:bookmarkStart w:id="178" w:name="_Hlt26671380"/>
      <w:r/>
      <w:bookmarkEnd w:id="178"/>
      <w:r/>
      <w:bookmarkStart w:id="179" w:name="_Hlt26955070"/>
      <w:r/>
      <w:bookmarkEnd w:id="179"/>
      <w:r/>
      <w:bookmarkStart w:id="180" w:name="_格式3__银行出具的资信证明"/>
      <w:r/>
      <w:bookmarkEnd w:id="180"/>
      <w:r>
        <w:rPr>
          <w:rFonts w:hint="eastAsia" w:ascii="宋体" w:hAnsi="宋体" w:cs="宋体"/>
          <w:color w:val="000000"/>
          <w:sz w:val="24"/>
          <w:szCs w:val="24"/>
          <w:highlight w:val="none"/>
        </w:rPr>
      </w:r>
      <w:r/>
    </w:p>
    <w:p>
      <w:pPr>
        <w:pStyle w:val="759"/>
        <w:shd w:val="clear" w:color="auto" w:fill="auto"/>
        <w:rPr>
          <w:color w:val="000000"/>
          <w:highlight w:val="none"/>
        </w:rPr>
      </w:pPr>
      <w:r>
        <w:rPr>
          <w:color w:val="000000"/>
          <w:highlight w:val="none"/>
        </w:rPr>
      </w:r>
      <w:r/>
    </w:p>
    <w:p>
      <w:pPr>
        <w:pStyle w:val="759"/>
        <w:shd w:val="clear" w:color="auto" w:fill="auto"/>
        <w:rPr>
          <w:color w:val="000000"/>
          <w:highlight w:val="none"/>
        </w:rPr>
      </w:pPr>
      <w:r>
        <w:rPr>
          <w:color w:val="000000"/>
          <w:highlight w:val="none"/>
        </w:rPr>
      </w:r>
      <w:r/>
    </w:p>
    <w:p>
      <w:pPr>
        <w:pStyle w:val="759"/>
        <w:shd w:val="clear" w:color="auto" w:fill="auto"/>
        <w:rPr>
          <w:color w:val="000000"/>
          <w:highlight w:val="none"/>
        </w:rPr>
      </w:pPr>
      <w:r>
        <w:rPr>
          <w:color w:val="000000"/>
          <w:highlight w:val="none"/>
        </w:rPr>
      </w:r>
      <w:r/>
    </w:p>
    <w:p>
      <w:pPr>
        <w:pStyle w:val="759"/>
        <w:shd w:val="clear" w:color="auto" w:fill="auto"/>
        <w:rPr>
          <w:color w:val="000000"/>
          <w:highlight w:val="none"/>
        </w:rPr>
      </w:pPr>
      <w:r>
        <w:rPr>
          <w:color w:val="000000"/>
          <w:highlight w:val="none"/>
        </w:rPr>
      </w:r>
      <w:r/>
    </w:p>
    <w:p>
      <w:pPr>
        <w:pStyle w:val="759"/>
        <w:shd w:val="clear" w:color="auto" w:fill="auto"/>
        <w:rPr>
          <w:color w:val="000000"/>
          <w:highlight w:val="none"/>
        </w:rPr>
      </w:pPr>
      <w:r>
        <w:rPr>
          <w:color w:val="000000"/>
          <w:highlight w:val="none"/>
        </w:rPr>
      </w:r>
      <w:r/>
    </w:p>
    <w:p>
      <w:pPr>
        <w:pStyle w:val="759"/>
        <w:shd w:val="clear" w:color="auto" w:fill="auto"/>
        <w:rPr>
          <w:color w:val="000000"/>
          <w:highlight w:val="none"/>
        </w:rPr>
      </w:pPr>
      <w:r>
        <w:rPr>
          <w:color w:val="000000"/>
          <w:highlight w:val="none"/>
        </w:rPr>
      </w:r>
      <w:r/>
    </w:p>
    <w:p>
      <w:pPr>
        <w:pStyle w:val="759"/>
        <w:shd w:val="clear" w:color="auto" w:fill="auto"/>
        <w:rPr>
          <w:color w:val="000000"/>
          <w:highlight w:val="none"/>
        </w:rPr>
      </w:pPr>
      <w:r>
        <w:rPr>
          <w:color w:val="000000"/>
          <w:highlight w:val="none"/>
        </w:rPr>
      </w:r>
      <w:r/>
    </w:p>
    <w:p>
      <w:pPr>
        <w:pStyle w:val="759"/>
        <w:shd w:val="clear" w:color="auto" w:fill="auto"/>
        <w:rPr>
          <w:color w:val="000000"/>
          <w:highlight w:val="none"/>
        </w:rPr>
      </w:pPr>
      <w:r>
        <w:rPr>
          <w:color w:val="000000"/>
          <w:highlight w:val="none"/>
        </w:rPr>
      </w:r>
      <w:r/>
    </w:p>
    <w:p>
      <w:pPr>
        <w:pStyle w:val="759"/>
        <w:shd w:val="clear" w:color="auto" w:fill="auto"/>
        <w:rPr>
          <w:color w:val="000000"/>
          <w:highlight w:val="none"/>
        </w:rPr>
      </w:pPr>
      <w:r>
        <w:rPr>
          <w:color w:val="000000"/>
          <w:highlight w:val="none"/>
        </w:rPr>
      </w:r>
      <w:r/>
    </w:p>
    <w:p>
      <w:pPr>
        <w:pStyle w:val="759"/>
        <w:shd w:val="clear" w:color="auto" w:fill="auto"/>
        <w:rPr>
          <w:color w:val="000000"/>
          <w:highlight w:val="none"/>
        </w:rPr>
      </w:pPr>
      <w:r>
        <w:rPr>
          <w:color w:val="000000"/>
          <w:highlight w:val="none"/>
        </w:rPr>
      </w:r>
      <w:r/>
    </w:p>
    <w:p>
      <w:pPr>
        <w:pStyle w:val="759"/>
        <w:shd w:val="clear" w:color="auto" w:fill="auto"/>
        <w:rPr>
          <w:rFonts w:hint="eastAsia"/>
          <w:color w:val="000000"/>
          <w:highlight w:val="none"/>
        </w:rPr>
      </w:pPr>
      <w:r>
        <w:rPr>
          <w:rFonts w:hint="eastAsia"/>
          <w:color w:val="000000"/>
          <w:highlight w:val="none"/>
        </w:rPr>
      </w:r>
      <w:r/>
    </w:p>
    <w:p>
      <w:pPr>
        <w:pStyle w:val="759"/>
        <w:shd w:val="clear" w:color="auto" w:fill="auto"/>
        <w:rPr>
          <w:rFonts w:hint="eastAsia" w:ascii="宋体" w:hAnsi="宋体" w:cs="宋体"/>
          <w:color w:val="000000"/>
          <w:highlight w:val="none"/>
        </w:rPr>
      </w:pPr>
      <w:r>
        <w:rPr>
          <w:rFonts w:hint="eastAsia" w:ascii="宋体" w:hAnsi="宋体" w:cs="宋体"/>
          <w:color w:val="000000"/>
          <w:highlight w:val="none"/>
        </w:rPr>
      </w:r>
      <w:r/>
    </w:p>
    <w:p>
      <w:pPr>
        <w:pStyle w:val="759"/>
        <w:shd w:val="clear" w:color="auto" w:fill="auto"/>
        <w:rPr>
          <w:rFonts w:hint="eastAsia" w:ascii="宋体" w:hAnsi="宋体" w:cs="宋体"/>
          <w:color w:val="000000"/>
          <w:highlight w:val="none"/>
        </w:rPr>
      </w:pPr>
      <w:r>
        <w:rPr>
          <w:rFonts w:hint="eastAsia" w:ascii="宋体" w:hAnsi="宋体" w:cs="宋体"/>
          <w:color w:val="000000"/>
          <w:highlight w:val="none"/>
        </w:rPr>
      </w:r>
      <w:r/>
    </w:p>
    <w:p>
      <w:pPr>
        <w:pStyle w:val="759"/>
        <w:shd w:val="clear" w:color="auto" w:fill="auto"/>
        <w:rPr>
          <w:rFonts w:hint="eastAsia" w:ascii="宋体" w:hAnsi="宋体" w:cs="宋体"/>
          <w:color w:val="000000"/>
          <w:highlight w:val="none"/>
        </w:rPr>
      </w:pPr>
      <w:r>
        <w:rPr>
          <w:rFonts w:hint="eastAsia" w:ascii="宋体" w:hAnsi="宋体" w:cs="宋体"/>
          <w:color w:val="000000"/>
          <w:highlight w:val="none"/>
        </w:rPr>
      </w:r>
      <w:r/>
    </w:p>
    <w:p>
      <w:pPr>
        <w:pStyle w:val="759"/>
        <w:shd w:val="clear" w:color="auto" w:fill="auto"/>
        <w:rPr>
          <w:rFonts w:hint="eastAsia" w:ascii="宋体" w:hAnsi="宋体" w:cs="宋体"/>
          <w:color w:val="000000"/>
          <w:highlight w:val="none"/>
        </w:rPr>
      </w:pPr>
      <w:r>
        <w:rPr>
          <w:rFonts w:hint="eastAsia" w:ascii="宋体" w:hAnsi="宋体" w:cs="宋体"/>
          <w:color w:val="000000"/>
          <w:highlight w:val="none"/>
        </w:rPr>
      </w:r>
      <w:r/>
    </w:p>
    <w:p>
      <w:pPr>
        <w:pStyle w:val="759"/>
        <w:shd w:val="clear" w:color="auto" w:fill="auto"/>
        <w:rPr>
          <w:rFonts w:ascii="宋体" w:hAnsi="宋体" w:cs="宋体"/>
          <w:color w:val="000000"/>
          <w:highlight w:val="none"/>
        </w:rPr>
      </w:pPr>
      <w:r>
        <w:rPr>
          <w:rFonts w:ascii="宋体" w:hAnsi="宋体" w:cs="宋体"/>
          <w:color w:val="000000"/>
          <w:highlight w:val="none"/>
        </w:rPr>
      </w:r>
      <w:r/>
    </w:p>
    <w:p>
      <w:pPr>
        <w:pStyle w:val="759"/>
        <w:shd w:val="clear" w:color="auto" w:fill="auto"/>
        <w:rPr>
          <w:rFonts w:ascii="宋体" w:hAnsi="宋体" w:cs="宋体"/>
          <w:color w:val="000000"/>
          <w:highlight w:val="none"/>
        </w:rPr>
      </w:pPr>
      <w:r>
        <w:rPr>
          <w:rFonts w:ascii="宋体" w:hAnsi="宋体" w:cs="宋体"/>
          <w:color w:val="000000"/>
          <w:highlight w:val="none"/>
        </w:rPr>
      </w:r>
      <w:r/>
    </w:p>
    <w:p>
      <w:pPr>
        <w:pStyle w:val="759"/>
        <w:shd w:val="clear" w:color="auto" w:fill="auto"/>
        <w:rPr>
          <w:rFonts w:ascii="宋体" w:hAnsi="宋体" w:cs="宋体"/>
          <w:color w:val="000000"/>
          <w:highlight w:val="none"/>
        </w:rPr>
      </w:pPr>
      <w:r>
        <w:rPr>
          <w:rFonts w:ascii="宋体" w:hAnsi="宋体" w:cs="宋体"/>
          <w:color w:val="000000"/>
          <w:highlight w:val="none"/>
        </w:rPr>
      </w:r>
      <w:r/>
    </w:p>
    <w:p>
      <w:pPr>
        <w:pStyle w:val="759"/>
        <w:shd w:val="clear" w:color="auto" w:fill="auto"/>
        <w:rPr>
          <w:rFonts w:hint="eastAsia" w:ascii="宋体" w:hAnsi="宋体" w:cs="宋体"/>
          <w:color w:val="000000"/>
          <w:highlight w:val="none"/>
        </w:rPr>
      </w:pPr>
      <w:r>
        <w:rPr>
          <w:rFonts w:hint="eastAsia" w:ascii="宋体" w:hAnsi="宋体" w:cs="宋体"/>
          <w:color w:val="000000"/>
          <w:highlight w:val="none"/>
        </w:rPr>
      </w:r>
      <w:r/>
    </w:p>
    <w:p>
      <w:pPr>
        <w:pStyle w:val="810"/>
        <w:shd w:val="clear" w:color="auto" w:fill="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44"/>
        <w:jc w:val="center"/>
        <w:spacing w:line="56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中小企业声明函（服务）</w:t>
      </w:r>
      <w:r>
        <w:rPr>
          <w:rFonts w:hint="eastAsia" w:ascii="宋体" w:hAnsi="宋体" w:cs="宋体"/>
          <w:color w:val="000000"/>
          <w:sz w:val="24"/>
          <w:szCs w:val="24"/>
          <w:highlight w:val="none"/>
        </w:rPr>
      </w:r>
      <w:r/>
    </w:p>
    <w:p>
      <w:pPr>
        <w:pStyle w:val="744"/>
        <w:spacing w:line="560" w:lineRule="exact"/>
        <w:shd w:val="clear" w:color="auto" w:fill="auto"/>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pStyle w:val="744"/>
        <w:ind w:firstLine="480"/>
        <w:jc w:val="left"/>
        <w:shd w:val="clear" w:color="auto" w:fill="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cs="宋体"/>
          <w:color w:val="000000"/>
          <w:sz w:val="24"/>
          <w:szCs w:val="24"/>
          <w:highlight w:val="none"/>
        </w:rPr>
      </w:r>
      <w:r/>
    </w:p>
    <w:p>
      <w:pPr>
        <w:pStyle w:val="744"/>
        <w:numPr>
          <w:ilvl w:val="0"/>
          <w:numId w:val="10"/>
        </w:numPr>
        <w:ind w:firstLine="480"/>
        <w:jc w:val="left"/>
        <w:shd w:val="clear" w:color="auto" w:fill="auto"/>
        <w:widowControl/>
        <w:tabs>
          <w:tab w:val="left" w:pos="312" w:leader="none"/>
        </w:tabs>
        <w:rPr>
          <w:rFonts w:hint="eastAsia" w:ascii="宋体" w:hAnsi="宋体" w:cs="宋体"/>
          <w:color w:val="000000"/>
          <w:sz w:val="24"/>
          <w:szCs w:val="24"/>
          <w:highlight w:val="none"/>
        </w:rPr>
      </w:pPr>
      <w:r>
        <w:rPr>
          <w:rFonts w:hint="eastAsia" w:ascii="宋体" w:hAnsi="宋体" w:cs="宋体"/>
          <w:i/>
          <w:iCs/>
          <w:color w:val="000000"/>
          <w:sz w:val="24"/>
          <w:szCs w:val="24"/>
          <w:highlight w:val="none"/>
          <w:u w:val="single"/>
        </w:rPr>
        <w:t xml:space="preserve">（标的名称） </w:t>
      </w:r>
      <w:r>
        <w:rPr>
          <w:rFonts w:hint="eastAsia" w:ascii="宋体" w:hAnsi="宋体" w:cs="宋体"/>
          <w:color w:val="000000"/>
          <w:sz w:val="24"/>
          <w:szCs w:val="24"/>
          <w:highlight w:val="none"/>
        </w:rPr>
        <w:t xml:space="preserve">，属于</w:t>
      </w:r>
      <w:r>
        <w:rPr>
          <w:rFonts w:hint="eastAsia" w:ascii="宋体" w:hAnsi="宋体" w:cs="宋体"/>
          <w:i/>
          <w:iCs/>
          <w:color w:val="000000"/>
          <w:sz w:val="24"/>
          <w:szCs w:val="24"/>
          <w:highlight w:val="none"/>
          <w:u w:val="single"/>
        </w:rPr>
        <w:t xml:space="preserve">（ 其他未列明 ）</w:t>
      </w:r>
      <w:r>
        <w:rPr>
          <w:rFonts w:hint="eastAsia" w:ascii="宋体" w:hAnsi="宋体" w:cs="宋体"/>
          <w:color w:val="000000"/>
          <w:sz w:val="24"/>
          <w:szCs w:val="24"/>
          <w:highlight w:val="none"/>
        </w:rPr>
        <w:t xml:space="preserve">行业；承接（承接）企业为</w:t>
      </w:r>
      <w:r>
        <w:rPr>
          <w:rFonts w:hint="eastAsia" w:ascii="宋体" w:hAnsi="宋体" w:cs="宋体"/>
          <w:i/>
          <w:iCs/>
          <w:color w:val="000000"/>
          <w:sz w:val="24"/>
          <w:szCs w:val="24"/>
          <w:highlight w:val="none"/>
          <w:u w:val="single"/>
        </w:rPr>
        <w:t xml:space="preserve">（企业名称）</w:t>
      </w:r>
      <w:r>
        <w:rPr>
          <w:rFonts w:hint="eastAsia" w:ascii="宋体" w:hAnsi="宋体" w:cs="宋体"/>
          <w:color w:val="000000"/>
          <w:sz w:val="24"/>
          <w:szCs w:val="24"/>
          <w:highlight w:val="none"/>
        </w:rPr>
        <w:t xml:space="preserve">，从业人员</w:t>
      </w:r>
      <w:r>
        <w:rPr>
          <w:rFonts w:hint="eastAsia" w:ascii="宋体" w:hAnsi="宋体" w:cs="宋体"/>
          <w:i/>
          <w:iCs/>
          <w:color w:val="000000"/>
          <w:sz w:val="24"/>
          <w:szCs w:val="24"/>
          <w:highlight w:val="none"/>
          <w:u w:val="single"/>
        </w:rPr>
        <w:t xml:space="preserve">        </w:t>
      </w:r>
      <w:r>
        <w:rPr>
          <w:rFonts w:hint="eastAsia" w:ascii="宋体" w:hAnsi="宋体" w:cs="宋体"/>
          <w:color w:val="000000"/>
          <w:sz w:val="24"/>
          <w:szCs w:val="24"/>
          <w:highlight w:val="none"/>
        </w:rPr>
        <w:t xml:space="preserve">人，营业收入为</w:t>
      </w:r>
      <w:r>
        <w:rPr>
          <w:rFonts w:hint="eastAsia" w:ascii="宋体" w:hAnsi="宋体" w:cs="宋体"/>
          <w:i/>
          <w:iCs/>
          <w:color w:val="000000"/>
          <w:sz w:val="24"/>
          <w:szCs w:val="24"/>
          <w:highlight w:val="none"/>
          <w:u w:val="single"/>
        </w:rPr>
        <w:t xml:space="preserve">        </w:t>
      </w:r>
      <w:r>
        <w:rPr>
          <w:rFonts w:hint="eastAsia" w:ascii="宋体" w:hAnsi="宋体" w:cs="宋体"/>
          <w:color w:val="000000"/>
          <w:sz w:val="24"/>
          <w:szCs w:val="24"/>
          <w:highlight w:val="none"/>
        </w:rPr>
        <w:t xml:space="preserve">万元，资产总额为</w:t>
      </w:r>
      <w:r>
        <w:rPr>
          <w:rFonts w:hint="eastAsia" w:ascii="宋体" w:hAnsi="宋体" w:cs="宋体"/>
          <w:i/>
          <w:iCs/>
          <w:color w:val="000000"/>
          <w:sz w:val="24"/>
          <w:szCs w:val="24"/>
          <w:highlight w:val="none"/>
          <w:u w:val="single"/>
        </w:rPr>
        <w:t xml:space="preserve">        </w:t>
      </w:r>
      <w:r>
        <w:rPr>
          <w:rFonts w:hint="eastAsia" w:ascii="宋体" w:hAnsi="宋体" w:cs="宋体"/>
          <w:color w:val="000000"/>
          <w:sz w:val="24"/>
          <w:szCs w:val="24"/>
          <w:highlight w:val="none"/>
        </w:rPr>
        <w:t xml:space="preserve">万元，属于</w:t>
      </w:r>
      <w:r>
        <w:rPr>
          <w:rFonts w:hint="eastAsia" w:ascii="宋体" w:hAnsi="宋体" w:cs="宋体"/>
          <w:i/>
          <w:iCs/>
          <w:color w:val="000000"/>
          <w:sz w:val="24"/>
          <w:szCs w:val="24"/>
          <w:highlight w:val="none"/>
          <w:u w:val="single"/>
        </w:rPr>
        <w:t xml:space="preserve">（中型企业、小型企业、微型企业）</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744"/>
        <w:numPr>
          <w:ilvl w:val="0"/>
          <w:numId w:val="10"/>
        </w:numPr>
        <w:ind w:firstLine="480"/>
        <w:jc w:val="left"/>
        <w:shd w:val="clear" w:color="auto" w:fill="auto"/>
        <w:widowControl/>
        <w:tabs>
          <w:tab w:val="left" w:pos="312" w:leader="none"/>
        </w:tabs>
        <w:rPr>
          <w:rFonts w:hint="eastAsia" w:ascii="宋体" w:hAnsi="宋体" w:cs="宋体"/>
          <w:color w:val="000000"/>
          <w:sz w:val="24"/>
          <w:szCs w:val="24"/>
          <w:highlight w:val="none"/>
        </w:rPr>
      </w:pPr>
      <w:r>
        <w:rPr>
          <w:rFonts w:hint="eastAsia" w:ascii="宋体" w:hAnsi="宋体" w:cs="宋体"/>
          <w:i/>
          <w:iCs/>
          <w:color w:val="000000"/>
          <w:sz w:val="24"/>
          <w:szCs w:val="24"/>
          <w:highlight w:val="none"/>
          <w:u w:val="single"/>
        </w:rPr>
        <w:t xml:space="preserve">（标的名称） </w:t>
      </w:r>
      <w:r>
        <w:rPr>
          <w:rFonts w:hint="eastAsia" w:ascii="宋体" w:hAnsi="宋体" w:cs="宋体"/>
          <w:color w:val="000000"/>
          <w:sz w:val="24"/>
          <w:szCs w:val="24"/>
          <w:highlight w:val="none"/>
        </w:rPr>
        <w:t xml:space="preserve">，属于</w:t>
      </w:r>
      <w:r>
        <w:rPr>
          <w:rFonts w:hint="eastAsia" w:ascii="宋体" w:hAnsi="宋体" w:cs="宋体"/>
          <w:i/>
          <w:iCs/>
          <w:color w:val="000000"/>
          <w:sz w:val="24"/>
          <w:szCs w:val="24"/>
          <w:highlight w:val="none"/>
          <w:u w:val="single"/>
        </w:rPr>
        <w:t xml:space="preserve">（  其他未列明  ）</w:t>
      </w:r>
      <w:r>
        <w:rPr>
          <w:rFonts w:hint="eastAsia" w:ascii="宋体" w:hAnsi="宋体" w:cs="宋体"/>
          <w:color w:val="000000"/>
          <w:sz w:val="24"/>
          <w:szCs w:val="24"/>
          <w:highlight w:val="none"/>
        </w:rPr>
        <w:t xml:space="preserve">行业；承接（承接）企业为</w:t>
      </w:r>
      <w:r>
        <w:rPr>
          <w:rFonts w:hint="eastAsia" w:ascii="宋体" w:hAnsi="宋体" w:cs="宋体"/>
          <w:i/>
          <w:iCs/>
          <w:color w:val="000000"/>
          <w:sz w:val="24"/>
          <w:szCs w:val="24"/>
          <w:highlight w:val="none"/>
          <w:u w:val="single"/>
        </w:rPr>
        <w:t xml:space="preserve">（企业名称）</w:t>
      </w:r>
      <w:r>
        <w:rPr>
          <w:rFonts w:hint="eastAsia" w:ascii="宋体" w:hAnsi="宋体" w:cs="宋体"/>
          <w:color w:val="000000"/>
          <w:sz w:val="24"/>
          <w:szCs w:val="24"/>
          <w:highlight w:val="none"/>
        </w:rPr>
        <w:t xml:space="preserve">，从业人员</w:t>
      </w:r>
      <w:r>
        <w:rPr>
          <w:rFonts w:hint="eastAsia" w:ascii="宋体" w:hAnsi="宋体" w:cs="宋体"/>
          <w:i/>
          <w:iCs/>
          <w:color w:val="000000"/>
          <w:sz w:val="24"/>
          <w:szCs w:val="24"/>
          <w:highlight w:val="none"/>
          <w:u w:val="single"/>
        </w:rPr>
        <w:t xml:space="preserve">        </w:t>
      </w:r>
      <w:r>
        <w:rPr>
          <w:rFonts w:hint="eastAsia" w:ascii="宋体" w:hAnsi="宋体" w:cs="宋体"/>
          <w:color w:val="000000"/>
          <w:sz w:val="24"/>
          <w:szCs w:val="24"/>
          <w:highlight w:val="none"/>
        </w:rPr>
        <w:t xml:space="preserve">人，营业收入为</w:t>
      </w:r>
      <w:r>
        <w:rPr>
          <w:rFonts w:hint="eastAsia" w:ascii="宋体" w:hAnsi="宋体" w:cs="宋体"/>
          <w:i/>
          <w:iCs/>
          <w:color w:val="000000"/>
          <w:sz w:val="24"/>
          <w:szCs w:val="24"/>
          <w:highlight w:val="none"/>
          <w:u w:val="single"/>
        </w:rPr>
        <w:t xml:space="preserve">        </w:t>
      </w:r>
      <w:r>
        <w:rPr>
          <w:rFonts w:hint="eastAsia" w:ascii="宋体" w:hAnsi="宋体" w:cs="宋体"/>
          <w:color w:val="000000"/>
          <w:sz w:val="24"/>
          <w:szCs w:val="24"/>
          <w:highlight w:val="none"/>
        </w:rPr>
        <w:t xml:space="preserve">万元，资产总额为</w:t>
      </w:r>
      <w:r>
        <w:rPr>
          <w:rFonts w:hint="eastAsia" w:ascii="宋体" w:hAnsi="宋体" w:cs="宋体"/>
          <w:i/>
          <w:iCs/>
          <w:color w:val="000000"/>
          <w:sz w:val="24"/>
          <w:szCs w:val="24"/>
          <w:highlight w:val="none"/>
          <w:u w:val="single"/>
        </w:rPr>
        <w:t xml:space="preserve">        </w:t>
      </w:r>
      <w:r>
        <w:rPr>
          <w:rFonts w:hint="eastAsia" w:ascii="宋体" w:hAnsi="宋体" w:cs="宋体"/>
          <w:color w:val="000000"/>
          <w:sz w:val="24"/>
          <w:szCs w:val="24"/>
          <w:highlight w:val="none"/>
        </w:rPr>
        <w:t xml:space="preserve">万元，属于</w:t>
      </w:r>
      <w:r>
        <w:rPr>
          <w:rFonts w:hint="eastAsia" w:ascii="宋体" w:hAnsi="宋体" w:cs="宋体"/>
          <w:i/>
          <w:iCs/>
          <w:color w:val="000000"/>
          <w:sz w:val="24"/>
          <w:szCs w:val="24"/>
          <w:highlight w:val="none"/>
          <w:u w:val="single"/>
        </w:rPr>
        <w:t xml:space="preserve">（中型企业、小型企业、微型企业）</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744"/>
        <w:ind w:firstLine="480"/>
        <w:jc w:val="left"/>
        <w:shd w:val="clear" w:color="auto" w:fill="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744"/>
        <w:ind w:firstLine="480"/>
        <w:jc w:val="left"/>
        <w:shd w:val="clear" w:color="auto" w:fill="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cs="宋体"/>
          <w:color w:val="000000"/>
          <w:sz w:val="24"/>
          <w:szCs w:val="24"/>
          <w:highlight w:val="none"/>
        </w:rPr>
      </w:r>
      <w:r/>
    </w:p>
    <w:p>
      <w:pPr>
        <w:pStyle w:val="744"/>
        <w:ind w:firstLine="480"/>
        <w:jc w:val="left"/>
        <w:shd w:val="clear" w:color="auto" w:fill="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本企业对上述声明内容的真实性负责。如有虚假，将依法承担相应责任。</w:t>
      </w:r>
      <w:r>
        <w:rPr>
          <w:rFonts w:hint="eastAsia" w:ascii="宋体" w:hAnsi="宋体" w:cs="宋体"/>
          <w:color w:val="000000"/>
          <w:sz w:val="24"/>
          <w:szCs w:val="24"/>
          <w:highlight w:val="none"/>
        </w:rPr>
      </w:r>
      <w:r/>
    </w:p>
    <w:p>
      <w:pPr>
        <w:pStyle w:val="744"/>
        <w:ind w:firstLine="4080"/>
        <w:jc w:val="left"/>
        <w:shd w:val="clear" w:color="auto" w:fill="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企业名称（盖章）：</w:t>
      </w:r>
      <w:r>
        <w:rPr>
          <w:rFonts w:hint="eastAsia" w:ascii="宋体" w:hAnsi="宋体" w:cs="宋体"/>
          <w:color w:val="000000"/>
          <w:sz w:val="24"/>
          <w:szCs w:val="24"/>
          <w:highlight w:val="none"/>
        </w:rPr>
      </w:r>
      <w:r/>
    </w:p>
    <w:p>
      <w:pPr>
        <w:pStyle w:val="744"/>
        <w:ind w:firstLine="4080"/>
        <w:jc w:val="left"/>
        <w:shd w:val="clear" w:color="auto" w:fill="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日期：</w:t>
      </w:r>
      <w:r>
        <w:rPr>
          <w:rFonts w:hint="eastAsia" w:ascii="宋体" w:hAnsi="宋体" w:cs="宋体"/>
          <w:color w:val="000000"/>
          <w:sz w:val="24"/>
          <w:szCs w:val="24"/>
          <w:highlight w:val="none"/>
        </w:rPr>
      </w:r>
      <w:r/>
    </w:p>
    <w:p>
      <w:pPr>
        <w:pStyle w:val="744"/>
        <w:jc w:val="center"/>
        <w:spacing w:line="560" w:lineRule="exact"/>
        <w:shd w:val="clear" w:color="auto" w:fill="auto"/>
        <w:rPr>
          <w:rFonts w:hint="eastAsia" w:ascii="宋体" w:hAnsi="宋体" w:cs="宋体"/>
          <w:b/>
          <w:bCs/>
          <w:color w:val="000000"/>
          <w:highlight w:val="none"/>
        </w:rPr>
      </w:pPr>
      <w:r>
        <w:rPr>
          <w:rFonts w:hint="eastAsia" w:ascii="宋体" w:hAnsi="宋体" w:cs="宋体"/>
          <w:b/>
          <w:bCs/>
          <w:color w:val="000000"/>
          <w:highlight w:val="none"/>
        </w:rPr>
        <w:t xml:space="preserve">从业人员、营业收入、资产总额填报上一年度数据，无上一年度数据的新成立企业可不填报。</w:t>
      </w:r>
      <w:r>
        <w:rPr>
          <w:rFonts w:hint="eastAsia" w:ascii="宋体" w:hAnsi="宋体" w:cs="宋体"/>
          <w:b/>
          <w:bCs/>
          <w:color w:val="000000"/>
          <w:highlight w:val="none"/>
        </w:rPr>
      </w:r>
      <w:r/>
    </w:p>
    <w:p>
      <w:pPr>
        <w:pStyle w:val="744"/>
        <w:ind w:firstLine="2730"/>
        <w:jc w:val="left"/>
        <w:spacing w:before="100" w:beforeAutospacing="1" w:after="100" w:afterAutospacing="1" w:line="360" w:lineRule="auto"/>
        <w:shd w:val="clear" w:color="auto" w:fill="auto"/>
        <w:widowControl/>
        <w:rPr>
          <w:rFonts w:hint="eastAsia" w:ascii="宋体" w:hAnsi="宋体" w:cs="宋体"/>
          <w:color w:val="000000"/>
          <w:highlight w:val="none"/>
        </w:rPr>
      </w:pPr>
      <w:r>
        <w:rPr>
          <w:rFonts w:hint="eastAsia" w:ascii="宋体" w:hAnsi="宋体" w:cs="宋体"/>
          <w:color w:val="000000"/>
          <w:highlight w:val="none"/>
        </w:rPr>
        <w:t xml:space="preserve">    </w:t>
      </w:r>
      <w:r>
        <w:rPr>
          <w:rFonts w:hint="eastAsia" w:ascii="宋体" w:hAnsi="宋体" w:cs="宋体"/>
          <w:color w:val="000000"/>
          <w:highlight w:val="none"/>
        </w:rPr>
      </w:r>
      <w:r/>
    </w:p>
    <w:p>
      <w:pPr>
        <w:pStyle w:val="803"/>
        <w:shd w:val="clear" w:color="auto" w:fill="auto"/>
        <w:rPr>
          <w:rFonts w:hint="eastAsia"/>
          <w:color w:val="000000"/>
          <w:highlight w:val="none"/>
        </w:rPr>
      </w:pPr>
      <w:r>
        <w:rPr>
          <w:rFonts w:hint="eastAsia"/>
          <w:color w:val="000000"/>
          <w:highlight w:val="none"/>
        </w:rPr>
      </w:r>
      <w:r/>
    </w:p>
    <w:p>
      <w:pPr>
        <w:pStyle w:val="759"/>
        <w:shd w:val="clear" w:color="auto" w:fill="auto"/>
        <w:rPr>
          <w:rFonts w:hint="eastAsia"/>
          <w:color w:val="000000"/>
          <w:highlight w:val="none"/>
        </w:rPr>
      </w:pPr>
      <w:r>
        <w:rPr>
          <w:rFonts w:hint="eastAsia"/>
          <w:color w:val="000000"/>
          <w:highlight w:val="none"/>
        </w:rPr>
      </w:r>
      <w:r/>
    </w:p>
    <w:p>
      <w:pPr>
        <w:pStyle w:val="759"/>
        <w:shd w:val="clear" w:color="auto" w:fill="auto"/>
        <w:rPr>
          <w:rFonts w:hint="eastAsia"/>
          <w:color w:val="000000"/>
          <w:highlight w:val="none"/>
        </w:rPr>
      </w:pPr>
      <w:r>
        <w:rPr>
          <w:rFonts w:hint="eastAsia"/>
          <w:color w:val="000000"/>
          <w:highlight w:val="none"/>
        </w:rPr>
      </w:r>
      <w:r/>
    </w:p>
    <w:p>
      <w:pPr>
        <w:pStyle w:val="744"/>
        <w:jc w:val="center"/>
        <w:spacing w:before="50" w:after="50"/>
        <w:shd w:val="clear" w:color="auto" w:fill="auto"/>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二、资格性审查响应对照表</w:t>
      </w:r>
      <w:r>
        <w:rPr>
          <w:rFonts w:hint="eastAsia" w:ascii="宋体" w:hAnsi="宋体" w:cs="宋体"/>
          <w:color w:val="000000"/>
          <w:sz w:val="32"/>
          <w:szCs w:val="32"/>
          <w:highlight w:val="none"/>
        </w:rPr>
      </w:r>
      <w:r/>
    </w:p>
    <w:p>
      <w:pPr>
        <w:pStyle w:val="744"/>
        <w:ind w:firstLine="309"/>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投标人全称（加盖公章）：</w:t>
      </w:r>
      <w:r>
        <w:rPr>
          <w:rFonts w:hint="eastAsia" w:ascii="宋体" w:hAnsi="宋体" w:cs="宋体"/>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531"/>
      </w:tblGrid>
      <w:tr>
        <w:trPr>
          <w:trHeight w:val="882"/>
        </w:trPr>
        <w:tc>
          <w:tcPr>
            <w:tcW w:w="646" w:type="dxa"/>
            <w:vAlign w:val="center"/>
            <w:textDirection w:val="lrTb"/>
            <w:noWrap w:val="false"/>
          </w:tcPr>
          <w:p>
            <w:pPr>
              <w:pStyle w:val="744"/>
              <w:jc w:val="center"/>
              <w:spacing w:line="240" w:lineRule="atLeast"/>
              <w:shd w:val="clear" w:color="auto" w:fill="auto"/>
              <w:rPr>
                <w:rFonts w:hint="eastAsia" w:ascii="宋体" w:hAnsi="宋体" w:cs="宋体"/>
                <w:b/>
                <w:color w:val="000000"/>
                <w:highlight w:val="none"/>
              </w:rPr>
            </w:pPr>
            <w:r>
              <w:rPr>
                <w:rFonts w:hint="eastAsia" w:ascii="宋体" w:hAnsi="宋体" w:cs="宋体"/>
                <w:b/>
                <w:color w:val="000000"/>
                <w:highlight w:val="none"/>
              </w:rPr>
              <w:t xml:space="preserve">序号</w:t>
            </w:r>
            <w:r>
              <w:rPr>
                <w:rFonts w:hint="eastAsia" w:ascii="宋体" w:hAnsi="宋体" w:cs="宋体"/>
                <w:b/>
                <w:color w:val="000000"/>
                <w:highlight w:val="none"/>
              </w:rPr>
            </w:r>
            <w:r/>
          </w:p>
        </w:tc>
        <w:tc>
          <w:tcPr>
            <w:tcW w:w="5447" w:type="dxa"/>
            <w:vAlign w:val="center"/>
            <w:textDirection w:val="lrTb"/>
            <w:noWrap w:val="false"/>
          </w:tcPr>
          <w:p>
            <w:pPr>
              <w:pStyle w:val="744"/>
              <w:jc w:val="center"/>
              <w:spacing w:line="240" w:lineRule="atLeast"/>
              <w:shd w:val="clear" w:color="auto" w:fill="auto"/>
              <w:rPr>
                <w:rFonts w:hint="eastAsia" w:ascii="宋体" w:hAnsi="宋体" w:cs="宋体"/>
                <w:b/>
                <w:color w:val="000000"/>
                <w:highlight w:val="none"/>
              </w:rPr>
            </w:pPr>
            <w:r>
              <w:rPr>
                <w:rFonts w:hint="eastAsia" w:ascii="宋体" w:hAnsi="宋体" w:cs="宋体"/>
                <w:b/>
                <w:color w:val="000000"/>
                <w:highlight w:val="none"/>
              </w:rPr>
              <w:t xml:space="preserve">资格性审查响应内容</w:t>
            </w:r>
            <w:r>
              <w:rPr>
                <w:rFonts w:hint="eastAsia" w:ascii="宋体" w:hAnsi="宋体" w:cs="宋体"/>
                <w:b/>
                <w:color w:val="000000"/>
                <w:highlight w:val="none"/>
              </w:rPr>
            </w:r>
            <w:r/>
          </w:p>
        </w:tc>
        <w:tc>
          <w:tcPr>
            <w:tcW w:w="2531" w:type="dxa"/>
            <w:vAlign w:val="center"/>
            <w:textDirection w:val="lrTb"/>
            <w:noWrap w:val="false"/>
          </w:tcPr>
          <w:p>
            <w:pPr>
              <w:pStyle w:val="744"/>
              <w:jc w:val="center"/>
              <w:spacing w:line="240" w:lineRule="atLeast"/>
              <w:shd w:val="clear" w:color="auto" w:fill="auto"/>
              <w:rPr>
                <w:rFonts w:hint="eastAsia" w:ascii="宋体" w:hAnsi="宋体" w:cs="宋体"/>
                <w:b/>
                <w:color w:val="000000"/>
                <w:highlight w:val="none"/>
              </w:rPr>
            </w:pPr>
            <w:r>
              <w:rPr>
                <w:rFonts w:hint="eastAsia" w:ascii="宋体" w:hAnsi="宋体" w:cs="宋体"/>
                <w:b/>
                <w:color w:val="000000"/>
                <w:highlight w:val="none"/>
              </w:rPr>
              <w:t xml:space="preserve">是否响应</w:t>
            </w:r>
            <w:r>
              <w:rPr>
                <w:rFonts w:hint="eastAsia" w:ascii="宋体" w:hAnsi="宋体" w:cs="宋体"/>
                <w:b/>
                <w:color w:val="000000"/>
                <w:highlight w:val="none"/>
              </w:rPr>
            </w:r>
            <w:r/>
          </w:p>
          <w:p>
            <w:pPr>
              <w:pStyle w:val="744"/>
              <w:jc w:val="center"/>
              <w:spacing w:line="240" w:lineRule="atLeast"/>
              <w:shd w:val="clear" w:color="auto" w:fill="auto"/>
              <w:rPr>
                <w:rFonts w:hint="eastAsia" w:ascii="宋体" w:hAnsi="宋体" w:cs="宋体"/>
                <w:b/>
                <w:color w:val="000000"/>
                <w:highlight w:val="none"/>
              </w:rPr>
            </w:pPr>
            <w:r>
              <w:rPr>
                <w:rFonts w:hint="eastAsia" w:ascii="宋体" w:hAnsi="宋体" w:cs="宋体"/>
                <w:b/>
                <w:color w:val="000000"/>
                <w:highlight w:val="none"/>
              </w:rPr>
              <w:t xml:space="preserve">（填是或者否）</w:t>
            </w:r>
            <w:r>
              <w:rPr>
                <w:rFonts w:hint="eastAsia" w:ascii="宋体" w:hAnsi="宋体" w:cs="宋体"/>
                <w:b/>
                <w:color w:val="000000"/>
                <w:highlight w:val="none"/>
              </w:rPr>
            </w:r>
            <w:r/>
          </w:p>
        </w:tc>
      </w:tr>
      <w:tr>
        <w:trPr>
          <w:trHeight w:val="585"/>
        </w:trPr>
        <w:tc>
          <w:tcPr>
            <w:tcW w:w="646" w:type="dxa"/>
            <w:vAlign w:val="center"/>
            <w:textDirection w:val="lrTb"/>
            <w:noWrap w:val="false"/>
          </w:tcPr>
          <w:p>
            <w:pPr>
              <w:pStyle w:val="744"/>
              <w:jc w:val="center"/>
              <w:shd w:val="clear" w:color="auto" w:fill="auto"/>
              <w:rPr>
                <w:rFonts w:hint="eastAsia" w:ascii="宋体" w:hAnsi="宋体" w:cs="宋体"/>
                <w:b/>
                <w:color w:val="000000"/>
                <w:highlight w:val="none"/>
              </w:rPr>
            </w:pPr>
            <w:r>
              <w:rPr>
                <w:rFonts w:hint="eastAsia" w:ascii="宋体" w:hAnsi="宋体" w:cs="宋体"/>
                <w:b/>
                <w:color w:val="000000"/>
                <w:highlight w:val="none"/>
              </w:rPr>
              <w:t xml:space="preserve">1</w:t>
            </w:r>
            <w:r>
              <w:rPr>
                <w:rFonts w:hint="eastAsia" w:ascii="宋体" w:hAnsi="宋体" w:cs="宋体"/>
                <w:b/>
                <w:color w:val="000000"/>
                <w:highlight w:val="none"/>
              </w:rPr>
            </w:r>
            <w:r/>
          </w:p>
        </w:tc>
        <w:tc>
          <w:tcPr>
            <w:tcW w:w="5447" w:type="dxa"/>
            <w:vAlign w:val="center"/>
            <w:textDirection w:val="lrTb"/>
            <w:noWrap w:val="false"/>
          </w:tcPr>
          <w:p>
            <w:pPr>
              <w:pStyle w:val="744"/>
              <w:jc w:val="center"/>
              <w:spacing w:line="480" w:lineRule="exact"/>
              <w:shd w:val="clear" w:color="auto" w:fill="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r>
            <w:r/>
          </w:p>
        </w:tc>
        <w:tc>
          <w:tcPr>
            <w:tcW w:w="2531" w:type="dxa"/>
            <w:vAlign w:val="center"/>
            <w:textDirection w:val="lrTb"/>
            <w:noWrap w:val="false"/>
          </w:tcPr>
          <w:p>
            <w:pPr>
              <w:pStyle w:val="744"/>
              <w:shd w:val="clear" w:color="auto" w:fill="auto"/>
              <w:rPr>
                <w:rFonts w:hint="eastAsia" w:ascii="宋体" w:hAnsi="宋体" w:cs="宋体"/>
                <w:b/>
                <w:color w:val="000000"/>
                <w:highlight w:val="none"/>
              </w:rPr>
            </w:pPr>
            <w:r>
              <w:rPr>
                <w:rFonts w:hint="eastAsia" w:ascii="宋体" w:hAnsi="宋体" w:cs="宋体"/>
                <w:b/>
                <w:color w:val="000000"/>
                <w:highlight w:val="none"/>
              </w:rPr>
            </w:r>
            <w:r/>
          </w:p>
        </w:tc>
      </w:tr>
      <w:tr>
        <w:trPr>
          <w:trHeight w:val="585"/>
        </w:trPr>
        <w:tc>
          <w:tcPr>
            <w:tcW w:w="646" w:type="dxa"/>
            <w:vAlign w:val="center"/>
            <w:textDirection w:val="lrTb"/>
            <w:noWrap w:val="false"/>
          </w:tcPr>
          <w:p>
            <w:pPr>
              <w:pStyle w:val="744"/>
              <w:jc w:val="center"/>
              <w:shd w:val="clear" w:color="auto" w:fill="auto"/>
              <w:rPr>
                <w:rFonts w:hint="eastAsia" w:ascii="宋体" w:hAnsi="宋体" w:cs="宋体"/>
                <w:color w:val="000000"/>
                <w:highlight w:val="none"/>
              </w:rPr>
            </w:pPr>
            <w:r>
              <w:rPr>
                <w:rFonts w:hint="eastAsia" w:ascii="宋体" w:hAnsi="宋体" w:cs="宋体"/>
                <w:color w:val="000000"/>
                <w:highlight w:val="none"/>
              </w:rPr>
              <w:t xml:space="preserve">2</w:t>
            </w:r>
            <w:r>
              <w:rPr>
                <w:rFonts w:hint="eastAsia" w:ascii="宋体" w:hAnsi="宋体" w:cs="宋体"/>
                <w:color w:val="000000"/>
                <w:highlight w:val="none"/>
              </w:rPr>
            </w:r>
            <w:r/>
          </w:p>
        </w:tc>
        <w:tc>
          <w:tcPr>
            <w:tcW w:w="5447" w:type="dxa"/>
            <w:vAlign w:val="center"/>
            <w:textDirection w:val="lrTb"/>
            <w:noWrap w:val="false"/>
          </w:tcPr>
          <w:p>
            <w:pPr>
              <w:pStyle w:val="744"/>
              <w:jc w:val="center"/>
              <w:spacing w:line="480" w:lineRule="exact"/>
              <w:shd w:val="clear" w:color="auto" w:fill="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r>
            <w:r/>
          </w:p>
        </w:tc>
        <w:tc>
          <w:tcPr>
            <w:tcW w:w="2531" w:type="dxa"/>
            <w:vAlign w:val="center"/>
            <w:textDirection w:val="lrTb"/>
            <w:noWrap w:val="false"/>
          </w:tcPr>
          <w:p>
            <w:pPr>
              <w:pStyle w:val="744"/>
              <w:shd w:val="clear" w:color="auto" w:fill="auto"/>
              <w:rPr>
                <w:rFonts w:hint="eastAsia" w:ascii="宋体" w:hAnsi="宋体" w:cs="宋体"/>
                <w:color w:val="000000"/>
                <w:highlight w:val="none"/>
              </w:rPr>
            </w:pPr>
            <w:r>
              <w:rPr>
                <w:rFonts w:hint="eastAsia" w:ascii="宋体" w:hAnsi="宋体" w:cs="宋体"/>
                <w:color w:val="000000"/>
                <w:highlight w:val="none"/>
              </w:rPr>
            </w:r>
            <w:r/>
          </w:p>
        </w:tc>
      </w:tr>
      <w:tr>
        <w:trPr>
          <w:trHeight w:val="585"/>
        </w:trPr>
        <w:tc>
          <w:tcPr>
            <w:tcW w:w="646" w:type="dxa"/>
            <w:vAlign w:val="center"/>
            <w:textDirection w:val="lrTb"/>
            <w:noWrap w:val="false"/>
          </w:tcPr>
          <w:p>
            <w:pPr>
              <w:pStyle w:val="744"/>
              <w:jc w:val="center"/>
              <w:shd w:val="clear" w:color="auto" w:fill="auto"/>
              <w:rPr>
                <w:rFonts w:hint="eastAsia" w:ascii="宋体" w:hAnsi="宋体" w:cs="宋体"/>
                <w:color w:val="000000"/>
                <w:highlight w:val="none"/>
              </w:rPr>
            </w:pPr>
            <w:r>
              <w:rPr>
                <w:rFonts w:hint="eastAsia" w:ascii="宋体" w:hAnsi="宋体" w:cs="宋体"/>
                <w:color w:val="000000"/>
                <w:highlight w:val="none"/>
              </w:rPr>
              <w:t xml:space="preserve">3</w:t>
            </w:r>
            <w:r>
              <w:rPr>
                <w:rFonts w:hint="eastAsia" w:ascii="宋体" w:hAnsi="宋体" w:cs="宋体"/>
                <w:color w:val="000000"/>
                <w:highlight w:val="none"/>
              </w:rPr>
            </w:r>
            <w:r/>
          </w:p>
        </w:tc>
        <w:tc>
          <w:tcPr>
            <w:tcW w:w="5447" w:type="dxa"/>
            <w:vAlign w:val="center"/>
            <w:textDirection w:val="lrTb"/>
            <w:noWrap w:val="false"/>
          </w:tcPr>
          <w:p>
            <w:pPr>
              <w:pStyle w:val="744"/>
              <w:jc w:val="center"/>
              <w:spacing w:line="480" w:lineRule="exact"/>
              <w:shd w:val="clear" w:color="auto" w:fill="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r>
            <w:r/>
          </w:p>
        </w:tc>
        <w:tc>
          <w:tcPr>
            <w:tcW w:w="2531" w:type="dxa"/>
            <w:vAlign w:val="center"/>
            <w:textDirection w:val="lrTb"/>
            <w:noWrap w:val="false"/>
          </w:tcPr>
          <w:p>
            <w:pPr>
              <w:pStyle w:val="744"/>
              <w:shd w:val="clear" w:color="auto" w:fill="auto"/>
              <w:rPr>
                <w:rFonts w:hint="eastAsia" w:ascii="宋体" w:hAnsi="宋体" w:cs="宋体"/>
                <w:color w:val="000000"/>
                <w:highlight w:val="none"/>
              </w:rPr>
            </w:pPr>
            <w:r>
              <w:rPr>
                <w:rFonts w:hint="eastAsia" w:ascii="宋体" w:hAnsi="宋体" w:cs="宋体"/>
                <w:color w:val="000000"/>
                <w:highlight w:val="none"/>
              </w:rPr>
            </w:r>
            <w:r/>
          </w:p>
        </w:tc>
      </w:tr>
      <w:tr>
        <w:trPr>
          <w:trHeight w:val="585"/>
        </w:trPr>
        <w:tc>
          <w:tcPr>
            <w:tcW w:w="646" w:type="dxa"/>
            <w:vAlign w:val="center"/>
            <w:textDirection w:val="lrTb"/>
            <w:noWrap w:val="false"/>
          </w:tcPr>
          <w:p>
            <w:pPr>
              <w:pStyle w:val="744"/>
              <w:jc w:val="center"/>
              <w:shd w:val="clear" w:color="auto" w:fill="auto"/>
              <w:rPr>
                <w:rFonts w:hint="eastAsia" w:ascii="宋体" w:hAnsi="宋体" w:cs="宋体"/>
                <w:color w:val="000000"/>
                <w:highlight w:val="none"/>
              </w:rPr>
            </w:pPr>
            <w:r>
              <w:rPr>
                <w:rFonts w:hint="eastAsia" w:ascii="宋体" w:hAnsi="宋体" w:cs="宋体"/>
                <w:color w:val="000000"/>
                <w:highlight w:val="none"/>
              </w:rPr>
              <w:t xml:space="preserve">4</w:t>
            </w:r>
            <w:r>
              <w:rPr>
                <w:rFonts w:hint="eastAsia" w:ascii="宋体" w:hAnsi="宋体" w:cs="宋体"/>
                <w:color w:val="000000"/>
                <w:highlight w:val="none"/>
              </w:rPr>
            </w:r>
            <w:r/>
          </w:p>
        </w:tc>
        <w:tc>
          <w:tcPr>
            <w:tcW w:w="5447" w:type="dxa"/>
            <w:vAlign w:val="center"/>
            <w:textDirection w:val="lrTb"/>
            <w:noWrap w:val="false"/>
          </w:tcPr>
          <w:p>
            <w:pPr>
              <w:pStyle w:val="744"/>
              <w:jc w:val="center"/>
              <w:spacing w:line="480" w:lineRule="exact"/>
              <w:shd w:val="clear" w:color="auto" w:fill="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r>
            <w:r/>
          </w:p>
        </w:tc>
        <w:tc>
          <w:tcPr>
            <w:tcW w:w="2531" w:type="dxa"/>
            <w:vAlign w:val="center"/>
            <w:textDirection w:val="lrTb"/>
            <w:noWrap w:val="false"/>
          </w:tcPr>
          <w:p>
            <w:pPr>
              <w:pStyle w:val="744"/>
              <w:shd w:val="clear" w:color="auto" w:fill="auto"/>
              <w:rPr>
                <w:rFonts w:hint="eastAsia" w:ascii="宋体" w:hAnsi="宋体" w:cs="宋体"/>
                <w:color w:val="000000"/>
                <w:highlight w:val="none"/>
              </w:rPr>
            </w:pPr>
            <w:r>
              <w:rPr>
                <w:rFonts w:hint="eastAsia" w:ascii="宋体" w:hAnsi="宋体" w:cs="宋体"/>
                <w:color w:val="000000"/>
                <w:highlight w:val="none"/>
              </w:rPr>
            </w:r>
            <w:r/>
          </w:p>
        </w:tc>
      </w:tr>
      <w:tr>
        <w:trPr>
          <w:trHeight w:val="585"/>
        </w:trPr>
        <w:tc>
          <w:tcPr>
            <w:tcW w:w="646" w:type="dxa"/>
            <w:vAlign w:val="center"/>
            <w:textDirection w:val="lrTb"/>
            <w:noWrap w:val="false"/>
          </w:tcPr>
          <w:p>
            <w:pPr>
              <w:pStyle w:val="744"/>
              <w:jc w:val="center"/>
              <w:shd w:val="clear" w:color="auto" w:fill="auto"/>
              <w:rPr>
                <w:rFonts w:hint="eastAsia" w:ascii="宋体" w:hAnsi="宋体" w:cs="宋体"/>
                <w:color w:val="000000"/>
                <w:highlight w:val="none"/>
              </w:rPr>
            </w:pPr>
            <w:r>
              <w:rPr>
                <w:rFonts w:hint="eastAsia" w:ascii="宋体" w:hAnsi="宋体" w:cs="宋体"/>
                <w:color w:val="000000"/>
                <w:highlight w:val="none"/>
              </w:rPr>
              <w:t xml:space="preserve">5</w:t>
            </w:r>
            <w:r>
              <w:rPr>
                <w:rFonts w:hint="eastAsia" w:ascii="宋体" w:hAnsi="宋体" w:cs="宋体"/>
                <w:color w:val="000000"/>
                <w:highlight w:val="none"/>
              </w:rPr>
            </w:r>
            <w:r/>
          </w:p>
        </w:tc>
        <w:tc>
          <w:tcPr>
            <w:tcW w:w="5447" w:type="dxa"/>
            <w:vAlign w:val="center"/>
            <w:textDirection w:val="lrTb"/>
            <w:noWrap w:val="false"/>
          </w:tcPr>
          <w:p>
            <w:pPr>
              <w:pStyle w:val="744"/>
              <w:jc w:val="center"/>
              <w:spacing w:line="480" w:lineRule="exact"/>
              <w:shd w:val="clear" w:color="auto" w:fill="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r>
            <w:r/>
          </w:p>
        </w:tc>
        <w:tc>
          <w:tcPr>
            <w:tcW w:w="2531" w:type="dxa"/>
            <w:vAlign w:val="center"/>
            <w:textDirection w:val="lrTb"/>
            <w:noWrap w:val="false"/>
          </w:tcPr>
          <w:p>
            <w:pPr>
              <w:pStyle w:val="744"/>
              <w:shd w:val="clear" w:color="auto" w:fill="auto"/>
              <w:rPr>
                <w:rFonts w:hint="eastAsia" w:ascii="宋体" w:hAnsi="宋体" w:cs="宋体"/>
                <w:color w:val="000000"/>
                <w:highlight w:val="none"/>
              </w:rPr>
            </w:pPr>
            <w:r>
              <w:rPr>
                <w:rFonts w:hint="eastAsia" w:ascii="宋体" w:hAnsi="宋体" w:cs="宋体"/>
                <w:color w:val="000000"/>
                <w:highlight w:val="none"/>
              </w:rPr>
            </w:r>
            <w:r/>
          </w:p>
        </w:tc>
      </w:tr>
      <w:tr>
        <w:trPr>
          <w:trHeight w:val="585"/>
        </w:trPr>
        <w:tc>
          <w:tcPr>
            <w:tcW w:w="646" w:type="dxa"/>
            <w:vAlign w:val="center"/>
            <w:textDirection w:val="lrTb"/>
            <w:noWrap w:val="false"/>
          </w:tcPr>
          <w:p>
            <w:pPr>
              <w:pStyle w:val="744"/>
              <w:jc w:val="center"/>
              <w:shd w:val="clear" w:color="auto" w:fill="auto"/>
              <w:rPr>
                <w:rFonts w:hint="eastAsia" w:ascii="宋体" w:hAnsi="宋体" w:cs="宋体"/>
                <w:color w:val="000000"/>
                <w:highlight w:val="none"/>
              </w:rPr>
            </w:pPr>
            <w:r>
              <w:rPr>
                <w:rFonts w:hint="eastAsia" w:ascii="宋体" w:hAnsi="宋体" w:cs="宋体"/>
                <w:color w:val="000000"/>
                <w:highlight w:val="none"/>
              </w:rPr>
              <w:t xml:space="preserve">6</w:t>
            </w:r>
            <w:r>
              <w:rPr>
                <w:rFonts w:hint="eastAsia" w:ascii="宋体" w:hAnsi="宋体" w:cs="宋体"/>
                <w:color w:val="000000"/>
                <w:highlight w:val="none"/>
              </w:rPr>
            </w:r>
            <w:r/>
          </w:p>
        </w:tc>
        <w:tc>
          <w:tcPr>
            <w:tcW w:w="5447" w:type="dxa"/>
            <w:vAlign w:val="center"/>
            <w:textDirection w:val="lrTb"/>
            <w:noWrap w:val="false"/>
          </w:tcPr>
          <w:p>
            <w:pPr>
              <w:pStyle w:val="744"/>
              <w:jc w:val="center"/>
              <w:spacing w:line="480" w:lineRule="exact"/>
              <w:shd w:val="clear" w:color="auto" w:fill="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r>
            <w:r/>
          </w:p>
        </w:tc>
        <w:tc>
          <w:tcPr>
            <w:tcW w:w="2531" w:type="dxa"/>
            <w:vAlign w:val="center"/>
            <w:textDirection w:val="lrTb"/>
            <w:noWrap w:val="false"/>
          </w:tcPr>
          <w:p>
            <w:pPr>
              <w:pStyle w:val="744"/>
              <w:shd w:val="clear" w:color="auto" w:fill="auto"/>
              <w:rPr>
                <w:rFonts w:hint="eastAsia" w:ascii="宋体" w:hAnsi="宋体" w:cs="宋体"/>
                <w:color w:val="000000"/>
                <w:highlight w:val="none"/>
              </w:rPr>
            </w:pPr>
            <w:r>
              <w:rPr>
                <w:rFonts w:hint="eastAsia" w:ascii="宋体" w:hAnsi="宋体" w:cs="宋体"/>
                <w:color w:val="000000"/>
                <w:highlight w:val="none"/>
              </w:rPr>
            </w:r>
            <w:r/>
          </w:p>
        </w:tc>
      </w:tr>
    </w:tbl>
    <w:p>
      <w:pPr>
        <w:pStyle w:val="744"/>
        <w:ind w:firstLine="480"/>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744"/>
        <w:spacing w:before="50" w:after="50"/>
        <w:shd w:val="clear" w:color="auto" w:fill="auto"/>
        <w:rPr>
          <w:rFonts w:hint="eastAsia" w:ascii="宋体" w:hAnsi="宋体" w:cs="宋体"/>
          <w:color w:val="000000"/>
          <w:sz w:val="44"/>
          <w:highlight w:val="none"/>
        </w:rPr>
      </w:pPr>
      <w:r/>
      <w:bookmarkEnd w:id="175"/>
      <w:r/>
      <w:bookmarkEnd w:id="176"/>
      <w:r/>
      <w:bookmarkEnd w:id="177"/>
      <w:r>
        <w:rPr>
          <w:rFonts w:hint="eastAsia" w:ascii="宋体" w:hAnsi="宋体" w:cs="宋体"/>
          <w:color w:val="000000"/>
          <w:sz w:val="44"/>
          <w:highlight w:val="none"/>
        </w:rPr>
        <w:t xml:space="preserve"> </w:t>
      </w:r>
      <w:r>
        <w:rPr>
          <w:rFonts w:hint="eastAsia" w:ascii="宋体" w:hAnsi="宋体" w:cs="宋体"/>
          <w:color w:val="000000"/>
          <w:sz w:val="44"/>
          <w:highlight w:val="none"/>
        </w:rPr>
      </w:r>
      <w:r/>
    </w:p>
    <w:p>
      <w:pPr>
        <w:pStyle w:val="744"/>
        <w:spacing w:before="50" w:after="50"/>
        <w:shd w:val="clear" w:color="auto" w:fill="auto"/>
        <w:rPr>
          <w:rFonts w:hint="eastAsia" w:ascii="宋体" w:hAnsi="宋体" w:cs="宋体"/>
          <w:color w:val="000000"/>
          <w:sz w:val="44"/>
          <w:highlight w:val="none"/>
        </w:rPr>
      </w:pPr>
      <w:r>
        <w:rPr>
          <w:rFonts w:hint="eastAsia" w:ascii="宋体" w:hAnsi="宋体" w:cs="宋体"/>
          <w:color w:val="000000"/>
          <w:sz w:val="44"/>
          <w:highlight w:val="none"/>
        </w:rPr>
      </w:r>
      <w:r/>
    </w:p>
    <w:p>
      <w:pPr>
        <w:pStyle w:val="744"/>
        <w:spacing w:before="50" w:after="50"/>
        <w:shd w:val="clear" w:color="auto" w:fill="auto"/>
        <w:rPr>
          <w:rFonts w:hint="eastAsia" w:ascii="宋体" w:hAnsi="宋体" w:cs="宋体"/>
          <w:color w:val="000000"/>
          <w:sz w:val="44"/>
          <w:highlight w:val="none"/>
        </w:rPr>
      </w:pPr>
      <w:r>
        <w:rPr>
          <w:rFonts w:hint="eastAsia" w:ascii="宋体" w:hAnsi="宋体" w:cs="宋体"/>
          <w:color w:val="000000"/>
          <w:sz w:val="44"/>
          <w:highlight w:val="none"/>
        </w:rPr>
      </w:r>
      <w:r/>
    </w:p>
    <w:p>
      <w:pPr>
        <w:pStyle w:val="744"/>
        <w:spacing w:before="50" w:after="50"/>
        <w:shd w:val="clear" w:color="auto" w:fill="auto"/>
        <w:rPr>
          <w:rFonts w:hint="eastAsia" w:ascii="宋体" w:hAnsi="宋体" w:cs="宋体"/>
          <w:color w:val="000000"/>
          <w:sz w:val="44"/>
          <w:highlight w:val="none"/>
        </w:rPr>
      </w:pPr>
      <w:r>
        <w:rPr>
          <w:rFonts w:hint="eastAsia" w:ascii="宋体" w:hAnsi="宋体" w:cs="宋体"/>
          <w:color w:val="000000"/>
          <w:sz w:val="44"/>
          <w:highlight w:val="none"/>
        </w:rPr>
      </w:r>
      <w:r/>
    </w:p>
    <w:p>
      <w:pPr>
        <w:pStyle w:val="744"/>
        <w:spacing w:before="50" w:after="50"/>
        <w:shd w:val="clear" w:color="auto" w:fill="auto"/>
        <w:rPr>
          <w:rFonts w:hint="eastAsia" w:ascii="宋体" w:hAnsi="宋体" w:cs="宋体"/>
          <w:color w:val="000000"/>
          <w:sz w:val="44"/>
          <w:highlight w:val="none"/>
        </w:rPr>
      </w:pPr>
      <w:r>
        <w:rPr>
          <w:rFonts w:hint="eastAsia" w:ascii="宋体" w:hAnsi="宋体" w:cs="宋体"/>
          <w:color w:val="000000"/>
          <w:sz w:val="44"/>
          <w:highlight w:val="none"/>
        </w:rPr>
      </w:r>
      <w:r/>
    </w:p>
    <w:p>
      <w:pPr>
        <w:pStyle w:val="810"/>
        <w:shd w:val="clear" w:color="auto" w:fill="auto"/>
        <w:rPr>
          <w:rFonts w:hint="eastAsia" w:ascii="宋体" w:hAnsi="宋体" w:eastAsia="宋体" w:cs="宋体"/>
          <w:color w:val="000000"/>
          <w:sz w:val="44"/>
          <w:highlight w:val="none"/>
        </w:rPr>
      </w:pPr>
      <w:r>
        <w:rPr>
          <w:rFonts w:hint="eastAsia" w:ascii="宋体" w:hAnsi="宋体" w:eastAsia="宋体" w:cs="宋体"/>
          <w:color w:val="000000"/>
          <w:sz w:val="44"/>
          <w:highlight w:val="none"/>
        </w:rPr>
      </w:r>
      <w:r/>
    </w:p>
    <w:p>
      <w:pPr>
        <w:pStyle w:val="810"/>
        <w:shd w:val="clear" w:color="auto" w:fill="auto"/>
        <w:rPr>
          <w:rFonts w:hint="eastAsia" w:ascii="宋体" w:hAnsi="宋体" w:eastAsia="宋体" w:cs="宋体"/>
          <w:color w:val="000000"/>
          <w:sz w:val="44"/>
          <w:highlight w:val="none"/>
        </w:rPr>
      </w:pPr>
      <w:r>
        <w:rPr>
          <w:rFonts w:hint="eastAsia" w:ascii="宋体" w:hAnsi="宋体" w:eastAsia="宋体" w:cs="宋体"/>
          <w:color w:val="000000"/>
          <w:sz w:val="44"/>
          <w:highlight w:val="none"/>
        </w:rPr>
      </w:r>
      <w:r/>
    </w:p>
    <w:p>
      <w:pPr>
        <w:pStyle w:val="810"/>
        <w:shd w:val="clear" w:color="auto" w:fill="auto"/>
        <w:rPr>
          <w:rFonts w:hint="eastAsia" w:ascii="宋体" w:hAnsi="宋体" w:eastAsia="宋体" w:cs="宋体"/>
          <w:color w:val="000000"/>
          <w:sz w:val="44"/>
          <w:highlight w:val="none"/>
        </w:rPr>
      </w:pPr>
      <w:r>
        <w:rPr>
          <w:rFonts w:hint="eastAsia" w:ascii="宋体" w:hAnsi="宋体" w:eastAsia="宋体" w:cs="宋体"/>
          <w:color w:val="000000"/>
          <w:sz w:val="44"/>
          <w:highlight w:val="none"/>
        </w:rPr>
      </w:r>
      <w:r/>
    </w:p>
    <w:p>
      <w:pPr>
        <w:pStyle w:val="810"/>
        <w:shd w:val="clear" w:color="auto" w:fill="auto"/>
        <w:rPr>
          <w:rFonts w:hint="eastAsia" w:ascii="宋体" w:hAnsi="宋体" w:eastAsia="宋体" w:cs="宋体"/>
          <w:color w:val="000000"/>
          <w:sz w:val="44"/>
          <w:highlight w:val="none"/>
        </w:rPr>
      </w:pPr>
      <w:r>
        <w:rPr>
          <w:rFonts w:hint="eastAsia" w:ascii="宋体" w:hAnsi="宋体" w:eastAsia="宋体" w:cs="宋体"/>
          <w:color w:val="000000"/>
          <w:sz w:val="44"/>
          <w:highlight w:val="none"/>
        </w:rPr>
      </w:r>
      <w:r/>
    </w:p>
    <w:p>
      <w:pPr>
        <w:pStyle w:val="810"/>
        <w:shd w:val="clear" w:color="auto" w:fill="auto"/>
        <w:rPr>
          <w:rFonts w:hint="eastAsia" w:ascii="宋体" w:hAnsi="宋体" w:eastAsia="宋体" w:cs="宋体"/>
          <w:color w:val="000000"/>
          <w:sz w:val="44"/>
          <w:highlight w:val="none"/>
        </w:rPr>
      </w:pPr>
      <w:r>
        <w:rPr>
          <w:rFonts w:hint="eastAsia" w:ascii="宋体" w:hAnsi="宋体" w:eastAsia="宋体" w:cs="宋体"/>
          <w:color w:val="000000"/>
          <w:sz w:val="44"/>
          <w:highlight w:val="none"/>
        </w:rPr>
      </w:r>
      <w:r/>
    </w:p>
    <w:p>
      <w:pPr>
        <w:pStyle w:val="810"/>
        <w:shd w:val="clear" w:color="auto" w:fill="auto"/>
        <w:rPr>
          <w:rFonts w:hint="eastAsia" w:ascii="宋体" w:hAnsi="宋体" w:eastAsia="宋体" w:cs="宋体"/>
          <w:color w:val="000000"/>
          <w:sz w:val="44"/>
          <w:highlight w:val="none"/>
        </w:rPr>
      </w:pPr>
      <w:r>
        <w:rPr>
          <w:rFonts w:hint="eastAsia" w:ascii="宋体" w:hAnsi="宋体" w:eastAsia="宋体" w:cs="宋体"/>
          <w:color w:val="000000"/>
          <w:sz w:val="44"/>
          <w:highlight w:val="none"/>
        </w:rPr>
      </w:r>
      <w:r/>
    </w:p>
    <w:p>
      <w:pPr>
        <w:pStyle w:val="810"/>
        <w:shd w:val="clear" w:color="auto" w:fill="auto"/>
        <w:rPr>
          <w:rFonts w:hint="eastAsia" w:ascii="宋体" w:hAnsi="宋体" w:eastAsia="宋体" w:cs="宋体"/>
          <w:color w:val="000000"/>
          <w:sz w:val="44"/>
          <w:highlight w:val="none"/>
        </w:rPr>
      </w:pPr>
      <w:r>
        <w:rPr>
          <w:rFonts w:hint="eastAsia" w:ascii="宋体" w:hAnsi="宋体" w:eastAsia="宋体" w:cs="宋体"/>
          <w:color w:val="000000"/>
          <w:sz w:val="44"/>
          <w:highlight w:val="none"/>
        </w:rPr>
      </w:r>
      <w:r/>
    </w:p>
    <w:p>
      <w:pPr>
        <w:pStyle w:val="744"/>
        <w:jc w:val="center"/>
        <w:spacing w:before="50" w:after="50"/>
        <w:shd w:val="clear" w:color="auto" w:fill="auto"/>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744"/>
        <w:jc w:val="center"/>
        <w:spacing w:before="50" w:after="50"/>
        <w:shd w:val="clear" w:color="auto" w:fill="auto"/>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744"/>
        <w:jc w:val="center"/>
        <w:spacing w:before="50" w:after="50"/>
        <w:shd w:val="clear" w:color="auto" w:fill="auto"/>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三、符合性检查响应对照表</w:t>
      </w:r>
      <w:r>
        <w:rPr>
          <w:rFonts w:hint="eastAsia" w:ascii="宋体" w:hAnsi="宋体" w:cs="宋体"/>
          <w:color w:val="000000"/>
          <w:sz w:val="32"/>
          <w:szCs w:val="32"/>
          <w:highlight w:val="none"/>
        </w:rPr>
      </w:r>
      <w:r/>
    </w:p>
    <w:p>
      <w:pPr>
        <w:pStyle w:val="744"/>
        <w:ind w:firstLine="309"/>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投标人全称（加盖公章）：</w:t>
      </w:r>
      <w:r>
        <w:rPr>
          <w:rFonts w:hint="eastAsia" w:ascii="宋体" w:hAnsi="宋体" w:cs="宋体"/>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673"/>
      </w:tblGrid>
      <w:tr>
        <w:trPr>
          <w:trHeight w:val="998"/>
        </w:trPr>
        <w:tc>
          <w:tcPr>
            <w:tcW w:w="646" w:type="dxa"/>
            <w:vAlign w:val="center"/>
            <w:textDirection w:val="lrTb"/>
            <w:noWrap w:val="false"/>
          </w:tcPr>
          <w:p>
            <w:pPr>
              <w:pStyle w:val="744"/>
              <w:jc w:val="center"/>
              <w:spacing w:line="240" w:lineRule="atLeast"/>
              <w:shd w:val="clear" w:color="auto" w:fill="auto"/>
              <w:rPr>
                <w:rFonts w:hint="eastAsia" w:ascii="宋体" w:hAnsi="宋体" w:cs="宋体"/>
                <w:b/>
                <w:color w:val="000000"/>
                <w:highlight w:val="none"/>
              </w:rPr>
            </w:pPr>
            <w:r>
              <w:rPr>
                <w:rFonts w:hint="eastAsia" w:ascii="宋体" w:hAnsi="宋体" w:cs="宋体"/>
                <w:b/>
                <w:color w:val="000000"/>
                <w:highlight w:val="none"/>
              </w:rPr>
              <w:t xml:space="preserve">序号</w:t>
            </w:r>
            <w:r>
              <w:rPr>
                <w:rFonts w:hint="eastAsia" w:ascii="宋体" w:hAnsi="宋体" w:cs="宋体"/>
                <w:b/>
                <w:color w:val="000000"/>
                <w:highlight w:val="none"/>
              </w:rPr>
            </w:r>
            <w:r/>
          </w:p>
        </w:tc>
        <w:tc>
          <w:tcPr>
            <w:tcW w:w="5447" w:type="dxa"/>
            <w:vAlign w:val="center"/>
            <w:textDirection w:val="lrTb"/>
            <w:noWrap w:val="false"/>
          </w:tcPr>
          <w:p>
            <w:pPr>
              <w:pStyle w:val="744"/>
              <w:jc w:val="center"/>
              <w:spacing w:line="240" w:lineRule="atLeast"/>
              <w:shd w:val="clear" w:color="auto" w:fill="auto"/>
              <w:rPr>
                <w:rFonts w:hint="eastAsia" w:ascii="宋体" w:hAnsi="宋体" w:cs="宋体"/>
                <w:b/>
                <w:color w:val="000000"/>
                <w:highlight w:val="none"/>
              </w:rPr>
            </w:pPr>
            <w:r>
              <w:rPr>
                <w:rFonts w:hint="eastAsia" w:ascii="宋体" w:hAnsi="宋体" w:cs="宋体"/>
                <w:b/>
                <w:color w:val="000000"/>
                <w:highlight w:val="none"/>
              </w:rPr>
              <w:t xml:space="preserve">符合性检查响应内容</w:t>
            </w:r>
            <w:r>
              <w:rPr>
                <w:rFonts w:hint="eastAsia" w:ascii="宋体" w:hAnsi="宋体" w:cs="宋体"/>
                <w:b/>
                <w:color w:val="000000"/>
                <w:highlight w:val="none"/>
              </w:rPr>
            </w:r>
            <w:r/>
          </w:p>
        </w:tc>
        <w:tc>
          <w:tcPr>
            <w:tcW w:w="2673" w:type="dxa"/>
            <w:vAlign w:val="center"/>
            <w:textDirection w:val="lrTb"/>
            <w:noWrap w:val="false"/>
          </w:tcPr>
          <w:p>
            <w:pPr>
              <w:pStyle w:val="744"/>
              <w:jc w:val="center"/>
              <w:spacing w:line="240" w:lineRule="atLeast"/>
              <w:shd w:val="clear" w:color="auto" w:fill="auto"/>
              <w:rPr>
                <w:rFonts w:hint="eastAsia" w:ascii="宋体" w:hAnsi="宋体" w:cs="宋体"/>
                <w:b/>
                <w:color w:val="000000"/>
                <w:highlight w:val="none"/>
              </w:rPr>
            </w:pPr>
            <w:r>
              <w:rPr>
                <w:rFonts w:hint="eastAsia" w:ascii="宋体" w:hAnsi="宋体" w:cs="宋体"/>
                <w:b/>
                <w:color w:val="000000"/>
                <w:highlight w:val="none"/>
              </w:rPr>
              <w:t xml:space="preserve">是否响应</w:t>
            </w:r>
            <w:r>
              <w:rPr>
                <w:rFonts w:hint="eastAsia" w:ascii="宋体" w:hAnsi="宋体" w:cs="宋体"/>
                <w:b/>
                <w:color w:val="000000"/>
                <w:highlight w:val="none"/>
              </w:rPr>
            </w:r>
            <w:r/>
          </w:p>
          <w:p>
            <w:pPr>
              <w:pStyle w:val="744"/>
              <w:jc w:val="center"/>
              <w:spacing w:line="240" w:lineRule="atLeast"/>
              <w:shd w:val="clear" w:color="auto" w:fill="auto"/>
              <w:rPr>
                <w:rFonts w:hint="eastAsia" w:ascii="宋体" w:hAnsi="宋体" w:cs="宋体"/>
                <w:b/>
                <w:color w:val="000000"/>
                <w:highlight w:val="none"/>
              </w:rPr>
            </w:pPr>
            <w:r>
              <w:rPr>
                <w:rFonts w:hint="eastAsia" w:ascii="宋体" w:hAnsi="宋体" w:cs="宋体"/>
                <w:b/>
                <w:color w:val="000000"/>
                <w:highlight w:val="none"/>
              </w:rPr>
              <w:t xml:space="preserve">（填是或者否）</w:t>
            </w:r>
            <w:r>
              <w:rPr>
                <w:rFonts w:hint="eastAsia" w:ascii="宋体" w:hAnsi="宋体" w:cs="宋体"/>
                <w:b/>
                <w:color w:val="000000"/>
                <w:highlight w:val="none"/>
              </w:rPr>
            </w:r>
            <w:r/>
          </w:p>
        </w:tc>
      </w:tr>
      <w:tr>
        <w:trPr>
          <w:trHeight w:val="998"/>
        </w:trPr>
        <w:tc>
          <w:tcPr>
            <w:tcW w:w="646" w:type="dxa"/>
            <w:vAlign w:val="center"/>
            <w:textDirection w:val="lrTb"/>
            <w:noWrap w:val="false"/>
          </w:tcPr>
          <w:p>
            <w:pPr>
              <w:pStyle w:val="744"/>
              <w:jc w:val="center"/>
              <w:shd w:val="clear" w:color="auto" w:fill="auto"/>
              <w:rPr>
                <w:rFonts w:hint="eastAsia" w:ascii="宋体" w:hAnsi="宋体" w:cs="宋体"/>
                <w:b/>
                <w:color w:val="000000"/>
                <w:highlight w:val="none"/>
              </w:rPr>
            </w:pPr>
            <w:r>
              <w:rPr>
                <w:rFonts w:hint="eastAsia" w:ascii="宋体" w:hAnsi="宋体" w:cs="宋体"/>
                <w:b/>
                <w:color w:val="000000"/>
                <w:highlight w:val="none"/>
              </w:rPr>
              <w:t xml:space="preserve">1</w:t>
            </w:r>
            <w:r>
              <w:rPr>
                <w:rFonts w:hint="eastAsia" w:ascii="宋体" w:hAnsi="宋体" w:cs="宋体"/>
                <w:b/>
                <w:color w:val="000000"/>
                <w:highlight w:val="none"/>
              </w:rPr>
            </w:r>
            <w:r/>
          </w:p>
        </w:tc>
        <w:tc>
          <w:tcPr>
            <w:tcW w:w="5447" w:type="dxa"/>
            <w:vAlign w:val="center"/>
            <w:textDirection w:val="lrTb"/>
            <w:noWrap w:val="false"/>
          </w:tcPr>
          <w:p>
            <w:pPr>
              <w:pStyle w:val="744"/>
              <w:spacing w:line="480" w:lineRule="exact"/>
              <w:shd w:val="clear" w:color="auto" w:fill="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r>
            <w:r/>
          </w:p>
        </w:tc>
        <w:tc>
          <w:tcPr>
            <w:tcW w:w="2673" w:type="dxa"/>
            <w:vAlign w:val="center"/>
            <w:textDirection w:val="lrTb"/>
            <w:noWrap w:val="false"/>
          </w:tcPr>
          <w:p>
            <w:pPr>
              <w:pStyle w:val="744"/>
              <w:shd w:val="clear" w:color="auto" w:fill="auto"/>
              <w:rPr>
                <w:rFonts w:hint="eastAsia" w:ascii="宋体" w:hAnsi="宋体" w:cs="宋体"/>
                <w:b/>
                <w:color w:val="000000"/>
                <w:highlight w:val="none"/>
              </w:rPr>
            </w:pPr>
            <w:r>
              <w:rPr>
                <w:rFonts w:hint="eastAsia" w:ascii="宋体" w:hAnsi="宋体" w:cs="宋体"/>
                <w:b/>
                <w:color w:val="000000"/>
                <w:highlight w:val="none"/>
              </w:rPr>
            </w:r>
            <w:r/>
          </w:p>
        </w:tc>
      </w:tr>
      <w:tr>
        <w:trPr>
          <w:trHeight w:val="998"/>
        </w:trPr>
        <w:tc>
          <w:tcPr>
            <w:tcW w:w="646" w:type="dxa"/>
            <w:vAlign w:val="center"/>
            <w:textDirection w:val="lrTb"/>
            <w:noWrap w:val="false"/>
          </w:tcPr>
          <w:p>
            <w:pPr>
              <w:pStyle w:val="744"/>
              <w:jc w:val="center"/>
              <w:shd w:val="clear" w:color="auto" w:fill="auto"/>
              <w:rPr>
                <w:rFonts w:hint="eastAsia" w:ascii="宋体" w:hAnsi="宋体" w:cs="宋体"/>
                <w:color w:val="000000"/>
                <w:highlight w:val="none"/>
              </w:rPr>
            </w:pPr>
            <w:r>
              <w:rPr>
                <w:rFonts w:hint="eastAsia" w:ascii="宋体" w:hAnsi="宋体" w:cs="宋体"/>
                <w:color w:val="000000"/>
                <w:highlight w:val="none"/>
              </w:rPr>
              <w:t xml:space="preserve">2</w:t>
            </w:r>
            <w:r>
              <w:rPr>
                <w:rFonts w:hint="eastAsia" w:ascii="宋体" w:hAnsi="宋体" w:cs="宋体"/>
                <w:color w:val="000000"/>
                <w:highlight w:val="none"/>
              </w:rPr>
            </w:r>
            <w:r/>
          </w:p>
        </w:tc>
        <w:tc>
          <w:tcPr>
            <w:tcW w:w="5447" w:type="dxa"/>
            <w:vAlign w:val="center"/>
            <w:textDirection w:val="lrTb"/>
            <w:noWrap w:val="false"/>
          </w:tcPr>
          <w:p>
            <w:pPr>
              <w:pStyle w:val="744"/>
              <w:spacing w:line="480" w:lineRule="exact"/>
              <w:shd w:val="clear" w:color="auto" w:fill="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r>
            <w:r/>
          </w:p>
        </w:tc>
        <w:tc>
          <w:tcPr>
            <w:tcW w:w="2673" w:type="dxa"/>
            <w:vAlign w:val="center"/>
            <w:textDirection w:val="lrTb"/>
            <w:noWrap w:val="false"/>
          </w:tcPr>
          <w:p>
            <w:pPr>
              <w:pStyle w:val="744"/>
              <w:shd w:val="clear" w:color="auto" w:fill="auto"/>
              <w:rPr>
                <w:rFonts w:hint="eastAsia" w:ascii="宋体" w:hAnsi="宋体" w:cs="宋体"/>
                <w:color w:val="000000"/>
                <w:highlight w:val="none"/>
              </w:rPr>
            </w:pPr>
            <w:r>
              <w:rPr>
                <w:rFonts w:hint="eastAsia" w:ascii="宋体" w:hAnsi="宋体" w:cs="宋体"/>
                <w:color w:val="000000"/>
                <w:highlight w:val="none"/>
              </w:rPr>
            </w:r>
            <w:r/>
          </w:p>
        </w:tc>
      </w:tr>
      <w:tr>
        <w:trPr>
          <w:trHeight w:val="998"/>
        </w:trPr>
        <w:tc>
          <w:tcPr>
            <w:tcW w:w="646" w:type="dxa"/>
            <w:vAlign w:val="center"/>
            <w:textDirection w:val="lrTb"/>
            <w:noWrap w:val="false"/>
          </w:tcPr>
          <w:p>
            <w:pPr>
              <w:pStyle w:val="744"/>
              <w:jc w:val="center"/>
              <w:shd w:val="clear" w:color="auto" w:fill="auto"/>
              <w:rPr>
                <w:rFonts w:hint="eastAsia" w:ascii="宋体" w:hAnsi="宋体" w:cs="宋体"/>
                <w:color w:val="000000"/>
                <w:highlight w:val="none"/>
              </w:rPr>
            </w:pPr>
            <w:r>
              <w:rPr>
                <w:rFonts w:hint="eastAsia" w:ascii="宋体" w:hAnsi="宋体" w:cs="宋体"/>
                <w:color w:val="000000"/>
                <w:highlight w:val="none"/>
              </w:rPr>
              <w:t xml:space="preserve">3</w:t>
            </w:r>
            <w:r>
              <w:rPr>
                <w:rFonts w:hint="eastAsia" w:ascii="宋体" w:hAnsi="宋体" w:cs="宋体"/>
                <w:color w:val="000000"/>
                <w:highlight w:val="none"/>
              </w:rPr>
            </w:r>
            <w:r/>
          </w:p>
        </w:tc>
        <w:tc>
          <w:tcPr>
            <w:tcW w:w="5447" w:type="dxa"/>
            <w:vAlign w:val="center"/>
            <w:textDirection w:val="lrTb"/>
            <w:noWrap w:val="false"/>
          </w:tcPr>
          <w:p>
            <w:pPr>
              <w:pStyle w:val="744"/>
              <w:spacing w:line="480" w:lineRule="exact"/>
              <w:shd w:val="clear" w:color="auto" w:fill="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r>
            <w:r/>
          </w:p>
        </w:tc>
        <w:tc>
          <w:tcPr>
            <w:tcW w:w="2673" w:type="dxa"/>
            <w:vAlign w:val="center"/>
            <w:textDirection w:val="lrTb"/>
            <w:noWrap w:val="false"/>
          </w:tcPr>
          <w:p>
            <w:pPr>
              <w:pStyle w:val="744"/>
              <w:shd w:val="clear" w:color="auto" w:fill="auto"/>
              <w:rPr>
                <w:rFonts w:hint="eastAsia" w:ascii="宋体" w:hAnsi="宋体" w:cs="宋体"/>
                <w:color w:val="000000"/>
                <w:highlight w:val="none"/>
              </w:rPr>
            </w:pPr>
            <w:r>
              <w:rPr>
                <w:rFonts w:hint="eastAsia" w:ascii="宋体" w:hAnsi="宋体" w:cs="宋体"/>
                <w:color w:val="000000"/>
                <w:highlight w:val="none"/>
              </w:rPr>
            </w:r>
            <w:r/>
          </w:p>
        </w:tc>
      </w:tr>
      <w:tr>
        <w:trPr>
          <w:trHeight w:val="998"/>
        </w:trPr>
        <w:tc>
          <w:tcPr>
            <w:tcW w:w="646" w:type="dxa"/>
            <w:vAlign w:val="center"/>
            <w:textDirection w:val="lrTb"/>
            <w:noWrap w:val="false"/>
          </w:tcPr>
          <w:p>
            <w:pPr>
              <w:pStyle w:val="744"/>
              <w:jc w:val="center"/>
              <w:shd w:val="clear" w:color="auto" w:fill="auto"/>
              <w:rPr>
                <w:rFonts w:hint="eastAsia" w:ascii="宋体" w:hAnsi="宋体" w:cs="宋体"/>
                <w:color w:val="000000"/>
                <w:highlight w:val="none"/>
              </w:rPr>
            </w:pPr>
            <w:r>
              <w:rPr>
                <w:rFonts w:hint="eastAsia" w:ascii="宋体" w:hAnsi="宋体" w:cs="宋体"/>
                <w:color w:val="000000"/>
                <w:highlight w:val="none"/>
              </w:rPr>
              <w:t xml:space="preserve">4</w:t>
            </w:r>
            <w:r>
              <w:rPr>
                <w:rFonts w:hint="eastAsia" w:ascii="宋体" w:hAnsi="宋体" w:cs="宋体"/>
                <w:color w:val="000000"/>
                <w:highlight w:val="none"/>
              </w:rPr>
            </w:r>
            <w:r/>
          </w:p>
        </w:tc>
        <w:tc>
          <w:tcPr>
            <w:tcW w:w="5447" w:type="dxa"/>
            <w:vAlign w:val="center"/>
            <w:textDirection w:val="lrTb"/>
            <w:noWrap w:val="false"/>
          </w:tcPr>
          <w:p>
            <w:pPr>
              <w:pStyle w:val="744"/>
              <w:spacing w:line="360" w:lineRule="auto"/>
              <w:shd w:val="clear" w:color="auto" w:fill="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r>
            <w:r/>
          </w:p>
        </w:tc>
        <w:tc>
          <w:tcPr>
            <w:tcW w:w="2673" w:type="dxa"/>
            <w:vAlign w:val="center"/>
            <w:textDirection w:val="lrTb"/>
            <w:noWrap w:val="false"/>
          </w:tcPr>
          <w:p>
            <w:pPr>
              <w:pStyle w:val="744"/>
              <w:shd w:val="clear" w:color="auto" w:fill="auto"/>
              <w:rPr>
                <w:rFonts w:hint="eastAsia" w:ascii="宋体" w:hAnsi="宋体" w:cs="宋体"/>
                <w:color w:val="000000"/>
                <w:highlight w:val="none"/>
              </w:rPr>
            </w:pPr>
            <w:r>
              <w:rPr>
                <w:rFonts w:hint="eastAsia" w:ascii="宋体" w:hAnsi="宋体" w:cs="宋体"/>
                <w:color w:val="000000"/>
                <w:highlight w:val="none"/>
              </w:rPr>
            </w:r>
            <w:r/>
          </w:p>
        </w:tc>
      </w:tr>
      <w:tr>
        <w:trPr>
          <w:trHeight w:val="998"/>
        </w:trPr>
        <w:tc>
          <w:tcPr>
            <w:tcW w:w="646" w:type="dxa"/>
            <w:vAlign w:val="center"/>
            <w:textDirection w:val="lrTb"/>
            <w:noWrap w:val="false"/>
          </w:tcPr>
          <w:p>
            <w:pPr>
              <w:pStyle w:val="744"/>
              <w:jc w:val="center"/>
              <w:shd w:val="clear" w:color="auto" w:fill="auto"/>
              <w:rPr>
                <w:rFonts w:hint="eastAsia" w:ascii="宋体" w:hAnsi="宋体" w:cs="宋体"/>
                <w:color w:val="000000"/>
                <w:highlight w:val="none"/>
              </w:rPr>
            </w:pPr>
            <w:r>
              <w:rPr>
                <w:rFonts w:hint="eastAsia" w:ascii="宋体" w:hAnsi="宋体" w:cs="宋体"/>
                <w:color w:val="000000"/>
                <w:highlight w:val="none"/>
              </w:rPr>
              <w:t xml:space="preserve">5</w:t>
            </w:r>
            <w:r>
              <w:rPr>
                <w:rFonts w:hint="eastAsia" w:ascii="宋体" w:hAnsi="宋体" w:cs="宋体"/>
                <w:color w:val="000000"/>
                <w:highlight w:val="none"/>
              </w:rPr>
            </w:r>
            <w:r/>
          </w:p>
        </w:tc>
        <w:tc>
          <w:tcPr>
            <w:tcW w:w="5447" w:type="dxa"/>
            <w:vAlign w:val="center"/>
            <w:textDirection w:val="lrTb"/>
            <w:noWrap w:val="false"/>
          </w:tcPr>
          <w:p>
            <w:pPr>
              <w:pStyle w:val="744"/>
              <w:spacing w:line="590" w:lineRule="atLeast"/>
              <w:shd w:val="clear" w:color="auto" w:fill="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r>
            <w:r/>
          </w:p>
        </w:tc>
        <w:tc>
          <w:tcPr>
            <w:tcW w:w="2673" w:type="dxa"/>
            <w:vAlign w:val="center"/>
            <w:textDirection w:val="lrTb"/>
            <w:noWrap w:val="false"/>
          </w:tcPr>
          <w:p>
            <w:pPr>
              <w:pStyle w:val="744"/>
              <w:shd w:val="clear" w:color="auto" w:fill="auto"/>
              <w:rPr>
                <w:rFonts w:hint="eastAsia" w:ascii="宋体" w:hAnsi="宋体" w:cs="宋体"/>
                <w:color w:val="000000"/>
                <w:highlight w:val="none"/>
              </w:rPr>
            </w:pPr>
            <w:r>
              <w:rPr>
                <w:rFonts w:hint="eastAsia" w:ascii="宋体" w:hAnsi="宋体" w:cs="宋体"/>
                <w:color w:val="000000"/>
                <w:highlight w:val="none"/>
              </w:rPr>
            </w:r>
            <w:r/>
          </w:p>
        </w:tc>
      </w:tr>
      <w:tr>
        <w:trPr>
          <w:trHeight w:val="998"/>
        </w:trPr>
        <w:tc>
          <w:tcPr>
            <w:tcW w:w="646" w:type="dxa"/>
            <w:vAlign w:val="center"/>
            <w:textDirection w:val="lrTb"/>
            <w:noWrap w:val="false"/>
          </w:tcPr>
          <w:p>
            <w:pPr>
              <w:pStyle w:val="744"/>
              <w:jc w:val="center"/>
              <w:shd w:val="clear" w:color="auto" w:fill="auto"/>
              <w:rPr>
                <w:rFonts w:hint="eastAsia" w:ascii="宋体" w:hAnsi="宋体" w:cs="宋体"/>
                <w:color w:val="000000"/>
                <w:highlight w:val="none"/>
              </w:rPr>
            </w:pPr>
            <w:r>
              <w:rPr>
                <w:rFonts w:hint="eastAsia" w:ascii="宋体" w:hAnsi="宋体" w:cs="宋体"/>
                <w:color w:val="000000"/>
                <w:highlight w:val="none"/>
              </w:rPr>
              <w:t xml:space="preserve">6</w:t>
            </w:r>
            <w:r>
              <w:rPr>
                <w:rFonts w:hint="eastAsia" w:ascii="宋体" w:hAnsi="宋体" w:cs="宋体"/>
                <w:color w:val="000000"/>
                <w:highlight w:val="none"/>
              </w:rPr>
            </w:r>
            <w:r/>
          </w:p>
        </w:tc>
        <w:tc>
          <w:tcPr>
            <w:tcW w:w="5447" w:type="dxa"/>
            <w:vAlign w:val="center"/>
            <w:textDirection w:val="lrTb"/>
            <w:noWrap w:val="false"/>
          </w:tcPr>
          <w:p>
            <w:pPr>
              <w:pStyle w:val="744"/>
              <w:spacing w:line="590" w:lineRule="atLeast"/>
              <w:shd w:val="clear" w:color="auto" w:fill="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r>
            <w:r/>
          </w:p>
        </w:tc>
        <w:tc>
          <w:tcPr>
            <w:tcW w:w="2673" w:type="dxa"/>
            <w:vAlign w:val="center"/>
            <w:textDirection w:val="lrTb"/>
            <w:noWrap w:val="false"/>
          </w:tcPr>
          <w:p>
            <w:pPr>
              <w:pStyle w:val="744"/>
              <w:shd w:val="clear" w:color="auto" w:fill="auto"/>
              <w:rPr>
                <w:rFonts w:hint="eastAsia" w:ascii="宋体" w:hAnsi="宋体" w:cs="宋体"/>
                <w:color w:val="000000"/>
                <w:highlight w:val="none"/>
              </w:rPr>
            </w:pPr>
            <w:r>
              <w:rPr>
                <w:rFonts w:hint="eastAsia" w:ascii="宋体" w:hAnsi="宋体" w:cs="宋体"/>
                <w:color w:val="000000"/>
                <w:highlight w:val="none"/>
              </w:rPr>
            </w:r>
            <w:r/>
          </w:p>
        </w:tc>
      </w:tr>
      <w:tr>
        <w:trPr>
          <w:trHeight w:val="998"/>
        </w:trPr>
        <w:tc>
          <w:tcPr>
            <w:tcW w:w="646" w:type="dxa"/>
            <w:vAlign w:val="center"/>
            <w:textDirection w:val="lrTb"/>
            <w:noWrap w:val="false"/>
          </w:tcPr>
          <w:p>
            <w:pPr>
              <w:pStyle w:val="744"/>
              <w:jc w:val="center"/>
              <w:shd w:val="clear" w:color="auto" w:fill="auto"/>
              <w:rPr>
                <w:rFonts w:hint="eastAsia" w:ascii="宋体" w:hAnsi="宋体" w:cs="宋体"/>
                <w:color w:val="000000"/>
                <w:highlight w:val="none"/>
              </w:rPr>
            </w:pPr>
            <w:r>
              <w:rPr>
                <w:rFonts w:hint="eastAsia" w:ascii="宋体" w:hAnsi="宋体" w:cs="宋体"/>
                <w:color w:val="000000"/>
                <w:highlight w:val="none"/>
              </w:rPr>
              <w:t xml:space="preserve">7</w:t>
            </w:r>
            <w:r>
              <w:rPr>
                <w:rFonts w:hint="eastAsia" w:ascii="宋体" w:hAnsi="宋体" w:cs="宋体"/>
                <w:color w:val="000000"/>
                <w:highlight w:val="none"/>
              </w:rPr>
            </w:r>
            <w:r/>
          </w:p>
        </w:tc>
        <w:tc>
          <w:tcPr>
            <w:tcW w:w="5447" w:type="dxa"/>
            <w:vAlign w:val="center"/>
            <w:textDirection w:val="lrTb"/>
            <w:noWrap w:val="false"/>
          </w:tcPr>
          <w:p>
            <w:pPr>
              <w:pStyle w:val="744"/>
              <w:spacing w:line="590" w:lineRule="atLeast"/>
              <w:shd w:val="clear" w:color="auto" w:fill="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t xml:space="preserve">招标文件中的其他实质性要求</w:t>
            </w:r>
            <w:r>
              <w:rPr>
                <w:rFonts w:hint="eastAsia" w:ascii="宋体" w:hAnsi="宋体" w:cs="宋体"/>
                <w:iCs/>
                <w:color w:val="000000"/>
                <w:sz w:val="24"/>
                <w:szCs w:val="24"/>
                <w:highlight w:val="none"/>
              </w:rPr>
            </w:r>
            <w:r/>
          </w:p>
        </w:tc>
        <w:tc>
          <w:tcPr>
            <w:tcW w:w="2673" w:type="dxa"/>
            <w:vAlign w:val="center"/>
            <w:textDirection w:val="lrTb"/>
            <w:noWrap w:val="false"/>
          </w:tcPr>
          <w:p>
            <w:pPr>
              <w:pStyle w:val="744"/>
              <w:shd w:val="clear" w:color="auto" w:fill="auto"/>
              <w:rPr>
                <w:rFonts w:hint="eastAsia" w:ascii="宋体" w:hAnsi="宋体" w:cs="宋体"/>
                <w:color w:val="000000"/>
                <w:highlight w:val="none"/>
              </w:rPr>
            </w:pPr>
            <w:r>
              <w:rPr>
                <w:rFonts w:hint="eastAsia" w:ascii="宋体" w:hAnsi="宋体" w:cs="宋体"/>
                <w:color w:val="000000"/>
                <w:highlight w:val="none"/>
              </w:rPr>
            </w:r>
            <w:r/>
          </w:p>
        </w:tc>
      </w:tr>
    </w:tbl>
    <w:p>
      <w:pPr>
        <w:pStyle w:val="744"/>
        <w:spacing w:before="50" w:after="50"/>
        <w:shd w:val="clear" w:color="auto" w:fill="auto"/>
        <w:rPr>
          <w:rFonts w:hint="eastAsia" w:ascii="宋体" w:hAnsi="宋体" w:cs="宋体"/>
          <w:color w:val="000000"/>
          <w:sz w:val="44"/>
          <w:highlight w:val="none"/>
        </w:rPr>
      </w:pPr>
      <w:r>
        <w:rPr>
          <w:rFonts w:hint="eastAsia" w:ascii="宋体" w:hAnsi="宋体" w:cs="宋体"/>
          <w:color w:val="000000"/>
          <w:sz w:val="44"/>
          <w:highlight w:val="none"/>
        </w:rPr>
      </w:r>
      <w:r/>
    </w:p>
    <w:p>
      <w:pPr>
        <w:pStyle w:val="744"/>
        <w:spacing w:before="50" w:after="50"/>
        <w:shd w:val="clear" w:color="auto" w:fill="auto"/>
        <w:rPr>
          <w:rFonts w:hint="eastAsia" w:ascii="宋体" w:hAnsi="宋体" w:cs="宋体"/>
          <w:color w:val="000000"/>
          <w:sz w:val="44"/>
          <w:highlight w:val="none"/>
        </w:rPr>
      </w:pPr>
      <w:r>
        <w:rPr>
          <w:rFonts w:hint="eastAsia" w:ascii="宋体" w:hAnsi="宋体" w:cs="宋体"/>
          <w:color w:val="000000"/>
          <w:sz w:val="44"/>
          <w:highlight w:val="none"/>
        </w:rPr>
      </w:r>
      <w:r/>
    </w:p>
    <w:p>
      <w:pPr>
        <w:pStyle w:val="744"/>
        <w:spacing w:before="50" w:after="50"/>
        <w:shd w:val="clear" w:color="auto" w:fill="auto"/>
        <w:rPr>
          <w:rFonts w:hint="eastAsia" w:ascii="宋体" w:hAnsi="宋体" w:cs="宋体"/>
          <w:color w:val="000000"/>
          <w:sz w:val="44"/>
          <w:highlight w:val="none"/>
        </w:rPr>
      </w:pPr>
      <w:r>
        <w:rPr>
          <w:rFonts w:hint="eastAsia" w:ascii="宋体" w:hAnsi="宋体" w:cs="宋体"/>
          <w:color w:val="000000"/>
          <w:sz w:val="44"/>
          <w:highlight w:val="none"/>
        </w:rPr>
      </w:r>
      <w:r/>
    </w:p>
    <w:p>
      <w:pPr>
        <w:pStyle w:val="744"/>
        <w:spacing w:before="50" w:after="50"/>
        <w:shd w:val="clear" w:color="auto" w:fill="auto"/>
        <w:rPr>
          <w:rFonts w:hint="eastAsia" w:ascii="宋体" w:hAnsi="宋体" w:cs="宋体"/>
          <w:color w:val="000000"/>
          <w:sz w:val="44"/>
          <w:highlight w:val="none"/>
        </w:rPr>
      </w:pPr>
      <w:r>
        <w:rPr>
          <w:rFonts w:hint="eastAsia" w:ascii="宋体" w:hAnsi="宋体" w:cs="宋体"/>
          <w:color w:val="000000"/>
          <w:sz w:val="44"/>
          <w:highlight w:val="none"/>
        </w:rPr>
      </w:r>
      <w:r/>
    </w:p>
    <w:p>
      <w:pPr>
        <w:pStyle w:val="744"/>
        <w:spacing w:before="50" w:after="50"/>
        <w:shd w:val="clear" w:color="auto" w:fill="auto"/>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           </w:t>
      </w:r>
      <w:bookmarkStart w:id="181" w:name="_Toc120614284"/>
      <w:r>
        <w:rPr>
          <w:rFonts w:hint="eastAsia" w:ascii="宋体" w:hAnsi="宋体" w:cs="宋体"/>
          <w:color w:val="000000"/>
          <w:sz w:val="32"/>
          <w:szCs w:val="32"/>
          <w:highlight w:val="none"/>
        </w:rPr>
      </w:r>
      <w:r/>
    </w:p>
    <w:p>
      <w:pPr>
        <w:pStyle w:val="744"/>
        <w:spacing w:before="50" w:after="50"/>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44"/>
        <w:jc w:val="center"/>
        <w:spacing w:before="50" w:after="50"/>
        <w:shd w:val="clear" w:color="auto" w:fill="auto"/>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744"/>
        <w:jc w:val="center"/>
        <w:spacing w:before="50" w:after="50"/>
        <w:shd w:val="clear" w:color="auto" w:fill="auto"/>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744"/>
        <w:jc w:val="center"/>
        <w:spacing w:before="50" w:after="50"/>
        <w:shd w:val="clear" w:color="auto" w:fill="auto"/>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四、投标函</w:t>
      </w:r>
      <w:r>
        <w:rPr>
          <w:rFonts w:hint="eastAsia" w:ascii="宋体" w:hAnsi="宋体" w:cs="宋体"/>
          <w:color w:val="000000"/>
          <w:sz w:val="32"/>
          <w:szCs w:val="32"/>
          <w:highlight w:val="none"/>
        </w:rPr>
      </w:r>
      <w:r/>
    </w:p>
    <w:p>
      <w:pPr>
        <w:pStyle w:val="826"/>
        <w:ind w:firstLine="0"/>
        <w:spacing w:before="0" w:after="0" w:line="42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致：</w:t>
      </w:r>
      <w:r>
        <w:rPr>
          <w:rFonts w:hint="eastAsia" w:ascii="宋体" w:hAnsi="宋体" w:cs="宋体"/>
          <w:color w:val="000000"/>
          <w:szCs w:val="21"/>
          <w:highlight w:val="none"/>
          <w:u w:val="single"/>
        </w:rPr>
        <w:t xml:space="preserve">              （采购人）</w:t>
      </w:r>
      <w:r>
        <w:rPr>
          <w:rFonts w:hint="eastAsia" w:ascii="宋体" w:hAnsi="宋体" w:cs="宋体"/>
          <w:color w:val="000000"/>
          <w:szCs w:val="21"/>
          <w:highlight w:val="none"/>
        </w:rPr>
      </w:r>
      <w:r/>
    </w:p>
    <w:p>
      <w:pPr>
        <w:pStyle w:val="826"/>
        <w:spacing w:before="0" w:after="0" w:line="42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根据贵方的</w:t>
      </w:r>
      <w:r>
        <w:rPr>
          <w:rFonts w:hint="eastAsia" w:ascii="宋体" w:hAnsi="宋体" w:cs="宋体"/>
          <w:b/>
          <w:color w:val="000000"/>
          <w:sz w:val="36"/>
          <w:highlight w:val="none"/>
          <w:u w:val="single"/>
        </w:rPr>
        <w:t xml:space="preserve">           </w:t>
      </w:r>
      <w:r>
        <w:rPr>
          <w:rFonts w:hint="eastAsia" w:ascii="宋体" w:hAnsi="宋体" w:cs="宋体"/>
          <w:color w:val="000000"/>
          <w:szCs w:val="21"/>
          <w:highlight w:val="none"/>
        </w:rPr>
        <w:t xml:space="preserve">（项目名称）招标文件，正式授权下述签字人_________________(姓名)代表我方______________（投标人的名称），全权处理本次项目投标的有关事宜。</w:t>
      </w:r>
      <w:r>
        <w:rPr>
          <w:rFonts w:hint="eastAsia" w:ascii="宋体" w:hAnsi="宋体" w:cs="宋体"/>
          <w:color w:val="000000"/>
          <w:szCs w:val="21"/>
          <w:highlight w:val="none"/>
        </w:rPr>
      </w:r>
      <w:r/>
    </w:p>
    <w:p>
      <w:pPr>
        <w:pStyle w:val="826"/>
        <w:spacing w:before="0" w:after="0" w:line="42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据此函，__________签字人兹宣布同意如下：</w:t>
      </w:r>
      <w:r>
        <w:rPr>
          <w:rFonts w:hint="eastAsia" w:ascii="宋体" w:hAnsi="宋体" w:cs="宋体"/>
          <w:color w:val="000000"/>
          <w:szCs w:val="21"/>
          <w:highlight w:val="none"/>
        </w:rPr>
      </w:r>
      <w:r/>
    </w:p>
    <w:p>
      <w:pPr>
        <w:pStyle w:val="826"/>
        <w:spacing w:before="0" w:after="0" w:line="42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1.按招标文件规定的各项要求，向买方提供所需货物与服务。</w:t>
      </w:r>
      <w:r>
        <w:rPr>
          <w:rFonts w:hint="eastAsia" w:ascii="宋体" w:hAnsi="宋体" w:cs="宋体"/>
          <w:color w:val="000000"/>
          <w:szCs w:val="21"/>
          <w:highlight w:val="none"/>
        </w:rPr>
      </w:r>
      <w:r/>
    </w:p>
    <w:p>
      <w:pPr>
        <w:pStyle w:val="826"/>
        <w:spacing w:before="0" w:after="0" w:line="42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2.我们完全理解贵方不一定将合同授予最低报价的投标人。</w:t>
      </w:r>
      <w:r>
        <w:rPr>
          <w:rFonts w:hint="eastAsia" w:ascii="宋体" w:hAnsi="宋体" w:cs="宋体"/>
          <w:color w:val="000000"/>
          <w:szCs w:val="21"/>
          <w:highlight w:val="none"/>
        </w:rPr>
      </w:r>
      <w:r/>
    </w:p>
    <w:p>
      <w:pPr>
        <w:pStyle w:val="826"/>
        <w:spacing w:before="0" w:after="0" w:line="42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3.我们已详细审核全部招标文件及其有效补充文件，我们知道必须放弃提出含糊不清或误解问题的权利。</w:t>
      </w:r>
      <w:r>
        <w:rPr>
          <w:rFonts w:hint="eastAsia" w:ascii="宋体" w:hAnsi="宋体" w:cs="宋体"/>
          <w:color w:val="000000"/>
          <w:szCs w:val="21"/>
          <w:highlight w:val="none"/>
        </w:rPr>
      </w:r>
      <w:r/>
    </w:p>
    <w:p>
      <w:pPr>
        <w:pStyle w:val="826"/>
        <w:spacing w:before="0" w:after="0" w:line="42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4.我们同意从规定的开标日期起遵循本投标文件，并在规定的投标有效期期满之前均具有约束力。</w:t>
      </w:r>
      <w:r>
        <w:rPr>
          <w:rFonts w:hint="eastAsia" w:ascii="宋体" w:hAnsi="宋体" w:cs="宋体"/>
          <w:color w:val="000000"/>
          <w:szCs w:val="21"/>
          <w:highlight w:val="none"/>
        </w:rPr>
      </w:r>
      <w:r/>
    </w:p>
    <w:p>
      <w:pPr>
        <w:pStyle w:val="826"/>
        <w:spacing w:before="0" w:after="0" w:line="42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5.如果在开标后规定的投标有效期内撤回投标或中标后拒绝签订合同，则按照国家相关法律法规受到相应处罚。</w:t>
      </w:r>
      <w:r>
        <w:rPr>
          <w:rFonts w:hint="eastAsia" w:ascii="宋体" w:hAnsi="宋体" w:cs="宋体"/>
          <w:color w:val="000000"/>
          <w:szCs w:val="21"/>
          <w:highlight w:val="none"/>
        </w:rPr>
      </w:r>
      <w:r/>
    </w:p>
    <w:p>
      <w:pPr>
        <w:pStyle w:val="826"/>
        <w:spacing w:before="0" w:after="0" w:line="42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6.同意向贵方提供贵方可能另外要求的与投标有关的任何证据或资料，并保证我方已提供和将要提供的文件是真实的、准确的。</w:t>
      </w:r>
      <w:r>
        <w:rPr>
          <w:rFonts w:hint="eastAsia" w:ascii="宋体" w:hAnsi="宋体" w:cs="宋体"/>
          <w:color w:val="000000"/>
          <w:szCs w:val="21"/>
          <w:highlight w:val="none"/>
        </w:rPr>
      </w:r>
      <w:r/>
    </w:p>
    <w:p>
      <w:pPr>
        <w:pStyle w:val="826"/>
        <w:spacing w:before="0" w:after="0" w:line="42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7.一旦我方中标,我方将根据招标文件的规定，严格履行合同的责任和义务,并保证在招标文件规定的时间完成项目，交付买方验收、使用。</w:t>
      </w:r>
      <w:r>
        <w:rPr>
          <w:rFonts w:hint="eastAsia" w:ascii="宋体" w:hAnsi="宋体" w:cs="宋体"/>
          <w:color w:val="000000"/>
          <w:szCs w:val="21"/>
          <w:highlight w:val="none"/>
        </w:rPr>
      </w:r>
      <w:r/>
    </w:p>
    <w:p>
      <w:pPr>
        <w:pStyle w:val="826"/>
        <w:ind w:left="425" w:firstLine="0"/>
        <w:spacing w:before="0" w:after="0" w:line="42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8.与本投标有关的正式通讯地址为：</w:t>
      </w:r>
      <w:r>
        <w:rPr>
          <w:rFonts w:hint="eastAsia" w:ascii="宋体" w:hAnsi="宋体" w:cs="宋体"/>
          <w:color w:val="000000"/>
          <w:szCs w:val="21"/>
          <w:highlight w:val="none"/>
        </w:rPr>
      </w:r>
      <w:r/>
    </w:p>
    <w:p>
      <w:pPr>
        <w:pStyle w:val="826"/>
        <w:ind w:left="420"/>
        <w:spacing w:before="0" w:after="0" w:line="42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地          址：</w:t>
      </w:r>
      <w:r>
        <w:rPr>
          <w:rFonts w:hint="eastAsia" w:ascii="宋体" w:hAnsi="宋体" w:cs="宋体"/>
          <w:color w:val="000000"/>
          <w:szCs w:val="21"/>
          <w:highlight w:val="none"/>
        </w:rPr>
      </w:r>
      <w:r/>
    </w:p>
    <w:p>
      <w:pPr>
        <w:pStyle w:val="826"/>
        <w:ind w:left="420"/>
        <w:spacing w:before="0" w:after="0" w:line="42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邮          编：</w:t>
      </w:r>
      <w:r>
        <w:rPr>
          <w:rFonts w:hint="eastAsia" w:ascii="宋体" w:hAnsi="宋体" w:cs="宋体"/>
          <w:color w:val="000000"/>
          <w:szCs w:val="21"/>
          <w:highlight w:val="none"/>
        </w:rPr>
      </w:r>
      <w:r/>
    </w:p>
    <w:p>
      <w:pPr>
        <w:pStyle w:val="826"/>
        <w:ind w:left="420"/>
        <w:spacing w:before="0" w:after="0" w:line="42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电          话：</w:t>
      </w:r>
      <w:r>
        <w:rPr>
          <w:rFonts w:hint="eastAsia" w:ascii="宋体" w:hAnsi="宋体" w:cs="宋体"/>
          <w:color w:val="000000"/>
          <w:szCs w:val="21"/>
          <w:highlight w:val="none"/>
        </w:rPr>
      </w:r>
      <w:r/>
    </w:p>
    <w:p>
      <w:pPr>
        <w:pStyle w:val="826"/>
        <w:ind w:left="420"/>
        <w:spacing w:before="0" w:after="0" w:line="42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传          真：</w:t>
      </w:r>
      <w:r>
        <w:rPr>
          <w:rFonts w:hint="eastAsia" w:ascii="宋体" w:hAnsi="宋体" w:cs="宋体"/>
          <w:color w:val="000000"/>
          <w:szCs w:val="21"/>
          <w:highlight w:val="none"/>
        </w:rPr>
      </w:r>
      <w:r/>
    </w:p>
    <w:p>
      <w:pPr>
        <w:pStyle w:val="826"/>
        <w:ind w:left="420"/>
        <w:spacing w:before="0" w:after="0" w:line="42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投标人开户行：</w:t>
      </w:r>
      <w:r>
        <w:rPr>
          <w:rFonts w:hint="eastAsia" w:ascii="宋体" w:hAnsi="宋体" w:cs="宋体"/>
          <w:color w:val="000000"/>
          <w:szCs w:val="21"/>
          <w:highlight w:val="none"/>
        </w:rPr>
      </w:r>
      <w:r/>
    </w:p>
    <w:p>
      <w:pPr>
        <w:pStyle w:val="826"/>
        <w:ind w:left="420"/>
        <w:spacing w:before="0" w:after="0" w:line="42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账          户： </w:t>
      </w:r>
      <w:r>
        <w:rPr>
          <w:rFonts w:hint="eastAsia" w:ascii="宋体" w:hAnsi="宋体" w:cs="宋体"/>
          <w:color w:val="000000"/>
          <w:szCs w:val="21"/>
          <w:highlight w:val="none"/>
        </w:rPr>
      </w:r>
      <w:r/>
    </w:p>
    <w:p>
      <w:pPr>
        <w:pStyle w:val="826"/>
        <w:ind w:left="420"/>
        <w:spacing w:before="0" w:after="0" w:line="42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投标人授权代表姓名（签字）：</w:t>
      </w:r>
      <w:r>
        <w:rPr>
          <w:rFonts w:hint="eastAsia" w:ascii="宋体" w:hAnsi="宋体" w:cs="宋体"/>
          <w:color w:val="000000"/>
          <w:szCs w:val="21"/>
          <w:highlight w:val="none"/>
        </w:rPr>
      </w:r>
      <w:r/>
    </w:p>
    <w:p>
      <w:pPr>
        <w:pStyle w:val="826"/>
        <w:ind w:left="420"/>
        <w:spacing w:before="0" w:after="0" w:line="42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 投标人授权代表电话（手机号码）：</w:t>
      </w:r>
      <w:r>
        <w:rPr>
          <w:rFonts w:hint="eastAsia" w:ascii="宋体" w:hAnsi="宋体" w:cs="宋体"/>
          <w:color w:val="000000"/>
          <w:szCs w:val="21"/>
          <w:highlight w:val="none"/>
        </w:rPr>
      </w:r>
      <w:r/>
    </w:p>
    <w:p>
      <w:pPr>
        <w:pStyle w:val="826"/>
        <w:ind w:left="420"/>
        <w:spacing w:before="0" w:after="0" w:line="42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投标人名称（公章）： </w:t>
      </w:r>
      <w:r>
        <w:rPr>
          <w:rFonts w:hint="eastAsia" w:ascii="宋体" w:hAnsi="宋体" w:cs="宋体"/>
          <w:color w:val="000000"/>
          <w:szCs w:val="21"/>
          <w:highlight w:val="none"/>
        </w:rPr>
      </w:r>
      <w:r/>
    </w:p>
    <w:p>
      <w:pPr>
        <w:pStyle w:val="826"/>
        <w:ind w:left="420"/>
        <w:spacing w:before="0" w:after="0" w:line="42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日           期：________年____月____日</w:t>
      </w:r>
      <w:r>
        <w:rPr>
          <w:rFonts w:hint="eastAsia" w:ascii="宋体" w:hAnsi="宋体" w:cs="宋体"/>
          <w:color w:val="000000"/>
          <w:szCs w:val="21"/>
          <w:highlight w:val="none"/>
        </w:rPr>
      </w:r>
      <w:r/>
    </w:p>
    <w:p>
      <w:pPr>
        <w:pStyle w:val="744"/>
        <w:jc w:val="left"/>
        <w:spacing w:before="50" w:after="145"/>
        <w:shd w:val="clear" w:color="auto" w:fill="auto"/>
        <w:rPr>
          <w:rFonts w:hint="eastAsia" w:ascii="宋体" w:hAnsi="宋体" w:cs="宋体"/>
          <w:color w:val="000000"/>
          <w:sz w:val="24"/>
          <w:szCs w:val="20"/>
          <w:highlight w:val="none"/>
        </w:rPr>
      </w:pPr>
      <w:r>
        <w:rPr>
          <w:rFonts w:hint="eastAsia" w:ascii="宋体" w:hAnsi="宋体" w:cs="宋体"/>
          <w:color w:val="000000"/>
          <w:sz w:val="44"/>
          <w:highlight w:val="none"/>
        </w:rPr>
        <w:t xml:space="preserve">          </w:t>
      </w:r>
      <w:r>
        <w:rPr>
          <w:rFonts w:hint="eastAsia" w:ascii="宋体" w:hAnsi="宋体" w:cs="宋体"/>
          <w:color w:val="000000"/>
          <w:sz w:val="24"/>
          <w:szCs w:val="20"/>
          <w:highlight w:val="none"/>
        </w:rPr>
      </w:r>
      <w:r/>
    </w:p>
    <w:p>
      <w:pPr>
        <w:pStyle w:val="744"/>
        <w:jc w:val="center"/>
        <w:spacing w:before="50" w:after="50"/>
        <w:shd w:val="clear" w:color="auto" w:fill="auto"/>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810"/>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44"/>
        <w:jc w:val="center"/>
        <w:spacing w:before="50" w:after="50"/>
        <w:shd w:val="clear" w:color="auto" w:fill="auto"/>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五、开标一览表</w:t>
      </w:r>
      <w:r>
        <w:rPr>
          <w:rFonts w:hint="eastAsia" w:ascii="宋体" w:hAnsi="宋体" w:cs="宋体"/>
          <w:color w:val="000000"/>
          <w:sz w:val="32"/>
          <w:szCs w:val="32"/>
          <w:highlight w:val="none"/>
        </w:rPr>
      </w:r>
      <w:r/>
    </w:p>
    <w:p>
      <w:pPr>
        <w:pStyle w:val="744"/>
        <w:jc w:val="center"/>
        <w:spacing w:before="50" w:after="50"/>
        <w:shd w:val="clear" w:color="auto" w:fill="auto"/>
        <w:rPr>
          <w:rFonts w:hint="eastAsia" w:ascii="宋体" w:hAnsi="宋体" w:cs="宋体"/>
          <w:color w:val="000000"/>
          <w:sz w:val="32"/>
          <w:szCs w:val="32"/>
          <w:highlight w:val="none"/>
        </w:rPr>
      </w:pPr>
      <w:r>
        <w:rPr>
          <w:rFonts w:hint="eastAsia" w:ascii="宋体" w:hAnsi="宋体" w:cs="宋体"/>
          <w:color w:val="000000"/>
          <w:sz w:val="32"/>
          <w:szCs w:val="32"/>
          <w:highlight w:val="none"/>
        </w:rPr>
      </w:r>
      <w:r/>
    </w:p>
    <w:tbl>
      <w:tblPr>
        <w:tblW w:w="0" w:type="auto"/>
        <w:tblInd w:w="-3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00"/>
        <w:gridCol w:w="7445"/>
      </w:tblGrid>
      <w:tr>
        <w:trPr>
          <w:cantSplit/>
          <w:trHeight w:val="789"/>
        </w:trPr>
        <w:tc>
          <w:tcPr>
            <w:tcW w:w="2700" w:type="dxa"/>
            <w:vAlign w:val="center"/>
            <w:textDirection w:val="lrTb"/>
            <w:noWrap w:val="false"/>
          </w:tcPr>
          <w:p>
            <w:pPr>
              <w:pStyle w:val="744"/>
              <w:ind w:firstLine="420"/>
              <w:shd w:val="clear" w:color="auto" w:fill="auto"/>
              <w:rPr>
                <w:rFonts w:hint="eastAsia" w:ascii="宋体" w:hAnsi="宋体" w:cs="宋体"/>
                <w:color w:val="000000"/>
                <w:szCs w:val="28"/>
                <w:highlight w:val="none"/>
              </w:rPr>
            </w:pPr>
            <w:r>
              <w:rPr>
                <w:rFonts w:hint="eastAsia" w:ascii="宋体" w:hAnsi="宋体" w:cs="宋体"/>
                <w:color w:val="000000"/>
                <w:szCs w:val="28"/>
                <w:highlight w:val="none"/>
              </w:rPr>
              <w:t xml:space="preserve">项 目 编 号</w:t>
            </w:r>
            <w:r>
              <w:rPr>
                <w:rFonts w:hint="eastAsia" w:ascii="宋体" w:hAnsi="宋体" w:cs="宋体"/>
                <w:color w:val="000000"/>
                <w:szCs w:val="28"/>
                <w:highlight w:val="none"/>
              </w:rPr>
            </w:r>
            <w:r/>
          </w:p>
        </w:tc>
        <w:tc>
          <w:tcPr>
            <w:tcW w:w="7445" w:type="dxa"/>
            <w:vAlign w:val="center"/>
            <w:textDirection w:val="lrTb"/>
            <w:noWrap w:val="false"/>
          </w:tcPr>
          <w:p>
            <w:pPr>
              <w:pStyle w:val="746"/>
              <w:ind w:firstLine="689"/>
              <w:jc w:val="both"/>
              <w:shd w:val="clear" w:color="auto" w:fill="auto"/>
              <w:rPr>
                <w:rFonts w:hint="eastAsia" w:ascii="宋体" w:hAnsi="宋体" w:eastAsia="宋体" w:cs="宋体"/>
                <w:color w:val="000000"/>
                <w:sz w:val="28"/>
                <w:szCs w:val="28"/>
                <w:highlight w:val="none"/>
              </w:rPr>
              <w:outlineLvl w:val="1"/>
            </w:pPr>
            <w:r>
              <w:rPr>
                <w:rFonts w:hint="eastAsia" w:ascii="宋体" w:hAnsi="宋体" w:eastAsia="宋体" w:cs="宋体"/>
                <w:color w:val="000000"/>
                <w:sz w:val="28"/>
                <w:szCs w:val="28"/>
                <w:highlight w:val="none"/>
              </w:rPr>
            </w:r>
            <w:r/>
          </w:p>
        </w:tc>
      </w:tr>
      <w:tr>
        <w:trPr>
          <w:cantSplit/>
          <w:trHeight w:val="789"/>
        </w:trPr>
        <w:tc>
          <w:tcPr>
            <w:tcW w:w="2700" w:type="dxa"/>
            <w:vAlign w:val="center"/>
            <w:textDirection w:val="lrTb"/>
            <w:noWrap w:val="false"/>
          </w:tcPr>
          <w:p>
            <w:pPr>
              <w:pStyle w:val="744"/>
              <w:ind w:firstLine="420"/>
              <w:shd w:val="clear" w:color="auto" w:fill="auto"/>
              <w:rPr>
                <w:rFonts w:hint="eastAsia" w:ascii="宋体" w:hAnsi="宋体" w:cs="宋体"/>
                <w:color w:val="000000"/>
                <w:szCs w:val="28"/>
                <w:highlight w:val="none"/>
              </w:rPr>
            </w:pPr>
            <w:r>
              <w:rPr>
                <w:rFonts w:hint="eastAsia" w:ascii="宋体" w:hAnsi="宋体" w:cs="宋体"/>
                <w:color w:val="000000"/>
                <w:szCs w:val="28"/>
                <w:highlight w:val="none"/>
              </w:rPr>
              <w:t xml:space="preserve">项 目 名 称</w:t>
            </w:r>
            <w:r>
              <w:rPr>
                <w:rFonts w:hint="eastAsia" w:ascii="宋体" w:hAnsi="宋体" w:cs="宋体"/>
                <w:color w:val="000000"/>
                <w:szCs w:val="28"/>
                <w:highlight w:val="none"/>
              </w:rPr>
            </w:r>
            <w:r/>
          </w:p>
        </w:tc>
        <w:tc>
          <w:tcPr>
            <w:tcW w:w="7445" w:type="dxa"/>
            <w:vAlign w:val="center"/>
            <w:textDirection w:val="lrTb"/>
            <w:noWrap w:val="false"/>
          </w:tcPr>
          <w:p>
            <w:pPr>
              <w:pStyle w:val="746"/>
              <w:jc w:val="both"/>
              <w:shd w:val="clear" w:color="auto" w:fill="auto"/>
              <w:rPr>
                <w:rFonts w:hint="eastAsia" w:ascii="宋体" w:hAnsi="宋体" w:eastAsia="宋体" w:cs="宋体"/>
                <w:color w:val="000000"/>
                <w:sz w:val="28"/>
                <w:szCs w:val="28"/>
                <w:highlight w:val="none"/>
              </w:rPr>
              <w:outlineLvl w:val="1"/>
            </w:pPr>
            <w:r>
              <w:rPr>
                <w:rFonts w:hint="eastAsia" w:ascii="宋体" w:hAnsi="宋体" w:eastAsia="宋体" w:cs="宋体"/>
                <w:color w:val="000000"/>
                <w:sz w:val="28"/>
                <w:szCs w:val="28"/>
                <w:highlight w:val="none"/>
              </w:rPr>
            </w:r>
            <w:r/>
          </w:p>
        </w:tc>
      </w:tr>
      <w:tr>
        <w:trPr>
          <w:cantSplit/>
          <w:trHeight w:val="821"/>
        </w:trPr>
        <w:tc>
          <w:tcPr>
            <w:gridSpan w:val="2"/>
            <w:tcW w:w="10145" w:type="dxa"/>
            <w:vAlign w:val="center"/>
            <w:textDirection w:val="lrTb"/>
            <w:noWrap w:val="false"/>
          </w:tcPr>
          <w:p>
            <w:pPr>
              <w:pStyle w:val="744"/>
              <w:shd w:val="clear" w:color="auto" w:fill="auto"/>
              <w:rPr>
                <w:rFonts w:ascii="宋体" w:hAnsi="宋体" w:cs="宋体"/>
                <w:color w:val="000000"/>
                <w:szCs w:val="28"/>
                <w:highlight w:val="none"/>
              </w:rPr>
            </w:pPr>
            <w:r>
              <w:rPr>
                <w:rFonts w:hint="eastAsia" w:ascii="宋体" w:hAnsi="宋体" w:cs="宋体"/>
                <w:b/>
                <w:bCs/>
                <w:color w:val="000000"/>
                <w:szCs w:val="28"/>
                <w:highlight w:val="none"/>
              </w:rPr>
              <w:t xml:space="preserve">项目投标单价报价：（大写）</w:t>
            </w:r>
            <w:r>
              <w:rPr>
                <w:rFonts w:hint="eastAsia" w:ascii="宋体" w:hAnsi="宋体" w:cs="宋体"/>
                <w:b/>
                <w:bCs/>
                <w:color w:val="000000"/>
                <w:szCs w:val="28"/>
                <w:highlight w:val="none"/>
                <w:u w:val="single"/>
              </w:rPr>
              <w:t xml:space="preserve">                          </w:t>
            </w:r>
            <w:r>
              <w:rPr>
                <w:rFonts w:hint="eastAsia" w:ascii="宋体" w:hAnsi="宋体" w:cs="宋体"/>
                <w:b/>
                <w:bCs/>
                <w:color w:val="000000"/>
                <w:szCs w:val="28"/>
                <w:highlight w:val="none"/>
              </w:rPr>
              <w:t xml:space="preserve">，小写：</w:t>
            </w:r>
            <w:r>
              <w:rPr>
                <w:rFonts w:hint="eastAsia" w:ascii="宋体" w:hAnsi="宋体" w:cs="宋体"/>
                <w:b/>
                <w:bCs/>
                <w:color w:val="000000"/>
                <w:szCs w:val="28"/>
                <w:highlight w:val="none"/>
                <w:u w:val="single"/>
              </w:rPr>
              <w:t xml:space="preserve">                         </w:t>
            </w:r>
            <w:r>
              <w:rPr>
                <w:rFonts w:ascii="宋体" w:hAnsi="宋体" w:cs="宋体"/>
                <w:color w:val="000000"/>
                <w:szCs w:val="28"/>
                <w:highlight w:val="none"/>
              </w:rPr>
            </w:r>
            <w:r/>
          </w:p>
        </w:tc>
      </w:tr>
      <w:tr>
        <w:trPr>
          <w:cantSplit/>
          <w:trHeight w:val="821"/>
        </w:trPr>
        <w:tc>
          <w:tcPr>
            <w:gridSpan w:val="2"/>
            <w:tcW w:w="10145" w:type="dxa"/>
            <w:vAlign w:val="center"/>
            <w:textDirection w:val="lrTb"/>
            <w:noWrap w:val="false"/>
          </w:tcPr>
          <w:p>
            <w:pPr>
              <w:pStyle w:val="744"/>
              <w:shd w:val="clear" w:color="auto" w:fill="auto"/>
              <w:rPr>
                <w:rFonts w:hint="eastAsia" w:ascii="宋体" w:hAnsi="宋体" w:cs="宋体"/>
                <w:b/>
                <w:bCs/>
                <w:color w:val="000000"/>
                <w:szCs w:val="28"/>
                <w:highlight w:val="none"/>
              </w:rPr>
            </w:pPr>
            <w:r>
              <w:rPr>
                <w:rFonts w:hint="eastAsia" w:ascii="宋体" w:hAnsi="宋体" w:cs="宋体"/>
                <w:b/>
                <w:bCs/>
                <w:color w:val="000000"/>
                <w:szCs w:val="28"/>
                <w:highlight w:val="none"/>
              </w:rPr>
              <w:t xml:space="preserve">是否提供《企业类型声明函》：</w:t>
            </w:r>
            <w:r>
              <w:rPr>
                <w:rFonts w:hint="eastAsia" w:ascii="宋体" w:hAnsi="宋体" w:cs="宋体"/>
                <w:b/>
                <w:bCs/>
                <w:color w:val="000000"/>
                <w:szCs w:val="28"/>
                <w:highlight w:val="none"/>
                <w:u w:val="single"/>
              </w:rPr>
              <w:t xml:space="preserve">  是/否   </w:t>
            </w:r>
            <w:r>
              <w:rPr>
                <w:rFonts w:hint="eastAsia" w:ascii="宋体" w:hAnsi="宋体" w:cs="宋体"/>
                <w:b/>
                <w:bCs/>
                <w:color w:val="000000"/>
                <w:szCs w:val="28"/>
                <w:highlight w:val="none"/>
              </w:rPr>
              <w:t xml:space="preserve">           见</w:t>
            </w:r>
            <w:r>
              <w:rPr>
                <w:rFonts w:hint="eastAsia" w:ascii="宋体" w:hAnsi="宋体" w:cs="宋体"/>
                <w:b/>
                <w:bCs/>
                <w:color w:val="000000"/>
                <w:szCs w:val="28"/>
                <w:highlight w:val="none"/>
                <w:u w:val="single"/>
              </w:rPr>
              <w:t xml:space="preserve">（          ）</w:t>
            </w:r>
            <w:r>
              <w:rPr>
                <w:rFonts w:hint="eastAsia" w:ascii="宋体" w:hAnsi="宋体" w:cs="宋体"/>
                <w:b/>
                <w:bCs/>
                <w:color w:val="000000"/>
                <w:szCs w:val="28"/>
                <w:highlight w:val="none"/>
              </w:rPr>
              <w:t xml:space="preserve">页</w:t>
            </w:r>
            <w:r>
              <w:rPr>
                <w:rFonts w:hint="eastAsia" w:ascii="宋体" w:hAnsi="宋体" w:cs="宋体"/>
                <w:b/>
                <w:bCs/>
                <w:color w:val="000000"/>
                <w:szCs w:val="28"/>
                <w:highlight w:val="none"/>
              </w:rPr>
            </w:r>
            <w:r/>
          </w:p>
        </w:tc>
      </w:tr>
      <w:tr>
        <w:trPr>
          <w:cantSplit/>
          <w:trHeight w:val="807"/>
        </w:trPr>
        <w:tc>
          <w:tcPr>
            <w:gridSpan w:val="2"/>
            <w:tcW w:w="10145" w:type="dxa"/>
            <w:vAlign w:val="center"/>
            <w:textDirection w:val="lrTb"/>
            <w:noWrap w:val="false"/>
          </w:tcPr>
          <w:p>
            <w:pPr>
              <w:pStyle w:val="744"/>
              <w:shd w:val="clear" w:color="auto" w:fill="auto"/>
              <w:rPr>
                <w:rFonts w:hint="eastAsia" w:ascii="宋体" w:hAnsi="宋体" w:cs="宋体"/>
                <w:b/>
                <w:bCs/>
                <w:color w:val="000000"/>
                <w:szCs w:val="28"/>
                <w:highlight w:val="none"/>
              </w:rPr>
            </w:pPr>
            <w:r>
              <w:rPr>
                <w:rFonts w:hint="eastAsia" w:ascii="宋体" w:hAnsi="宋体" w:cs="宋体"/>
                <w:b/>
                <w:bCs/>
                <w:color w:val="000000"/>
                <w:szCs w:val="28"/>
                <w:highlight w:val="none"/>
              </w:rPr>
              <w:t xml:space="preserve">合同履行期限： </w:t>
            </w:r>
            <w:r>
              <w:rPr>
                <w:rFonts w:hint="eastAsia" w:ascii="宋体" w:hAnsi="宋体" w:cs="宋体"/>
                <w:b/>
                <w:bCs/>
                <w:color w:val="000000"/>
                <w:szCs w:val="28"/>
                <w:highlight w:val="none"/>
              </w:rPr>
            </w:r>
            <w:r/>
          </w:p>
        </w:tc>
      </w:tr>
    </w:tbl>
    <w:p>
      <w:pPr>
        <w:pStyle w:val="744"/>
        <w:spacing w:line="180" w:lineRule="atLeast"/>
        <w:shd w:val="clear" w:color="auto" w:fill="auto"/>
        <w:rPr>
          <w:rFonts w:hint="eastAsia" w:ascii="宋体" w:hAnsi="宋体" w:cs="宋体"/>
          <w:color w:val="000000"/>
          <w:szCs w:val="28"/>
          <w:highlight w:val="none"/>
        </w:rPr>
      </w:pPr>
      <w:r>
        <w:rPr>
          <w:rFonts w:hint="eastAsia" w:ascii="宋体" w:hAnsi="宋体" w:cs="宋体"/>
          <w:color w:val="000000"/>
          <w:szCs w:val="28"/>
          <w:highlight w:val="none"/>
        </w:rPr>
        <w:t xml:space="preserve">填写说明：</w:t>
      </w:r>
      <w:r>
        <w:rPr>
          <w:rFonts w:hint="eastAsia" w:ascii="宋体" w:hAnsi="宋体" w:cs="宋体"/>
          <w:color w:val="000000"/>
          <w:szCs w:val="28"/>
          <w:highlight w:val="none"/>
        </w:rPr>
      </w:r>
      <w:r/>
    </w:p>
    <w:p>
      <w:pPr>
        <w:pStyle w:val="744"/>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1.开标一览表不得填报选择性报价，否则将作为无效投标；</w:t>
      </w:r>
      <w:r>
        <w:rPr>
          <w:rFonts w:hint="eastAsia" w:ascii="宋体" w:hAnsi="宋体" w:cs="宋体"/>
          <w:color w:val="000000"/>
          <w:sz w:val="24"/>
          <w:szCs w:val="24"/>
          <w:highlight w:val="none"/>
        </w:rPr>
      </w:r>
      <w:r/>
    </w:p>
    <w:p>
      <w:pPr>
        <w:pStyle w:val="744"/>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2.开标一览表中报价与投标分项明细报价表中不符时时，以开标一览表为准；</w:t>
      </w:r>
      <w:r>
        <w:rPr>
          <w:rFonts w:hint="eastAsia" w:ascii="宋体" w:hAnsi="宋体" w:cs="宋体"/>
          <w:color w:val="000000"/>
          <w:sz w:val="24"/>
          <w:szCs w:val="24"/>
          <w:highlight w:val="none"/>
        </w:rPr>
      </w:r>
      <w:r/>
    </w:p>
    <w:p>
      <w:pPr>
        <w:pStyle w:val="744"/>
        <w:ind w:firstLine="2640"/>
        <w:shd w:val="clear" w:color="auto" w:fill="auto"/>
        <w:rPr>
          <w:rFonts w:hint="eastAsia" w:ascii="宋体" w:hAnsi="宋体" w:cs="宋体"/>
          <w:color w:val="000000"/>
          <w:sz w:val="44"/>
          <w:highlight w:val="none"/>
        </w:rPr>
      </w:pPr>
      <w:r>
        <w:rPr>
          <w:rFonts w:hint="eastAsia" w:ascii="宋体" w:hAnsi="宋体" w:cs="宋体"/>
          <w:color w:val="000000"/>
          <w:sz w:val="44"/>
          <w:highlight w:val="none"/>
        </w:rPr>
      </w:r>
      <w:r/>
    </w:p>
    <w:p>
      <w:pPr>
        <w:pStyle w:val="744"/>
        <w:ind w:firstLine="480"/>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744"/>
        <w:ind w:firstLine="480"/>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744"/>
        <w:ind w:firstLine="480"/>
        <w:jc w:val="right"/>
        <w:shd w:val="clear" w:color="auto" w:fill="auto"/>
        <w:rPr>
          <w:rFonts w:hint="eastAsia" w:ascii="宋体" w:hAnsi="宋体" w:cs="宋体"/>
          <w:color w:val="000000"/>
          <w:sz w:val="24"/>
          <w:highlight w:val="none"/>
        </w:rPr>
      </w:pPr>
      <w:r>
        <w:rPr>
          <w:rFonts w:hint="eastAsia" w:ascii="宋体" w:hAnsi="宋体" w:cs="宋体"/>
          <w:bCs/>
          <w:color w:val="000000"/>
          <w:sz w:val="24"/>
          <w:highlight w:val="none"/>
        </w:rPr>
        <w:t xml:space="preserve">供应商名称（公章）：</w:t>
      </w:r>
      <w:r>
        <w:rPr>
          <w:rFonts w:hint="eastAsia" w:ascii="宋体" w:hAnsi="宋体" w:cs="宋体"/>
          <w:color w:val="000000"/>
          <w:sz w:val="24"/>
          <w:highlight w:val="none"/>
        </w:rPr>
      </w:r>
      <w:r/>
    </w:p>
    <w:p>
      <w:pPr>
        <w:pStyle w:val="744"/>
        <w:ind w:firstLine="480"/>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                                              日期：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hint="eastAsia" w:ascii="宋体" w:hAnsi="宋体" w:cs="宋体"/>
          <w:color w:val="000000"/>
          <w:sz w:val="24"/>
          <w:highlight w:val="none"/>
        </w:rPr>
      </w:r>
      <w:r/>
    </w:p>
    <w:p>
      <w:pPr>
        <w:pStyle w:val="744"/>
        <w:jc w:val="center"/>
        <w:shd w:val="clear" w:color="auto" w:fill="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744"/>
        <w:jc w:val="center"/>
        <w:shd w:val="clear" w:color="auto" w:fill="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744"/>
        <w:shd w:val="clear" w:color="auto" w:fill="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803"/>
        <w:shd w:val="clear" w:color="auto" w:fill="auto"/>
        <w:rPr>
          <w:rFonts w:cs="宋体"/>
          <w:color w:val="000000"/>
          <w:highlight w:val="none"/>
        </w:rPr>
      </w:pPr>
      <w:r>
        <w:rPr>
          <w:rFonts w:cs="宋体"/>
          <w:color w:val="000000"/>
          <w:highlight w:val="none"/>
        </w:rPr>
      </w:r>
      <w:r/>
    </w:p>
    <w:p>
      <w:pPr>
        <w:pStyle w:val="759"/>
        <w:shd w:val="clear" w:color="auto" w:fill="auto"/>
        <w:rPr>
          <w:color w:val="000000"/>
          <w:highlight w:val="none"/>
        </w:rPr>
      </w:pPr>
      <w:r>
        <w:rPr>
          <w:color w:val="000000"/>
          <w:highlight w:val="none"/>
        </w:rPr>
      </w:r>
      <w:r/>
    </w:p>
    <w:p>
      <w:pPr>
        <w:pStyle w:val="759"/>
        <w:shd w:val="clear" w:color="auto" w:fill="auto"/>
        <w:rPr>
          <w:color w:val="000000"/>
          <w:highlight w:val="none"/>
        </w:rPr>
      </w:pPr>
      <w:r>
        <w:rPr>
          <w:color w:val="000000"/>
          <w:highlight w:val="none"/>
        </w:rPr>
      </w:r>
      <w:r/>
    </w:p>
    <w:p>
      <w:pPr>
        <w:pStyle w:val="759"/>
        <w:shd w:val="clear" w:color="auto" w:fill="auto"/>
        <w:rPr>
          <w:color w:val="000000"/>
          <w:highlight w:val="none"/>
        </w:rPr>
      </w:pPr>
      <w:r>
        <w:rPr>
          <w:color w:val="000000"/>
          <w:highlight w:val="none"/>
        </w:rPr>
      </w:r>
      <w:r/>
    </w:p>
    <w:p>
      <w:pPr>
        <w:pStyle w:val="759"/>
        <w:shd w:val="clear" w:color="auto" w:fill="auto"/>
        <w:rPr>
          <w:color w:val="000000"/>
          <w:highlight w:val="none"/>
        </w:rPr>
      </w:pPr>
      <w:r>
        <w:rPr>
          <w:color w:val="000000"/>
          <w:highlight w:val="none"/>
        </w:rPr>
      </w:r>
      <w:r/>
    </w:p>
    <w:p>
      <w:pPr>
        <w:pStyle w:val="759"/>
        <w:shd w:val="clear" w:color="auto" w:fill="auto"/>
        <w:rPr>
          <w:rFonts w:hint="eastAsia"/>
          <w:color w:val="000000"/>
          <w:highlight w:val="none"/>
        </w:rPr>
      </w:pPr>
      <w:r>
        <w:rPr>
          <w:rFonts w:hint="eastAsia"/>
          <w:color w:val="000000"/>
          <w:highlight w:val="none"/>
        </w:rPr>
      </w:r>
      <w:r/>
    </w:p>
    <w:p>
      <w:pPr>
        <w:pStyle w:val="744"/>
        <w:jc w:val="center"/>
        <w:shd w:val="clear" w:color="auto" w:fill="auto"/>
        <w:rPr>
          <w:rFonts w:hint="eastAsia" w:eastAsia="黑体"/>
          <w:bCs/>
          <w:color w:val="000000"/>
          <w:sz w:val="32"/>
          <w:szCs w:val="32"/>
          <w:highlight w:val="none"/>
        </w:rPr>
      </w:pPr>
      <w:r>
        <w:rPr>
          <w:rFonts w:hint="eastAsia" w:ascii="宋体" w:hAnsi="宋体" w:cs="宋体"/>
          <w:color w:val="000000"/>
          <w:sz w:val="32"/>
          <w:szCs w:val="32"/>
          <w:highlight w:val="none"/>
        </w:rPr>
        <w:t xml:space="preserve">六、</w:t>
      </w:r>
      <w:r>
        <w:rPr>
          <w:rFonts w:hint="eastAsia" w:ascii="宋体" w:hAnsi="宋体" w:cs="宋体"/>
          <w:bCs/>
          <w:color w:val="000000"/>
          <w:sz w:val="32"/>
          <w:szCs w:val="32"/>
          <w:highlight w:val="none"/>
        </w:rPr>
        <w:t xml:space="preserve">分项报价表（分包号：**）（服务类）</w:t>
      </w:r>
      <w:r>
        <w:rPr>
          <w:rFonts w:hint="eastAsia" w:eastAsia="黑体"/>
          <w:bCs/>
          <w:color w:val="000000"/>
          <w:sz w:val="32"/>
          <w:szCs w:val="32"/>
          <w:highlight w:val="none"/>
        </w:rPr>
      </w:r>
      <w:r/>
    </w:p>
    <w:tbl>
      <w:tblPr>
        <w:tblW w:w="9053"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pStyle w:val="744"/>
              <w:jc w:val="center"/>
              <w:spacing w:line="0" w:lineRule="atLeast"/>
              <w:shd w:val="clear" w:color="auto" w:fill="auto"/>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序号</w:t>
            </w:r>
            <w:r>
              <w:rPr>
                <w:rFonts w:hint="eastAsia" w:ascii="Times New Roman" w:hAnsi="Times New Roman"/>
                <w:color w:val="000000"/>
                <w:sz w:val="24"/>
                <w:szCs w:val="24"/>
                <w:highlight w:val="none"/>
              </w:rPr>
            </w:r>
            <w:r/>
          </w:p>
        </w:tc>
        <w:tc>
          <w:tcPr>
            <w:tcW w:w="1274" w:type="dxa"/>
            <w:vAlign w:val="center"/>
            <w:textDirection w:val="lrTb"/>
            <w:noWrap w:val="false"/>
          </w:tcPr>
          <w:p>
            <w:pPr>
              <w:pStyle w:val="744"/>
              <w:jc w:val="center"/>
              <w:spacing w:line="0" w:lineRule="atLeast"/>
              <w:shd w:val="clear" w:color="auto" w:fill="auto"/>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1</w:t>
            </w:r>
            <w:r>
              <w:rPr>
                <w:rFonts w:hint="eastAsia" w:ascii="Times New Roman" w:hAnsi="Times New Roman"/>
                <w:color w:val="000000"/>
                <w:sz w:val="24"/>
                <w:szCs w:val="24"/>
                <w:highlight w:val="none"/>
              </w:rPr>
            </w:r>
            <w:r/>
          </w:p>
        </w:tc>
        <w:tc>
          <w:tcPr>
            <w:tcW w:w="1288" w:type="dxa"/>
            <w:vAlign w:val="center"/>
            <w:textDirection w:val="lrTb"/>
            <w:noWrap w:val="false"/>
          </w:tcPr>
          <w:p>
            <w:pPr>
              <w:pStyle w:val="744"/>
              <w:jc w:val="center"/>
              <w:spacing w:line="0" w:lineRule="atLeast"/>
              <w:shd w:val="clear" w:color="auto" w:fill="auto"/>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2</w:t>
            </w:r>
            <w:r>
              <w:rPr>
                <w:rFonts w:hint="eastAsia" w:ascii="Times New Roman" w:hAnsi="Times New Roman"/>
                <w:color w:val="000000"/>
                <w:sz w:val="24"/>
                <w:szCs w:val="24"/>
                <w:highlight w:val="none"/>
              </w:rPr>
            </w:r>
            <w:r/>
          </w:p>
        </w:tc>
        <w:tc>
          <w:tcPr>
            <w:tcW w:w="924" w:type="dxa"/>
            <w:vAlign w:val="center"/>
            <w:textDirection w:val="lrTb"/>
            <w:noWrap w:val="false"/>
          </w:tcPr>
          <w:p>
            <w:pPr>
              <w:pStyle w:val="744"/>
              <w:jc w:val="center"/>
              <w:spacing w:line="0" w:lineRule="atLeast"/>
              <w:shd w:val="clear" w:color="auto" w:fill="auto"/>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3</w:t>
            </w:r>
            <w:r>
              <w:rPr>
                <w:rFonts w:hint="eastAsia" w:ascii="Times New Roman" w:hAnsi="Times New Roman"/>
                <w:color w:val="000000"/>
                <w:sz w:val="24"/>
                <w:szCs w:val="24"/>
                <w:highlight w:val="none"/>
              </w:rPr>
            </w:r>
            <w:r/>
          </w:p>
        </w:tc>
        <w:tc>
          <w:tcPr>
            <w:tcW w:w="1203" w:type="dxa"/>
            <w:vAlign w:val="center"/>
            <w:textDirection w:val="lrTb"/>
            <w:noWrap w:val="false"/>
          </w:tcPr>
          <w:p>
            <w:pPr>
              <w:pStyle w:val="744"/>
              <w:jc w:val="center"/>
              <w:spacing w:line="0" w:lineRule="atLeast"/>
              <w:shd w:val="clear" w:color="auto" w:fill="auto"/>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4</w:t>
            </w:r>
            <w:r>
              <w:rPr>
                <w:rFonts w:hint="eastAsia" w:ascii="Times New Roman" w:hAnsi="Times New Roman"/>
                <w:color w:val="000000"/>
                <w:sz w:val="24"/>
                <w:szCs w:val="24"/>
                <w:highlight w:val="none"/>
              </w:rPr>
            </w:r>
            <w:r/>
          </w:p>
        </w:tc>
        <w:tc>
          <w:tcPr>
            <w:tcW w:w="1618" w:type="dxa"/>
            <w:vAlign w:val="center"/>
            <w:textDirection w:val="lrTb"/>
            <w:noWrap w:val="false"/>
          </w:tcPr>
          <w:p>
            <w:pPr>
              <w:pStyle w:val="744"/>
              <w:jc w:val="center"/>
              <w:spacing w:line="0" w:lineRule="atLeast"/>
              <w:shd w:val="clear" w:color="auto" w:fill="auto"/>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5</w:t>
            </w:r>
            <w:r>
              <w:rPr>
                <w:rFonts w:hint="eastAsia" w:ascii="Times New Roman" w:hAnsi="Times New Roman"/>
                <w:color w:val="000000"/>
                <w:sz w:val="24"/>
                <w:szCs w:val="24"/>
                <w:highlight w:val="none"/>
              </w:rPr>
            </w:r>
            <w:r/>
          </w:p>
        </w:tc>
        <w:tc>
          <w:tcPr>
            <w:tcW w:w="1798" w:type="dxa"/>
            <w:vAlign w:val="center"/>
            <w:textDirection w:val="lrTb"/>
            <w:noWrap w:val="false"/>
          </w:tcPr>
          <w:p>
            <w:pPr>
              <w:pStyle w:val="744"/>
              <w:jc w:val="center"/>
              <w:spacing w:line="0" w:lineRule="atLeast"/>
              <w:shd w:val="clear" w:color="auto" w:fill="auto"/>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6</w:t>
            </w:r>
            <w:r>
              <w:rPr>
                <w:rFonts w:hint="eastAsia" w:ascii="Times New Roman" w:hAnsi="Times New Roman"/>
                <w:color w:val="000000"/>
                <w:sz w:val="24"/>
                <w:szCs w:val="24"/>
                <w:highlight w:val="none"/>
              </w:rPr>
            </w:r>
            <w:r/>
          </w:p>
        </w:tc>
      </w:tr>
      <w:tr>
        <w:trPr>
          <w:cantSplit/>
          <w:trHeight w:val="294"/>
        </w:trPr>
        <w:tc>
          <w:tcPr>
            <w:tcW w:w="948" w:type="dxa"/>
            <w:vAlign w:val="center"/>
            <w:vMerge w:val="continue"/>
            <w:textDirection w:val="lrTb"/>
            <w:noWrap w:val="false"/>
          </w:tcPr>
          <w:p>
            <w:pPr>
              <w:pStyle w:val="744"/>
              <w:jc w:val="center"/>
              <w:spacing w:line="0" w:lineRule="atLeast"/>
              <w:shd w:val="clear" w:color="auto" w:fill="auto"/>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c>
          <w:tcPr>
            <w:tcW w:w="1274" w:type="dxa"/>
            <w:vAlign w:val="center"/>
            <w:textDirection w:val="lrTb"/>
            <w:noWrap w:val="false"/>
          </w:tcPr>
          <w:p>
            <w:pPr>
              <w:pStyle w:val="744"/>
              <w:jc w:val="center"/>
              <w:spacing w:line="0" w:lineRule="atLeast"/>
              <w:shd w:val="clear" w:color="auto" w:fill="auto"/>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分项服务名称</w:t>
            </w:r>
            <w:r>
              <w:rPr>
                <w:rFonts w:hint="eastAsia" w:ascii="Times New Roman" w:hAnsi="Times New Roman"/>
                <w:color w:val="000000"/>
                <w:sz w:val="24"/>
                <w:szCs w:val="24"/>
                <w:highlight w:val="none"/>
              </w:rPr>
            </w:r>
            <w:r/>
          </w:p>
        </w:tc>
        <w:tc>
          <w:tcPr>
            <w:tcW w:w="1288" w:type="dxa"/>
            <w:vAlign w:val="center"/>
            <w:textDirection w:val="lrTb"/>
            <w:noWrap w:val="false"/>
          </w:tcPr>
          <w:p>
            <w:pPr>
              <w:pStyle w:val="744"/>
              <w:jc w:val="center"/>
              <w:spacing w:line="0" w:lineRule="atLeast"/>
              <w:shd w:val="clear" w:color="auto" w:fill="auto"/>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交付期</w:t>
            </w:r>
            <w:r>
              <w:rPr>
                <w:rFonts w:hint="eastAsia" w:ascii="Times New Roman" w:hAnsi="Times New Roman"/>
                <w:color w:val="000000"/>
                <w:sz w:val="24"/>
                <w:szCs w:val="24"/>
                <w:highlight w:val="none"/>
              </w:rPr>
            </w:r>
            <w:r/>
          </w:p>
        </w:tc>
        <w:tc>
          <w:tcPr>
            <w:tcW w:w="924" w:type="dxa"/>
            <w:vAlign w:val="center"/>
            <w:textDirection w:val="lrTb"/>
            <w:noWrap w:val="false"/>
          </w:tcPr>
          <w:p>
            <w:pPr>
              <w:pStyle w:val="744"/>
              <w:jc w:val="center"/>
              <w:spacing w:line="0" w:lineRule="atLeast"/>
              <w:shd w:val="clear" w:color="auto" w:fill="auto"/>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分项单位</w:t>
            </w:r>
            <w:r>
              <w:rPr>
                <w:rFonts w:hint="eastAsia" w:ascii="Times New Roman" w:hAnsi="Times New Roman"/>
                <w:color w:val="000000"/>
                <w:sz w:val="24"/>
                <w:szCs w:val="24"/>
                <w:highlight w:val="none"/>
              </w:rPr>
            </w:r>
            <w:r/>
          </w:p>
        </w:tc>
        <w:tc>
          <w:tcPr>
            <w:tcW w:w="1203" w:type="dxa"/>
            <w:vAlign w:val="center"/>
            <w:textDirection w:val="lrTb"/>
            <w:noWrap w:val="false"/>
          </w:tcPr>
          <w:p>
            <w:pPr>
              <w:pStyle w:val="744"/>
              <w:jc w:val="center"/>
              <w:spacing w:line="0" w:lineRule="atLeast"/>
              <w:shd w:val="clear" w:color="auto" w:fill="auto"/>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数量</w:t>
            </w:r>
            <w:r>
              <w:rPr>
                <w:rFonts w:hint="eastAsia" w:ascii="Times New Roman" w:hAnsi="Times New Roman"/>
                <w:color w:val="000000"/>
                <w:sz w:val="24"/>
                <w:szCs w:val="24"/>
                <w:highlight w:val="none"/>
              </w:rPr>
            </w:r>
            <w:r/>
          </w:p>
        </w:tc>
        <w:tc>
          <w:tcPr>
            <w:tcW w:w="1618" w:type="dxa"/>
            <w:vAlign w:val="center"/>
            <w:textDirection w:val="lrTb"/>
            <w:noWrap w:val="false"/>
          </w:tcPr>
          <w:p>
            <w:pPr>
              <w:pStyle w:val="744"/>
              <w:jc w:val="center"/>
              <w:spacing w:line="0" w:lineRule="atLeast"/>
              <w:shd w:val="clear" w:color="auto" w:fill="auto"/>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分项</w:t>
            </w:r>
            <w:r>
              <w:rPr>
                <w:rFonts w:hint="eastAsia" w:ascii="Times New Roman" w:hAnsi="Times New Roman"/>
                <w:color w:val="000000"/>
                <w:sz w:val="24"/>
                <w:szCs w:val="24"/>
                <w:highlight w:val="none"/>
              </w:rPr>
            </w:r>
            <w:r/>
          </w:p>
          <w:p>
            <w:pPr>
              <w:pStyle w:val="744"/>
              <w:jc w:val="center"/>
              <w:spacing w:line="0" w:lineRule="atLeast"/>
              <w:shd w:val="clear" w:color="auto" w:fill="auto"/>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单价</w:t>
            </w:r>
            <w:r>
              <w:rPr>
                <w:rFonts w:hint="eastAsia" w:ascii="Times New Roman" w:hAnsi="Times New Roman"/>
                <w:color w:val="000000"/>
                <w:sz w:val="24"/>
                <w:szCs w:val="24"/>
                <w:highlight w:val="none"/>
              </w:rPr>
            </w:r>
            <w:r/>
          </w:p>
        </w:tc>
        <w:tc>
          <w:tcPr>
            <w:tcW w:w="1798" w:type="dxa"/>
            <w:vAlign w:val="center"/>
            <w:textDirection w:val="lrTb"/>
            <w:noWrap w:val="false"/>
          </w:tcPr>
          <w:p>
            <w:pPr>
              <w:pStyle w:val="744"/>
              <w:jc w:val="center"/>
              <w:spacing w:line="0" w:lineRule="atLeast"/>
              <w:shd w:val="clear" w:color="auto" w:fill="auto"/>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分项</w:t>
            </w:r>
            <w:r>
              <w:rPr>
                <w:rFonts w:hint="eastAsia" w:ascii="Times New Roman" w:hAnsi="Times New Roman"/>
                <w:color w:val="000000"/>
                <w:sz w:val="24"/>
                <w:szCs w:val="24"/>
                <w:highlight w:val="none"/>
              </w:rPr>
            </w:r>
            <w:r/>
          </w:p>
          <w:p>
            <w:pPr>
              <w:pStyle w:val="744"/>
              <w:jc w:val="center"/>
              <w:spacing w:line="0" w:lineRule="atLeast"/>
              <w:shd w:val="clear" w:color="auto" w:fill="auto"/>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总价</w:t>
            </w:r>
            <w:r>
              <w:rPr>
                <w:rFonts w:hint="eastAsia" w:ascii="Times New Roman" w:hAnsi="Times New Roman"/>
                <w:color w:val="000000"/>
                <w:sz w:val="24"/>
                <w:szCs w:val="24"/>
                <w:highlight w:val="none"/>
              </w:rPr>
            </w:r>
            <w:r/>
          </w:p>
        </w:tc>
      </w:tr>
      <w:tr>
        <w:trPr>
          <w:cantSplit/>
          <w:trHeight w:val="654"/>
        </w:trPr>
        <w:tc>
          <w:tcPr>
            <w:tcW w:w="948" w:type="dxa"/>
            <w:vAlign w:val="center"/>
            <w:textDirection w:val="lrTb"/>
            <w:noWrap w:val="false"/>
          </w:tcPr>
          <w:p>
            <w:pPr>
              <w:pStyle w:val="744"/>
              <w:jc w:val="center"/>
              <w:spacing w:line="0" w:lineRule="atLeast"/>
              <w:shd w:val="clear" w:color="auto" w:fill="auto"/>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1</w:t>
            </w:r>
            <w:r>
              <w:rPr>
                <w:rFonts w:hint="eastAsia" w:ascii="Times New Roman" w:hAnsi="Times New Roman"/>
                <w:color w:val="000000"/>
                <w:sz w:val="24"/>
                <w:szCs w:val="24"/>
                <w:highlight w:val="none"/>
              </w:rPr>
            </w:r>
            <w:r/>
          </w:p>
        </w:tc>
        <w:tc>
          <w:tcPr>
            <w:tcW w:w="1274" w:type="dxa"/>
            <w:vAlign w:val="center"/>
            <w:textDirection w:val="lrTb"/>
            <w:noWrap w:val="false"/>
          </w:tcPr>
          <w:p>
            <w:pPr>
              <w:pStyle w:val="744"/>
              <w:jc w:val="center"/>
              <w:spacing w:line="0" w:lineRule="atLeast"/>
              <w:shd w:val="clear" w:color="auto" w:fill="auto"/>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c>
          <w:tcPr>
            <w:tcW w:w="1288" w:type="dxa"/>
            <w:vAlign w:val="center"/>
            <w:textDirection w:val="lrTb"/>
            <w:noWrap w:val="false"/>
          </w:tcPr>
          <w:p>
            <w:pPr>
              <w:pStyle w:val="744"/>
              <w:jc w:val="center"/>
              <w:spacing w:line="0" w:lineRule="atLeast"/>
              <w:shd w:val="clear" w:color="auto" w:fill="auto"/>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c>
          <w:tcPr>
            <w:tcW w:w="924" w:type="dxa"/>
            <w:vAlign w:val="center"/>
            <w:textDirection w:val="lrTb"/>
            <w:noWrap w:val="false"/>
          </w:tcPr>
          <w:p>
            <w:pPr>
              <w:pStyle w:val="744"/>
              <w:jc w:val="center"/>
              <w:spacing w:line="0" w:lineRule="atLeast"/>
              <w:shd w:val="clear" w:color="auto" w:fill="auto"/>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c>
          <w:tcPr>
            <w:tcW w:w="1203" w:type="dxa"/>
            <w:vAlign w:val="center"/>
            <w:textDirection w:val="lrTb"/>
            <w:noWrap w:val="false"/>
          </w:tcPr>
          <w:p>
            <w:pPr>
              <w:pStyle w:val="744"/>
              <w:jc w:val="center"/>
              <w:spacing w:line="0" w:lineRule="atLeast"/>
              <w:shd w:val="clear" w:color="auto" w:fill="auto"/>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c>
          <w:tcPr>
            <w:tcW w:w="1618" w:type="dxa"/>
            <w:vAlign w:val="center"/>
            <w:textDirection w:val="lrTb"/>
            <w:noWrap w:val="false"/>
          </w:tcPr>
          <w:p>
            <w:pPr>
              <w:pStyle w:val="744"/>
              <w:jc w:val="center"/>
              <w:spacing w:line="0" w:lineRule="atLeast"/>
              <w:shd w:val="clear" w:color="auto" w:fill="auto"/>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c>
          <w:tcPr>
            <w:tcW w:w="1798" w:type="dxa"/>
            <w:vAlign w:val="center"/>
            <w:textDirection w:val="lrTb"/>
            <w:noWrap w:val="false"/>
          </w:tcPr>
          <w:p>
            <w:pPr>
              <w:pStyle w:val="744"/>
              <w:jc w:val="center"/>
              <w:spacing w:line="0" w:lineRule="atLeast"/>
              <w:shd w:val="clear" w:color="auto" w:fill="auto"/>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r>
      <w:tr>
        <w:trPr>
          <w:cantSplit/>
          <w:trHeight w:val="654"/>
        </w:trPr>
        <w:tc>
          <w:tcPr>
            <w:tcW w:w="948" w:type="dxa"/>
            <w:vAlign w:val="center"/>
            <w:textDirection w:val="lrTb"/>
            <w:noWrap w:val="false"/>
          </w:tcPr>
          <w:p>
            <w:pPr>
              <w:pStyle w:val="744"/>
              <w:jc w:val="center"/>
              <w:spacing w:line="0" w:lineRule="atLeast"/>
              <w:shd w:val="clear" w:color="auto" w:fill="auto"/>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2</w:t>
            </w:r>
            <w:r>
              <w:rPr>
                <w:rFonts w:hint="eastAsia" w:ascii="Times New Roman" w:hAnsi="Times New Roman"/>
                <w:color w:val="000000"/>
                <w:sz w:val="24"/>
                <w:szCs w:val="24"/>
                <w:highlight w:val="none"/>
              </w:rPr>
            </w:r>
            <w:r/>
          </w:p>
        </w:tc>
        <w:tc>
          <w:tcPr>
            <w:tcW w:w="1274" w:type="dxa"/>
            <w:vAlign w:val="center"/>
            <w:textDirection w:val="lrTb"/>
            <w:noWrap w:val="false"/>
          </w:tcPr>
          <w:p>
            <w:pPr>
              <w:pStyle w:val="744"/>
              <w:jc w:val="center"/>
              <w:spacing w:line="0" w:lineRule="atLeast"/>
              <w:shd w:val="clear" w:color="auto" w:fill="auto"/>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c>
          <w:tcPr>
            <w:tcW w:w="1288" w:type="dxa"/>
            <w:vAlign w:val="center"/>
            <w:textDirection w:val="lrTb"/>
            <w:noWrap w:val="false"/>
          </w:tcPr>
          <w:p>
            <w:pPr>
              <w:pStyle w:val="744"/>
              <w:jc w:val="center"/>
              <w:spacing w:line="0" w:lineRule="atLeast"/>
              <w:shd w:val="clear" w:color="auto" w:fill="auto"/>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c>
          <w:tcPr>
            <w:tcW w:w="924" w:type="dxa"/>
            <w:vAlign w:val="center"/>
            <w:textDirection w:val="lrTb"/>
            <w:noWrap w:val="false"/>
          </w:tcPr>
          <w:p>
            <w:pPr>
              <w:pStyle w:val="744"/>
              <w:jc w:val="center"/>
              <w:spacing w:line="0" w:lineRule="atLeast"/>
              <w:shd w:val="clear" w:color="auto" w:fill="auto"/>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c>
          <w:tcPr>
            <w:tcW w:w="1203" w:type="dxa"/>
            <w:vAlign w:val="center"/>
            <w:textDirection w:val="lrTb"/>
            <w:noWrap w:val="false"/>
          </w:tcPr>
          <w:p>
            <w:pPr>
              <w:pStyle w:val="744"/>
              <w:jc w:val="center"/>
              <w:spacing w:line="0" w:lineRule="atLeast"/>
              <w:shd w:val="clear" w:color="auto" w:fill="auto"/>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c>
          <w:tcPr>
            <w:tcW w:w="1618" w:type="dxa"/>
            <w:vAlign w:val="center"/>
            <w:textDirection w:val="lrTb"/>
            <w:noWrap w:val="false"/>
          </w:tcPr>
          <w:p>
            <w:pPr>
              <w:pStyle w:val="744"/>
              <w:jc w:val="center"/>
              <w:spacing w:line="0" w:lineRule="atLeast"/>
              <w:shd w:val="clear" w:color="auto" w:fill="auto"/>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c>
          <w:tcPr>
            <w:tcW w:w="1798" w:type="dxa"/>
            <w:vAlign w:val="center"/>
            <w:textDirection w:val="lrTb"/>
            <w:noWrap w:val="false"/>
          </w:tcPr>
          <w:p>
            <w:pPr>
              <w:pStyle w:val="744"/>
              <w:jc w:val="center"/>
              <w:spacing w:line="0" w:lineRule="atLeast"/>
              <w:shd w:val="clear" w:color="auto" w:fill="auto"/>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r>
      <w:tr>
        <w:trPr>
          <w:cantSplit/>
          <w:trHeight w:val="654"/>
        </w:trPr>
        <w:tc>
          <w:tcPr>
            <w:tcW w:w="948" w:type="dxa"/>
            <w:vAlign w:val="center"/>
            <w:textDirection w:val="lrTb"/>
            <w:noWrap w:val="false"/>
          </w:tcPr>
          <w:p>
            <w:pPr>
              <w:pStyle w:val="744"/>
              <w:jc w:val="center"/>
              <w:spacing w:line="0" w:lineRule="atLeast"/>
              <w:shd w:val="clear" w:color="auto" w:fill="auto"/>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3</w:t>
            </w:r>
            <w:r>
              <w:rPr>
                <w:rFonts w:hint="eastAsia" w:ascii="Times New Roman" w:hAnsi="Times New Roman"/>
                <w:color w:val="000000"/>
                <w:sz w:val="24"/>
                <w:szCs w:val="24"/>
                <w:highlight w:val="none"/>
              </w:rPr>
            </w:r>
            <w:r/>
          </w:p>
        </w:tc>
        <w:tc>
          <w:tcPr>
            <w:tcW w:w="1274" w:type="dxa"/>
            <w:vAlign w:val="center"/>
            <w:textDirection w:val="lrTb"/>
            <w:noWrap w:val="false"/>
          </w:tcPr>
          <w:p>
            <w:pPr>
              <w:pStyle w:val="744"/>
              <w:jc w:val="center"/>
              <w:spacing w:line="0" w:lineRule="atLeast"/>
              <w:shd w:val="clear" w:color="auto" w:fill="auto"/>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c>
          <w:tcPr>
            <w:tcW w:w="1288" w:type="dxa"/>
            <w:vAlign w:val="center"/>
            <w:textDirection w:val="lrTb"/>
            <w:noWrap w:val="false"/>
          </w:tcPr>
          <w:p>
            <w:pPr>
              <w:pStyle w:val="744"/>
              <w:jc w:val="center"/>
              <w:spacing w:line="0" w:lineRule="atLeast"/>
              <w:shd w:val="clear" w:color="auto" w:fill="auto"/>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c>
          <w:tcPr>
            <w:tcW w:w="924" w:type="dxa"/>
            <w:vAlign w:val="center"/>
            <w:textDirection w:val="lrTb"/>
            <w:noWrap w:val="false"/>
          </w:tcPr>
          <w:p>
            <w:pPr>
              <w:pStyle w:val="744"/>
              <w:jc w:val="center"/>
              <w:spacing w:line="0" w:lineRule="atLeast"/>
              <w:shd w:val="clear" w:color="auto" w:fill="auto"/>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c>
          <w:tcPr>
            <w:tcW w:w="1203" w:type="dxa"/>
            <w:vAlign w:val="center"/>
            <w:textDirection w:val="lrTb"/>
            <w:noWrap w:val="false"/>
          </w:tcPr>
          <w:p>
            <w:pPr>
              <w:pStyle w:val="744"/>
              <w:jc w:val="center"/>
              <w:spacing w:line="0" w:lineRule="atLeast"/>
              <w:shd w:val="clear" w:color="auto" w:fill="auto"/>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c>
          <w:tcPr>
            <w:tcW w:w="1618" w:type="dxa"/>
            <w:vAlign w:val="center"/>
            <w:textDirection w:val="lrTb"/>
            <w:noWrap w:val="false"/>
          </w:tcPr>
          <w:p>
            <w:pPr>
              <w:pStyle w:val="744"/>
              <w:jc w:val="center"/>
              <w:spacing w:line="0" w:lineRule="atLeast"/>
              <w:shd w:val="clear" w:color="auto" w:fill="auto"/>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c>
          <w:tcPr>
            <w:tcW w:w="1798" w:type="dxa"/>
            <w:vAlign w:val="center"/>
            <w:textDirection w:val="lrTb"/>
            <w:noWrap w:val="false"/>
          </w:tcPr>
          <w:p>
            <w:pPr>
              <w:pStyle w:val="744"/>
              <w:jc w:val="center"/>
              <w:spacing w:line="0" w:lineRule="atLeast"/>
              <w:shd w:val="clear" w:color="auto" w:fill="auto"/>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r>
      <w:tr>
        <w:trPr>
          <w:cantSplit/>
          <w:trHeight w:val="654"/>
        </w:trPr>
        <w:tc>
          <w:tcPr>
            <w:tcW w:w="948" w:type="dxa"/>
            <w:vAlign w:val="center"/>
            <w:textDirection w:val="lrTb"/>
            <w:noWrap w:val="false"/>
          </w:tcPr>
          <w:p>
            <w:pPr>
              <w:pStyle w:val="744"/>
              <w:jc w:val="center"/>
              <w:spacing w:line="0" w:lineRule="atLeast"/>
              <w:shd w:val="clear" w:color="auto" w:fill="auto"/>
              <w:rPr>
                <w:rFonts w:hint="eastAsia" w:ascii="Times New Roman" w:hAnsi="Times New Roman"/>
                <w:color w:val="000000"/>
                <w:sz w:val="24"/>
                <w:szCs w:val="24"/>
                <w:highlight w:val="none"/>
              </w:rPr>
            </w:pPr>
            <w:r>
              <w:rPr>
                <w:rFonts w:ascii="Times New Roman" w:hAnsi="Times New Roman"/>
                <w:color w:val="000000"/>
                <w:sz w:val="24"/>
                <w:szCs w:val="24"/>
                <w:highlight w:val="none"/>
              </w:rPr>
              <w:t xml:space="preserve">……</w:t>
            </w:r>
            <w:r>
              <w:rPr>
                <w:rFonts w:hint="eastAsia" w:ascii="Times New Roman" w:hAnsi="Times New Roman"/>
                <w:color w:val="000000"/>
                <w:sz w:val="24"/>
                <w:szCs w:val="24"/>
                <w:highlight w:val="none"/>
              </w:rPr>
            </w:r>
            <w:r/>
          </w:p>
        </w:tc>
        <w:tc>
          <w:tcPr>
            <w:tcW w:w="1274" w:type="dxa"/>
            <w:vAlign w:val="center"/>
            <w:textDirection w:val="lrTb"/>
            <w:noWrap w:val="false"/>
          </w:tcPr>
          <w:p>
            <w:pPr>
              <w:pStyle w:val="744"/>
              <w:jc w:val="center"/>
              <w:spacing w:line="0" w:lineRule="atLeast"/>
              <w:shd w:val="clear" w:color="auto" w:fill="auto"/>
              <w:rPr>
                <w:rFonts w:hint="eastAsia" w:ascii="Times New Roman" w:hAnsi="Times New Roman"/>
                <w:color w:val="000000"/>
                <w:sz w:val="24"/>
                <w:szCs w:val="24"/>
                <w:highlight w:val="none"/>
              </w:rPr>
            </w:pPr>
            <w:r>
              <w:rPr>
                <w:rFonts w:ascii="Times New Roman" w:hAnsi="Times New Roman"/>
                <w:color w:val="000000"/>
                <w:sz w:val="24"/>
                <w:szCs w:val="24"/>
                <w:highlight w:val="none"/>
              </w:rPr>
              <w:t xml:space="preserve">……</w:t>
            </w:r>
            <w:r>
              <w:rPr>
                <w:rFonts w:hint="eastAsia" w:ascii="Times New Roman" w:hAnsi="Times New Roman"/>
                <w:color w:val="000000"/>
                <w:sz w:val="24"/>
                <w:szCs w:val="24"/>
                <w:highlight w:val="none"/>
              </w:rPr>
            </w:r>
            <w:r/>
          </w:p>
        </w:tc>
        <w:tc>
          <w:tcPr>
            <w:tcW w:w="1288" w:type="dxa"/>
            <w:vAlign w:val="center"/>
            <w:textDirection w:val="lrTb"/>
            <w:noWrap w:val="false"/>
          </w:tcPr>
          <w:p>
            <w:pPr>
              <w:pStyle w:val="744"/>
              <w:jc w:val="center"/>
              <w:spacing w:line="0" w:lineRule="atLeast"/>
              <w:shd w:val="clear" w:color="auto" w:fill="auto"/>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c>
          <w:tcPr>
            <w:tcW w:w="924" w:type="dxa"/>
            <w:vAlign w:val="center"/>
            <w:textDirection w:val="lrTb"/>
            <w:noWrap w:val="false"/>
          </w:tcPr>
          <w:p>
            <w:pPr>
              <w:pStyle w:val="744"/>
              <w:jc w:val="center"/>
              <w:spacing w:line="0" w:lineRule="atLeast"/>
              <w:shd w:val="clear" w:color="auto" w:fill="auto"/>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c>
          <w:tcPr>
            <w:tcW w:w="1203" w:type="dxa"/>
            <w:vAlign w:val="center"/>
            <w:textDirection w:val="lrTb"/>
            <w:noWrap w:val="false"/>
          </w:tcPr>
          <w:p>
            <w:pPr>
              <w:pStyle w:val="744"/>
              <w:jc w:val="center"/>
              <w:spacing w:line="0" w:lineRule="atLeast"/>
              <w:shd w:val="clear" w:color="auto" w:fill="auto"/>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c>
          <w:tcPr>
            <w:tcW w:w="1618" w:type="dxa"/>
            <w:vAlign w:val="center"/>
            <w:textDirection w:val="lrTb"/>
            <w:noWrap w:val="false"/>
          </w:tcPr>
          <w:p>
            <w:pPr>
              <w:pStyle w:val="744"/>
              <w:jc w:val="center"/>
              <w:spacing w:line="0" w:lineRule="atLeast"/>
              <w:shd w:val="clear" w:color="auto" w:fill="auto"/>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c>
          <w:tcPr>
            <w:tcW w:w="1798" w:type="dxa"/>
            <w:vAlign w:val="center"/>
            <w:textDirection w:val="lrTb"/>
            <w:noWrap w:val="false"/>
          </w:tcPr>
          <w:p>
            <w:pPr>
              <w:pStyle w:val="744"/>
              <w:jc w:val="center"/>
              <w:spacing w:line="0" w:lineRule="atLeast"/>
              <w:shd w:val="clear" w:color="auto" w:fill="auto"/>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r>
      <w:tr>
        <w:trPr>
          <w:cantSplit/>
          <w:trHeight w:val="487"/>
        </w:trPr>
        <w:tc>
          <w:tcPr>
            <w:gridSpan w:val="6"/>
            <w:tcW w:w="7255" w:type="dxa"/>
            <w:vAlign w:val="center"/>
            <w:textDirection w:val="lrTb"/>
            <w:noWrap w:val="false"/>
          </w:tcPr>
          <w:p>
            <w:pPr>
              <w:pStyle w:val="744"/>
              <w:jc w:val="center"/>
              <w:spacing w:line="0" w:lineRule="atLeast"/>
              <w:shd w:val="clear" w:color="auto" w:fill="auto"/>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总报价（人民币：元）</w:t>
            </w:r>
            <w:r>
              <w:rPr>
                <w:rFonts w:hint="eastAsia" w:ascii="Times New Roman" w:hAnsi="Times New Roman"/>
                <w:color w:val="000000"/>
                <w:sz w:val="24"/>
                <w:szCs w:val="24"/>
                <w:highlight w:val="none"/>
              </w:rPr>
            </w:r>
            <w:r/>
          </w:p>
        </w:tc>
        <w:tc>
          <w:tcPr>
            <w:tcW w:w="1798" w:type="dxa"/>
            <w:vAlign w:val="top"/>
            <w:textDirection w:val="lrTb"/>
            <w:noWrap w:val="false"/>
          </w:tcPr>
          <w:p>
            <w:pPr>
              <w:pStyle w:val="744"/>
              <w:spacing w:line="0" w:lineRule="atLeast"/>
              <w:shd w:val="clear" w:color="auto" w:fill="auto"/>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须全部足额采购</w:t>
            </w:r>
            <w:r>
              <w:rPr>
                <w:rFonts w:hint="eastAsia" w:ascii="Times New Roman" w:hAnsi="Times New Roman"/>
                <w:color w:val="000000"/>
                <w:sz w:val="24"/>
                <w:szCs w:val="24"/>
                <w:highlight w:val="none"/>
              </w:rPr>
            </w:r>
            <w:r/>
          </w:p>
        </w:tc>
      </w:tr>
    </w:tbl>
    <w:p>
      <w:pPr>
        <w:pStyle w:val="744"/>
        <w:shd w:val="clear" w:color="auto" w:fill="auto"/>
        <w:rPr>
          <w:rFonts w:hint="eastAsia"/>
          <w:color w:val="000000"/>
          <w:sz w:val="24"/>
          <w:szCs w:val="24"/>
          <w:highlight w:val="none"/>
        </w:rPr>
      </w:pPr>
      <w:r>
        <w:rPr>
          <w:rFonts w:hint="eastAsia"/>
          <w:color w:val="000000"/>
          <w:sz w:val="24"/>
          <w:szCs w:val="24"/>
          <w:highlight w:val="none"/>
        </w:rPr>
        <w:t xml:space="preserve">备注： 磋商报价采用总承包方式，投标人的“总报价”应包括采样和检测综合服务所需要的服务费、样品购买费、各种税费、人工、保险、劳保、利润、税金及合同包含的所有风险、责任等</w:t>
      </w:r>
      <w:r>
        <w:rPr>
          <w:rFonts w:hint="eastAsia"/>
          <w:bCs/>
          <w:color w:val="000000"/>
          <w:sz w:val="24"/>
          <w:highlight w:val="none"/>
        </w:rPr>
        <w:t xml:space="preserve">完成本项目所涉及到的一切相关费用。</w:t>
      </w:r>
      <w:r>
        <w:rPr>
          <w:rFonts w:hint="eastAsia"/>
          <w:color w:val="000000"/>
          <w:sz w:val="24"/>
          <w:szCs w:val="24"/>
          <w:highlight w:val="none"/>
        </w:rPr>
      </w:r>
      <w:r/>
    </w:p>
    <w:p>
      <w:pPr>
        <w:pStyle w:val="744"/>
        <w:shd w:val="clear" w:color="auto" w:fill="auto"/>
        <w:rPr>
          <w:color w:val="000000"/>
          <w:sz w:val="24"/>
          <w:szCs w:val="24"/>
          <w:highlight w:val="none"/>
        </w:rPr>
      </w:pPr>
      <w:r>
        <w:rPr>
          <w:color w:val="000000"/>
          <w:sz w:val="24"/>
          <w:szCs w:val="24"/>
          <w:highlight w:val="none"/>
        </w:rPr>
      </w:r>
      <w:r/>
    </w:p>
    <w:p>
      <w:pPr>
        <w:pStyle w:val="744"/>
        <w:ind w:firstLine="6163"/>
        <w:jc w:val="center"/>
        <w:spacing w:line="360" w:lineRule="auto"/>
        <w:shd w:val="clear" w:color="auto" w:fill="auto"/>
        <w:rPr>
          <w:rFonts w:hint="eastAsia" w:ascii="宋体" w:hAnsi="宋体" w:cs="宋体"/>
          <w:color w:val="000000"/>
          <w:sz w:val="32"/>
          <w:szCs w:val="32"/>
          <w:highlight w:val="none"/>
        </w:rPr>
        <w:sectPr>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宋体" w:hAnsi="宋体" w:cs="宋体"/>
          <w:color w:val="000000"/>
          <w:sz w:val="32"/>
          <w:szCs w:val="32"/>
          <w:highlight w:val="none"/>
        </w:rPr>
      </w:r>
      <w:r/>
    </w:p>
    <w:p>
      <w:pPr>
        <w:pStyle w:val="744"/>
        <w:jc w:val="center"/>
        <w:spacing w:line="360" w:lineRule="auto"/>
        <w:shd w:val="clear" w:color="auto" w:fill="auto"/>
        <w:rPr>
          <w:rFonts w:ascii="宋体" w:hAnsi="宋体" w:cs="宋体"/>
          <w:color w:val="000000"/>
          <w:sz w:val="32"/>
          <w:szCs w:val="32"/>
          <w:highlight w:val="none"/>
        </w:rPr>
      </w:pPr>
      <w:r>
        <w:rPr>
          <w:rFonts w:hint="eastAsia" w:ascii="宋体" w:hAnsi="宋体" w:cs="宋体"/>
          <w:color w:val="000000"/>
          <w:sz w:val="32"/>
          <w:szCs w:val="32"/>
          <w:highlight w:val="none"/>
        </w:rPr>
        <w:t xml:space="preserve">七、技术部分</w:t>
      </w:r>
      <w:r>
        <w:rPr>
          <w:rFonts w:ascii="宋体" w:hAnsi="宋体" w:cs="宋体"/>
          <w:color w:val="000000"/>
          <w:sz w:val="32"/>
          <w:szCs w:val="32"/>
          <w:highlight w:val="none"/>
        </w:rPr>
      </w:r>
      <w:r/>
    </w:p>
    <w:p>
      <w:pPr>
        <w:pStyle w:val="744"/>
        <w:spacing w:line="360" w:lineRule="auto"/>
        <w:shd w:val="clear" w:color="auto" w:fill="auto"/>
        <w:rPr>
          <w:rFonts w:ascii="宋体" w:hAnsi="宋体" w:cs="宋体"/>
          <w:color w:val="000000"/>
          <w:sz w:val="32"/>
          <w:szCs w:val="32"/>
          <w:highlight w:val="none"/>
        </w:rPr>
      </w:pPr>
      <w:r>
        <w:rPr>
          <w:rFonts w:ascii="宋体" w:hAnsi="宋体" w:cs="宋体"/>
          <w:color w:val="000000"/>
          <w:sz w:val="32"/>
          <w:szCs w:val="32"/>
          <w:highlight w:val="none"/>
        </w:rPr>
      </w:r>
      <w:r/>
    </w:p>
    <w:p>
      <w:pPr>
        <w:pStyle w:val="744"/>
        <w:spacing w:line="360" w:lineRule="auto"/>
        <w:shd w:val="clear" w:color="auto" w:fill="auto"/>
        <w:rPr>
          <w:rFonts w:ascii="宋体" w:hAnsi="宋体" w:cs="宋体"/>
          <w:color w:val="000000"/>
          <w:sz w:val="32"/>
          <w:szCs w:val="32"/>
          <w:highlight w:val="none"/>
        </w:rPr>
      </w:pPr>
      <w:r>
        <w:rPr>
          <w:rFonts w:ascii="宋体" w:hAnsi="宋体" w:cs="宋体"/>
          <w:color w:val="000000"/>
          <w:sz w:val="32"/>
          <w:szCs w:val="32"/>
          <w:highlight w:val="none"/>
        </w:rPr>
      </w:r>
      <w:r/>
    </w:p>
    <w:p>
      <w:pPr>
        <w:pStyle w:val="744"/>
        <w:spacing w:line="360" w:lineRule="auto"/>
        <w:shd w:val="clear" w:color="auto" w:fill="auto"/>
        <w:rPr>
          <w:rFonts w:ascii="宋体" w:hAnsi="宋体" w:cs="宋体"/>
          <w:color w:val="000000"/>
          <w:sz w:val="32"/>
          <w:szCs w:val="32"/>
          <w:highlight w:val="none"/>
        </w:rPr>
      </w:pPr>
      <w:r>
        <w:rPr>
          <w:rFonts w:ascii="宋体" w:hAnsi="宋体" w:cs="宋体"/>
          <w:color w:val="000000"/>
          <w:sz w:val="32"/>
          <w:szCs w:val="32"/>
          <w:highlight w:val="none"/>
        </w:rPr>
      </w:r>
      <w:r/>
    </w:p>
    <w:p>
      <w:pPr>
        <w:pStyle w:val="744"/>
        <w:spacing w:line="360" w:lineRule="auto"/>
        <w:shd w:val="clear" w:color="auto" w:fill="auto"/>
        <w:rPr>
          <w:rFonts w:ascii="宋体" w:hAnsi="宋体" w:cs="宋体"/>
          <w:color w:val="000000"/>
          <w:sz w:val="32"/>
          <w:szCs w:val="32"/>
          <w:highlight w:val="none"/>
        </w:rPr>
      </w:pPr>
      <w:r>
        <w:rPr>
          <w:rFonts w:ascii="宋体" w:hAnsi="宋体" w:cs="宋体"/>
          <w:color w:val="000000"/>
          <w:sz w:val="32"/>
          <w:szCs w:val="32"/>
          <w:highlight w:val="none"/>
        </w:rPr>
      </w:r>
      <w:r/>
    </w:p>
    <w:p>
      <w:pPr>
        <w:pStyle w:val="744"/>
        <w:spacing w:line="360" w:lineRule="auto"/>
        <w:shd w:val="clear" w:color="auto" w:fill="auto"/>
        <w:rPr>
          <w:rFonts w:ascii="宋体" w:hAnsi="宋体" w:cs="宋体"/>
          <w:color w:val="000000"/>
          <w:sz w:val="32"/>
          <w:szCs w:val="32"/>
          <w:highlight w:val="none"/>
        </w:rPr>
      </w:pPr>
      <w:r>
        <w:rPr>
          <w:rFonts w:ascii="宋体" w:hAnsi="宋体" w:cs="宋体"/>
          <w:color w:val="000000"/>
          <w:sz w:val="32"/>
          <w:szCs w:val="32"/>
          <w:highlight w:val="none"/>
        </w:rPr>
      </w:r>
      <w:r/>
    </w:p>
    <w:p>
      <w:pPr>
        <w:pStyle w:val="744"/>
        <w:spacing w:line="360" w:lineRule="auto"/>
        <w:shd w:val="clear" w:color="auto" w:fill="auto"/>
        <w:rPr>
          <w:rFonts w:ascii="宋体" w:hAnsi="宋体" w:cs="宋体"/>
          <w:color w:val="000000"/>
          <w:sz w:val="32"/>
          <w:szCs w:val="32"/>
          <w:highlight w:val="none"/>
        </w:rPr>
      </w:pPr>
      <w:r>
        <w:rPr>
          <w:rFonts w:ascii="宋体" w:hAnsi="宋体" w:cs="宋体"/>
          <w:color w:val="000000"/>
          <w:sz w:val="32"/>
          <w:szCs w:val="32"/>
          <w:highlight w:val="none"/>
        </w:rPr>
      </w:r>
      <w:r/>
    </w:p>
    <w:p>
      <w:pPr>
        <w:pStyle w:val="744"/>
        <w:spacing w:line="360" w:lineRule="auto"/>
        <w:shd w:val="clear" w:color="auto" w:fill="auto"/>
        <w:rPr>
          <w:rFonts w:ascii="宋体" w:hAnsi="宋体" w:cs="宋体"/>
          <w:color w:val="000000"/>
          <w:sz w:val="32"/>
          <w:szCs w:val="32"/>
          <w:highlight w:val="none"/>
        </w:rPr>
      </w:pPr>
      <w:r>
        <w:rPr>
          <w:rFonts w:ascii="宋体" w:hAnsi="宋体" w:cs="宋体"/>
          <w:color w:val="000000"/>
          <w:sz w:val="32"/>
          <w:szCs w:val="32"/>
          <w:highlight w:val="none"/>
        </w:rPr>
      </w:r>
      <w:r/>
    </w:p>
    <w:p>
      <w:pPr>
        <w:pStyle w:val="744"/>
        <w:spacing w:line="360" w:lineRule="auto"/>
        <w:shd w:val="clear" w:color="auto" w:fill="auto"/>
        <w:rPr>
          <w:rFonts w:ascii="宋体" w:hAnsi="宋体" w:cs="宋体"/>
          <w:color w:val="000000"/>
          <w:sz w:val="32"/>
          <w:szCs w:val="32"/>
          <w:highlight w:val="none"/>
        </w:rPr>
      </w:pPr>
      <w:r>
        <w:rPr>
          <w:rFonts w:ascii="宋体" w:hAnsi="宋体" w:cs="宋体"/>
          <w:color w:val="000000"/>
          <w:sz w:val="32"/>
          <w:szCs w:val="32"/>
          <w:highlight w:val="none"/>
        </w:rPr>
      </w:r>
      <w:r/>
    </w:p>
    <w:p>
      <w:pPr>
        <w:pStyle w:val="744"/>
        <w:spacing w:line="360" w:lineRule="auto"/>
        <w:shd w:val="clear" w:color="auto" w:fill="auto"/>
        <w:rPr>
          <w:rFonts w:ascii="宋体" w:hAnsi="宋体" w:cs="宋体"/>
          <w:color w:val="000000"/>
          <w:sz w:val="32"/>
          <w:szCs w:val="32"/>
          <w:highlight w:val="none"/>
        </w:rPr>
      </w:pPr>
      <w:r>
        <w:rPr>
          <w:rFonts w:ascii="宋体" w:hAnsi="宋体" w:cs="宋体"/>
          <w:color w:val="000000"/>
          <w:sz w:val="32"/>
          <w:szCs w:val="32"/>
          <w:highlight w:val="none"/>
        </w:rPr>
      </w:r>
      <w:r/>
    </w:p>
    <w:p>
      <w:pPr>
        <w:pStyle w:val="744"/>
        <w:spacing w:line="360" w:lineRule="auto"/>
        <w:shd w:val="clear" w:color="auto" w:fill="auto"/>
        <w:rPr>
          <w:rFonts w:ascii="宋体" w:hAnsi="宋体" w:cs="宋体"/>
          <w:color w:val="000000"/>
          <w:sz w:val="32"/>
          <w:szCs w:val="32"/>
          <w:highlight w:val="none"/>
        </w:rPr>
      </w:pPr>
      <w:r>
        <w:rPr>
          <w:rFonts w:ascii="宋体" w:hAnsi="宋体" w:cs="宋体"/>
          <w:color w:val="000000"/>
          <w:sz w:val="32"/>
          <w:szCs w:val="32"/>
          <w:highlight w:val="none"/>
        </w:rPr>
      </w:r>
      <w:r/>
    </w:p>
    <w:p>
      <w:pPr>
        <w:pStyle w:val="744"/>
        <w:spacing w:line="360" w:lineRule="auto"/>
        <w:shd w:val="clear" w:color="auto" w:fill="auto"/>
        <w:rPr>
          <w:rFonts w:ascii="宋体" w:hAnsi="宋体" w:cs="宋体"/>
          <w:color w:val="000000"/>
          <w:sz w:val="32"/>
          <w:szCs w:val="32"/>
          <w:highlight w:val="none"/>
        </w:rPr>
      </w:pPr>
      <w:r>
        <w:rPr>
          <w:rFonts w:ascii="宋体" w:hAnsi="宋体" w:cs="宋体"/>
          <w:color w:val="000000"/>
          <w:sz w:val="32"/>
          <w:szCs w:val="32"/>
          <w:highlight w:val="none"/>
        </w:rPr>
      </w:r>
      <w:r/>
    </w:p>
    <w:p>
      <w:pPr>
        <w:pStyle w:val="744"/>
        <w:spacing w:line="360" w:lineRule="auto"/>
        <w:shd w:val="clear" w:color="auto" w:fill="auto"/>
        <w:rPr>
          <w:rFonts w:ascii="宋体" w:hAnsi="宋体" w:cs="宋体"/>
          <w:color w:val="000000"/>
          <w:sz w:val="32"/>
          <w:szCs w:val="32"/>
          <w:highlight w:val="none"/>
        </w:rPr>
      </w:pPr>
      <w:r>
        <w:rPr>
          <w:rFonts w:ascii="宋体" w:hAnsi="宋体" w:cs="宋体"/>
          <w:color w:val="000000"/>
          <w:sz w:val="32"/>
          <w:szCs w:val="32"/>
          <w:highlight w:val="none"/>
        </w:rPr>
      </w:r>
      <w:r/>
    </w:p>
    <w:p>
      <w:pPr>
        <w:pStyle w:val="744"/>
        <w:spacing w:line="360" w:lineRule="auto"/>
        <w:shd w:val="clear" w:color="auto" w:fill="auto"/>
        <w:rPr>
          <w:rFonts w:ascii="宋体" w:hAnsi="宋体" w:cs="宋体"/>
          <w:color w:val="000000"/>
          <w:sz w:val="32"/>
          <w:szCs w:val="32"/>
          <w:highlight w:val="none"/>
        </w:rPr>
      </w:pPr>
      <w:r>
        <w:rPr>
          <w:rFonts w:ascii="宋体" w:hAnsi="宋体" w:cs="宋体"/>
          <w:color w:val="000000"/>
          <w:sz w:val="32"/>
          <w:szCs w:val="32"/>
          <w:highlight w:val="none"/>
        </w:rPr>
      </w:r>
      <w:r/>
    </w:p>
    <w:p>
      <w:pPr>
        <w:pStyle w:val="744"/>
        <w:spacing w:line="360" w:lineRule="auto"/>
        <w:shd w:val="clear" w:color="auto" w:fill="auto"/>
        <w:rPr>
          <w:rFonts w:ascii="宋体" w:hAnsi="宋体" w:cs="宋体"/>
          <w:color w:val="000000"/>
          <w:sz w:val="32"/>
          <w:szCs w:val="32"/>
          <w:highlight w:val="none"/>
        </w:rPr>
      </w:pPr>
      <w:r>
        <w:rPr>
          <w:rFonts w:ascii="宋体" w:hAnsi="宋体" w:cs="宋体"/>
          <w:color w:val="000000"/>
          <w:sz w:val="32"/>
          <w:szCs w:val="32"/>
          <w:highlight w:val="none"/>
        </w:rPr>
      </w:r>
      <w:r/>
    </w:p>
    <w:p>
      <w:pPr>
        <w:pStyle w:val="744"/>
        <w:spacing w:line="360" w:lineRule="auto"/>
        <w:shd w:val="clear" w:color="auto" w:fill="auto"/>
        <w:rPr>
          <w:rFonts w:ascii="宋体" w:hAnsi="宋体" w:cs="宋体"/>
          <w:color w:val="000000"/>
          <w:sz w:val="32"/>
          <w:szCs w:val="32"/>
          <w:highlight w:val="none"/>
        </w:rPr>
      </w:pPr>
      <w:r>
        <w:rPr>
          <w:rFonts w:ascii="宋体" w:hAnsi="宋体" w:cs="宋体"/>
          <w:color w:val="000000"/>
          <w:sz w:val="32"/>
          <w:szCs w:val="32"/>
          <w:highlight w:val="none"/>
        </w:rPr>
      </w:r>
      <w:r/>
    </w:p>
    <w:p>
      <w:pPr>
        <w:pStyle w:val="744"/>
        <w:spacing w:line="360" w:lineRule="auto"/>
        <w:shd w:val="clear" w:color="auto" w:fill="auto"/>
        <w:rPr>
          <w:rFonts w:ascii="宋体" w:hAnsi="宋体" w:cs="宋体"/>
          <w:color w:val="000000"/>
          <w:sz w:val="32"/>
          <w:szCs w:val="32"/>
          <w:highlight w:val="none"/>
        </w:rPr>
      </w:pPr>
      <w:r>
        <w:rPr>
          <w:rFonts w:ascii="宋体" w:hAnsi="宋体" w:cs="宋体"/>
          <w:color w:val="000000"/>
          <w:sz w:val="32"/>
          <w:szCs w:val="32"/>
          <w:highlight w:val="none"/>
        </w:rPr>
      </w:r>
      <w:r/>
    </w:p>
    <w:p>
      <w:pPr>
        <w:pStyle w:val="744"/>
        <w:spacing w:line="360" w:lineRule="auto"/>
        <w:shd w:val="clear" w:color="auto" w:fill="auto"/>
        <w:rPr>
          <w:rFonts w:ascii="宋体" w:hAnsi="宋体" w:cs="宋体"/>
          <w:color w:val="000000"/>
          <w:sz w:val="32"/>
          <w:szCs w:val="32"/>
          <w:highlight w:val="none"/>
        </w:rPr>
      </w:pPr>
      <w:r>
        <w:rPr>
          <w:rFonts w:ascii="宋体" w:hAnsi="宋体" w:cs="宋体"/>
          <w:color w:val="000000"/>
          <w:sz w:val="32"/>
          <w:szCs w:val="32"/>
          <w:highlight w:val="none"/>
        </w:rPr>
      </w:r>
      <w:r/>
    </w:p>
    <w:p>
      <w:pPr>
        <w:pStyle w:val="744"/>
        <w:spacing w:line="360" w:lineRule="auto"/>
        <w:shd w:val="clear" w:color="auto" w:fill="auto"/>
        <w:rPr>
          <w:rFonts w:ascii="宋体" w:hAnsi="宋体" w:cs="宋体"/>
          <w:color w:val="000000"/>
          <w:sz w:val="32"/>
          <w:szCs w:val="32"/>
          <w:highlight w:val="none"/>
        </w:rPr>
      </w:pPr>
      <w:r>
        <w:rPr>
          <w:rFonts w:ascii="宋体" w:hAnsi="宋体" w:cs="宋体"/>
          <w:color w:val="000000"/>
          <w:sz w:val="32"/>
          <w:szCs w:val="32"/>
          <w:highlight w:val="none"/>
        </w:rPr>
      </w:r>
      <w:r/>
    </w:p>
    <w:p>
      <w:pPr>
        <w:pStyle w:val="744"/>
        <w:spacing w:line="360" w:lineRule="auto"/>
        <w:shd w:val="clear" w:color="auto" w:fill="auto"/>
        <w:rPr>
          <w:rFonts w:ascii="宋体" w:hAnsi="宋体" w:cs="宋体"/>
          <w:color w:val="000000"/>
          <w:sz w:val="32"/>
          <w:szCs w:val="32"/>
          <w:highlight w:val="none"/>
        </w:rPr>
      </w:pPr>
      <w:r>
        <w:rPr>
          <w:rFonts w:ascii="宋体" w:hAnsi="宋体" w:cs="宋体"/>
          <w:color w:val="000000"/>
          <w:sz w:val="32"/>
          <w:szCs w:val="32"/>
          <w:highlight w:val="none"/>
        </w:rPr>
      </w:r>
      <w:r/>
    </w:p>
    <w:p>
      <w:pPr>
        <w:pStyle w:val="744"/>
        <w:spacing w:line="360" w:lineRule="auto"/>
        <w:shd w:val="clear" w:color="auto" w:fill="auto"/>
        <w:rPr>
          <w:rFonts w:ascii="宋体" w:hAnsi="宋体" w:cs="宋体"/>
          <w:color w:val="000000"/>
          <w:sz w:val="32"/>
          <w:szCs w:val="32"/>
          <w:highlight w:val="none"/>
        </w:rPr>
      </w:pPr>
      <w:r>
        <w:rPr>
          <w:rFonts w:ascii="宋体" w:hAnsi="宋体" w:cs="宋体"/>
          <w:color w:val="000000"/>
          <w:sz w:val="32"/>
          <w:szCs w:val="32"/>
          <w:highlight w:val="none"/>
        </w:rPr>
      </w:r>
      <w:r/>
    </w:p>
    <w:p>
      <w:pPr>
        <w:pStyle w:val="744"/>
        <w:spacing w:line="360" w:lineRule="auto"/>
        <w:shd w:val="clear" w:color="auto" w:fill="auto"/>
        <w:rPr>
          <w:rFonts w:ascii="宋体" w:hAnsi="宋体" w:cs="宋体"/>
          <w:color w:val="000000"/>
          <w:sz w:val="32"/>
          <w:szCs w:val="32"/>
          <w:highlight w:val="none"/>
        </w:rPr>
      </w:pPr>
      <w:r>
        <w:rPr>
          <w:rFonts w:ascii="宋体" w:hAnsi="宋体" w:cs="宋体"/>
          <w:color w:val="000000"/>
          <w:sz w:val="32"/>
          <w:szCs w:val="32"/>
          <w:highlight w:val="none"/>
        </w:rPr>
      </w:r>
      <w:r/>
    </w:p>
    <w:p>
      <w:pPr>
        <w:pStyle w:val="744"/>
        <w:spacing w:line="360" w:lineRule="auto"/>
        <w:shd w:val="clear" w:color="auto" w:fill="auto"/>
        <w:rPr>
          <w:rFonts w:ascii="宋体" w:hAnsi="宋体" w:cs="宋体"/>
          <w:color w:val="000000"/>
          <w:sz w:val="32"/>
          <w:szCs w:val="32"/>
          <w:highlight w:val="none"/>
        </w:rPr>
      </w:pPr>
      <w:r>
        <w:rPr>
          <w:rFonts w:ascii="宋体" w:hAnsi="宋体" w:cs="宋体"/>
          <w:color w:val="000000"/>
          <w:sz w:val="32"/>
          <w:szCs w:val="32"/>
          <w:highlight w:val="none"/>
        </w:rPr>
      </w:r>
      <w:r/>
    </w:p>
    <w:p>
      <w:pPr>
        <w:pStyle w:val="744"/>
        <w:spacing w:line="360" w:lineRule="auto"/>
        <w:shd w:val="clear" w:color="auto" w:fill="auto"/>
        <w:rPr>
          <w:rFonts w:ascii="宋体" w:hAnsi="宋体" w:cs="宋体"/>
          <w:color w:val="000000"/>
          <w:sz w:val="32"/>
          <w:szCs w:val="32"/>
          <w:highlight w:val="none"/>
        </w:rPr>
      </w:pPr>
      <w:r>
        <w:rPr>
          <w:rFonts w:ascii="宋体" w:hAnsi="宋体" w:cs="宋体"/>
          <w:color w:val="000000"/>
          <w:sz w:val="32"/>
          <w:szCs w:val="32"/>
          <w:highlight w:val="none"/>
        </w:rPr>
      </w:r>
      <w:r/>
    </w:p>
    <w:p>
      <w:pPr>
        <w:pStyle w:val="744"/>
        <w:jc w:val="center"/>
        <w:spacing w:line="360" w:lineRule="auto"/>
        <w:shd w:val="clear" w:color="auto" w:fill="auto"/>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八、服务需求响应及偏离表</w:t>
      </w:r>
      <w:r>
        <w:rPr>
          <w:rFonts w:hint="eastAsia" w:ascii="宋体" w:hAnsi="宋体" w:cs="宋体"/>
          <w:color w:val="000000"/>
          <w:sz w:val="32"/>
          <w:szCs w:val="32"/>
          <w:highlight w:val="none"/>
        </w:rPr>
      </w:r>
      <w:r/>
    </w:p>
    <w:p>
      <w:pPr>
        <w:pStyle w:val="744"/>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投标人全称（加盖公章）：       </w:t>
      </w:r>
      <w:r>
        <w:rPr>
          <w:rFonts w:hint="eastAsia" w:ascii="宋体" w:hAnsi="宋体" w:cs="宋体"/>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044"/>
        <w:gridCol w:w="2500"/>
        <w:gridCol w:w="2468"/>
        <w:gridCol w:w="1173"/>
      </w:tblGrid>
      <w:tr>
        <w:trPr>
          <w:cantSplit/>
        </w:trPr>
        <w:tc>
          <w:tcPr>
            <w:tcW w:w="984" w:type="dxa"/>
            <w:vAlign w:val="center"/>
            <w:textDirection w:val="lrTb"/>
            <w:noWrap w:val="false"/>
          </w:tcPr>
          <w:p>
            <w:pPr>
              <w:pStyle w:val="744"/>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序号</w:t>
            </w:r>
            <w:r>
              <w:rPr>
                <w:rFonts w:hint="eastAsia" w:ascii="宋体" w:hAnsi="宋体" w:cs="宋体"/>
                <w:color w:val="000000"/>
                <w:sz w:val="24"/>
                <w:szCs w:val="24"/>
                <w:highlight w:val="none"/>
              </w:rPr>
            </w:r>
            <w:r/>
          </w:p>
        </w:tc>
        <w:tc>
          <w:tcPr>
            <w:tcW w:w="2044" w:type="dxa"/>
            <w:vAlign w:val="center"/>
            <w:textDirection w:val="lrTb"/>
            <w:noWrap w:val="false"/>
          </w:tcPr>
          <w:p>
            <w:pPr>
              <w:pStyle w:val="744"/>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名称</w:t>
            </w:r>
            <w:r>
              <w:rPr>
                <w:rFonts w:hint="eastAsia" w:ascii="宋体" w:hAnsi="宋体" w:cs="宋体"/>
                <w:color w:val="000000"/>
                <w:sz w:val="24"/>
                <w:szCs w:val="24"/>
                <w:highlight w:val="none"/>
              </w:rPr>
            </w:r>
            <w:r/>
          </w:p>
        </w:tc>
        <w:tc>
          <w:tcPr>
            <w:tcW w:w="2500" w:type="dxa"/>
            <w:vAlign w:val="center"/>
            <w:textDirection w:val="lrTb"/>
            <w:noWrap w:val="false"/>
          </w:tcPr>
          <w:p>
            <w:pPr>
              <w:pStyle w:val="744"/>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招标文件中服务需求内容</w:t>
            </w:r>
            <w:r>
              <w:rPr>
                <w:rFonts w:hint="eastAsia" w:ascii="宋体" w:hAnsi="宋体" w:cs="宋体"/>
                <w:color w:val="000000"/>
                <w:sz w:val="24"/>
                <w:szCs w:val="24"/>
                <w:highlight w:val="none"/>
              </w:rPr>
            </w:r>
            <w:r/>
          </w:p>
        </w:tc>
        <w:tc>
          <w:tcPr>
            <w:tcW w:w="2468" w:type="dxa"/>
            <w:vAlign w:val="center"/>
            <w:textDirection w:val="lrTb"/>
            <w:noWrap w:val="false"/>
          </w:tcPr>
          <w:p>
            <w:pPr>
              <w:pStyle w:val="744"/>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投标文件中响应服务需求的内容</w:t>
            </w:r>
            <w:r>
              <w:rPr>
                <w:rFonts w:hint="eastAsia" w:ascii="宋体" w:hAnsi="宋体" w:cs="宋体"/>
                <w:color w:val="000000"/>
                <w:sz w:val="24"/>
                <w:szCs w:val="24"/>
                <w:highlight w:val="none"/>
              </w:rPr>
            </w:r>
            <w:r/>
          </w:p>
        </w:tc>
        <w:tc>
          <w:tcPr>
            <w:tcW w:w="1173" w:type="dxa"/>
            <w:vAlign w:val="center"/>
            <w:textDirection w:val="lrTb"/>
            <w:noWrap w:val="false"/>
          </w:tcPr>
          <w:p>
            <w:pPr>
              <w:pStyle w:val="744"/>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偏离说明</w:t>
            </w:r>
            <w:r>
              <w:rPr>
                <w:rFonts w:hint="eastAsia" w:ascii="宋体" w:hAnsi="宋体" w:cs="宋体"/>
                <w:color w:val="000000"/>
                <w:sz w:val="24"/>
                <w:szCs w:val="24"/>
                <w:highlight w:val="none"/>
              </w:rPr>
            </w:r>
            <w:r/>
          </w:p>
        </w:tc>
      </w:tr>
      <w:tr>
        <w:trPr>
          <w:cantSplit/>
          <w:trHeight w:val="640"/>
        </w:trPr>
        <w:tc>
          <w:tcPr>
            <w:tcW w:w="984" w:type="dxa"/>
            <w:vAlign w:val="top"/>
            <w:textDirection w:val="lrTb"/>
            <w:noWrap w:val="false"/>
          </w:tcPr>
          <w:p>
            <w:pPr>
              <w:pStyle w:val="744"/>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044" w:type="dxa"/>
            <w:vAlign w:val="top"/>
            <w:textDirection w:val="lrTb"/>
            <w:noWrap w:val="false"/>
          </w:tcPr>
          <w:p>
            <w:pPr>
              <w:pStyle w:val="744"/>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500" w:type="dxa"/>
            <w:vAlign w:val="top"/>
            <w:textDirection w:val="lrTb"/>
            <w:noWrap w:val="false"/>
          </w:tcPr>
          <w:p>
            <w:pPr>
              <w:pStyle w:val="744"/>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468" w:type="dxa"/>
            <w:vAlign w:val="top"/>
            <w:textDirection w:val="lrTb"/>
            <w:noWrap w:val="false"/>
          </w:tcPr>
          <w:p>
            <w:pPr>
              <w:pStyle w:val="744"/>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73" w:type="dxa"/>
            <w:vAlign w:val="top"/>
            <w:textDirection w:val="lrTb"/>
            <w:noWrap w:val="false"/>
          </w:tcPr>
          <w:p>
            <w:pPr>
              <w:pStyle w:val="744"/>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640"/>
        </w:trPr>
        <w:tc>
          <w:tcPr>
            <w:tcW w:w="984" w:type="dxa"/>
            <w:vAlign w:val="top"/>
            <w:textDirection w:val="lrTb"/>
            <w:noWrap w:val="false"/>
          </w:tcPr>
          <w:p>
            <w:pPr>
              <w:pStyle w:val="744"/>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044" w:type="dxa"/>
            <w:vAlign w:val="top"/>
            <w:textDirection w:val="lrTb"/>
            <w:noWrap w:val="false"/>
          </w:tcPr>
          <w:p>
            <w:pPr>
              <w:pStyle w:val="744"/>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500" w:type="dxa"/>
            <w:vAlign w:val="top"/>
            <w:textDirection w:val="lrTb"/>
            <w:noWrap w:val="false"/>
          </w:tcPr>
          <w:p>
            <w:pPr>
              <w:pStyle w:val="744"/>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468" w:type="dxa"/>
            <w:vAlign w:val="top"/>
            <w:textDirection w:val="lrTb"/>
            <w:noWrap w:val="false"/>
          </w:tcPr>
          <w:p>
            <w:pPr>
              <w:pStyle w:val="744"/>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73" w:type="dxa"/>
            <w:vAlign w:val="top"/>
            <w:textDirection w:val="lrTb"/>
            <w:noWrap w:val="false"/>
          </w:tcPr>
          <w:p>
            <w:pPr>
              <w:pStyle w:val="744"/>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640"/>
        </w:trPr>
        <w:tc>
          <w:tcPr>
            <w:tcW w:w="984" w:type="dxa"/>
            <w:vAlign w:val="top"/>
            <w:textDirection w:val="lrTb"/>
            <w:noWrap w:val="false"/>
          </w:tcPr>
          <w:p>
            <w:pPr>
              <w:pStyle w:val="744"/>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044" w:type="dxa"/>
            <w:vAlign w:val="top"/>
            <w:textDirection w:val="lrTb"/>
            <w:noWrap w:val="false"/>
          </w:tcPr>
          <w:p>
            <w:pPr>
              <w:pStyle w:val="744"/>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500" w:type="dxa"/>
            <w:vAlign w:val="top"/>
            <w:textDirection w:val="lrTb"/>
            <w:noWrap w:val="false"/>
          </w:tcPr>
          <w:p>
            <w:pPr>
              <w:pStyle w:val="744"/>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468" w:type="dxa"/>
            <w:vAlign w:val="top"/>
            <w:textDirection w:val="lrTb"/>
            <w:noWrap w:val="false"/>
          </w:tcPr>
          <w:p>
            <w:pPr>
              <w:pStyle w:val="744"/>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73" w:type="dxa"/>
            <w:vAlign w:val="top"/>
            <w:textDirection w:val="lrTb"/>
            <w:noWrap w:val="false"/>
          </w:tcPr>
          <w:p>
            <w:pPr>
              <w:pStyle w:val="744"/>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640"/>
        </w:trPr>
        <w:tc>
          <w:tcPr>
            <w:tcW w:w="984" w:type="dxa"/>
            <w:vAlign w:val="top"/>
            <w:textDirection w:val="lrTb"/>
            <w:noWrap w:val="false"/>
          </w:tcPr>
          <w:p>
            <w:pPr>
              <w:pStyle w:val="744"/>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044" w:type="dxa"/>
            <w:vAlign w:val="top"/>
            <w:textDirection w:val="lrTb"/>
            <w:noWrap w:val="false"/>
          </w:tcPr>
          <w:p>
            <w:pPr>
              <w:pStyle w:val="744"/>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500" w:type="dxa"/>
            <w:vAlign w:val="top"/>
            <w:textDirection w:val="lrTb"/>
            <w:noWrap w:val="false"/>
          </w:tcPr>
          <w:p>
            <w:pPr>
              <w:pStyle w:val="744"/>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468" w:type="dxa"/>
            <w:vAlign w:val="top"/>
            <w:textDirection w:val="lrTb"/>
            <w:noWrap w:val="false"/>
          </w:tcPr>
          <w:p>
            <w:pPr>
              <w:pStyle w:val="744"/>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73" w:type="dxa"/>
            <w:vAlign w:val="top"/>
            <w:textDirection w:val="lrTb"/>
            <w:noWrap w:val="false"/>
          </w:tcPr>
          <w:p>
            <w:pPr>
              <w:pStyle w:val="744"/>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640"/>
        </w:trPr>
        <w:tc>
          <w:tcPr>
            <w:tcW w:w="984" w:type="dxa"/>
            <w:vAlign w:val="top"/>
            <w:textDirection w:val="lrTb"/>
            <w:noWrap w:val="false"/>
          </w:tcPr>
          <w:p>
            <w:pPr>
              <w:pStyle w:val="744"/>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044" w:type="dxa"/>
            <w:vAlign w:val="top"/>
            <w:textDirection w:val="lrTb"/>
            <w:noWrap w:val="false"/>
          </w:tcPr>
          <w:p>
            <w:pPr>
              <w:pStyle w:val="744"/>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500" w:type="dxa"/>
            <w:vAlign w:val="top"/>
            <w:textDirection w:val="lrTb"/>
            <w:noWrap w:val="false"/>
          </w:tcPr>
          <w:p>
            <w:pPr>
              <w:pStyle w:val="744"/>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468" w:type="dxa"/>
            <w:vAlign w:val="top"/>
            <w:textDirection w:val="lrTb"/>
            <w:noWrap w:val="false"/>
          </w:tcPr>
          <w:p>
            <w:pPr>
              <w:pStyle w:val="744"/>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73" w:type="dxa"/>
            <w:vAlign w:val="top"/>
            <w:textDirection w:val="lrTb"/>
            <w:noWrap w:val="false"/>
          </w:tcPr>
          <w:p>
            <w:pPr>
              <w:pStyle w:val="744"/>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640"/>
        </w:trPr>
        <w:tc>
          <w:tcPr>
            <w:tcW w:w="984" w:type="dxa"/>
            <w:vAlign w:val="top"/>
            <w:textDirection w:val="lrTb"/>
            <w:noWrap w:val="false"/>
          </w:tcPr>
          <w:p>
            <w:pPr>
              <w:pStyle w:val="744"/>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044" w:type="dxa"/>
            <w:vAlign w:val="top"/>
            <w:textDirection w:val="lrTb"/>
            <w:noWrap w:val="false"/>
          </w:tcPr>
          <w:p>
            <w:pPr>
              <w:pStyle w:val="744"/>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500" w:type="dxa"/>
            <w:vAlign w:val="top"/>
            <w:textDirection w:val="lrTb"/>
            <w:noWrap w:val="false"/>
          </w:tcPr>
          <w:p>
            <w:pPr>
              <w:pStyle w:val="744"/>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468" w:type="dxa"/>
            <w:vAlign w:val="top"/>
            <w:textDirection w:val="lrTb"/>
            <w:noWrap w:val="false"/>
          </w:tcPr>
          <w:p>
            <w:pPr>
              <w:pStyle w:val="744"/>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73" w:type="dxa"/>
            <w:vAlign w:val="top"/>
            <w:textDirection w:val="lrTb"/>
            <w:noWrap w:val="false"/>
          </w:tcPr>
          <w:p>
            <w:pPr>
              <w:pStyle w:val="744"/>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640"/>
        </w:trPr>
        <w:tc>
          <w:tcPr>
            <w:tcW w:w="984" w:type="dxa"/>
            <w:vAlign w:val="top"/>
            <w:textDirection w:val="lrTb"/>
            <w:noWrap w:val="false"/>
          </w:tcPr>
          <w:p>
            <w:pPr>
              <w:pStyle w:val="744"/>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044" w:type="dxa"/>
            <w:vAlign w:val="top"/>
            <w:textDirection w:val="lrTb"/>
            <w:noWrap w:val="false"/>
          </w:tcPr>
          <w:p>
            <w:pPr>
              <w:pStyle w:val="744"/>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500" w:type="dxa"/>
            <w:vAlign w:val="top"/>
            <w:textDirection w:val="lrTb"/>
            <w:noWrap w:val="false"/>
          </w:tcPr>
          <w:p>
            <w:pPr>
              <w:pStyle w:val="744"/>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468" w:type="dxa"/>
            <w:vAlign w:val="top"/>
            <w:textDirection w:val="lrTb"/>
            <w:noWrap w:val="false"/>
          </w:tcPr>
          <w:p>
            <w:pPr>
              <w:pStyle w:val="744"/>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73" w:type="dxa"/>
            <w:vAlign w:val="top"/>
            <w:textDirection w:val="lrTb"/>
            <w:noWrap w:val="false"/>
          </w:tcPr>
          <w:p>
            <w:pPr>
              <w:pStyle w:val="744"/>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640"/>
        </w:trPr>
        <w:tc>
          <w:tcPr>
            <w:tcW w:w="984" w:type="dxa"/>
            <w:vAlign w:val="top"/>
            <w:textDirection w:val="lrTb"/>
            <w:noWrap w:val="false"/>
          </w:tcPr>
          <w:p>
            <w:pPr>
              <w:pStyle w:val="744"/>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044" w:type="dxa"/>
            <w:vAlign w:val="top"/>
            <w:textDirection w:val="lrTb"/>
            <w:noWrap w:val="false"/>
          </w:tcPr>
          <w:p>
            <w:pPr>
              <w:pStyle w:val="744"/>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500" w:type="dxa"/>
            <w:vAlign w:val="top"/>
            <w:textDirection w:val="lrTb"/>
            <w:noWrap w:val="false"/>
          </w:tcPr>
          <w:p>
            <w:pPr>
              <w:pStyle w:val="744"/>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468" w:type="dxa"/>
            <w:vAlign w:val="top"/>
            <w:textDirection w:val="lrTb"/>
            <w:noWrap w:val="false"/>
          </w:tcPr>
          <w:p>
            <w:pPr>
              <w:pStyle w:val="744"/>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73" w:type="dxa"/>
            <w:vAlign w:val="top"/>
            <w:textDirection w:val="lrTb"/>
            <w:noWrap w:val="false"/>
          </w:tcPr>
          <w:p>
            <w:pPr>
              <w:pStyle w:val="744"/>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pStyle w:val="744"/>
        <w:ind w:firstLine="420"/>
        <w:spacing w:line="44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注：该表必须按照招标文件要求逐条如实填写，根据所供产品情况在“偏离说明”项填写正偏离或负偏离及原因，完全符合的填写“无偏离”。</w:t>
      </w:r>
      <w:r>
        <w:rPr>
          <w:rFonts w:hint="eastAsia" w:ascii="宋体" w:hAnsi="宋体" w:cs="宋体"/>
          <w:color w:val="000000"/>
          <w:sz w:val="24"/>
          <w:szCs w:val="24"/>
          <w:highlight w:val="none"/>
        </w:rPr>
      </w:r>
      <w:r/>
    </w:p>
    <w:p>
      <w:pPr>
        <w:pStyle w:val="744"/>
        <w:spacing w:line="44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44"/>
        <w:ind w:firstLine="1680"/>
        <w:spacing w:line="44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法定代表人或被授权人（签字）：</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r>
      <w:r/>
    </w:p>
    <w:p>
      <w:pPr>
        <w:pStyle w:val="744"/>
        <w:ind w:firstLine="1680"/>
        <w:spacing w:line="44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44"/>
        <w:ind w:firstLine="1680"/>
        <w:spacing w:line="44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44"/>
        <w:ind w:firstLine="1680"/>
        <w:spacing w:line="44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投标人（盖单位公章）：</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r>
      <w:r/>
    </w:p>
    <w:p>
      <w:pPr>
        <w:pStyle w:val="744"/>
        <w:ind w:firstLine="1200"/>
        <w:spacing w:line="44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44"/>
        <w:spacing w:line="44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44"/>
        <w:ind w:firstLine="1200"/>
        <w:spacing w:line="44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44"/>
        <w:ind w:firstLine="4622"/>
        <w:spacing w:line="360" w:lineRule="auto"/>
        <w:shd w:val="clear" w:color="auto" w:fill="auto"/>
        <w:rPr>
          <w:rFonts w:hint="eastAsia" w:ascii="宋体" w:hAnsi="宋体" w:cs="宋体"/>
          <w:bCs/>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日  </w:t>
      </w:r>
      <w:r>
        <w:rPr>
          <w:rFonts w:hint="eastAsia" w:ascii="宋体" w:hAnsi="宋体" w:cs="宋体"/>
          <w:bCs/>
          <w:color w:val="000000"/>
          <w:sz w:val="24"/>
          <w:szCs w:val="24"/>
          <w:highlight w:val="none"/>
        </w:rPr>
      </w:r>
      <w:r/>
    </w:p>
    <w:p>
      <w:pPr>
        <w:pStyle w:val="744"/>
        <w:shd w:val="clear" w:color="auto" w:fill="auto"/>
        <w:rPr>
          <w:rFonts w:ascii="宋体" w:hAnsi="宋体" w:cs="宋体"/>
          <w:b/>
          <w:color w:val="000000"/>
          <w:sz w:val="36"/>
          <w:highlight w:val="none"/>
        </w:rPr>
      </w:pPr>
      <w:r>
        <w:rPr>
          <w:rFonts w:ascii="宋体" w:hAnsi="宋体" w:cs="宋体"/>
          <w:b/>
          <w:color w:val="000000"/>
          <w:sz w:val="36"/>
          <w:highlight w:val="none"/>
        </w:rPr>
      </w:r>
      <w:r/>
    </w:p>
    <w:p>
      <w:pPr>
        <w:pStyle w:val="803"/>
        <w:shd w:val="clear" w:color="auto" w:fill="auto"/>
        <w:rPr>
          <w:color w:val="000000"/>
          <w:highlight w:val="none"/>
        </w:rPr>
      </w:pPr>
      <w:r>
        <w:rPr>
          <w:color w:val="000000"/>
          <w:highlight w:val="none"/>
        </w:rPr>
      </w:r>
      <w:r/>
    </w:p>
    <w:p>
      <w:pPr>
        <w:pStyle w:val="744"/>
        <w:spacing w:before="50" w:after="50"/>
        <w:shd w:val="clear" w:color="auto" w:fill="auto"/>
        <w:rPr>
          <w:rFonts w:hint="eastAsia" w:ascii="宋体" w:hAnsi="宋体" w:cs="宋体"/>
          <w:color w:val="000000"/>
          <w:sz w:val="32"/>
          <w:szCs w:val="32"/>
          <w:highlight w:val="none"/>
        </w:rPr>
      </w:pPr>
      <w:r/>
      <w:bookmarkEnd w:id="145"/>
      <w:r/>
      <w:bookmarkEnd w:id="146"/>
      <w:r/>
      <w:bookmarkEnd w:id="181"/>
      <w:r/>
      <w:bookmarkStart w:id="182" w:name="_Hlt26955054"/>
      <w:r/>
      <w:bookmarkEnd w:id="182"/>
      <w:r>
        <w:rPr>
          <w:rFonts w:hint="eastAsia" w:ascii="宋体" w:hAnsi="宋体" w:cs="宋体"/>
          <w:color w:val="000000"/>
          <w:sz w:val="32"/>
          <w:szCs w:val="32"/>
          <w:highlight w:val="none"/>
        </w:rPr>
      </w:r>
      <w:r/>
    </w:p>
    <w:p>
      <w:pPr>
        <w:pStyle w:val="744"/>
        <w:jc w:val="center"/>
        <w:spacing w:before="50" w:after="50"/>
        <w:shd w:val="clear" w:color="auto" w:fill="auto"/>
        <w:rPr>
          <w:rFonts w:hint="eastAsia" w:ascii="宋体" w:hAnsi="宋体" w:cs="宋体"/>
          <w:color w:val="000000"/>
          <w:sz w:val="24"/>
          <w:szCs w:val="24"/>
          <w:highlight w:val="none"/>
        </w:rPr>
      </w:pPr>
      <w:r>
        <w:rPr>
          <w:rFonts w:hint="eastAsia" w:ascii="宋体" w:hAnsi="宋体" w:cs="宋体"/>
          <w:color w:val="000000"/>
          <w:sz w:val="32"/>
          <w:szCs w:val="32"/>
          <w:highlight w:val="none"/>
        </w:rPr>
        <w:t xml:space="preserve">九、</w:t>
      </w:r>
      <w:bookmarkStart w:id="183" w:name="_Toc19498"/>
      <w:r>
        <w:rPr>
          <w:rFonts w:hint="eastAsia" w:ascii="宋体" w:hAnsi="宋体" w:cs="宋体"/>
          <w:color w:val="000000"/>
          <w:sz w:val="32"/>
          <w:szCs w:val="32"/>
          <w:highlight w:val="none"/>
        </w:rPr>
        <w:t xml:space="preserve">盐城市大丰区政府招标采购供应商承诺书</w:t>
      </w:r>
      <w:bookmarkEnd w:id="183"/>
      <w:r>
        <w:rPr>
          <w:rFonts w:hint="eastAsia" w:ascii="宋体" w:hAnsi="宋体" w:cs="宋体"/>
          <w:color w:val="000000"/>
          <w:sz w:val="24"/>
          <w:szCs w:val="24"/>
          <w:highlight w:val="none"/>
        </w:rPr>
      </w:r>
      <w:r/>
    </w:p>
    <w:p>
      <w:pPr>
        <w:pStyle w:val="744"/>
        <w:ind w:firstLine="480"/>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为营造公开、公平、公正、诚实守信的政府招标采购交易环境，树立诚信守法的投标人形象，本单位参加政府招标采购项目：</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的招标采购活动，本人代表本单位作出以下承诺：</w:t>
      </w:r>
      <w:r>
        <w:rPr>
          <w:rFonts w:hint="eastAsia" w:ascii="宋体" w:hAnsi="宋体" w:cs="宋体"/>
          <w:color w:val="000000"/>
          <w:sz w:val="24"/>
          <w:szCs w:val="24"/>
          <w:highlight w:val="none"/>
        </w:rPr>
      </w:r>
      <w:r/>
    </w:p>
    <w:p>
      <w:pPr>
        <w:pStyle w:val="744"/>
        <w:ind w:firstLine="480"/>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hint="eastAsia" w:ascii="宋体" w:hAnsi="宋体" w:cs="宋体"/>
          <w:color w:val="000000"/>
          <w:sz w:val="24"/>
          <w:szCs w:val="24"/>
          <w:highlight w:val="none"/>
        </w:rPr>
      </w:r>
      <w:r/>
    </w:p>
    <w:p>
      <w:pPr>
        <w:pStyle w:val="744"/>
        <w:ind w:firstLine="480"/>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（二）本单位无涉及政府招标采购活动的违法、违规不良记录，我公司及相关负责人无因存在重大隐患整改不力、发生有重大社会影响生产安全事故或其他严重违法违规行为而被列入失信联合惩戒的不良记录；</w:t>
      </w:r>
      <w:r>
        <w:rPr>
          <w:rFonts w:hint="eastAsia" w:ascii="宋体" w:hAnsi="宋体" w:cs="宋体"/>
          <w:color w:val="000000"/>
          <w:sz w:val="24"/>
          <w:szCs w:val="24"/>
          <w:highlight w:val="none"/>
        </w:rPr>
      </w:r>
      <w:r/>
    </w:p>
    <w:p>
      <w:pPr>
        <w:pStyle w:val="744"/>
        <w:ind w:firstLine="480"/>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（三）严格依照国家和省、市关于政府招标采购的法律、法规、规章、规范性文件，参加政府招标采购的投标活动；积极履行社会责任，促进廉政建设； </w:t>
      </w:r>
      <w:r>
        <w:rPr>
          <w:rFonts w:hint="eastAsia" w:ascii="宋体" w:hAnsi="宋体" w:cs="宋体"/>
          <w:color w:val="000000"/>
          <w:sz w:val="24"/>
          <w:szCs w:val="24"/>
          <w:highlight w:val="none"/>
        </w:rPr>
      </w:r>
      <w:r/>
    </w:p>
    <w:p>
      <w:pPr>
        <w:pStyle w:val="744"/>
        <w:ind w:firstLine="480"/>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（四）严格遵守即时信息公示规定，及时维护和更新盐城市政府采购网、公共资源交易平台中与本单位相关的信息；</w:t>
      </w:r>
      <w:r>
        <w:rPr>
          <w:rFonts w:hint="eastAsia" w:ascii="宋体" w:hAnsi="宋体" w:cs="宋体"/>
          <w:color w:val="000000"/>
          <w:sz w:val="24"/>
          <w:szCs w:val="24"/>
          <w:highlight w:val="none"/>
        </w:rPr>
      </w:r>
      <w:r/>
    </w:p>
    <w:p>
      <w:pPr>
        <w:pStyle w:val="744"/>
        <w:ind w:firstLine="480"/>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五）自我约束、自我管理，守合同、重信用，自觉维护政府招标采购交易的良好秩序，与参与本次政府招标采购活动的其他供应商不存在直接控股或管理关系，不参与围标串标、弄虚作假、骗取中标、干扰评标、违约毁约等行为；</w:t>
      </w:r>
      <w:r>
        <w:rPr>
          <w:rFonts w:hint="eastAsia" w:ascii="宋体" w:hAnsi="宋体" w:cs="宋体"/>
          <w:color w:val="000000"/>
          <w:sz w:val="24"/>
          <w:szCs w:val="24"/>
          <w:highlight w:val="none"/>
        </w:rPr>
      </w:r>
      <w:r/>
    </w:p>
    <w:p>
      <w:pPr>
        <w:pStyle w:val="744"/>
        <w:ind w:firstLine="480"/>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（六）自觉接受政府、行业组织、社会公众、新闻舆论的监督；</w:t>
      </w:r>
      <w:r>
        <w:rPr>
          <w:rFonts w:hint="eastAsia" w:ascii="宋体" w:hAnsi="宋体" w:cs="宋体"/>
          <w:color w:val="000000"/>
          <w:sz w:val="24"/>
          <w:szCs w:val="24"/>
          <w:highlight w:val="none"/>
        </w:rPr>
      </w:r>
      <w:r/>
    </w:p>
    <w:p>
      <w:pPr>
        <w:pStyle w:val="744"/>
        <w:ind w:firstLine="480"/>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hint="eastAsia" w:ascii="宋体" w:hAnsi="宋体" w:cs="宋体"/>
          <w:color w:val="000000"/>
          <w:sz w:val="24"/>
          <w:szCs w:val="24"/>
          <w:highlight w:val="none"/>
        </w:rPr>
      </w:r>
      <w:r/>
    </w:p>
    <w:p>
      <w:pPr>
        <w:pStyle w:val="744"/>
        <w:ind w:firstLine="480"/>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（八）本人已认真阅读了上述承诺，并向本单位员工作了宣传教育。</w:t>
      </w:r>
      <w:r>
        <w:rPr>
          <w:rFonts w:hint="eastAsia" w:ascii="宋体" w:hAnsi="宋体" w:cs="宋体"/>
          <w:color w:val="000000"/>
          <w:sz w:val="24"/>
          <w:szCs w:val="24"/>
          <w:highlight w:val="none"/>
        </w:rPr>
      </w:r>
      <w:r/>
    </w:p>
    <w:p>
      <w:pPr>
        <w:pStyle w:val="744"/>
        <w:ind w:firstLine="720"/>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法定代表人（或者负责人）签名：           单位名称（盖章）：</w:t>
      </w:r>
      <w:r>
        <w:rPr>
          <w:rFonts w:hint="eastAsia" w:ascii="宋体" w:hAnsi="宋体" w:cs="宋体"/>
          <w:color w:val="000000"/>
          <w:sz w:val="24"/>
          <w:szCs w:val="24"/>
          <w:highlight w:val="none"/>
        </w:rPr>
      </w:r>
      <w:r/>
    </w:p>
    <w:p>
      <w:pPr>
        <w:pStyle w:val="744"/>
        <w:jc w:val="righ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年    月    日</w:t>
      </w:r>
      <w:r/>
    </w:p>
    <w:sectPr>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方正仿宋简体">
    <w:panose1 w:val="020B0503020202020204"/>
  </w:font>
  <w:font w:name="Tahoma">
    <w:panose1 w:val="020B0604030504040204"/>
  </w:font>
  <w:font w:name="Courier New">
    <w:panose1 w:val="02070309020205020404"/>
  </w:font>
  <w:font w:name="方正黑体_GBK">
    <w:panose1 w:val="020B0503020202020204"/>
  </w:font>
  <w:font w:name="Cambria">
    <w:panose1 w:val="0204050305040603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ˎ̥">
    <w:panose1 w:val="020B0503020202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5"/>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74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5"/>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744"/>
                    </w:pPr>
                    <w:r/>
                    <w:r/>
                  </w:p>
                </w:txbxContent>
              </v:textbox>
            </v:shape>
          </w:pict>
        </mc:Fallback>
      </mc:AlternateContent>
    </w:r>
    <w:r>
      <w:rPr>
        <w:b/>
        <w:i/>
        <w:sz w:val="20"/>
      </w:rPr>
      <w:t xml:space="preserve"> </w: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tabs>
        <w:tab w:val="center" w:pos="4153" w:leader="none"/>
        <w:tab w:val="right" w:pos="8306" w:leader="none"/>
      </w:tabs>
      <w:rPr>
        <w:rStyle w:val="806"/>
      </w:rPr>
      <w:framePr w:wrap="around" w:vAnchor="text" w:hAnchor="margin" w:xAlign="center" w:y="1"/>
    </w:pPr>
    <w:r>
      <w:fldChar w:fldCharType="begin"/>
    </w:r>
    <w:r>
      <w:rPr>
        <w:rStyle w:val="806"/>
      </w:rPr>
      <w:instrText xml:space="preserve">PAGE  </w:instrText>
    </w:r>
    <w:r>
      <w:fldChar w:fldCharType="separate"/>
    </w:r>
    <w:r>
      <w:rPr>
        <w:rStyle w:val="806"/>
      </w:rPr>
      <w:t xml:space="preserve">1</w:t>
    </w:r>
    <w:r>
      <w:fldChar w:fldCharType="end"/>
    </w:r>
    <w:r>
      <w:rPr>
        <w:rStyle w:val="806"/>
      </w:rPr>
    </w:r>
    <w:r/>
  </w:p>
  <w:p>
    <w:pPr>
      <w:pStyle w:val="785"/>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44"/>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4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8"/>
      <w:jc w:val="both"/>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74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744"/>
      </w:pPr>
      <w:rPr>
        <w:rFonts w:hint="eastAsia"/>
      </w:rPr>
    </w:lvl>
    <w:lvl w:ilvl="1">
      <w:start w:val="1"/>
      <w:numFmt w:val="bullet"/>
      <w:isLgl w:val="false"/>
      <w:suff w:val="tab"/>
      <w:lvlText w:val="o"/>
      <w:lvlJc w:val="left"/>
      <w:pPr>
        <w:pStyle w:val="744"/>
        <w:ind w:left="1440" w:hanging="360"/>
      </w:pPr>
      <w:rPr>
        <w:rFonts w:ascii="Courier New" w:hAnsi="Courier New" w:eastAsia="Courier New" w:cs="Courier New"/>
      </w:rPr>
    </w:lvl>
    <w:lvl w:ilvl="2">
      <w:start w:val="1"/>
      <w:numFmt w:val="bullet"/>
      <w:isLgl w:val="false"/>
      <w:suff w:val="tab"/>
      <w:lvlText w:val="§"/>
      <w:lvlJc w:val="left"/>
      <w:pPr>
        <w:pStyle w:val="744"/>
        <w:ind w:left="2160" w:hanging="360"/>
      </w:pPr>
      <w:rPr>
        <w:rFonts w:ascii="Wingdings" w:hAnsi="Wingdings" w:eastAsia="Wingdings" w:cs="Wingdings"/>
      </w:rPr>
    </w:lvl>
    <w:lvl w:ilvl="3">
      <w:start w:val="1"/>
      <w:numFmt w:val="bullet"/>
      <w:isLgl w:val="false"/>
      <w:suff w:val="tab"/>
      <w:lvlText w:val="·"/>
      <w:lvlJc w:val="left"/>
      <w:pPr>
        <w:pStyle w:val="744"/>
        <w:ind w:left="2880" w:hanging="360"/>
      </w:pPr>
      <w:rPr>
        <w:rFonts w:ascii="Symbol" w:hAnsi="Symbol" w:eastAsia="Symbol" w:cs="Symbol"/>
      </w:rPr>
    </w:lvl>
    <w:lvl w:ilvl="4">
      <w:start w:val="1"/>
      <w:numFmt w:val="bullet"/>
      <w:isLgl w:val="false"/>
      <w:suff w:val="tab"/>
      <w:lvlText w:val="o"/>
      <w:lvlJc w:val="left"/>
      <w:pPr>
        <w:pStyle w:val="744"/>
        <w:ind w:left="3600" w:hanging="360"/>
      </w:pPr>
      <w:rPr>
        <w:rFonts w:ascii="Courier New" w:hAnsi="Courier New" w:eastAsia="Courier New" w:cs="Courier New"/>
      </w:rPr>
    </w:lvl>
    <w:lvl w:ilvl="5">
      <w:start w:val="1"/>
      <w:numFmt w:val="bullet"/>
      <w:isLgl w:val="false"/>
      <w:suff w:val="tab"/>
      <w:lvlText w:val="§"/>
      <w:lvlJc w:val="left"/>
      <w:pPr>
        <w:pStyle w:val="744"/>
        <w:ind w:left="4320" w:hanging="360"/>
      </w:pPr>
      <w:rPr>
        <w:rFonts w:ascii="Wingdings" w:hAnsi="Wingdings" w:eastAsia="Wingdings" w:cs="Wingdings"/>
      </w:rPr>
    </w:lvl>
    <w:lvl w:ilvl="6">
      <w:start w:val="1"/>
      <w:numFmt w:val="bullet"/>
      <w:isLgl w:val="false"/>
      <w:suff w:val="tab"/>
      <w:lvlText w:val="·"/>
      <w:lvlJc w:val="left"/>
      <w:pPr>
        <w:pStyle w:val="744"/>
        <w:ind w:left="5040" w:hanging="360"/>
      </w:pPr>
      <w:rPr>
        <w:rFonts w:ascii="Symbol" w:hAnsi="Symbol" w:eastAsia="Symbol" w:cs="Symbol"/>
      </w:rPr>
    </w:lvl>
    <w:lvl w:ilvl="7">
      <w:start w:val="1"/>
      <w:numFmt w:val="bullet"/>
      <w:isLgl w:val="false"/>
      <w:suff w:val="tab"/>
      <w:lvlText w:val="o"/>
      <w:lvlJc w:val="left"/>
      <w:pPr>
        <w:pStyle w:val="744"/>
        <w:ind w:left="5760" w:hanging="360"/>
      </w:pPr>
      <w:rPr>
        <w:rFonts w:ascii="Courier New" w:hAnsi="Courier New" w:eastAsia="Courier New" w:cs="Courier New"/>
      </w:rPr>
    </w:lvl>
    <w:lvl w:ilvl="8">
      <w:start w:val="1"/>
      <w:numFmt w:val="bullet"/>
      <w:isLgl w:val="false"/>
      <w:suff w:val="tab"/>
      <w:lvlText w:val="§"/>
      <w:lvlJc w:val="left"/>
      <w:pPr>
        <w:pStyle w:val="744"/>
        <w:ind w:left="6480" w:hanging="360"/>
      </w:pPr>
      <w:rPr>
        <w:rFonts w:ascii="Wingdings" w:hAnsi="Wingdings" w:eastAsia="Wingdings" w:cs="Wingdings"/>
      </w:rPr>
    </w:lvl>
  </w:abstractNum>
  <w:abstractNum w:abstractNumId="2">
    <w:multiLevelType w:val="hybridMultilevel"/>
    <w:lvl w:ilvl="0">
      <w:start w:val="5"/>
      <w:numFmt w:val="chineseCounting"/>
      <w:isLgl w:val="false"/>
      <w:suff w:val="space"/>
      <w:lvlText w:val="第%1章"/>
      <w:lvlJc w:val="left"/>
      <w:pPr>
        <w:pStyle w:val="74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nothing"/>
      <w:lvlText w:val="%1、"/>
      <w:lvlJc w:val="left"/>
      <w:pPr>
        <w:pStyle w:val="744"/>
      </w:pPr>
    </w:lvl>
    <w:lvl w:ilvl="1">
      <w:start w:val="1"/>
      <w:numFmt w:val="bullet"/>
      <w:isLgl w:val="false"/>
      <w:suff w:val="space"/>
      <w:lvlText w:val="o"/>
      <w:lvlJc w:val="left"/>
      <w:pPr>
        <w:pStyle w:val="744"/>
        <w:ind w:left="1440" w:hanging="360"/>
      </w:pPr>
      <w:rPr>
        <w:rFonts w:ascii="Courier New" w:hAnsi="Courier New" w:eastAsia="Courier New" w:cs="Courier New"/>
      </w:rPr>
    </w:lvl>
    <w:lvl w:ilvl="2">
      <w:start w:val="1"/>
      <w:numFmt w:val="bullet"/>
      <w:isLgl w:val="false"/>
      <w:suff w:val="space"/>
      <w:lvlText w:val="§"/>
      <w:lvlJc w:val="left"/>
      <w:pPr>
        <w:pStyle w:val="744"/>
        <w:ind w:left="2160" w:hanging="360"/>
      </w:pPr>
      <w:rPr>
        <w:rFonts w:ascii="Wingdings" w:hAnsi="Wingdings" w:eastAsia="Wingdings" w:cs="Wingdings"/>
      </w:rPr>
    </w:lvl>
    <w:lvl w:ilvl="3">
      <w:start w:val="1"/>
      <w:numFmt w:val="bullet"/>
      <w:isLgl w:val="false"/>
      <w:suff w:val="space"/>
      <w:lvlText w:val="·"/>
      <w:lvlJc w:val="left"/>
      <w:pPr>
        <w:pStyle w:val="744"/>
        <w:ind w:left="2880" w:hanging="360"/>
      </w:pPr>
      <w:rPr>
        <w:rFonts w:ascii="Symbol" w:hAnsi="Symbol" w:eastAsia="Symbol" w:cs="Symbol"/>
      </w:rPr>
    </w:lvl>
    <w:lvl w:ilvl="4">
      <w:start w:val="1"/>
      <w:numFmt w:val="bullet"/>
      <w:isLgl w:val="false"/>
      <w:suff w:val="space"/>
      <w:lvlText w:val="o"/>
      <w:lvlJc w:val="left"/>
      <w:pPr>
        <w:pStyle w:val="744"/>
        <w:ind w:left="3600" w:hanging="360"/>
      </w:pPr>
      <w:rPr>
        <w:rFonts w:ascii="Courier New" w:hAnsi="Courier New" w:eastAsia="Courier New" w:cs="Courier New"/>
      </w:rPr>
    </w:lvl>
    <w:lvl w:ilvl="5">
      <w:start w:val="1"/>
      <w:numFmt w:val="bullet"/>
      <w:isLgl w:val="false"/>
      <w:suff w:val="space"/>
      <w:lvlText w:val="§"/>
      <w:lvlJc w:val="left"/>
      <w:pPr>
        <w:pStyle w:val="744"/>
        <w:ind w:left="4320" w:hanging="360"/>
      </w:pPr>
      <w:rPr>
        <w:rFonts w:ascii="Wingdings" w:hAnsi="Wingdings" w:eastAsia="Wingdings" w:cs="Wingdings"/>
      </w:rPr>
    </w:lvl>
    <w:lvl w:ilvl="6">
      <w:start w:val="1"/>
      <w:numFmt w:val="bullet"/>
      <w:isLgl w:val="false"/>
      <w:suff w:val="space"/>
      <w:lvlText w:val="·"/>
      <w:lvlJc w:val="left"/>
      <w:pPr>
        <w:pStyle w:val="744"/>
        <w:ind w:left="5040" w:hanging="360"/>
      </w:pPr>
      <w:rPr>
        <w:rFonts w:ascii="Symbol" w:hAnsi="Symbol" w:eastAsia="Symbol" w:cs="Symbol"/>
      </w:rPr>
    </w:lvl>
    <w:lvl w:ilvl="7">
      <w:start w:val="1"/>
      <w:numFmt w:val="bullet"/>
      <w:isLgl w:val="false"/>
      <w:suff w:val="space"/>
      <w:lvlText w:val="o"/>
      <w:lvlJc w:val="left"/>
      <w:pPr>
        <w:pStyle w:val="744"/>
        <w:ind w:left="5760" w:hanging="360"/>
      </w:pPr>
      <w:rPr>
        <w:rFonts w:ascii="Courier New" w:hAnsi="Courier New" w:eastAsia="Courier New" w:cs="Courier New"/>
      </w:rPr>
    </w:lvl>
    <w:lvl w:ilvl="8">
      <w:start w:val="1"/>
      <w:numFmt w:val="bullet"/>
      <w:isLgl w:val="false"/>
      <w:suff w:val="space"/>
      <w:lvlText w:val="§"/>
      <w:lvlJc w:val="left"/>
      <w:pPr>
        <w:pStyle w:val="744"/>
        <w:ind w:left="6480" w:hanging="360"/>
      </w:pPr>
      <w:rPr>
        <w:rFonts w:ascii="Wingdings" w:hAnsi="Wingdings" w:eastAsia="Wingdings" w:cs="Wingdings"/>
      </w:rPr>
    </w:lvl>
  </w:abstractNum>
  <w:abstractNum w:abstractNumId="4">
    <w:multiLevelType w:val="hybridMultilevel"/>
    <w:lvl w:ilvl="0">
      <w:start w:val="1"/>
      <w:numFmt w:val="upperLetter"/>
      <w:pStyle w:val="828"/>
      <w:isLgl w:val="false"/>
      <w:suff w:val="tab"/>
      <w:lvlText w:val="附录%1."/>
      <w:lvlJc w:val="left"/>
      <w:pPr>
        <w:pStyle w:val="74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1、"/>
      <w:lvlJc w:val="left"/>
      <w:pPr>
        <w:pStyle w:val="744"/>
        <w:ind w:left="975" w:hanging="495"/>
      </w:pPr>
      <w:rPr>
        <w:b/>
        <w:lang w:val="en-US"/>
      </w:rPr>
    </w:lvl>
    <w:lvl w:ilvl="1">
      <w:start w:val="1"/>
      <w:numFmt w:val="lowerLetter"/>
      <w:isLgl w:val="false"/>
      <w:suff w:val="tab"/>
      <w:lvlText w:val="%2)"/>
      <w:lvlJc w:val="left"/>
      <w:pPr>
        <w:pStyle w:val="744"/>
        <w:ind w:left="1320" w:hanging="420"/>
      </w:pPr>
    </w:lvl>
    <w:lvl w:ilvl="2">
      <w:start w:val="1"/>
      <w:numFmt w:val="lowerRoman"/>
      <w:isLgl w:val="false"/>
      <w:suff w:val="tab"/>
      <w:lvlText w:val="%3."/>
      <w:lvlJc w:val="right"/>
      <w:pPr>
        <w:pStyle w:val="744"/>
        <w:ind w:left="1740" w:hanging="420"/>
      </w:pPr>
    </w:lvl>
    <w:lvl w:ilvl="3">
      <w:start w:val="1"/>
      <w:numFmt w:val="decimal"/>
      <w:isLgl w:val="false"/>
      <w:suff w:val="tab"/>
      <w:lvlText w:val="%4."/>
      <w:lvlJc w:val="left"/>
      <w:pPr>
        <w:pStyle w:val="744"/>
        <w:ind w:left="2160" w:hanging="420"/>
      </w:pPr>
    </w:lvl>
    <w:lvl w:ilvl="4">
      <w:start w:val="1"/>
      <w:numFmt w:val="lowerLetter"/>
      <w:isLgl w:val="false"/>
      <w:suff w:val="tab"/>
      <w:lvlText w:val="%5)"/>
      <w:lvlJc w:val="left"/>
      <w:pPr>
        <w:pStyle w:val="744"/>
        <w:ind w:left="2580" w:hanging="420"/>
      </w:pPr>
    </w:lvl>
    <w:lvl w:ilvl="5">
      <w:start w:val="1"/>
      <w:numFmt w:val="lowerRoman"/>
      <w:isLgl w:val="false"/>
      <w:suff w:val="tab"/>
      <w:lvlText w:val="%6."/>
      <w:lvlJc w:val="right"/>
      <w:pPr>
        <w:pStyle w:val="744"/>
        <w:ind w:left="3000" w:hanging="420"/>
      </w:pPr>
    </w:lvl>
    <w:lvl w:ilvl="6">
      <w:start w:val="1"/>
      <w:numFmt w:val="decimal"/>
      <w:isLgl w:val="false"/>
      <w:suff w:val="tab"/>
      <w:lvlText w:val="%7."/>
      <w:lvlJc w:val="left"/>
      <w:pPr>
        <w:pStyle w:val="744"/>
        <w:ind w:left="3420" w:hanging="420"/>
      </w:pPr>
    </w:lvl>
    <w:lvl w:ilvl="7">
      <w:start w:val="1"/>
      <w:numFmt w:val="lowerLetter"/>
      <w:isLgl w:val="false"/>
      <w:suff w:val="tab"/>
      <w:lvlText w:val="%8)"/>
      <w:lvlJc w:val="left"/>
      <w:pPr>
        <w:pStyle w:val="744"/>
        <w:ind w:left="3840" w:hanging="420"/>
      </w:pPr>
    </w:lvl>
    <w:lvl w:ilvl="8">
      <w:start w:val="1"/>
      <w:numFmt w:val="lowerRoman"/>
      <w:isLgl w:val="false"/>
      <w:suff w:val="tab"/>
      <w:lvlText w:val="%9."/>
      <w:lvlJc w:val="right"/>
      <w:pPr>
        <w:pStyle w:val="744"/>
        <w:ind w:left="4260" w:hanging="420"/>
      </w:pPr>
    </w:lvl>
  </w:abstractNum>
  <w:abstractNum w:abstractNumId="6">
    <w:multiLevelType w:val="hybridMultilevel"/>
    <w:lvl w:ilvl="0">
      <w:start w:val="1"/>
      <w:numFmt w:val="decimal"/>
      <w:pStyle w:val="856"/>
      <w:isLgl w:val="false"/>
      <w:suff w:val="tab"/>
      <w:lvlText w:val="%1."/>
      <w:lvlJc w:val="left"/>
      <w:pPr>
        <w:pStyle w:val="744"/>
        <w:ind w:left="709" w:hanging="709"/>
        <w:tabs>
          <w:tab w:val="num" w:pos="709" w:leader="none"/>
        </w:tabs>
      </w:pPr>
      <w:rPr>
        <w:rFonts w:hint="eastAsia"/>
      </w:rPr>
    </w:lvl>
    <w:lvl w:ilvl="1">
      <w:start w:val="1"/>
      <w:numFmt w:val="decimal"/>
      <w:isLgl w:val="false"/>
      <w:suff w:val="tab"/>
      <w:lvlText w:val="%1.%2"/>
      <w:lvlJc w:val="left"/>
      <w:pPr>
        <w:pStyle w:val="744"/>
        <w:ind w:left="709" w:hanging="709"/>
        <w:tabs>
          <w:tab w:val="num" w:pos="709" w:leader="none"/>
        </w:tabs>
      </w:pPr>
      <w:rPr>
        <w:rFonts w:hint="eastAsia"/>
      </w:rPr>
    </w:lvl>
    <w:lvl w:ilvl="2">
      <w:start w:val="1"/>
      <w:numFmt w:val="decimal"/>
      <w:isLgl w:val="false"/>
      <w:suff w:val="tab"/>
      <w:lvlText w:val="%1.%2.%3."/>
      <w:lvlJc w:val="left"/>
      <w:pPr>
        <w:pStyle w:val="744"/>
        <w:ind w:left="425" w:hanging="425"/>
        <w:tabs>
          <w:tab w:val="num" w:pos="425" w:leader="none"/>
        </w:tabs>
      </w:pPr>
      <w:rPr>
        <w:rFonts w:hint="eastAsia"/>
      </w:rPr>
    </w:lvl>
    <w:lvl w:ilvl="3">
      <w:start w:val="1"/>
      <w:numFmt w:val="decimal"/>
      <w:isLgl w:val="false"/>
      <w:suff w:val="tab"/>
      <w:lvlText w:val="%1.%2.%3.%4."/>
      <w:lvlJc w:val="left"/>
      <w:pPr>
        <w:pStyle w:val="744"/>
        <w:ind w:left="851" w:hanging="851"/>
        <w:tabs>
          <w:tab w:val="num" w:pos="851" w:leader="none"/>
        </w:tabs>
      </w:pPr>
      <w:rPr>
        <w:rFonts w:hint="eastAsia"/>
      </w:rPr>
    </w:lvl>
    <w:lvl w:ilvl="4">
      <w:start w:val="1"/>
      <w:numFmt w:val="decimal"/>
      <w:isLgl w:val="false"/>
      <w:suff w:val="tab"/>
      <w:lvlText w:val="%1.%2.%3.%4.%5."/>
      <w:lvlJc w:val="left"/>
      <w:pPr>
        <w:pStyle w:val="744"/>
        <w:ind w:left="992" w:hanging="992"/>
        <w:tabs>
          <w:tab w:val="num" w:pos="992" w:leader="none"/>
        </w:tabs>
      </w:pPr>
      <w:rPr>
        <w:rFonts w:hint="eastAsia"/>
      </w:rPr>
    </w:lvl>
    <w:lvl w:ilvl="5">
      <w:start w:val="1"/>
      <w:numFmt w:val="decimal"/>
      <w:isLgl w:val="false"/>
      <w:suff w:val="tab"/>
      <w:lvlText w:val="%1.%2.%3.%4.%5.%6."/>
      <w:lvlJc w:val="left"/>
      <w:pPr>
        <w:pStyle w:val="744"/>
        <w:ind w:left="1134" w:hanging="1134"/>
        <w:tabs>
          <w:tab w:val="num" w:pos="1134" w:leader="none"/>
        </w:tabs>
      </w:pPr>
      <w:rPr>
        <w:rFonts w:hint="eastAsia"/>
      </w:rPr>
    </w:lvl>
    <w:lvl w:ilvl="6">
      <w:start w:val="1"/>
      <w:numFmt w:val="decimal"/>
      <w:isLgl w:val="false"/>
      <w:suff w:val="tab"/>
      <w:lvlText w:val="%1.%2.%3.%4.%5.%6.%7."/>
      <w:lvlJc w:val="left"/>
      <w:pPr>
        <w:pStyle w:val="744"/>
        <w:ind w:left="1276" w:hanging="1276"/>
        <w:tabs>
          <w:tab w:val="num" w:pos="1276" w:leader="none"/>
        </w:tabs>
      </w:pPr>
      <w:rPr>
        <w:rFonts w:hint="eastAsia"/>
      </w:rPr>
    </w:lvl>
    <w:lvl w:ilvl="7">
      <w:start w:val="1"/>
      <w:numFmt w:val="decimal"/>
      <w:isLgl w:val="false"/>
      <w:suff w:val="tab"/>
      <w:lvlText w:val="%1.%2.%3.%4.%5.%6.%7.%8."/>
      <w:lvlJc w:val="left"/>
      <w:pPr>
        <w:pStyle w:val="744"/>
        <w:ind w:left="1418" w:hanging="1418"/>
        <w:tabs>
          <w:tab w:val="num" w:pos="1418" w:leader="none"/>
        </w:tabs>
      </w:pPr>
      <w:rPr>
        <w:rFonts w:hint="eastAsia"/>
      </w:rPr>
    </w:lvl>
    <w:lvl w:ilvl="8">
      <w:start w:val="1"/>
      <w:numFmt w:val="decimal"/>
      <w:isLgl w:val="false"/>
      <w:suff w:val="tab"/>
      <w:lvlText w:val="%1.%2.%3.%4.%5.%6.%7.%8.%9."/>
      <w:lvlJc w:val="left"/>
      <w:pPr>
        <w:pStyle w:val="744"/>
        <w:ind w:left="1559" w:hanging="1559"/>
        <w:tabs>
          <w:tab w:val="num" w:pos="1559" w:leader="none"/>
        </w:tabs>
      </w:pPr>
      <w:rPr>
        <w:rFonts w:hint="eastAsia"/>
      </w:rPr>
    </w:lvl>
  </w:abstractNum>
  <w:abstractNum w:abstractNumId="7">
    <w:multiLevelType w:val="hybridMultilevel"/>
    <w:lvl w:ilvl="0">
      <w:start w:val="1"/>
      <w:numFmt w:val="chineseCountingThousand"/>
      <w:isLgl w:val="false"/>
      <w:suff w:val="nothing"/>
      <w:lvlText w:val="第%1章 "/>
      <w:lvlJc w:val="left"/>
      <w:pPr>
        <w:pStyle w:val="744"/>
        <w:ind w:left="0" w:firstLine="0"/>
      </w:pPr>
      <w:rPr>
        <w:rFonts w:hint="eastAsia"/>
      </w:rPr>
    </w:lvl>
    <w:lvl w:ilvl="1">
      <w:start w:val="1"/>
      <w:numFmt w:val="decimal"/>
      <w:isLgl w:val="false"/>
      <w:suff w:val="nothing"/>
      <w:lvlText w:val="%2、"/>
      <w:lvlJc w:val="left"/>
      <w:pPr>
        <w:pStyle w:val="744"/>
        <w:ind w:left="0" w:firstLine="0"/>
      </w:pPr>
      <w:rPr>
        <w:rFonts w:hint="eastAsia"/>
      </w:rPr>
    </w:lvl>
    <w:lvl w:ilvl="2">
      <w:start w:val="1"/>
      <w:numFmt w:val="decimal"/>
      <w:isLgl w:val="false"/>
      <w:suff w:val="nothing"/>
      <w:lvlText w:val="%2.%3 "/>
      <w:lvlJc w:val="left"/>
      <w:pPr>
        <w:pStyle w:val="744"/>
        <w:ind w:left="0" w:firstLine="0"/>
      </w:pPr>
      <w:rPr>
        <w:rFonts w:hint="eastAsia"/>
      </w:rPr>
    </w:lvl>
    <w:lvl w:ilvl="3">
      <w:start w:val="1"/>
      <w:numFmt w:val="decimal"/>
      <w:isLgl w:val="false"/>
      <w:suff w:val="nothing"/>
      <w:lvlText w:val="%2.%3.%4 "/>
      <w:lvlJc w:val="left"/>
      <w:pPr>
        <w:pStyle w:val="744"/>
        <w:ind w:left="0" w:firstLine="0"/>
      </w:pPr>
      <w:rPr>
        <w:rFonts w:hint="eastAsia"/>
      </w:rPr>
    </w:lvl>
    <w:lvl w:ilvl="4">
      <w:start w:val="1"/>
      <w:numFmt w:val="decimal"/>
      <w:isLgl w:val="false"/>
      <w:suff w:val="nothing"/>
      <w:lvlText w:val="%2.%3.%4.%5 "/>
      <w:lvlJc w:val="left"/>
      <w:pPr>
        <w:pStyle w:val="744"/>
        <w:ind w:left="0" w:firstLine="0"/>
      </w:pPr>
      <w:rPr>
        <w:rFonts w:hint="eastAsia"/>
      </w:rPr>
    </w:lvl>
    <w:lvl w:ilvl="5">
      <w:start w:val="1"/>
      <w:numFmt w:val="decimal"/>
      <w:pStyle w:val="750"/>
      <w:isLgl w:val="false"/>
      <w:suff w:val="nothing"/>
      <w:lvlText w:val=""/>
      <w:lvlJc w:val="left"/>
      <w:pPr>
        <w:pStyle w:val="744"/>
        <w:ind w:left="0" w:firstLine="0"/>
      </w:pPr>
      <w:rPr>
        <w:rFonts w:hint="eastAsia"/>
      </w:rPr>
    </w:lvl>
    <w:lvl w:ilvl="6">
      <w:start w:val="1"/>
      <w:numFmt w:val="decimal"/>
      <w:pStyle w:val="751"/>
      <w:isLgl w:val="false"/>
      <w:suff w:val="nothing"/>
      <w:lvlText w:val=""/>
      <w:lvlJc w:val="left"/>
      <w:pPr>
        <w:pStyle w:val="744"/>
        <w:ind w:left="0" w:firstLine="0"/>
      </w:pPr>
      <w:rPr>
        <w:rFonts w:hint="eastAsia"/>
      </w:rPr>
    </w:lvl>
    <w:lvl w:ilvl="7">
      <w:start w:val="1"/>
      <w:numFmt w:val="decimal"/>
      <w:pStyle w:val="752"/>
      <w:isLgl w:val="false"/>
      <w:suff w:val="nothing"/>
      <w:lvlText w:val=""/>
      <w:lvlJc w:val="left"/>
      <w:pPr>
        <w:pStyle w:val="744"/>
        <w:ind w:left="0" w:firstLine="0"/>
      </w:pPr>
      <w:rPr>
        <w:rFonts w:hint="eastAsia"/>
      </w:rPr>
    </w:lvl>
    <w:lvl w:ilvl="8">
      <w:start w:val="1"/>
      <w:numFmt w:val="decimal"/>
      <w:pStyle w:val="753"/>
      <w:isLgl w:val="false"/>
      <w:suff w:val="nothing"/>
      <w:lvlText w:val=""/>
      <w:lvlJc w:val="left"/>
      <w:pPr>
        <w:pStyle w:val="744"/>
        <w:ind w:left="0" w:firstLine="0"/>
      </w:pPr>
      <w:rPr>
        <w:rFonts w:hint="eastAsia"/>
      </w:rPr>
    </w:lvl>
  </w:abstractNum>
  <w:abstractNum w:abstractNumId="8">
    <w:multiLevelType w:val="hybridMultilevel"/>
    <w:lvl w:ilvl="0">
      <w:start w:val="1"/>
      <w:numFmt w:val="chineseCounting"/>
      <w:isLgl w:val="false"/>
      <w:suff w:val="nothing"/>
      <w:lvlText w:val="%1、"/>
      <w:lvlJc w:val="left"/>
      <w:pPr>
        <w:pStyle w:val="74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japaneseCounting"/>
      <w:pStyle w:val="867"/>
      <w:isLgl w:val="false"/>
      <w:suff w:val="tab"/>
      <w:lvlText w:val="第%1章"/>
      <w:lvlJc w:val="left"/>
      <w:pPr>
        <w:pStyle w:val="744"/>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4"/>
  </w:num>
  <w:num w:numId="3">
    <w:abstractNumId w:val="6"/>
  </w:num>
  <w:num w:numId="4">
    <w:abstractNumId w:val="9"/>
  </w:num>
  <w:num w:numId="5">
    <w:abstractNumId w:val="3"/>
  </w:num>
  <w:num w:numId="6">
    <w:abstractNumId w:val="2"/>
  </w:num>
  <w:num w:numId="7">
    <w:abstractNumId w:val="1"/>
  </w:num>
  <w:num w:numId="8">
    <w:abstractNumId w:val="5"/>
  </w:num>
  <w:num w:numId="9">
    <w:abstractNumId w:val="8"/>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44"/>
    <w:next w:val="74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44"/>
    <w:next w:val="74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44"/>
    <w:next w:val="74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44"/>
    <w:next w:val="74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44"/>
    <w:next w:val="74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44"/>
    <w:next w:val="74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44"/>
    <w:next w:val="74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44"/>
    <w:next w:val="74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44"/>
    <w:next w:val="74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4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44"/>
    <w:next w:val="74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44"/>
    <w:next w:val="74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44"/>
    <w:next w:val="744"/>
    <w:link w:val="38"/>
    <w:uiPriority w:val="29"/>
    <w:qFormat/>
    <w:pPr>
      <w:ind w:left="720" w:right="720"/>
    </w:pPr>
    <w:rPr>
      <w:i/>
    </w:rPr>
  </w:style>
  <w:style w:type="character" w:styleId="38">
    <w:name w:val="Quote Char"/>
    <w:link w:val="37"/>
    <w:uiPriority w:val="29"/>
    <w:rPr>
      <w:i/>
    </w:rPr>
  </w:style>
  <w:style w:type="paragraph" w:styleId="39">
    <w:name w:val="Intense Quote"/>
    <w:basedOn w:val="744"/>
    <w:next w:val="74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4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4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44"/>
    <w:next w:val="74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4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4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44"/>
    <w:next w:val="744"/>
    <w:uiPriority w:val="39"/>
    <w:unhideWhenUsed/>
    <w:pPr>
      <w:ind w:left="0" w:right="0" w:firstLine="0"/>
      <w:spacing w:after="57"/>
    </w:pPr>
  </w:style>
  <w:style w:type="paragraph" w:styleId="181">
    <w:name w:val="toc 2"/>
    <w:basedOn w:val="744"/>
    <w:next w:val="744"/>
    <w:uiPriority w:val="39"/>
    <w:unhideWhenUsed/>
    <w:pPr>
      <w:ind w:left="283" w:right="0" w:firstLine="0"/>
      <w:spacing w:after="57"/>
    </w:pPr>
  </w:style>
  <w:style w:type="paragraph" w:styleId="182">
    <w:name w:val="toc 3"/>
    <w:basedOn w:val="744"/>
    <w:next w:val="744"/>
    <w:uiPriority w:val="39"/>
    <w:unhideWhenUsed/>
    <w:pPr>
      <w:ind w:left="567" w:right="0" w:firstLine="0"/>
      <w:spacing w:after="57"/>
    </w:pPr>
  </w:style>
  <w:style w:type="paragraph" w:styleId="183">
    <w:name w:val="toc 4"/>
    <w:basedOn w:val="744"/>
    <w:next w:val="744"/>
    <w:uiPriority w:val="39"/>
    <w:unhideWhenUsed/>
    <w:pPr>
      <w:ind w:left="850" w:right="0" w:firstLine="0"/>
      <w:spacing w:after="57"/>
    </w:pPr>
  </w:style>
  <w:style w:type="paragraph" w:styleId="184">
    <w:name w:val="toc 5"/>
    <w:basedOn w:val="744"/>
    <w:next w:val="744"/>
    <w:uiPriority w:val="39"/>
    <w:unhideWhenUsed/>
    <w:pPr>
      <w:ind w:left="1134" w:right="0" w:firstLine="0"/>
      <w:spacing w:after="57"/>
    </w:pPr>
  </w:style>
  <w:style w:type="paragraph" w:styleId="185">
    <w:name w:val="toc 6"/>
    <w:basedOn w:val="744"/>
    <w:next w:val="744"/>
    <w:uiPriority w:val="39"/>
    <w:unhideWhenUsed/>
    <w:pPr>
      <w:ind w:left="1417" w:right="0" w:firstLine="0"/>
      <w:spacing w:after="57"/>
    </w:pPr>
  </w:style>
  <w:style w:type="paragraph" w:styleId="186">
    <w:name w:val="toc 7"/>
    <w:basedOn w:val="744"/>
    <w:next w:val="744"/>
    <w:uiPriority w:val="39"/>
    <w:unhideWhenUsed/>
    <w:pPr>
      <w:ind w:left="1701" w:right="0" w:firstLine="0"/>
      <w:spacing w:after="57"/>
    </w:pPr>
  </w:style>
  <w:style w:type="paragraph" w:styleId="187">
    <w:name w:val="toc 8"/>
    <w:basedOn w:val="744"/>
    <w:next w:val="744"/>
    <w:uiPriority w:val="39"/>
    <w:unhideWhenUsed/>
    <w:pPr>
      <w:ind w:left="1984" w:right="0" w:firstLine="0"/>
      <w:spacing w:after="57"/>
    </w:pPr>
  </w:style>
  <w:style w:type="paragraph" w:styleId="188">
    <w:name w:val="toc 9"/>
    <w:basedOn w:val="744"/>
    <w:next w:val="744"/>
    <w:uiPriority w:val="39"/>
    <w:unhideWhenUsed/>
    <w:pPr>
      <w:ind w:left="2268" w:right="0" w:firstLine="0"/>
      <w:spacing w:after="57"/>
    </w:pPr>
  </w:style>
  <w:style w:type="paragraph" w:styleId="189">
    <w:name w:val="TOC Heading"/>
    <w:uiPriority w:val="39"/>
    <w:unhideWhenUsed/>
  </w:style>
  <w:style w:type="paragraph" w:styleId="190">
    <w:name w:val="table of figures"/>
    <w:basedOn w:val="744"/>
    <w:next w:val="744"/>
    <w:uiPriority w:val="99"/>
    <w:unhideWhenUsed/>
    <w:pPr>
      <w:spacing w:after="0" w:afterAutospacing="0"/>
    </w:pPr>
  </w:style>
  <w:style w:type="paragraph" w:styleId="744" w:default="1">
    <w:name w:val="Normal"/>
    <w:next w:val="756"/>
    <w:link w:val="744"/>
    <w:qFormat/>
    <w:pPr>
      <w:jc w:val="both"/>
      <w:widowControl w:val="off"/>
    </w:pPr>
    <w:rPr>
      <w:sz w:val="21"/>
      <w:szCs w:val="21"/>
      <w:lang w:val="en-US" w:eastAsia="zh-CN" w:bidi="ar-SA"/>
    </w:rPr>
  </w:style>
  <w:style w:type="paragraph" w:styleId="745">
    <w:name w:val="标题 1"/>
    <w:basedOn w:val="744"/>
    <w:next w:val="744"/>
    <w:link w:val="757"/>
    <w:uiPriority w:val="9"/>
    <w:qFormat/>
    <w:pPr>
      <w:jc w:val="center"/>
      <w:keepNext/>
      <w:outlineLvl w:val="0"/>
    </w:pPr>
    <w:rPr>
      <w:rFonts w:ascii="楷体_GB2312" w:eastAsia="楷体_GB2312"/>
      <w:sz w:val="28"/>
      <w:szCs w:val="28"/>
    </w:rPr>
  </w:style>
  <w:style w:type="paragraph" w:styleId="746">
    <w:name w:val="标题 2"/>
    <w:basedOn w:val="744"/>
    <w:next w:val="759"/>
    <w:link w:val="758"/>
    <w:uiPriority w:val="9"/>
    <w:qFormat/>
    <w:pPr>
      <w:jc w:val="center"/>
      <w:keepLines/>
      <w:keepNext/>
      <w:spacing w:before="260" w:after="260" w:line="416" w:lineRule="auto"/>
      <w:outlineLvl w:val="1"/>
    </w:pPr>
    <w:rPr>
      <w:rFonts w:ascii="Arial" w:hAnsi="Arial" w:eastAsia="幼圆"/>
      <w:b/>
      <w:bCs/>
      <w:sz w:val="44"/>
      <w:szCs w:val="44"/>
    </w:rPr>
  </w:style>
  <w:style w:type="paragraph" w:styleId="747">
    <w:name w:val="标题 3"/>
    <w:basedOn w:val="744"/>
    <w:next w:val="759"/>
    <w:link w:val="761"/>
    <w:uiPriority w:val="9"/>
    <w:qFormat/>
    <w:pPr>
      <w:keepLines/>
      <w:keepNext/>
      <w:spacing w:before="260" w:after="260" w:line="416" w:lineRule="auto"/>
      <w:outlineLvl w:val="2"/>
    </w:pPr>
    <w:rPr>
      <w:b/>
      <w:bCs/>
      <w:sz w:val="32"/>
      <w:szCs w:val="32"/>
    </w:rPr>
  </w:style>
  <w:style w:type="paragraph" w:styleId="748">
    <w:name w:val="标题 4"/>
    <w:basedOn w:val="744"/>
    <w:next w:val="744"/>
    <w:link w:val="762"/>
    <w:uiPriority w:val="9"/>
    <w:qFormat/>
    <w:pPr>
      <w:keepLines/>
      <w:keepNext/>
      <w:spacing w:before="280" w:after="290" w:line="376" w:lineRule="auto"/>
      <w:outlineLvl w:val="3"/>
    </w:pPr>
    <w:rPr>
      <w:rFonts w:ascii="Arial" w:hAnsi="Arial" w:eastAsia="黑体"/>
      <w:b/>
      <w:bCs/>
      <w:sz w:val="28"/>
      <w:szCs w:val="28"/>
    </w:rPr>
  </w:style>
  <w:style w:type="paragraph" w:styleId="749">
    <w:name w:val="标题 5"/>
    <w:basedOn w:val="744"/>
    <w:next w:val="759"/>
    <w:link w:val="763"/>
    <w:uiPriority w:val="9"/>
    <w:qFormat/>
    <w:pPr>
      <w:keepNext/>
      <w:outlineLvl w:val="4"/>
    </w:pPr>
    <w:rPr>
      <w:rFonts w:ascii="宋体"/>
      <w:color w:val="000000"/>
      <w:sz w:val="28"/>
      <w:szCs w:val="28"/>
    </w:rPr>
  </w:style>
  <w:style w:type="paragraph" w:styleId="750">
    <w:name w:val="标题 6"/>
    <w:basedOn w:val="744"/>
    <w:next w:val="744"/>
    <w:link w:val="764"/>
    <w:uiPriority w:val="9"/>
    <w:qFormat/>
    <w:pPr>
      <w:numPr>
        <w:ilvl w:val="5"/>
        <w:numId w:val="1"/>
      </w:numPr>
      <w:keepLines/>
      <w:keepNext/>
      <w:spacing w:before="240" w:after="64" w:line="320" w:lineRule="auto"/>
      <w:outlineLvl w:val="5"/>
    </w:pPr>
    <w:rPr>
      <w:rFonts w:ascii="Arial" w:hAnsi="Arial" w:eastAsia="黑体"/>
      <w:b/>
      <w:bCs/>
      <w:sz w:val="24"/>
      <w:szCs w:val="24"/>
    </w:rPr>
  </w:style>
  <w:style w:type="paragraph" w:styleId="751">
    <w:name w:val="标题 7"/>
    <w:basedOn w:val="744"/>
    <w:next w:val="744"/>
    <w:link w:val="765"/>
    <w:uiPriority w:val="9"/>
    <w:qFormat/>
    <w:pPr>
      <w:numPr>
        <w:ilvl w:val="6"/>
        <w:numId w:val="1"/>
      </w:numPr>
      <w:keepLines/>
      <w:keepNext/>
      <w:spacing w:before="240" w:after="64" w:line="320" w:lineRule="auto"/>
      <w:outlineLvl w:val="6"/>
    </w:pPr>
    <w:rPr>
      <w:b/>
      <w:bCs/>
      <w:sz w:val="24"/>
      <w:szCs w:val="24"/>
    </w:rPr>
  </w:style>
  <w:style w:type="paragraph" w:styleId="752">
    <w:name w:val="标题 8"/>
    <w:basedOn w:val="744"/>
    <w:next w:val="744"/>
    <w:link w:val="744"/>
    <w:qFormat/>
    <w:pPr>
      <w:numPr>
        <w:ilvl w:val="7"/>
        <w:numId w:val="1"/>
      </w:numPr>
      <w:keepLines/>
      <w:keepNext/>
      <w:spacing w:before="240" w:after="64" w:line="320" w:lineRule="auto"/>
      <w:outlineLvl w:val="7"/>
    </w:pPr>
    <w:rPr>
      <w:rFonts w:ascii="Arial" w:hAnsi="Arial" w:eastAsia="黑体"/>
      <w:sz w:val="24"/>
      <w:szCs w:val="24"/>
    </w:rPr>
  </w:style>
  <w:style w:type="paragraph" w:styleId="753">
    <w:name w:val="标题 9"/>
    <w:basedOn w:val="744"/>
    <w:next w:val="744"/>
    <w:link w:val="744"/>
    <w:qFormat/>
    <w:pPr>
      <w:numPr>
        <w:ilvl w:val="8"/>
        <w:numId w:val="1"/>
      </w:numPr>
      <w:keepLines/>
      <w:keepNext/>
      <w:spacing w:before="240" w:after="64" w:line="320" w:lineRule="auto"/>
      <w:outlineLvl w:val="8"/>
    </w:pPr>
    <w:rPr>
      <w:rFonts w:ascii="Arial" w:hAnsi="Arial" w:eastAsia="黑体"/>
    </w:rPr>
  </w:style>
  <w:style w:type="character" w:styleId="754">
    <w:name w:val="默认段落字体"/>
    <w:next w:val="754"/>
    <w:link w:val="744"/>
    <w:semiHidden/>
  </w:style>
  <w:style w:type="table" w:styleId="755">
    <w:name w:val="普通表格"/>
    <w:next w:val="755"/>
    <w:link w:val="744"/>
    <w:semiHidden/>
    <w:pPr>
      <w:ind w:left="0" w:right="0"/>
      <w:keepLines w:val="0"/>
      <w:keepNext w:val="0"/>
      <w:spacing w:before="0" w:beforeAutospacing="0" w:after="0" w:afterAutospacing="0"/>
      <w:widowControl/>
      <w:suppressLineNumbers w:val="0"/>
    </w:pPr>
    <w:rPr>
      <w:rFonts w:ascii="Calibri" w:hAnsi="Calibri" w:cs="Times New Roman"/>
      <w:sz w:val="21"/>
      <w:szCs w:val="22"/>
    </w:rPr>
    <w:tblPr/>
  </w:style>
  <w:style w:type="paragraph" w:styleId="756">
    <w:name w:val="索引 4"/>
    <w:basedOn w:val="744"/>
    <w:next w:val="744"/>
    <w:link w:val="744"/>
    <w:uiPriority w:val="99"/>
    <w:unhideWhenUsed/>
    <w:pPr>
      <w:ind w:left="600"/>
      <w:spacing w:before="100" w:beforeAutospacing="1" w:after="100" w:afterAutospacing="1"/>
    </w:pPr>
    <w:rPr>
      <w:rFonts w:ascii="宋体"/>
      <w:b/>
      <w:bCs/>
      <w:position w:val="-10"/>
      <w:sz w:val="24"/>
      <w:szCs w:val="22"/>
    </w:rPr>
  </w:style>
  <w:style w:type="character" w:styleId="757">
    <w:name w:val="标题 1 字符"/>
    <w:next w:val="757"/>
    <w:link w:val="745"/>
    <w:uiPriority w:val="9"/>
    <w:rPr>
      <w:rFonts w:ascii="楷体_GB2312" w:eastAsia="楷体_GB2312"/>
      <w:sz w:val="28"/>
      <w:szCs w:val="28"/>
    </w:rPr>
  </w:style>
  <w:style w:type="character" w:styleId="758">
    <w:name w:val="标题 2 字符"/>
    <w:next w:val="758"/>
    <w:link w:val="746"/>
    <w:uiPriority w:val="9"/>
    <w:rPr>
      <w:rFonts w:ascii="Arial" w:hAnsi="Arial" w:eastAsia="幼圆" w:cs="Arial"/>
      <w:b/>
      <w:bCs/>
      <w:sz w:val="44"/>
      <w:szCs w:val="44"/>
    </w:rPr>
  </w:style>
  <w:style w:type="paragraph" w:styleId="759">
    <w:name w:val="正文缩进"/>
    <w:basedOn w:val="744"/>
    <w:next w:val="759"/>
    <w:link w:val="760"/>
    <w:pPr>
      <w:ind w:firstLine="420"/>
    </w:pPr>
  </w:style>
  <w:style w:type="character" w:styleId="760">
    <w:name w:val="正文缩进 字符"/>
    <w:next w:val="760"/>
    <w:link w:val="759"/>
    <w:rPr>
      <w:sz w:val="21"/>
      <w:szCs w:val="21"/>
    </w:rPr>
  </w:style>
  <w:style w:type="character" w:styleId="761">
    <w:name w:val="标题 3 字符"/>
    <w:next w:val="761"/>
    <w:link w:val="747"/>
    <w:uiPriority w:val="9"/>
    <w:rPr>
      <w:rFonts w:eastAsia="宋体"/>
      <w:b/>
      <w:bCs/>
      <w:sz w:val="32"/>
      <w:szCs w:val="32"/>
      <w:lang w:val="en-US" w:eastAsia="zh-CN" w:bidi="ar-SA"/>
    </w:rPr>
  </w:style>
  <w:style w:type="character" w:styleId="762">
    <w:name w:val="标题 4 字符"/>
    <w:next w:val="762"/>
    <w:link w:val="748"/>
    <w:uiPriority w:val="9"/>
    <w:rPr>
      <w:rFonts w:ascii="Arial" w:hAnsi="Arial" w:eastAsia="黑体" w:cs="Arial"/>
      <w:b/>
      <w:bCs/>
      <w:sz w:val="28"/>
      <w:szCs w:val="28"/>
    </w:rPr>
  </w:style>
  <w:style w:type="character" w:styleId="763">
    <w:name w:val="标题 5 字符"/>
    <w:next w:val="763"/>
    <w:link w:val="749"/>
    <w:uiPriority w:val="9"/>
    <w:rPr>
      <w:rFonts w:ascii="宋体"/>
      <w:color w:val="000000"/>
      <w:sz w:val="28"/>
      <w:szCs w:val="28"/>
    </w:rPr>
  </w:style>
  <w:style w:type="character" w:styleId="764">
    <w:name w:val="标题 6 字符"/>
    <w:next w:val="764"/>
    <w:link w:val="750"/>
    <w:uiPriority w:val="9"/>
    <w:rPr>
      <w:rFonts w:ascii="Arial" w:hAnsi="Arial" w:eastAsia="黑体"/>
      <w:b/>
      <w:bCs/>
      <w:sz w:val="24"/>
      <w:szCs w:val="24"/>
    </w:rPr>
  </w:style>
  <w:style w:type="character" w:styleId="765">
    <w:name w:val="标题 7 字符"/>
    <w:next w:val="765"/>
    <w:link w:val="751"/>
    <w:uiPriority w:val="9"/>
    <w:rPr>
      <w:b/>
      <w:bCs/>
      <w:sz w:val="24"/>
      <w:szCs w:val="24"/>
    </w:rPr>
  </w:style>
  <w:style w:type="paragraph" w:styleId="766">
    <w:name w:val="列表 3"/>
    <w:basedOn w:val="744"/>
    <w:next w:val="766"/>
    <w:link w:val="744"/>
    <w:pPr>
      <w:ind w:left="100" w:hanging="200"/>
    </w:pPr>
  </w:style>
  <w:style w:type="paragraph" w:styleId="767">
    <w:name w:val="目录 7"/>
    <w:basedOn w:val="744"/>
    <w:next w:val="744"/>
    <w:link w:val="744"/>
    <w:semiHidden/>
    <w:pPr>
      <w:ind w:left="1260"/>
      <w:jc w:val="left"/>
    </w:pPr>
  </w:style>
  <w:style w:type="paragraph" w:styleId="768">
    <w:name w:val="文档结构图"/>
    <w:basedOn w:val="744"/>
    <w:next w:val="768"/>
    <w:link w:val="769"/>
    <w:semiHidden/>
    <w:pPr>
      <w:shd w:val="clear" w:color="auto" w:fill="000080"/>
    </w:pPr>
  </w:style>
  <w:style w:type="character" w:styleId="769">
    <w:name w:val="文档结构图 字符"/>
    <w:next w:val="769"/>
    <w:link w:val="768"/>
    <w:rPr>
      <w:rFonts w:eastAsia="宋体"/>
      <w:sz w:val="21"/>
      <w:szCs w:val="21"/>
      <w:lang w:val="en-US" w:eastAsia="zh-CN" w:bidi="ar-SA"/>
    </w:rPr>
  </w:style>
  <w:style w:type="paragraph" w:styleId="770">
    <w:name w:val="引文目录标题"/>
    <w:basedOn w:val="744"/>
    <w:next w:val="744"/>
    <w:link w:val="744"/>
    <w:uiPriority w:val="99"/>
    <w:unhideWhenUsed/>
    <w:qFormat/>
    <w:pPr>
      <w:spacing w:before="120"/>
    </w:pPr>
    <w:rPr>
      <w:rFonts w:ascii="Cambria" w:hAnsi="Cambria" w:cs="Times New Roman"/>
    </w:rPr>
  </w:style>
  <w:style w:type="paragraph" w:styleId="771">
    <w:name w:val="批注文字"/>
    <w:basedOn w:val="744"/>
    <w:next w:val="771"/>
    <w:link w:val="744"/>
    <w:semiHidden/>
    <w:pPr>
      <w:jc w:val="left"/>
    </w:pPr>
  </w:style>
  <w:style w:type="paragraph" w:styleId="772">
    <w:name w:val="正文文本 3"/>
    <w:basedOn w:val="744"/>
    <w:next w:val="772"/>
    <w:link w:val="744"/>
    <w:rPr>
      <w:rFonts w:ascii="仿宋_GB2312" w:hAnsi="Arial" w:eastAsia="仿宋_GB2312"/>
      <w:sz w:val="32"/>
      <w:szCs w:val="32"/>
    </w:rPr>
  </w:style>
  <w:style w:type="paragraph" w:styleId="773">
    <w:name w:val="正文文本"/>
    <w:basedOn w:val="744"/>
    <w:next w:val="744"/>
    <w:link w:val="774"/>
    <w:uiPriority w:val="99"/>
    <w:rPr>
      <w:rFonts w:ascii="楷体_GB2312" w:hAnsi="Arial" w:eastAsia="楷体_GB2312"/>
      <w:sz w:val="28"/>
      <w:szCs w:val="28"/>
    </w:rPr>
  </w:style>
  <w:style w:type="character" w:styleId="774">
    <w:name w:val="正文文本 字符"/>
    <w:next w:val="774"/>
    <w:link w:val="773"/>
    <w:uiPriority w:val="99"/>
    <w:rPr>
      <w:rFonts w:ascii="楷体_GB2312" w:hAnsi="Arial" w:eastAsia="楷体_GB2312"/>
      <w:sz w:val="28"/>
      <w:szCs w:val="28"/>
    </w:rPr>
  </w:style>
  <w:style w:type="paragraph" w:styleId="775">
    <w:name w:val="正文文本缩进"/>
    <w:basedOn w:val="744"/>
    <w:next w:val="775"/>
    <w:link w:val="744"/>
    <w:pPr>
      <w:ind w:firstLine="645"/>
    </w:pPr>
    <w:rPr>
      <w:rFonts w:ascii="楷体_GB2312" w:eastAsia="楷体_GB2312"/>
      <w:sz w:val="32"/>
      <w:szCs w:val="32"/>
    </w:rPr>
  </w:style>
  <w:style w:type="paragraph" w:styleId="776">
    <w:name w:val="列表 2"/>
    <w:basedOn w:val="744"/>
    <w:next w:val="776"/>
    <w:link w:val="744"/>
    <w:pPr>
      <w:ind w:left="100" w:hanging="200"/>
    </w:pPr>
  </w:style>
  <w:style w:type="paragraph" w:styleId="777">
    <w:name w:val="目录 5"/>
    <w:basedOn w:val="744"/>
    <w:next w:val="744"/>
    <w:link w:val="744"/>
    <w:semiHidden/>
    <w:pPr>
      <w:ind w:left="840"/>
      <w:jc w:val="left"/>
    </w:pPr>
  </w:style>
  <w:style w:type="paragraph" w:styleId="778">
    <w:name w:val="目录 3"/>
    <w:basedOn w:val="744"/>
    <w:next w:val="744"/>
    <w:link w:val="744"/>
    <w:uiPriority w:val="39"/>
    <w:pPr>
      <w:ind w:left="420"/>
      <w:jc w:val="left"/>
    </w:pPr>
    <w:rPr>
      <w:i/>
      <w:iCs/>
      <w:szCs w:val="24"/>
    </w:rPr>
  </w:style>
  <w:style w:type="paragraph" w:styleId="779">
    <w:name w:val="纯文本"/>
    <w:basedOn w:val="744"/>
    <w:next w:val="779"/>
    <w:link w:val="780"/>
    <w:uiPriority w:val="99"/>
    <w:qFormat/>
    <w:rPr>
      <w:rFonts w:ascii="宋体" w:hAnsi="Courier New"/>
    </w:rPr>
  </w:style>
  <w:style w:type="character" w:styleId="780">
    <w:name w:val="纯文本 字符"/>
    <w:next w:val="780"/>
    <w:link w:val="779"/>
    <w:uiPriority w:val="99"/>
    <w:qFormat/>
    <w:rPr>
      <w:rFonts w:ascii="宋体" w:hAnsi="Courier New" w:cs="Courier New"/>
      <w:sz w:val="21"/>
      <w:szCs w:val="21"/>
    </w:rPr>
  </w:style>
  <w:style w:type="paragraph" w:styleId="781">
    <w:name w:val="目录 8"/>
    <w:basedOn w:val="744"/>
    <w:next w:val="744"/>
    <w:link w:val="744"/>
    <w:semiHidden/>
    <w:pPr>
      <w:ind w:left="1470"/>
      <w:jc w:val="left"/>
    </w:pPr>
  </w:style>
  <w:style w:type="paragraph" w:styleId="782">
    <w:name w:val="日期"/>
    <w:basedOn w:val="744"/>
    <w:next w:val="744"/>
    <w:link w:val="744"/>
    <w:rPr>
      <w:sz w:val="24"/>
      <w:szCs w:val="24"/>
    </w:rPr>
  </w:style>
  <w:style w:type="paragraph" w:styleId="783">
    <w:name w:val="正文文本缩进 2"/>
    <w:basedOn w:val="744"/>
    <w:next w:val="783"/>
    <w:link w:val="744"/>
    <w:pPr>
      <w:ind w:left="630" w:firstLine="645"/>
    </w:pPr>
    <w:rPr>
      <w:rFonts w:ascii="Arial" w:hAnsi="Arial" w:eastAsia="仿宋_GB2312" w:cs="Arial"/>
      <w:sz w:val="32"/>
      <w:szCs w:val="32"/>
    </w:rPr>
  </w:style>
  <w:style w:type="paragraph" w:styleId="784">
    <w:name w:val="批注框文本"/>
    <w:basedOn w:val="744"/>
    <w:next w:val="784"/>
    <w:link w:val="744"/>
    <w:semiHidden/>
    <w:rPr>
      <w:sz w:val="18"/>
      <w:szCs w:val="18"/>
    </w:rPr>
  </w:style>
  <w:style w:type="paragraph" w:styleId="785">
    <w:name w:val="页脚"/>
    <w:basedOn w:val="744"/>
    <w:next w:val="785"/>
    <w:link w:val="786"/>
    <w:uiPriority w:val="99"/>
    <w:pPr>
      <w:jc w:val="left"/>
      <w:tabs>
        <w:tab w:val="center" w:pos="4153" w:leader="none"/>
        <w:tab w:val="right" w:pos="8306" w:leader="none"/>
      </w:tabs>
    </w:pPr>
    <w:rPr>
      <w:sz w:val="18"/>
      <w:szCs w:val="18"/>
    </w:rPr>
  </w:style>
  <w:style w:type="character" w:styleId="786">
    <w:name w:val="页脚 字符1"/>
    <w:next w:val="786"/>
    <w:link w:val="785"/>
    <w:uiPriority w:val="99"/>
    <w:rPr>
      <w:sz w:val="18"/>
      <w:szCs w:val="18"/>
    </w:rPr>
  </w:style>
  <w:style w:type="paragraph" w:styleId="787">
    <w:name w:val="寄信人地址"/>
    <w:basedOn w:val="744"/>
    <w:next w:val="787"/>
    <w:link w:val="744"/>
    <w:qFormat/>
    <w:rPr>
      <w:rFonts w:ascii="Arial" w:hAnsi="Arial"/>
    </w:rPr>
  </w:style>
  <w:style w:type="paragraph" w:styleId="788">
    <w:name w:val="页眉"/>
    <w:basedOn w:val="744"/>
    <w:next w:val="788"/>
    <w:link w:val="789"/>
    <w:uiPriority w:val="99"/>
    <w:pPr>
      <w:jc w:val="center"/>
      <w:tabs>
        <w:tab w:val="center" w:pos="4153" w:leader="none"/>
        <w:tab w:val="right" w:pos="8306" w:leader="none"/>
      </w:tabs>
      <w:pBdr>
        <w:bottom w:val="single" w:color="000000" w:sz="6" w:space="1"/>
      </w:pBdr>
    </w:pPr>
    <w:rPr>
      <w:sz w:val="18"/>
      <w:szCs w:val="18"/>
    </w:rPr>
  </w:style>
  <w:style w:type="character" w:styleId="789">
    <w:name w:val="页眉 字符1"/>
    <w:next w:val="789"/>
    <w:link w:val="788"/>
    <w:uiPriority w:val="99"/>
    <w:rPr>
      <w:sz w:val="18"/>
      <w:szCs w:val="18"/>
    </w:rPr>
  </w:style>
  <w:style w:type="paragraph" w:styleId="790">
    <w:name w:val="目录 1"/>
    <w:basedOn w:val="744"/>
    <w:next w:val="744"/>
    <w:link w:val="744"/>
    <w:uiPriority w:val="39"/>
    <w:pPr>
      <w:jc w:val="left"/>
      <w:spacing w:before="120" w:after="120" w:line="400" w:lineRule="exact"/>
      <w:tabs>
        <w:tab w:val="right" w:pos="8720" w:leader="dot"/>
      </w:tabs>
    </w:pPr>
    <w:rPr>
      <w:rFonts w:ascii="宋体" w:hAnsi="宋体"/>
      <w:caps/>
      <w:sz w:val="24"/>
      <w:szCs w:val="24"/>
    </w:rPr>
  </w:style>
  <w:style w:type="paragraph" w:styleId="791">
    <w:name w:val="目录 4"/>
    <w:basedOn w:val="744"/>
    <w:next w:val="744"/>
    <w:link w:val="744"/>
    <w:semiHidden/>
    <w:pPr>
      <w:ind w:left="630"/>
      <w:jc w:val="left"/>
    </w:pPr>
  </w:style>
  <w:style w:type="paragraph" w:styleId="792">
    <w:name w:val="列表"/>
    <w:basedOn w:val="744"/>
    <w:next w:val="792"/>
    <w:link w:val="744"/>
    <w:pPr>
      <w:ind w:left="200" w:hanging="200"/>
    </w:pPr>
  </w:style>
  <w:style w:type="paragraph" w:styleId="793">
    <w:name w:val="目录 6"/>
    <w:basedOn w:val="744"/>
    <w:next w:val="744"/>
    <w:link w:val="744"/>
    <w:semiHidden/>
    <w:pPr>
      <w:ind w:left="1050"/>
      <w:jc w:val="left"/>
    </w:pPr>
  </w:style>
  <w:style w:type="paragraph" w:styleId="794">
    <w:name w:val="正文文本缩进 3"/>
    <w:basedOn w:val="744"/>
    <w:next w:val="794"/>
    <w:link w:val="744"/>
    <w:pPr>
      <w:ind w:left="645" w:firstLine="645"/>
    </w:pPr>
    <w:rPr>
      <w:rFonts w:ascii="Arial" w:hAnsi="Arial" w:eastAsia="仿宋_GB2312" w:cs="Arial"/>
      <w:color w:val="ffff00"/>
      <w:sz w:val="32"/>
      <w:szCs w:val="32"/>
    </w:rPr>
  </w:style>
  <w:style w:type="paragraph" w:styleId="795">
    <w:name w:val="图表目录"/>
    <w:basedOn w:val="744"/>
    <w:next w:val="744"/>
    <w:link w:val="744"/>
    <w:semiHidden/>
    <w:pPr>
      <w:ind w:left="840" w:hanging="420"/>
    </w:pPr>
  </w:style>
  <w:style w:type="paragraph" w:styleId="796">
    <w:name w:val="目录 2"/>
    <w:basedOn w:val="744"/>
    <w:next w:val="744"/>
    <w:link w:val="744"/>
    <w:uiPriority w:val="39"/>
    <w:pPr>
      <w:ind w:left="210"/>
      <w:jc w:val="left"/>
    </w:pPr>
    <w:rPr>
      <w:smallCaps/>
      <w:szCs w:val="24"/>
    </w:rPr>
  </w:style>
  <w:style w:type="paragraph" w:styleId="797">
    <w:name w:val="目录 9"/>
    <w:basedOn w:val="744"/>
    <w:next w:val="744"/>
    <w:link w:val="744"/>
    <w:semiHidden/>
    <w:pPr>
      <w:ind w:left="1680"/>
      <w:jc w:val="left"/>
    </w:pPr>
  </w:style>
  <w:style w:type="paragraph" w:styleId="798">
    <w:name w:val="正文文本 2"/>
    <w:basedOn w:val="744"/>
    <w:next w:val="798"/>
    <w:link w:val="744"/>
    <w:pPr>
      <w:jc w:val="center"/>
      <w:widowControl/>
    </w:pPr>
    <w:rPr>
      <w:rFonts w:ascii="楷体_GB2312" w:eastAsia="楷体_GB2312"/>
      <w:sz w:val="28"/>
      <w:szCs w:val="28"/>
    </w:rPr>
  </w:style>
  <w:style w:type="paragraph" w:styleId="799">
    <w:name w:val="普通(网站)"/>
    <w:basedOn w:val="744"/>
    <w:next w:val="799"/>
    <w:link w:val="744"/>
    <w:uiPriority w:val="99"/>
    <w:pPr>
      <w:jc w:val="left"/>
      <w:spacing w:before="100" w:beforeAutospacing="1" w:after="100" w:afterAutospacing="1"/>
      <w:widowControl/>
    </w:pPr>
    <w:rPr>
      <w:rFonts w:ascii="宋体" w:hAnsi="宋体" w:cs="宋体"/>
      <w:sz w:val="24"/>
      <w:szCs w:val="24"/>
    </w:rPr>
  </w:style>
  <w:style w:type="paragraph" w:styleId="800">
    <w:name w:val="索引 1"/>
    <w:basedOn w:val="744"/>
    <w:next w:val="744"/>
    <w:link w:val="744"/>
    <w:semiHidden/>
    <w:pPr>
      <w:spacing w:line="240" w:lineRule="atLeast"/>
    </w:pPr>
    <w:rPr>
      <w:b/>
      <w:bCs/>
    </w:rPr>
  </w:style>
  <w:style w:type="paragraph" w:styleId="801">
    <w:name w:val="批注主题"/>
    <w:basedOn w:val="771"/>
    <w:next w:val="771"/>
    <w:link w:val="744"/>
    <w:semiHidden/>
    <w:rPr>
      <w:b/>
      <w:bCs/>
    </w:rPr>
  </w:style>
  <w:style w:type="paragraph" w:styleId="802">
    <w:name w:val="正文首行缩进"/>
    <w:basedOn w:val="773"/>
    <w:next w:val="802"/>
    <w:link w:val="744"/>
    <w:pPr>
      <w:ind w:firstLine="200"/>
      <w:spacing w:line="360" w:lineRule="auto"/>
    </w:pPr>
    <w:rPr>
      <w:rFonts w:ascii="仿宋_GB2312" w:eastAsia="仿宋_GB2312"/>
      <w:sz w:val="30"/>
      <w:szCs w:val="30"/>
    </w:rPr>
  </w:style>
  <w:style w:type="paragraph" w:styleId="803">
    <w:name w:val="正文首行缩进 2"/>
    <w:basedOn w:val="775"/>
    <w:next w:val="759"/>
    <w:link w:val="744"/>
    <w:pPr>
      <w:ind w:firstLine="420"/>
      <w:spacing w:line="360" w:lineRule="auto"/>
    </w:pPr>
    <w:rPr>
      <w:rFonts w:ascii="宋体" w:hAnsi="宋体" w:eastAsia="宋体"/>
      <w:sz w:val="21"/>
      <w:szCs w:val="20"/>
    </w:rPr>
  </w:style>
  <w:style w:type="table" w:styleId="804">
    <w:name w:val="网格型"/>
    <w:basedOn w:val="755"/>
    <w:next w:val="804"/>
    <w:link w:val="744"/>
    <w:uiPriority w:val="59"/>
    <w:pPr>
      <w:jc w:val="both"/>
      <w:widowControl w:val="off"/>
    </w:pPr>
    <w:tblPr/>
  </w:style>
  <w:style w:type="character" w:styleId="805">
    <w:name w:val="要点"/>
    <w:next w:val="805"/>
    <w:link w:val="744"/>
    <w:uiPriority w:val="22"/>
    <w:qFormat/>
    <w:rPr>
      <w:b/>
      <w:bCs/>
    </w:rPr>
  </w:style>
  <w:style w:type="character" w:styleId="806">
    <w:name w:val="页码"/>
    <w:next w:val="806"/>
    <w:link w:val="744"/>
  </w:style>
  <w:style w:type="character" w:styleId="807">
    <w:name w:val="已访问的超链接"/>
    <w:next w:val="807"/>
    <w:link w:val="744"/>
    <w:rPr>
      <w:color w:val="000000"/>
      <w:u w:val="none"/>
    </w:rPr>
  </w:style>
  <w:style w:type="character" w:styleId="808">
    <w:name w:val="超链接"/>
    <w:next w:val="808"/>
    <w:link w:val="744"/>
    <w:rPr>
      <w:color w:val="000000"/>
      <w:u w:val="none"/>
    </w:rPr>
  </w:style>
  <w:style w:type="character" w:styleId="809">
    <w:name w:val="批注引用"/>
    <w:next w:val="809"/>
    <w:link w:val="744"/>
    <w:semiHidden/>
    <w:rPr>
      <w:sz w:val="21"/>
      <w:szCs w:val="21"/>
    </w:rPr>
  </w:style>
  <w:style w:type="paragraph" w:styleId="810">
    <w:name w:val="Default"/>
    <w:next w:val="810"/>
    <w:link w:val="744"/>
    <w:pPr>
      <w:widowControl w:val="off"/>
    </w:pPr>
    <w:rPr>
      <w:rFonts w:ascii="仿宋_GB2312" w:eastAsia="仿宋_GB2312" w:cs="仿宋_GB2312"/>
      <w:color w:val="000000"/>
      <w:sz w:val="24"/>
      <w:szCs w:val="24"/>
      <w:lang w:val="en-US" w:eastAsia="zh-CN" w:bidi="ar-SA"/>
    </w:rPr>
  </w:style>
  <w:style w:type="paragraph" w:styleId="811">
    <w:name w:val="样式 标题 1 + 四号 加粗"/>
    <w:basedOn w:val="745"/>
    <w:next w:val="811"/>
    <w:link w:val="744"/>
    <w:qFormat/>
    <w:pPr>
      <w:tabs>
        <w:tab w:val="left" w:pos="432" w:leader="none"/>
      </w:tabs>
    </w:pPr>
    <w:rPr>
      <w:rFonts w:eastAsia="黑体"/>
    </w:rPr>
  </w:style>
  <w:style w:type="character" w:styleId="812">
    <w:name w:val="10_0"/>
    <w:next w:val="812"/>
    <w:link w:val="744"/>
    <w:qFormat/>
    <w:rPr>
      <w:sz w:val="21"/>
      <w:szCs w:val="21"/>
      <w:lang w:val="en-US" w:eastAsia="zh-CN" w:bidi="ar-SA"/>
    </w:rPr>
  </w:style>
  <w:style w:type="character" w:styleId="813">
    <w:name w:val="apple-converted-space"/>
    <w:next w:val="813"/>
    <w:link w:val="744"/>
    <w:uiPriority w:val="99"/>
    <w:qFormat/>
  </w:style>
  <w:style w:type="character" w:styleId="814">
    <w:name w:val=" Char Char Char Char Char"/>
    <w:next w:val="814"/>
    <w:link w:val="815"/>
    <w:rPr>
      <w:rFonts w:ascii="Tahoma" w:hAnsi="Tahoma" w:eastAsia="宋体"/>
      <w:sz w:val="24"/>
      <w:szCs w:val="24"/>
      <w:lang w:val="en-US" w:eastAsia="zh-CN" w:bidi="ar-SA"/>
    </w:rPr>
  </w:style>
  <w:style w:type="paragraph" w:styleId="815">
    <w:name w:val=" Char Char Char Char"/>
    <w:basedOn w:val="768"/>
    <w:next w:val="815"/>
    <w:link w:val="814"/>
    <w:pPr>
      <w:spacing w:line="360" w:lineRule="auto"/>
    </w:pPr>
    <w:rPr>
      <w:rFonts w:ascii="Tahoma" w:hAnsi="Tahoma"/>
      <w:sz w:val="24"/>
      <w:szCs w:val="24"/>
    </w:rPr>
  </w:style>
  <w:style w:type="character" w:styleId="816">
    <w:name w:val="font5 Char"/>
    <w:next w:val="816"/>
    <w:link w:val="744"/>
    <w:rPr>
      <w:rFonts w:ascii="宋体" w:hAnsi="宋体" w:eastAsia="宋体"/>
      <w:sz w:val="28"/>
      <w:szCs w:val="28"/>
      <w:lang w:val="en-US" w:eastAsia="zh-CN" w:bidi="ar-SA"/>
    </w:rPr>
  </w:style>
  <w:style w:type="character" w:styleId="817">
    <w:name w:val="layui-this2"/>
    <w:next w:val="817"/>
    <w:link w:val="744"/>
    <w:rPr>
      <w:shd w:val="clear" w:color="auto" w:fill="ffffff"/>
    </w:rPr>
  </w:style>
  <w:style w:type="character" w:styleId="818">
    <w:name w:val="页眉 字符"/>
    <w:next w:val="818"/>
    <w:link w:val="744"/>
    <w:uiPriority w:val="99"/>
    <w:semiHidden/>
    <w:rPr>
      <w:sz w:val="18"/>
      <w:szCs w:val="18"/>
    </w:rPr>
  </w:style>
  <w:style w:type="character" w:styleId="819">
    <w:name w:val="l-btn-left"/>
    <w:next w:val="819"/>
    <w:link w:val="744"/>
  </w:style>
  <w:style w:type="character" w:styleId="820">
    <w:name w:val="first-child"/>
    <w:next w:val="820"/>
    <w:link w:val="744"/>
  </w:style>
  <w:style w:type="character" w:styleId="821">
    <w:name w:val="标题 1 字符1"/>
    <w:next w:val="821"/>
    <w:link w:val="744"/>
    <w:uiPriority w:val="9"/>
    <w:rPr>
      <w:rFonts w:ascii="Calibri" w:hAnsi="Calibri" w:eastAsia="宋体" w:cs="Times New Roman"/>
      <w:b/>
      <w:bCs/>
      <w:sz w:val="44"/>
      <w:szCs w:val="44"/>
    </w:rPr>
  </w:style>
  <w:style w:type="character" w:styleId="822">
    <w:name w:val="列出段落 Char,Bullet List Char,numbered Char,FooterText Char,List Paragraph1 Char,Paragraphe de liste1 Char"/>
    <w:next w:val="822"/>
    <w:link w:val="823"/>
    <w:rPr>
      <w:rFonts w:ascii="Calibri" w:hAnsi="Calibri"/>
      <w:sz w:val="24"/>
      <w:szCs w:val="24"/>
      <w:lang w:eastAsia="en-US" w:bidi="en-US"/>
    </w:rPr>
  </w:style>
  <w:style w:type="paragraph" w:styleId="823">
    <w:name w:val="列出段落1"/>
    <w:basedOn w:val="744"/>
    <w:next w:val="823"/>
    <w:link w:val="822"/>
    <w:qFormat/>
    <w:pPr>
      <w:contextualSpacing/>
      <w:ind w:left="720"/>
      <w:jc w:val="left"/>
      <w:widowControl/>
    </w:pPr>
    <w:rPr>
      <w:rFonts w:ascii="Calibri" w:hAnsi="Calibri"/>
      <w:sz w:val="24"/>
      <w:szCs w:val="24"/>
      <w:lang w:eastAsia="en-US" w:bidi="en-US"/>
    </w:rPr>
  </w:style>
  <w:style w:type="character" w:styleId="824">
    <w:name w:val="l-btn-text36"/>
    <w:next w:val="824"/>
    <w:link w:val="744"/>
  </w:style>
  <w:style w:type="character" w:styleId="825">
    <w:name w:val="普通正文 Char"/>
    <w:next w:val="825"/>
    <w:link w:val="826"/>
    <w:rPr>
      <w:rFonts w:ascii="Arial" w:hAnsi="Arial"/>
      <w:sz w:val="24"/>
      <w:szCs w:val="24"/>
    </w:rPr>
  </w:style>
  <w:style w:type="paragraph" w:styleId="826">
    <w:name w:val="普通正文"/>
    <w:basedOn w:val="744"/>
    <w:next w:val="826"/>
    <w:link w:val="825"/>
    <w:qFormat/>
    <w:pPr>
      <w:ind w:firstLine="480"/>
      <w:jc w:val="left"/>
      <w:spacing w:before="120" w:after="120" w:line="360" w:lineRule="auto"/>
    </w:pPr>
    <w:rPr>
      <w:rFonts w:ascii="Arial" w:hAnsi="Arial"/>
      <w:sz w:val="24"/>
      <w:szCs w:val="24"/>
    </w:rPr>
  </w:style>
  <w:style w:type="character" w:styleId="827">
    <w:name w:val="二级目录 Char"/>
    <w:next w:val="827"/>
    <w:link w:val="828"/>
    <w:rPr>
      <w:b/>
      <w:sz w:val="30"/>
      <w:szCs w:val="28"/>
      <w:lang w:val="en-US" w:eastAsia="zh-CN" w:bidi="ar-SA"/>
    </w:rPr>
  </w:style>
  <w:style w:type="paragraph" w:styleId="828">
    <w:name w:val="二级目录"/>
    <w:next w:val="744"/>
    <w:link w:val="827"/>
    <w:pPr>
      <w:numPr>
        <w:ilvl w:val="0"/>
        <w:numId w:val="2"/>
      </w:numPr>
      <w:tabs>
        <w:tab w:val="left" w:pos="907" w:leader="none"/>
        <w:tab w:val="left" w:pos="1145" w:leader="none"/>
      </w:tabs>
      <w:outlineLvl w:val="1"/>
    </w:pPr>
    <w:rPr>
      <w:b/>
      <w:sz w:val="30"/>
      <w:szCs w:val="28"/>
      <w:lang w:val="en-US" w:eastAsia="zh-CN" w:bidi="ar-SA"/>
    </w:rPr>
  </w:style>
  <w:style w:type="character" w:styleId="829">
    <w:name w:val="current"/>
    <w:next w:val="829"/>
    <w:link w:val="744"/>
    <w:rPr>
      <w:b/>
      <w:bCs/>
      <w:color w:val="05a7d8"/>
      <w:sz w:val="14"/>
      <w:szCs w:val="14"/>
    </w:rPr>
  </w:style>
  <w:style w:type="character" w:styleId="830">
    <w:name w:val="layui-laypage-curr"/>
    <w:next w:val="830"/>
    <w:link w:val="744"/>
  </w:style>
  <w:style w:type="character" w:styleId="831">
    <w:name w:val="纯文本 Char"/>
    <w:next w:val="831"/>
    <w:link w:val="744"/>
    <w:uiPriority w:val="99"/>
    <w:qFormat/>
    <w:rPr>
      <w:rFonts w:ascii="宋体" w:hAnsi="Courier New" w:cs="Courier New"/>
      <w:sz w:val="21"/>
      <w:szCs w:val="21"/>
    </w:rPr>
  </w:style>
  <w:style w:type="character" w:styleId="832">
    <w:name w:val="页脚 字符"/>
    <w:next w:val="832"/>
    <w:link w:val="744"/>
    <w:uiPriority w:val="99"/>
    <w:semiHidden/>
    <w:rPr>
      <w:sz w:val="18"/>
      <w:szCs w:val="18"/>
    </w:rPr>
  </w:style>
  <w:style w:type="character" w:styleId="833">
    <w:name w:val="页眉 Char1"/>
    <w:next w:val="833"/>
    <w:link w:val="744"/>
    <w:uiPriority w:val="99"/>
    <w:semiHidden/>
    <w:rPr>
      <w:rFonts w:ascii="Calibri" w:hAnsi="Calibri" w:eastAsia="宋体" w:cs="Times New Roman"/>
      <w:sz w:val="18"/>
      <w:szCs w:val="18"/>
    </w:rPr>
  </w:style>
  <w:style w:type="paragraph" w:styleId="834">
    <w:name w:val="附录1"/>
    <w:next w:val="834"/>
    <w:link w:val="744"/>
    <w:pPr>
      <w:numPr>
        <w:ilvl w:val="0"/>
        <w:numId w:val="2"/>
      </w:numPr>
      <w:spacing w:before="240" w:line="600" w:lineRule="atLeast"/>
      <w:tabs>
        <w:tab w:val="left" w:pos="907" w:leader="none"/>
      </w:tabs>
    </w:pPr>
    <w:rPr>
      <w:b/>
      <w:i/>
      <w:sz w:val="28"/>
      <w:lang w:val="en-US" w:eastAsia="zh-CN" w:bidi="ar-SA"/>
    </w:rPr>
  </w:style>
  <w:style w:type="paragraph" w:styleId="835">
    <w:name w:val="font7"/>
    <w:basedOn w:val="744"/>
    <w:next w:val="835"/>
    <w:link w:val="744"/>
    <w:pPr>
      <w:jc w:val="left"/>
      <w:spacing w:before="100" w:beforeAutospacing="1" w:after="100" w:afterAutospacing="1"/>
      <w:widowControl/>
    </w:pPr>
    <w:rPr>
      <w:rFonts w:hint="eastAsia" w:ascii="宋体" w:hAnsi="宋体"/>
      <w:sz w:val="18"/>
      <w:szCs w:val="18"/>
    </w:rPr>
  </w:style>
  <w:style w:type="paragraph" w:styleId="836">
    <w:name w:val="标书正文"/>
    <w:basedOn w:val="744"/>
    <w:next w:val="836"/>
    <w:link w:val="744"/>
    <w:qFormat/>
    <w:pPr>
      <w:ind w:firstLine="480"/>
      <w:jc w:val="left"/>
      <w:spacing w:line="360" w:lineRule="auto"/>
    </w:pPr>
    <w:rPr>
      <w:b/>
      <w:bCs/>
      <w:position w:val="-10"/>
      <w:sz w:val="24"/>
      <w:szCs w:val="22"/>
    </w:rPr>
  </w:style>
  <w:style w:type="paragraph" w:styleId="837">
    <w:name w:val="font6"/>
    <w:basedOn w:val="744"/>
    <w:next w:val="837"/>
    <w:link w:val="744"/>
    <w:pPr>
      <w:jc w:val="left"/>
      <w:spacing w:before="100" w:beforeAutospacing="1" w:after="100" w:afterAutospacing="1"/>
      <w:widowControl/>
    </w:pPr>
    <w:rPr>
      <w:rFonts w:hint="eastAsia" w:ascii="宋体" w:hAnsi="宋体"/>
      <w:sz w:val="28"/>
      <w:szCs w:val="28"/>
      <w:u w:val="single"/>
    </w:rPr>
  </w:style>
  <w:style w:type="paragraph" w:styleId="838">
    <w:name w:val="Char"/>
    <w:basedOn w:val="744"/>
    <w:next w:val="838"/>
    <w:link w:val="744"/>
    <w:qFormat/>
    <w:pPr>
      <w:ind w:firstLine="200"/>
      <w:tabs>
        <w:tab w:val="left" w:pos="360" w:leader="none"/>
      </w:tabs>
    </w:pPr>
    <w:rPr>
      <w:sz w:val="28"/>
      <w:szCs w:val="30"/>
    </w:rPr>
  </w:style>
  <w:style w:type="paragraph" w:styleId="839">
    <w:name w:val="无间隔1"/>
    <w:next w:val="839"/>
    <w:link w:val="744"/>
    <w:qFormat/>
    <w:pPr>
      <w:jc w:val="both"/>
      <w:widowControl w:val="off"/>
    </w:pPr>
    <w:rPr>
      <w:rFonts w:ascii="Calibri" w:hAnsi="Calibri"/>
      <w:sz w:val="21"/>
      <w:szCs w:val="22"/>
      <w:lang w:val="en-US" w:eastAsia="zh-CN" w:bidi="ar-SA"/>
    </w:rPr>
  </w:style>
  <w:style w:type="paragraph" w:styleId="840">
    <w:name w:val="0"/>
    <w:basedOn w:val="744"/>
    <w:next w:val="840"/>
    <w:link w:val="744"/>
    <w:qFormat/>
    <w:pPr>
      <w:widowControl/>
    </w:pPr>
    <w:rPr>
      <w:szCs w:val="21"/>
    </w:rPr>
  </w:style>
  <w:style w:type="paragraph" w:styleId="841">
    <w:name w:val="图标"/>
    <w:basedOn w:val="744"/>
    <w:next w:val="744"/>
    <w:link w:val="744"/>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42">
    <w:name w:val="Char Char Char Char Char Char Char Char"/>
    <w:basedOn w:val="744"/>
    <w:next w:val="842"/>
    <w:link w:val="744"/>
    <w:pPr>
      <w:jc w:val="left"/>
      <w:spacing w:after="160" w:line="240" w:lineRule="exact"/>
      <w:widowControl/>
    </w:pPr>
    <w:rPr>
      <w:rFonts w:ascii="Verdana" w:hAnsi="Verdana"/>
      <w:sz w:val="20"/>
      <w:szCs w:val="20"/>
      <w:lang w:eastAsia="en-US"/>
    </w:rPr>
  </w:style>
  <w:style w:type="paragraph" w:styleId="843">
    <w:name w:val="Body Text(ch)"/>
    <w:basedOn w:val="744"/>
    <w:next w:val="773"/>
    <w:link w:val="744"/>
    <w:pPr>
      <w:spacing w:after="120"/>
    </w:pPr>
    <w:rPr>
      <w:rFonts w:ascii="宋体" w:hAnsi="Arial"/>
      <w:bCs/>
      <w:iCs/>
      <w:szCs w:val="24"/>
    </w:rPr>
  </w:style>
  <w:style w:type="paragraph" w:styleId="844">
    <w:name w:val="标题1"/>
    <w:basedOn w:val="744"/>
    <w:next w:val="845"/>
    <w:link w:val="744"/>
    <w:pPr>
      <w:jc w:val="center"/>
      <w:spacing w:line="700" w:lineRule="atLeast"/>
      <w:tabs>
        <w:tab w:val="left" w:pos="9193" w:leader="none"/>
        <w:tab w:val="left" w:pos="9827" w:leader="none"/>
      </w:tabs>
    </w:pPr>
    <w:rPr>
      <w:rFonts w:ascii="方正小标宋_GBK" w:eastAsia="方正小标宋_GBK"/>
      <w:sz w:val="44"/>
      <w:szCs w:val="20"/>
    </w:rPr>
  </w:style>
  <w:style w:type="paragraph" w:styleId="845">
    <w:name w:val="正文文本缩进1"/>
    <w:basedOn w:val="744"/>
    <w:next w:val="845"/>
    <w:link w:val="744"/>
    <w:unhideWhenUsed/>
    <w:qFormat/>
    <w:pPr>
      <w:ind w:left="420"/>
      <w:spacing w:after="120"/>
    </w:pPr>
  </w:style>
  <w:style w:type="paragraph" w:styleId="846">
    <w:name w:val=" Char Char Char Char Char Char Char Char"/>
    <w:basedOn w:val="744"/>
    <w:next w:val="846"/>
    <w:link w:val="744"/>
    <w:pPr>
      <w:jc w:val="left"/>
      <w:spacing w:after="160" w:line="240" w:lineRule="exact"/>
      <w:widowControl/>
    </w:pPr>
    <w:rPr>
      <w:rFonts w:ascii="Verdana" w:hAnsi="Verdana"/>
      <w:sz w:val="20"/>
      <w:szCs w:val="20"/>
      <w:lang w:eastAsia="en-US"/>
    </w:rPr>
  </w:style>
  <w:style w:type="paragraph" w:styleId="847">
    <w:name w:val="列表段落1"/>
    <w:basedOn w:val="744"/>
    <w:next w:val="847"/>
    <w:link w:val="744"/>
    <w:qFormat/>
    <w:pPr>
      <w:ind w:firstLine="420"/>
    </w:pPr>
    <w:rPr>
      <w:rFonts w:ascii="Calibri" w:hAnsi="Calibri"/>
      <w:szCs w:val="24"/>
    </w:rPr>
  </w:style>
  <w:style w:type="paragraph" w:styleId="848">
    <w:name w:val="xl24"/>
    <w:basedOn w:val="744"/>
    <w:next w:val="848"/>
    <w:link w:val="74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49">
    <w:name w:val="标题3"/>
    <w:basedOn w:val="744"/>
    <w:next w:val="744"/>
    <w:link w:val="744"/>
    <w:pPr>
      <w:ind w:firstLine="624"/>
      <w:spacing w:line="590" w:lineRule="atLeast"/>
    </w:pPr>
    <w:rPr>
      <w:rFonts w:ascii="方正黑体_GBK" w:eastAsia="方正黑体_GBK"/>
      <w:sz w:val="32"/>
      <w:szCs w:val="32"/>
    </w:rPr>
  </w:style>
  <w:style w:type="paragraph" w:styleId="850">
    <w:name w:val="普通 (Web)"/>
    <w:basedOn w:val="744"/>
    <w:next w:val="850"/>
    <w:link w:val="744"/>
    <w:pPr>
      <w:jc w:val="left"/>
      <w:spacing w:before="100" w:beforeAutospacing="1" w:after="100" w:afterAutospacing="1"/>
      <w:widowControl/>
    </w:pPr>
    <w:rPr>
      <w:rFonts w:ascii="宋体" w:hAnsi="宋体"/>
      <w:sz w:val="24"/>
      <w:szCs w:val="24"/>
    </w:rPr>
  </w:style>
  <w:style w:type="paragraph" w:styleId="851">
    <w:name w:val="xl28"/>
    <w:basedOn w:val="744"/>
    <w:next w:val="851"/>
    <w:link w:val="74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52">
    <w:name w:val="xl30"/>
    <w:basedOn w:val="744"/>
    <w:next w:val="852"/>
    <w:link w:val="744"/>
    <w:pPr>
      <w:jc w:val="center"/>
      <w:spacing w:before="100" w:beforeAutospacing="1" w:after="100" w:afterAutospacing="1"/>
      <w:widowControl/>
    </w:pPr>
    <w:rPr>
      <w:rFonts w:ascii="宋体" w:hAnsi="宋体"/>
      <w:b/>
      <w:bCs/>
      <w:sz w:val="36"/>
      <w:szCs w:val="36"/>
    </w:rPr>
  </w:style>
  <w:style w:type="paragraph" w:styleId="853">
    <w:name w:val=" Char Char Char Char Char Char Char Char Char Char"/>
    <w:basedOn w:val="744"/>
    <w:next w:val="853"/>
    <w:link w:val="744"/>
    <w:pPr>
      <w:spacing w:line="360" w:lineRule="auto"/>
    </w:pPr>
    <w:rPr>
      <w:sz w:val="24"/>
      <w:szCs w:val="20"/>
    </w:rPr>
  </w:style>
  <w:style w:type="paragraph" w:styleId="854">
    <w:name w:val="font5"/>
    <w:basedOn w:val="744"/>
    <w:next w:val="854"/>
    <w:link w:val="744"/>
    <w:pPr>
      <w:jc w:val="left"/>
      <w:spacing w:before="100" w:beforeAutospacing="1" w:after="100" w:afterAutospacing="1"/>
      <w:widowControl/>
    </w:pPr>
    <w:rPr>
      <w:rFonts w:hint="eastAsia" w:ascii="宋体" w:hAnsi="宋体"/>
      <w:sz w:val="28"/>
      <w:szCs w:val="28"/>
    </w:rPr>
  </w:style>
  <w:style w:type="paragraph" w:styleId="855">
    <w:name w:val="列出段落"/>
    <w:basedOn w:val="744"/>
    <w:next w:val="855"/>
    <w:link w:val="744"/>
    <w:qFormat/>
    <w:pPr>
      <w:ind w:firstLine="420"/>
    </w:pPr>
    <w:rPr>
      <w:szCs w:val="24"/>
    </w:rPr>
  </w:style>
  <w:style w:type="paragraph" w:styleId="856">
    <w:name w:val="样式1"/>
    <w:basedOn w:val="744"/>
    <w:next w:val="856"/>
    <w:link w:val="744"/>
    <w:pPr>
      <w:numPr>
        <w:ilvl w:val="0"/>
        <w:numId w:val="3"/>
      </w:numPr>
      <w:tabs>
        <w:tab w:val="left" w:pos="709" w:leader="none"/>
      </w:tabs>
    </w:pPr>
    <w:rPr>
      <w:rFonts w:ascii="宋体" w:hAnsi="宋体"/>
    </w:rPr>
  </w:style>
  <w:style w:type="paragraph" w:styleId="857">
    <w:name w:val="Char Char Char Char"/>
    <w:basedOn w:val="768"/>
    <w:next w:val="857"/>
    <w:link w:val="744"/>
    <w:pPr>
      <w:spacing w:line="360" w:lineRule="auto"/>
    </w:pPr>
    <w:rPr>
      <w:rFonts w:ascii="Tahoma" w:hAnsi="Tahoma"/>
      <w:sz w:val="24"/>
      <w:szCs w:val="24"/>
    </w:rPr>
  </w:style>
  <w:style w:type="paragraph" w:styleId="858">
    <w:name w:val="table_lines"/>
    <w:basedOn w:val="744"/>
    <w:next w:val="858"/>
    <w:link w:val="744"/>
    <w:pPr>
      <w:jc w:val="left"/>
      <w:widowControl/>
    </w:pPr>
    <w:rPr>
      <w:sz w:val="20"/>
      <w:szCs w:val="20"/>
      <w:lang w:val="de-DE" w:eastAsia="de-DE"/>
    </w:rPr>
  </w:style>
  <w:style w:type="paragraph" w:styleId="859">
    <w:name w:val="xl26"/>
    <w:basedOn w:val="744"/>
    <w:next w:val="859"/>
    <w:link w:val="74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60">
    <w:name w:val="xl27"/>
    <w:basedOn w:val="744"/>
    <w:next w:val="860"/>
    <w:link w:val="74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61">
    <w:name w:val="table_1stline"/>
    <w:basedOn w:val="744"/>
    <w:next w:val="861"/>
    <w:link w:val="744"/>
    <w:pPr>
      <w:jc w:val="left"/>
      <w:spacing w:before="120"/>
      <w:widowControl/>
    </w:pPr>
    <w:rPr>
      <w:bCs/>
      <w:sz w:val="20"/>
      <w:szCs w:val="20"/>
      <w:lang w:val="de-DE" w:eastAsia="de-DE"/>
    </w:rPr>
  </w:style>
  <w:style w:type="paragraph" w:styleId="862">
    <w:name w:val="4"/>
    <w:basedOn w:val="744"/>
    <w:next w:val="794"/>
    <w:link w:val="744"/>
    <w:uiPriority w:val="99"/>
    <w:qFormat/>
    <w:pPr>
      <w:ind w:firstLine="420"/>
      <w:spacing w:line="360" w:lineRule="auto"/>
    </w:pPr>
    <w:rPr>
      <w:color w:val="ff0000"/>
      <w:sz w:val="24"/>
      <w:szCs w:val="24"/>
    </w:rPr>
  </w:style>
  <w:style w:type="paragraph" w:styleId="863">
    <w:name w:val="xl25"/>
    <w:basedOn w:val="744"/>
    <w:next w:val="863"/>
    <w:link w:val="744"/>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64">
    <w:name w:val=" Char"/>
    <w:basedOn w:val="768"/>
    <w:next w:val="864"/>
    <w:link w:val="744"/>
    <w:rPr>
      <w:rFonts w:ascii="Tahoma" w:hAnsi="Tahoma"/>
      <w:sz w:val="24"/>
      <w:szCs w:val="24"/>
    </w:rPr>
  </w:style>
  <w:style w:type="paragraph" w:styleId="865">
    <w:name w:val="xl29"/>
    <w:basedOn w:val="744"/>
    <w:next w:val="865"/>
    <w:link w:val="744"/>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866">
    <w:name w:val="普通(Web)4"/>
    <w:basedOn w:val="744"/>
    <w:next w:val="866"/>
    <w:link w:val="744"/>
    <w:qFormat/>
    <w:pPr>
      <w:jc w:val="left"/>
      <w:spacing w:before="100" w:beforeAutospacing="1" w:after="100" w:afterAutospacing="1" w:line="375" w:lineRule="atLeast"/>
      <w:widowControl/>
    </w:pPr>
    <w:rPr>
      <w:rFonts w:ascii="ˎ̥" w:hAnsi="ˎ̥"/>
      <w:sz w:val="24"/>
    </w:rPr>
  </w:style>
  <w:style w:type="paragraph" w:styleId="867">
    <w:name w:val="正文1"/>
    <w:basedOn w:val="744"/>
    <w:next w:val="744"/>
    <w:link w:val="744"/>
    <w:qFormat/>
    <w:pPr>
      <w:numPr>
        <w:ilvl w:val="0"/>
        <w:numId w:val="4"/>
      </w:numPr>
      <w:ind w:left="359" w:hanging="359"/>
      <w:spacing w:line="500" w:lineRule="exact"/>
      <w:tabs>
        <w:tab w:val="left" w:pos="480" w:leader="none"/>
        <w:tab w:val="left" w:pos="1440" w:leader="none"/>
      </w:tabs>
    </w:pPr>
    <w:rPr>
      <w:rFonts w:ascii="黑体" w:hAnsi="宋体"/>
      <w:szCs w:val="24"/>
    </w:rPr>
  </w:style>
  <w:style w:type="paragraph" w:styleId="868">
    <w:name w:val="无间隔"/>
    <w:next w:val="868"/>
    <w:link w:val="744"/>
    <w:uiPriority w:val="99"/>
    <w:qFormat/>
    <w:pPr>
      <w:jc w:val="both"/>
      <w:widowControl w:val="off"/>
    </w:pPr>
    <w:rPr>
      <w:sz w:val="21"/>
      <w:szCs w:val="21"/>
      <w:lang w:val="en-US" w:eastAsia="zh-CN" w:bidi="ar-SA"/>
    </w:rPr>
  </w:style>
  <w:style w:type="paragraph" w:styleId="869">
    <w:name w:val="列出段落5"/>
    <w:basedOn w:val="744"/>
    <w:next w:val="869"/>
    <w:link w:val="744"/>
    <w:qFormat/>
    <w:pPr>
      <w:ind w:firstLine="420"/>
    </w:pPr>
    <w:rPr>
      <w:rFonts w:ascii="Calibri" w:hAnsi="Calibri" w:cs="黑体"/>
      <w:szCs w:val="24"/>
    </w:rPr>
  </w:style>
  <w:style w:type="paragraph" w:styleId="870">
    <w:name w:val="Normal_0_1"/>
    <w:next w:val="870"/>
    <w:link w:val="744"/>
    <w:qFormat/>
    <w:rPr>
      <w:rFonts w:ascii="黑体" w:hAnsi="黑体" w:eastAsia="黑体" w:cs="Times New Roman"/>
      <w:b/>
      <w:sz w:val="32"/>
      <w:szCs w:val="24"/>
      <w:lang w:val="en-US" w:eastAsia="zh-CN" w:bidi="ar-SA"/>
    </w:rPr>
  </w:style>
  <w:style w:type="character" w:styleId="871">
    <w:name w:val="10"/>
    <w:next w:val="871"/>
    <w:link w:val="744"/>
    <w:qFormat/>
    <w:rPr>
      <w:rFonts w:ascii="Times New Roman" w:hAnsi="Times New Roman" w:cs="Times New Roman"/>
    </w:rPr>
  </w:style>
  <w:style w:type="paragraph" w:styleId="872">
    <w:name w:val="Normal_0_1_0"/>
    <w:next w:val="872"/>
    <w:link w:val="744"/>
    <w:qFormat/>
    <w:rPr>
      <w:rFonts w:ascii="Times New Roman" w:hAnsi="Times New Roman" w:eastAsia="Times New Roman" w:cs="Times New Roman"/>
      <w:sz w:val="24"/>
      <w:szCs w:val="24"/>
      <w:lang w:bidi="ar-SA"/>
    </w:rPr>
  </w:style>
  <w:style w:type="paragraph" w:styleId="873">
    <w:name w:val="正文_2_0"/>
    <w:next w:val="873"/>
    <w:link w:val="744"/>
    <w:qFormat/>
    <w:pPr>
      <w:jc w:val="both"/>
      <w:widowControl w:val="off"/>
    </w:pPr>
    <w:rPr>
      <w:rFonts w:ascii="Calibri" w:hAnsi="Calibri" w:eastAsia="宋体" w:cs="Times New Roman"/>
      <w:sz w:val="21"/>
      <w:szCs w:val="22"/>
      <w:lang w:val="en-US" w:eastAsia="zh-CN" w:bidi="ar-SA"/>
    </w:rPr>
  </w:style>
  <w:style w:type="paragraph" w:styleId="874">
    <w:name w:val="正文_2_0_0"/>
    <w:next w:val="874"/>
    <w:link w:val="744"/>
    <w:qFormat/>
    <w:pPr>
      <w:jc w:val="both"/>
      <w:widowControl w:val="off"/>
    </w:pPr>
    <w:rPr>
      <w:rFonts w:ascii="Calibri" w:hAnsi="Calibri" w:eastAsia="宋体" w:cs="Times New Roman"/>
      <w:sz w:val="21"/>
      <w:szCs w:val="22"/>
      <w:lang w:val="en-US" w:eastAsia="zh-CN" w:bidi="ar-SA"/>
    </w:rPr>
  </w:style>
  <w:style w:type="paragraph" w:styleId="875">
    <w:name w:val="正文_2"/>
    <w:next w:val="875"/>
    <w:link w:val="744"/>
    <w:qFormat/>
    <w:pPr>
      <w:jc w:val="both"/>
      <w:widowControl w:val="off"/>
    </w:pPr>
    <w:rPr>
      <w:rFonts w:ascii="Calibri" w:hAnsi="Calibri" w:eastAsia="宋体" w:cs="Times New Roman"/>
      <w:sz w:val="21"/>
      <w:szCs w:val="22"/>
      <w:lang w:val="en-US" w:eastAsia="zh-CN" w:bidi="ar-SA"/>
    </w:rPr>
  </w:style>
  <w:style w:type="paragraph" w:styleId="876">
    <w:name w:val="正文_2_1"/>
    <w:next w:val="876"/>
    <w:link w:val="744"/>
    <w:qFormat/>
    <w:pPr>
      <w:jc w:val="both"/>
      <w:widowControl w:val="off"/>
    </w:pPr>
    <w:rPr>
      <w:rFonts w:ascii="Calibri" w:hAnsi="Calibri" w:eastAsia="宋体" w:cs="Times New Roman"/>
      <w:sz w:val="21"/>
      <w:szCs w:val="22"/>
      <w:lang w:val="en-US" w:eastAsia="zh-CN" w:bidi="ar-SA"/>
    </w:rPr>
  </w:style>
  <w:style w:type="paragraph" w:styleId="877">
    <w:name w:val="Normal_19"/>
    <w:next w:val="844"/>
    <w:link w:val="744"/>
    <w:qFormat/>
    <w:pPr>
      <w:jc w:val="both"/>
      <w:widowControl w:val="off"/>
    </w:pPr>
    <w:rPr>
      <w:rFonts w:ascii="Calibri" w:hAnsi="Calibri" w:eastAsia="宋体" w:cs="Times New Roman"/>
      <w:sz w:val="21"/>
      <w:szCs w:val="22"/>
      <w:lang w:val="en-US" w:eastAsia="zh-CN" w:bidi="ar-SA"/>
    </w:rPr>
  </w:style>
  <w:style w:type="character" w:styleId="878">
    <w:name w:val="font11"/>
    <w:basedOn w:val="754"/>
    <w:next w:val="878"/>
    <w:link w:val="744"/>
    <w:qFormat/>
    <w:rPr>
      <w:rFonts w:hint="eastAsia" w:ascii="仿宋" w:hAnsi="仿宋" w:eastAsia="仿宋" w:cs="仿宋"/>
      <w:color w:val="000000"/>
      <w:sz w:val="24"/>
      <w:szCs w:val="24"/>
      <w:u w:val="none"/>
    </w:rPr>
  </w:style>
  <w:style w:type="paragraph" w:styleId="879">
    <w:name w:val="正文_19"/>
    <w:next w:val="879"/>
    <w:link w:val="744"/>
    <w:qFormat/>
    <w:pPr>
      <w:jc w:val="both"/>
      <w:widowControl w:val="off"/>
    </w:pPr>
    <w:rPr>
      <w:rFonts w:ascii="Calibri" w:hAnsi="Calibri" w:eastAsia="宋体" w:cs="Times New Roman"/>
      <w:sz w:val="21"/>
      <w:szCs w:val="22"/>
      <w:lang w:val="en-US" w:eastAsia="zh-CN" w:bidi="ar-SA"/>
    </w:rPr>
  </w:style>
  <w:style w:type="paragraph" w:styleId="880">
    <w:name w:val="Index 4"/>
    <w:basedOn w:val="881"/>
    <w:next w:val="881"/>
    <w:link w:val="744"/>
    <w:qFormat/>
    <w:pPr>
      <w:ind w:left="1260"/>
    </w:pPr>
  </w:style>
  <w:style w:type="paragraph" w:styleId="881">
    <w:name w:val="Normal_20"/>
    <w:next w:val="881"/>
    <w:link w:val="744"/>
    <w:qFormat/>
    <w:rPr>
      <w:rFonts w:ascii="黑体" w:hAnsi="黑体" w:eastAsia="黑体" w:cs="黑体"/>
      <w:b/>
      <w:sz w:val="32"/>
      <w:szCs w:val="24"/>
      <w:lang w:val="en-US" w:eastAsia="zh-CN" w:bidi="ar-SA"/>
    </w:rPr>
  </w:style>
  <w:style w:type="paragraph" w:styleId="882">
    <w:name w:val="标题 31"/>
    <w:basedOn w:val="744"/>
    <w:next w:val="744"/>
    <w:link w:val="744"/>
    <w:qFormat/>
    <w:pPr>
      <w:keepLines/>
      <w:keepNext/>
      <w:spacing w:before="260" w:after="260" w:line="416" w:lineRule="auto"/>
      <w:outlineLvl w:val="2"/>
    </w:pPr>
    <w:rPr>
      <w:rFonts w:ascii="Times New Roman" w:hAnsi="Times New Roman" w:eastAsia="宋体" w:cs="Times New Roman"/>
      <w:b/>
      <w:bCs/>
      <w:sz w:val="32"/>
      <w:szCs w:val="32"/>
    </w:rPr>
  </w:style>
  <w:style w:type="paragraph" w:styleId="883">
    <w:name w:val="[Normal]"/>
    <w:next w:val="883"/>
    <w:link w:val="744"/>
    <w:qFormat/>
    <w:rPr>
      <w:rFonts w:ascii="方正仿宋简体" w:hAnsi="方正仿宋简体" w:eastAsia="方正仿宋简体" w:cs="Courier New"/>
      <w:sz w:val="24"/>
      <w:szCs w:val="22"/>
      <w:lang w:val="zh-CN" w:eastAsia="zh-CN" w:bidi="ar-SA"/>
    </w:rPr>
  </w:style>
  <w:style w:type="paragraph" w:styleId="884">
    <w:name w:val="标题 11"/>
    <w:basedOn w:val="744"/>
    <w:next w:val="744"/>
    <w:link w:val="744"/>
    <w:qFormat/>
    <w:pPr>
      <w:jc w:val="center"/>
      <w:keepLines/>
      <w:keepNext/>
      <w:spacing w:before="340" w:after="330" w:line="576" w:lineRule="auto"/>
      <w:outlineLvl w:val="0"/>
    </w:pPr>
    <w:rPr>
      <w:b/>
      <w:bCs/>
      <w:sz w:val="44"/>
      <w:szCs w:val="44"/>
    </w:rPr>
  </w:style>
  <w:style w:type="paragraph" w:styleId="885">
    <w:name w:val="标题 21"/>
    <w:basedOn w:val="744"/>
    <w:next w:val="744"/>
    <w:link w:val="744"/>
    <w:qFormat/>
    <w:pPr>
      <w:keepLines/>
      <w:keepNext/>
      <w:spacing w:before="260" w:after="260" w:line="415" w:lineRule="auto"/>
      <w:outlineLvl w:val="1"/>
    </w:pPr>
    <w:rPr>
      <w:rFonts w:ascii="Arial" w:hAnsi="Arial" w:eastAsia="黑体"/>
      <w:b/>
      <w:bCs/>
      <w:sz w:val="32"/>
      <w:szCs w:val="32"/>
    </w:rPr>
  </w:style>
  <w:style w:type="character" w:styleId="8998" w:default="1">
    <w:name w:val="Default Paragraph Font"/>
    <w:uiPriority w:val="1"/>
    <w:semiHidden/>
    <w:unhideWhenUsed/>
  </w:style>
  <w:style w:type="numbering" w:styleId="8999" w:default="1">
    <w:name w:val="No List"/>
    <w:uiPriority w:val="99"/>
    <w:semiHidden/>
    <w:unhideWhenUsed/>
  </w:style>
  <w:style w:type="table" w:styleId="900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财政厅局</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盐城市大丰区住房和</dc:creator>
  <cp:lastModifiedBy>陈晓忠</cp:lastModifiedBy>
  <cp:revision>2</cp:revision>
  <dcterms:created xsi:type="dcterms:W3CDTF">2024-02-21T00:40:00Z</dcterms:created>
  <dcterms:modified xsi:type="dcterms:W3CDTF">2024-12-11T03:55:32Z</dcterms:modified>
</cp:coreProperties>
</file>