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B22FAA">
      <w:pPr>
        <w:pStyle w:val="10"/>
        <w:widowControl/>
        <w:numPr>
          <w:ilvl w:val="12"/>
          <w:numId w:val="0"/>
        </w:numPr>
        <w:tabs>
          <w:tab w:val="left" w:pos="840"/>
        </w:tabs>
        <w:spacing w:after="0" w:line="360" w:lineRule="exact"/>
        <w:ind w:left="420"/>
        <w:jc w:val="both"/>
        <w:rPr>
          <w:rFonts w:ascii="宋体" w:hAnsi="宋体" w:cs="宋体"/>
          <w:b/>
          <w:bCs/>
          <w:szCs w:val="24"/>
        </w:rPr>
      </w:pPr>
      <w:r>
        <w:rPr>
          <w:rFonts w:hint="eastAsia" w:ascii="宋体" w:hAnsi="宋体" w:cs="宋体"/>
          <w:b/>
          <w:bCs/>
          <w:szCs w:val="24"/>
        </w:rPr>
        <w:t>附件</w:t>
      </w:r>
      <w:r>
        <w:rPr>
          <w:rFonts w:hint="eastAsia" w:ascii="宋体" w:hAnsi="宋体" w:cs="宋体"/>
          <w:b/>
          <w:bCs/>
          <w:szCs w:val="24"/>
          <w:lang w:eastAsia="zh-CN"/>
        </w:rPr>
        <w:t>（包一、包二、包三）</w:t>
      </w:r>
      <w:r>
        <w:rPr>
          <w:rFonts w:hint="eastAsia" w:ascii="宋体" w:hAnsi="宋体" w:cs="宋体"/>
          <w:b/>
          <w:bCs/>
          <w:szCs w:val="24"/>
        </w:rPr>
        <w:t>：</w:t>
      </w:r>
    </w:p>
    <w:p w14:paraId="30EB1E6E">
      <w:pPr>
        <w:pStyle w:val="10"/>
        <w:widowControl/>
        <w:numPr>
          <w:ilvl w:val="12"/>
          <w:numId w:val="0"/>
        </w:numPr>
        <w:tabs>
          <w:tab w:val="left" w:pos="840"/>
        </w:tabs>
        <w:spacing w:after="0" w:line="360" w:lineRule="exact"/>
        <w:ind w:left="0" w:firstLine="720" w:firstLineChars="300"/>
        <w:jc w:val="both"/>
        <w:rPr>
          <w:rFonts w:ascii="宋体" w:hAnsi="宋体" w:cs="宋体"/>
          <w:szCs w:val="24"/>
        </w:rPr>
      </w:pPr>
      <w:r>
        <w:rPr>
          <w:rFonts w:ascii="宋体" w:hAnsi="宋体" w:cs="宋体"/>
          <w:szCs w:val="24"/>
        </w:rPr>
        <w:t>1</w:t>
      </w:r>
      <w:r>
        <w:rPr>
          <w:rFonts w:hint="eastAsia" w:ascii="宋体" w:hAnsi="宋体" w:cs="宋体"/>
          <w:szCs w:val="24"/>
        </w:rPr>
        <w:t>、《南京财经大学学生公寓管理条例》</w:t>
      </w:r>
    </w:p>
    <w:p w14:paraId="6B355CBF">
      <w:pPr>
        <w:pStyle w:val="10"/>
        <w:widowControl/>
        <w:numPr>
          <w:ilvl w:val="12"/>
          <w:numId w:val="0"/>
        </w:numPr>
        <w:tabs>
          <w:tab w:val="left" w:pos="840"/>
        </w:tabs>
        <w:spacing w:after="0" w:line="360" w:lineRule="exact"/>
        <w:ind w:left="420"/>
        <w:jc w:val="both"/>
        <w:rPr>
          <w:rFonts w:ascii="宋体" w:hAnsi="宋体" w:cs="宋体"/>
          <w:szCs w:val="24"/>
        </w:rPr>
      </w:pPr>
      <w:r>
        <w:rPr>
          <w:rFonts w:ascii="宋体" w:hAnsi="宋体" w:cs="宋体"/>
          <w:szCs w:val="24"/>
        </w:rPr>
        <w:t xml:space="preserve">  2</w:t>
      </w:r>
      <w:r>
        <w:rPr>
          <w:rFonts w:hint="eastAsia" w:ascii="宋体" w:hAnsi="宋体" w:cs="宋体"/>
          <w:szCs w:val="24"/>
        </w:rPr>
        <w:t>、《南京财经大学研究生公寓管理条例》</w:t>
      </w:r>
    </w:p>
    <w:p w14:paraId="1D155B77">
      <w:pPr>
        <w:pStyle w:val="10"/>
        <w:widowControl/>
        <w:numPr>
          <w:ilvl w:val="12"/>
          <w:numId w:val="0"/>
        </w:numPr>
        <w:tabs>
          <w:tab w:val="left" w:pos="840"/>
        </w:tabs>
        <w:spacing w:after="0" w:line="360" w:lineRule="exact"/>
        <w:ind w:left="420"/>
        <w:jc w:val="both"/>
        <w:rPr>
          <w:rFonts w:ascii="宋体" w:hAnsi="宋体" w:cs="宋体"/>
          <w:szCs w:val="24"/>
        </w:rPr>
      </w:pPr>
      <w:r>
        <w:rPr>
          <w:rFonts w:ascii="宋体" w:hAnsi="宋体" w:cs="宋体"/>
          <w:szCs w:val="24"/>
        </w:rPr>
        <w:t xml:space="preserve">  3</w:t>
      </w:r>
      <w:r>
        <w:rPr>
          <w:rFonts w:hint="eastAsia" w:ascii="宋体" w:hAnsi="宋体" w:cs="宋体"/>
          <w:szCs w:val="24"/>
        </w:rPr>
        <w:t>、《南京财经大学学生公寓目标管理办法》</w:t>
      </w:r>
    </w:p>
    <w:p w14:paraId="46C6ACEC">
      <w:pPr>
        <w:pStyle w:val="10"/>
        <w:widowControl/>
        <w:numPr>
          <w:ilvl w:val="12"/>
          <w:numId w:val="0"/>
        </w:numPr>
        <w:tabs>
          <w:tab w:val="left" w:pos="840"/>
        </w:tabs>
        <w:spacing w:after="0" w:line="360" w:lineRule="exact"/>
        <w:ind w:left="420"/>
        <w:jc w:val="both"/>
        <w:rPr>
          <w:rFonts w:ascii="宋体" w:hAnsi="宋体" w:cs="宋体"/>
          <w:szCs w:val="24"/>
        </w:rPr>
      </w:pPr>
      <w:r>
        <w:rPr>
          <w:rFonts w:ascii="宋体" w:hAnsi="宋体" w:cs="宋体"/>
          <w:szCs w:val="24"/>
        </w:rPr>
        <w:t xml:space="preserve">  4</w:t>
      </w:r>
      <w:r>
        <w:rPr>
          <w:rFonts w:hint="eastAsia" w:ascii="宋体" w:hAnsi="宋体" w:cs="宋体"/>
          <w:szCs w:val="24"/>
        </w:rPr>
        <w:t>、《南京财经大学学生公寓维修责任范围》</w:t>
      </w:r>
    </w:p>
    <w:p w14:paraId="088FF65E">
      <w:pPr>
        <w:pStyle w:val="10"/>
        <w:widowControl/>
        <w:numPr>
          <w:ilvl w:val="12"/>
          <w:numId w:val="0"/>
        </w:numPr>
        <w:tabs>
          <w:tab w:val="left" w:pos="840"/>
        </w:tabs>
        <w:spacing w:after="0" w:line="360" w:lineRule="exact"/>
        <w:ind w:left="420"/>
        <w:jc w:val="both"/>
        <w:rPr>
          <w:rFonts w:ascii="宋体" w:hAnsi="宋体" w:cs="宋体"/>
          <w:szCs w:val="24"/>
        </w:rPr>
      </w:pPr>
      <w:r>
        <w:rPr>
          <w:rFonts w:ascii="宋体" w:hAnsi="宋体" w:cs="宋体"/>
          <w:szCs w:val="24"/>
        </w:rPr>
        <w:t xml:space="preserve">  5</w:t>
      </w:r>
      <w:r>
        <w:rPr>
          <w:rFonts w:hint="eastAsia" w:ascii="宋体" w:hAnsi="宋体" w:cs="宋体"/>
          <w:szCs w:val="24"/>
        </w:rPr>
        <w:t>、《南京财经大学仙林校区学生公寓委托管理基本规范》</w:t>
      </w:r>
    </w:p>
    <w:p w14:paraId="5EABBE80">
      <w:pPr>
        <w:pStyle w:val="10"/>
        <w:widowControl/>
        <w:numPr>
          <w:ilvl w:val="12"/>
          <w:numId w:val="0"/>
        </w:numPr>
        <w:tabs>
          <w:tab w:val="left" w:pos="840"/>
        </w:tabs>
        <w:spacing w:after="0" w:line="360" w:lineRule="exact"/>
        <w:ind w:left="420"/>
        <w:jc w:val="both"/>
        <w:rPr>
          <w:rFonts w:ascii="宋体" w:hAnsi="宋体" w:cs="宋体"/>
          <w:szCs w:val="24"/>
        </w:rPr>
      </w:pPr>
      <w:r>
        <w:rPr>
          <w:rFonts w:ascii="宋体" w:hAnsi="宋体" w:cs="宋体"/>
          <w:szCs w:val="24"/>
        </w:rPr>
        <w:t xml:space="preserve">  6</w:t>
      </w:r>
      <w:r>
        <w:rPr>
          <w:rFonts w:hint="eastAsia" w:ascii="宋体" w:hAnsi="宋体" w:cs="宋体"/>
          <w:szCs w:val="24"/>
        </w:rPr>
        <w:t>、《南京财经大学仙林校区学生公寓物业管理考核办法》</w:t>
      </w:r>
    </w:p>
    <w:p w14:paraId="476AF0C4">
      <w:pPr>
        <w:pStyle w:val="10"/>
        <w:widowControl/>
        <w:numPr>
          <w:ilvl w:val="12"/>
          <w:numId w:val="0"/>
        </w:numPr>
        <w:tabs>
          <w:tab w:val="left" w:pos="840"/>
        </w:tabs>
        <w:spacing w:after="0" w:line="360" w:lineRule="exact"/>
        <w:ind w:left="420"/>
        <w:jc w:val="both"/>
        <w:rPr>
          <w:rFonts w:ascii="宋体" w:hAnsi="宋体" w:cs="宋体"/>
          <w:szCs w:val="24"/>
        </w:rPr>
      </w:pPr>
      <w:r>
        <w:rPr>
          <w:rFonts w:ascii="宋体" w:hAnsi="宋体" w:cs="宋体"/>
          <w:szCs w:val="24"/>
        </w:rPr>
        <w:t xml:space="preserve">  7</w:t>
      </w:r>
      <w:r>
        <w:rPr>
          <w:rFonts w:hint="eastAsia" w:ascii="宋体" w:hAnsi="宋体" w:cs="宋体"/>
          <w:szCs w:val="24"/>
        </w:rPr>
        <w:t>、《南京财经大学仙林校区学生公寓物业管理考核实施细则》、</w:t>
      </w:r>
    </w:p>
    <w:p w14:paraId="6B86A6AE">
      <w:pPr>
        <w:pStyle w:val="10"/>
        <w:widowControl/>
        <w:numPr>
          <w:ilvl w:val="12"/>
          <w:numId w:val="0"/>
        </w:numPr>
        <w:tabs>
          <w:tab w:val="left" w:pos="840"/>
        </w:tabs>
        <w:spacing w:after="0" w:line="360" w:lineRule="exact"/>
        <w:ind w:left="420"/>
        <w:jc w:val="both"/>
        <w:rPr>
          <w:rFonts w:ascii="宋体" w:hAnsi="宋体" w:cs="宋体"/>
          <w:szCs w:val="24"/>
        </w:rPr>
      </w:pPr>
      <w:r>
        <w:rPr>
          <w:rFonts w:ascii="宋体" w:hAnsi="宋体" w:cs="宋体"/>
          <w:szCs w:val="24"/>
        </w:rPr>
        <w:t xml:space="preserve">  8</w:t>
      </w:r>
      <w:r>
        <w:rPr>
          <w:rFonts w:hint="eastAsia" w:ascii="宋体" w:hAnsi="宋体" w:cs="宋体"/>
          <w:szCs w:val="24"/>
        </w:rPr>
        <w:t>、《南京财经大学物业管理暂行办法》</w:t>
      </w:r>
    </w:p>
    <w:p w14:paraId="49959D68">
      <w:pPr>
        <w:pStyle w:val="10"/>
        <w:widowControl/>
        <w:numPr>
          <w:ilvl w:val="12"/>
          <w:numId w:val="0"/>
        </w:numPr>
        <w:tabs>
          <w:tab w:val="left" w:pos="840"/>
        </w:tabs>
        <w:spacing w:after="0" w:line="360" w:lineRule="exact"/>
        <w:ind w:left="420"/>
        <w:jc w:val="both"/>
        <w:rPr>
          <w:rFonts w:ascii="宋体" w:hAnsi="宋体" w:cs="宋体"/>
          <w:szCs w:val="24"/>
        </w:rPr>
      </w:pPr>
      <w:r>
        <w:rPr>
          <w:rFonts w:ascii="宋体" w:hAnsi="宋体" w:cs="宋体"/>
          <w:szCs w:val="24"/>
        </w:rPr>
        <w:t xml:space="preserve">  9</w:t>
      </w:r>
      <w:r>
        <w:rPr>
          <w:rFonts w:hint="eastAsia" w:ascii="宋体" w:hAnsi="宋体" w:cs="宋体"/>
          <w:szCs w:val="24"/>
        </w:rPr>
        <w:t>、《物业公司维修项目清单》</w:t>
      </w:r>
    </w:p>
    <w:p w14:paraId="44C95A2F">
      <w:pPr>
        <w:pStyle w:val="10"/>
        <w:widowControl/>
        <w:numPr>
          <w:ilvl w:val="12"/>
          <w:numId w:val="0"/>
        </w:numPr>
        <w:tabs>
          <w:tab w:val="left" w:pos="840"/>
        </w:tabs>
        <w:spacing w:after="0" w:line="360" w:lineRule="exact"/>
        <w:ind w:left="420"/>
        <w:jc w:val="both"/>
        <w:rPr>
          <w:rFonts w:ascii="宋体" w:hAnsi="宋体" w:cs="宋体"/>
          <w:szCs w:val="24"/>
        </w:rPr>
      </w:pPr>
      <w:r>
        <w:rPr>
          <w:rFonts w:ascii="宋体" w:hAnsi="宋体" w:cs="宋体"/>
          <w:szCs w:val="24"/>
        </w:rPr>
        <w:t xml:space="preserve">  10</w:t>
      </w:r>
      <w:r>
        <w:rPr>
          <w:rFonts w:hint="eastAsia" w:ascii="宋体" w:hAnsi="宋体" w:cs="宋体"/>
          <w:szCs w:val="24"/>
        </w:rPr>
        <w:t>、《南京财经大学物业服务消防安全工作日常考核标准》</w:t>
      </w:r>
    </w:p>
    <w:p w14:paraId="04B31DAB">
      <w:pPr>
        <w:pStyle w:val="10"/>
        <w:widowControl/>
        <w:numPr>
          <w:ilvl w:val="12"/>
          <w:numId w:val="0"/>
        </w:numPr>
        <w:tabs>
          <w:tab w:val="left" w:pos="840"/>
        </w:tabs>
        <w:spacing w:after="0" w:line="360" w:lineRule="exact"/>
        <w:ind w:left="420"/>
        <w:jc w:val="both"/>
        <w:rPr>
          <w:rFonts w:ascii="宋体" w:hAnsi="宋体" w:cs="宋体"/>
          <w:szCs w:val="24"/>
        </w:rPr>
      </w:pPr>
      <w:r>
        <w:rPr>
          <w:rFonts w:ascii="宋体" w:hAnsi="宋体" w:cs="宋体"/>
          <w:szCs w:val="24"/>
        </w:rPr>
        <w:t xml:space="preserve">  11</w:t>
      </w:r>
      <w:r>
        <w:rPr>
          <w:rFonts w:hint="eastAsia" w:ascii="宋体" w:hAnsi="宋体" w:cs="宋体"/>
          <w:szCs w:val="24"/>
        </w:rPr>
        <w:t>、《南京财经大学物业安全巡查制度》</w:t>
      </w:r>
    </w:p>
    <w:p w14:paraId="0EC9F6FA">
      <w:pPr>
        <w:pStyle w:val="10"/>
        <w:widowControl/>
        <w:numPr>
          <w:ilvl w:val="12"/>
          <w:numId w:val="0"/>
        </w:numPr>
        <w:tabs>
          <w:tab w:val="left" w:pos="840"/>
        </w:tabs>
        <w:spacing w:after="0" w:line="360" w:lineRule="exact"/>
        <w:ind w:left="420"/>
        <w:jc w:val="both"/>
        <w:rPr>
          <w:rFonts w:ascii="宋体" w:hAnsi="宋体" w:cs="宋体"/>
          <w:szCs w:val="24"/>
        </w:rPr>
      </w:pPr>
      <w:r>
        <w:rPr>
          <w:rFonts w:ascii="宋体" w:hAnsi="宋体" w:cs="宋体"/>
          <w:szCs w:val="24"/>
        </w:rPr>
        <w:t xml:space="preserve">  12</w:t>
      </w:r>
      <w:r>
        <w:rPr>
          <w:rFonts w:hint="eastAsia" w:ascii="宋体" w:hAnsi="宋体" w:cs="宋体"/>
          <w:szCs w:val="24"/>
        </w:rPr>
        <w:t>、《南京财经大学物业安全管理责任书》</w:t>
      </w:r>
    </w:p>
    <w:p w14:paraId="6D7A7744">
      <w:pPr>
        <w:pStyle w:val="10"/>
        <w:widowControl/>
        <w:numPr>
          <w:ilvl w:val="12"/>
          <w:numId w:val="0"/>
        </w:numPr>
        <w:tabs>
          <w:tab w:val="left" w:pos="840"/>
        </w:tabs>
        <w:spacing w:after="0" w:line="360" w:lineRule="exact"/>
        <w:ind w:left="420"/>
        <w:jc w:val="both"/>
        <w:rPr>
          <w:rFonts w:ascii="宋体" w:hAnsi="宋体" w:cs="宋体"/>
          <w:szCs w:val="24"/>
        </w:rPr>
      </w:pPr>
      <w:r>
        <w:rPr>
          <w:rFonts w:ascii="宋体" w:hAnsi="宋体" w:cs="宋体"/>
          <w:szCs w:val="24"/>
        </w:rPr>
        <w:t xml:space="preserve">  13</w:t>
      </w:r>
      <w:r>
        <w:rPr>
          <w:rFonts w:hint="eastAsia" w:ascii="宋体" w:hAnsi="宋体" w:cs="宋体"/>
          <w:szCs w:val="24"/>
        </w:rPr>
        <w:t>、《南京财经大学公共区域环境卫生消毒制度》</w:t>
      </w:r>
    </w:p>
    <w:p w14:paraId="41FBC0A0">
      <w:pPr>
        <w:pStyle w:val="10"/>
        <w:widowControl/>
        <w:numPr>
          <w:ilvl w:val="12"/>
          <w:numId w:val="0"/>
        </w:numPr>
        <w:tabs>
          <w:tab w:val="left" w:pos="840"/>
        </w:tabs>
        <w:spacing w:after="0" w:line="360" w:lineRule="exact"/>
        <w:ind w:left="420"/>
        <w:jc w:val="both"/>
        <w:rPr>
          <w:rFonts w:ascii="宋体" w:hAnsi="宋体" w:cs="宋体"/>
          <w:szCs w:val="24"/>
        </w:rPr>
      </w:pPr>
      <w:r>
        <w:rPr>
          <w:rFonts w:ascii="宋体" w:hAnsi="宋体" w:cs="宋体"/>
          <w:szCs w:val="24"/>
        </w:rPr>
        <w:t xml:space="preserve">  14</w:t>
      </w:r>
      <w:r>
        <w:rPr>
          <w:rFonts w:hint="eastAsia" w:ascii="宋体" w:hAnsi="宋体" w:cs="宋体"/>
          <w:szCs w:val="24"/>
        </w:rPr>
        <w:t>、《南京财经大学校园绿化管理规定》</w:t>
      </w:r>
    </w:p>
    <w:p w14:paraId="6848EDB5">
      <w:pPr>
        <w:pStyle w:val="10"/>
        <w:widowControl/>
        <w:numPr>
          <w:ilvl w:val="12"/>
          <w:numId w:val="0"/>
        </w:numPr>
        <w:tabs>
          <w:tab w:val="left" w:pos="840"/>
        </w:tabs>
        <w:spacing w:after="0" w:line="360" w:lineRule="exact"/>
        <w:ind w:left="420"/>
        <w:jc w:val="both"/>
        <w:rPr>
          <w:rFonts w:ascii="宋体" w:hAnsi="宋体" w:cs="宋体"/>
          <w:szCs w:val="24"/>
        </w:rPr>
      </w:pPr>
      <w:r>
        <w:rPr>
          <w:rFonts w:ascii="宋体" w:hAnsi="宋体" w:cs="宋体"/>
          <w:szCs w:val="24"/>
        </w:rPr>
        <w:t xml:space="preserve">  15</w:t>
      </w:r>
      <w:r>
        <w:rPr>
          <w:rFonts w:hint="eastAsia" w:ascii="宋体" w:hAnsi="宋体" w:cs="宋体"/>
          <w:szCs w:val="24"/>
        </w:rPr>
        <w:t>、《南京财经大学绿化管理养护考核表（</w:t>
      </w:r>
      <w:r>
        <w:rPr>
          <w:rFonts w:ascii="宋体" w:hAnsi="宋体" w:cs="宋体"/>
          <w:szCs w:val="24"/>
        </w:rPr>
        <w:t>C</w:t>
      </w:r>
      <w:r>
        <w:rPr>
          <w:rFonts w:hint="eastAsia" w:ascii="宋体" w:hAnsi="宋体" w:cs="宋体"/>
          <w:szCs w:val="24"/>
        </w:rPr>
        <w:t>）》</w:t>
      </w:r>
    </w:p>
    <w:p w14:paraId="11A1F5BC">
      <w:pPr>
        <w:pStyle w:val="10"/>
        <w:widowControl/>
        <w:numPr>
          <w:ilvl w:val="12"/>
          <w:numId w:val="0"/>
        </w:numPr>
        <w:tabs>
          <w:tab w:val="left" w:pos="840"/>
        </w:tabs>
        <w:spacing w:after="0" w:line="360" w:lineRule="exact"/>
        <w:ind w:left="420"/>
        <w:jc w:val="both"/>
        <w:rPr>
          <w:rFonts w:ascii="宋体" w:hAnsi="宋体" w:cs="宋体"/>
          <w:szCs w:val="24"/>
        </w:rPr>
      </w:pPr>
      <w:r>
        <w:rPr>
          <w:rFonts w:ascii="宋体" w:hAnsi="宋体" w:cs="宋体"/>
          <w:szCs w:val="24"/>
        </w:rPr>
        <w:t xml:space="preserve">  16</w:t>
      </w:r>
      <w:r>
        <w:rPr>
          <w:rFonts w:hint="eastAsia" w:ascii="宋体" w:hAnsi="宋体" w:cs="宋体"/>
          <w:szCs w:val="24"/>
        </w:rPr>
        <w:t>、《南京财经大学生活垃圾管理制度》</w:t>
      </w:r>
    </w:p>
    <w:p w14:paraId="625FA6E9">
      <w:pPr>
        <w:pStyle w:val="10"/>
        <w:widowControl/>
        <w:numPr>
          <w:ilvl w:val="12"/>
          <w:numId w:val="0"/>
        </w:numPr>
        <w:tabs>
          <w:tab w:val="left" w:pos="840"/>
        </w:tabs>
        <w:spacing w:after="0" w:line="360" w:lineRule="exact"/>
        <w:ind w:left="420"/>
        <w:jc w:val="both"/>
        <w:rPr>
          <w:rFonts w:ascii="宋体" w:hAnsi="宋体" w:cs="宋体"/>
          <w:szCs w:val="24"/>
        </w:rPr>
      </w:pPr>
      <w:r>
        <w:rPr>
          <w:rFonts w:ascii="宋体" w:hAnsi="宋体" w:cs="宋体"/>
          <w:szCs w:val="24"/>
        </w:rPr>
        <w:t xml:space="preserve">  17</w:t>
      </w:r>
      <w:r>
        <w:rPr>
          <w:rFonts w:hint="eastAsia" w:ascii="宋体" w:hAnsi="宋体" w:cs="宋体"/>
          <w:szCs w:val="24"/>
        </w:rPr>
        <w:t>、《南京财经大学垃圾收集点管理规范》</w:t>
      </w:r>
    </w:p>
    <w:p w14:paraId="32CFEE88">
      <w:pPr>
        <w:pStyle w:val="10"/>
        <w:widowControl/>
        <w:numPr>
          <w:ilvl w:val="12"/>
          <w:numId w:val="0"/>
        </w:numPr>
        <w:tabs>
          <w:tab w:val="left" w:pos="840"/>
        </w:tabs>
        <w:spacing w:after="0" w:line="360" w:lineRule="exact"/>
        <w:ind w:left="420"/>
        <w:jc w:val="both"/>
        <w:rPr>
          <w:rFonts w:ascii="宋体" w:hAnsi="宋体" w:cs="宋体"/>
          <w:szCs w:val="24"/>
        </w:rPr>
      </w:pPr>
      <w:r>
        <w:rPr>
          <w:rFonts w:ascii="宋体" w:hAnsi="宋体" w:cs="宋体"/>
          <w:szCs w:val="24"/>
        </w:rPr>
        <w:t>18</w:t>
      </w:r>
      <w:r>
        <w:rPr>
          <w:rFonts w:hint="eastAsia" w:ascii="宋体" w:hAnsi="宋体" w:cs="宋体"/>
          <w:szCs w:val="24"/>
        </w:rPr>
        <w:t>、《物业管理科安全管理办法》</w:t>
      </w:r>
    </w:p>
    <w:p w14:paraId="6DAA6812">
      <w:pPr>
        <w:pStyle w:val="10"/>
        <w:widowControl/>
        <w:numPr>
          <w:ilvl w:val="12"/>
          <w:numId w:val="0"/>
        </w:numPr>
        <w:tabs>
          <w:tab w:val="left" w:pos="840"/>
        </w:tabs>
        <w:spacing w:after="0" w:line="360" w:lineRule="exact"/>
        <w:ind w:left="420"/>
        <w:jc w:val="both"/>
        <w:rPr>
          <w:rFonts w:ascii="宋体" w:hAnsi="宋体" w:cs="宋体"/>
          <w:szCs w:val="24"/>
        </w:rPr>
      </w:pPr>
      <w:r>
        <w:rPr>
          <w:rFonts w:ascii="宋体" w:hAnsi="宋体" w:cs="宋体"/>
          <w:szCs w:val="24"/>
        </w:rPr>
        <w:t>19</w:t>
      </w:r>
      <w:r>
        <w:rPr>
          <w:rFonts w:hint="eastAsia" w:ascii="宋体" w:hAnsi="宋体" w:cs="宋体"/>
          <w:szCs w:val="24"/>
        </w:rPr>
        <w:t>、《南京财经大学楼宇内工程施工物业备案制度》</w:t>
      </w:r>
    </w:p>
    <w:p w14:paraId="50CB1095">
      <w:pPr>
        <w:pStyle w:val="10"/>
        <w:widowControl/>
        <w:numPr>
          <w:ilvl w:val="12"/>
          <w:numId w:val="0"/>
        </w:numPr>
        <w:tabs>
          <w:tab w:val="left" w:pos="840"/>
        </w:tabs>
        <w:spacing w:after="0" w:line="360" w:lineRule="exact"/>
        <w:ind w:left="420"/>
        <w:jc w:val="both"/>
        <w:rPr>
          <w:rFonts w:ascii="宋体" w:hAnsi="宋体" w:cs="宋体"/>
          <w:szCs w:val="24"/>
        </w:rPr>
      </w:pPr>
      <w:r>
        <w:rPr>
          <w:rFonts w:ascii="宋体" w:hAnsi="宋体" w:cs="宋体"/>
          <w:szCs w:val="24"/>
        </w:rPr>
        <w:t>20</w:t>
      </w:r>
      <w:r>
        <w:rPr>
          <w:rFonts w:hint="eastAsia" w:ascii="宋体" w:hAnsi="宋体" w:cs="宋体"/>
          <w:szCs w:val="24"/>
        </w:rPr>
        <w:t>、《南京财经大学用电安全巡查管理办法（试行）》</w:t>
      </w:r>
    </w:p>
    <w:p w14:paraId="2A1600E6">
      <w:pPr>
        <w:pStyle w:val="10"/>
        <w:widowControl/>
        <w:numPr>
          <w:ilvl w:val="12"/>
          <w:numId w:val="0"/>
        </w:numPr>
        <w:tabs>
          <w:tab w:val="left" w:pos="840"/>
        </w:tabs>
        <w:spacing w:after="0" w:line="360" w:lineRule="exact"/>
        <w:ind w:left="420"/>
        <w:jc w:val="both"/>
        <w:rPr>
          <w:rFonts w:ascii="宋体" w:hAnsi="宋体" w:cs="宋体"/>
          <w:szCs w:val="24"/>
        </w:rPr>
      </w:pPr>
      <w:r>
        <w:rPr>
          <w:rFonts w:ascii="宋体" w:hAnsi="宋体" w:cs="宋体"/>
          <w:szCs w:val="24"/>
        </w:rPr>
        <w:t>21</w:t>
      </w:r>
      <w:r>
        <w:rPr>
          <w:rFonts w:hint="eastAsia" w:ascii="宋体" w:hAnsi="宋体" w:cs="宋体"/>
          <w:szCs w:val="24"/>
        </w:rPr>
        <w:t>、《南京财经大学后勤基建处外协单位办公用房管理办法</w:t>
      </w:r>
      <w:r>
        <w:rPr>
          <w:rFonts w:ascii="宋体" w:hAnsi="宋体" w:cs="宋体"/>
          <w:szCs w:val="24"/>
        </w:rPr>
        <w:t>(</w:t>
      </w:r>
      <w:r>
        <w:rPr>
          <w:rFonts w:hint="eastAsia" w:ascii="宋体" w:hAnsi="宋体" w:cs="宋体"/>
          <w:szCs w:val="24"/>
        </w:rPr>
        <w:t>试行</w:t>
      </w:r>
      <w:r>
        <w:rPr>
          <w:rFonts w:ascii="宋体" w:hAnsi="宋体" w:cs="宋体"/>
          <w:szCs w:val="24"/>
        </w:rPr>
        <w:t>)</w:t>
      </w:r>
      <w:r>
        <w:rPr>
          <w:rFonts w:hint="eastAsia" w:ascii="宋体" w:hAnsi="宋体" w:cs="宋体"/>
          <w:szCs w:val="24"/>
        </w:rPr>
        <w:t>》</w:t>
      </w:r>
    </w:p>
    <w:p w14:paraId="572D7C30">
      <w:pPr>
        <w:pStyle w:val="10"/>
        <w:widowControl/>
        <w:numPr>
          <w:ilvl w:val="12"/>
          <w:numId w:val="0"/>
        </w:numPr>
        <w:tabs>
          <w:tab w:val="left" w:pos="840"/>
        </w:tabs>
        <w:spacing w:after="0" w:line="360" w:lineRule="exact"/>
        <w:ind w:left="420"/>
        <w:jc w:val="both"/>
        <w:rPr>
          <w:rFonts w:ascii="宋体" w:hAnsi="宋体" w:cs="宋体"/>
          <w:szCs w:val="24"/>
        </w:rPr>
      </w:pPr>
      <w:r>
        <w:rPr>
          <w:rFonts w:ascii="宋体" w:hAnsi="宋体" w:cs="宋体"/>
          <w:szCs w:val="24"/>
        </w:rPr>
        <w:t>22</w:t>
      </w:r>
      <w:r>
        <w:rPr>
          <w:rFonts w:hint="eastAsia" w:ascii="宋体" w:hAnsi="宋体" w:cs="宋体"/>
          <w:szCs w:val="24"/>
        </w:rPr>
        <w:t>、仙林校区门前三包范围示意图</w:t>
      </w:r>
    </w:p>
    <w:p w14:paraId="7307092C">
      <w:pPr>
        <w:rPr>
          <w:rFonts w:ascii="宋体" w:hAnsi="宋体" w:eastAsia="宋体" w:cs="宋体"/>
          <w:color w:val="000000"/>
          <w:sz w:val="24"/>
        </w:rPr>
      </w:pPr>
      <w:r>
        <w:rPr>
          <w:rFonts w:ascii="宋体" w:hAnsi="宋体" w:eastAsia="宋体" w:cs="宋体"/>
          <w:color w:val="000000"/>
          <w:sz w:val="24"/>
        </w:rPr>
        <w:br w:type="page"/>
      </w:r>
    </w:p>
    <w:p w14:paraId="5B07EA4D">
      <w:pPr>
        <w:wordWrap w:val="0"/>
        <w:spacing w:line="360" w:lineRule="exact"/>
        <w:jc w:val="left"/>
      </w:pPr>
      <w:bookmarkStart w:id="0" w:name="_GoBack"/>
      <w:bookmarkEnd w:id="0"/>
      <w:r>
        <w:rPr>
          <w:rFonts w:ascii="宋体" w:hAnsi="宋体" w:eastAsia="宋体" w:cs="宋体"/>
          <w:color w:val="000000"/>
          <w:sz w:val="24"/>
        </w:rPr>
        <w:t>附件1：</w:t>
      </w:r>
    </w:p>
    <w:p w14:paraId="59B47492">
      <w:pPr>
        <w:wordWrap w:val="0"/>
        <w:spacing w:line="360" w:lineRule="exact"/>
        <w:ind w:firstLine="240" w:firstLineChars="100"/>
        <w:jc w:val="center"/>
      </w:pPr>
      <w:r>
        <w:rPr>
          <w:rFonts w:ascii="宋体" w:hAnsi="宋体" w:eastAsia="宋体" w:cs="宋体"/>
          <w:color w:val="000000"/>
          <w:sz w:val="24"/>
        </w:rPr>
        <w:t> 南京财经大学学生公寓管理条例</w:t>
      </w:r>
    </w:p>
    <w:p w14:paraId="7AE8F4C1">
      <w:pPr>
        <w:wordWrap w:val="0"/>
        <w:spacing w:line="360" w:lineRule="exact"/>
        <w:ind w:firstLine="240" w:firstLineChars="100"/>
        <w:jc w:val="center"/>
      </w:pPr>
      <w:r>
        <w:rPr>
          <w:rFonts w:ascii="宋体" w:hAnsi="宋体" w:eastAsia="宋体" w:cs="宋体"/>
          <w:color w:val="000000"/>
          <w:sz w:val="24"/>
        </w:rPr>
        <w:t> （试 行）</w:t>
      </w:r>
    </w:p>
    <w:p w14:paraId="560289A5">
      <w:pPr>
        <w:wordWrap w:val="0"/>
        <w:spacing w:line="360" w:lineRule="exact"/>
        <w:ind w:firstLine="240" w:firstLineChars="100"/>
        <w:jc w:val="center"/>
      </w:pPr>
      <w:r>
        <w:rPr>
          <w:rFonts w:ascii="宋体" w:hAnsi="宋体" w:eastAsia="宋体" w:cs="宋体"/>
          <w:color w:val="000000"/>
          <w:sz w:val="24"/>
        </w:rPr>
        <w:t> 南财大学字[2021]16号</w:t>
      </w:r>
    </w:p>
    <w:p w14:paraId="3A6770C2">
      <w:pPr>
        <w:wordWrap w:val="0"/>
        <w:spacing w:line="360" w:lineRule="exact"/>
        <w:jc w:val="center"/>
      </w:pPr>
      <w:r>
        <w:rPr>
          <w:rFonts w:ascii="宋体" w:hAnsi="宋体" w:eastAsia="宋体" w:cs="宋体"/>
          <w:color w:val="000000"/>
          <w:sz w:val="24"/>
        </w:rPr>
        <w:t>第一章 总 则</w:t>
      </w:r>
    </w:p>
    <w:p w14:paraId="2D5D98F2">
      <w:pPr>
        <w:wordWrap w:val="0"/>
        <w:spacing w:line="360" w:lineRule="exact"/>
        <w:ind w:firstLine="240" w:firstLineChars="100"/>
        <w:jc w:val="left"/>
      </w:pPr>
      <w:r>
        <w:rPr>
          <w:rFonts w:ascii="宋体" w:hAnsi="宋体" w:eastAsia="宋体" w:cs="宋体"/>
          <w:color w:val="000000"/>
          <w:sz w:val="24"/>
        </w:rPr>
        <w:t> 第一条 学生公寓是学生日常生活与学习的重要场所。为全面改进和加强学生公寓的物业管理和学生的日常行为管理，保证学生在公寓内人身和财物安全，维护公寓内的正常学习和生活秩序，促进学生身心健康发展，根据教育部《普通高等学校学生管理规定》、《高等学校学生行为准则》等有关规定，结合我校实际，特制定本条例。</w:t>
      </w:r>
    </w:p>
    <w:p w14:paraId="7AC146EA">
      <w:pPr>
        <w:wordWrap w:val="0"/>
        <w:spacing w:line="360" w:lineRule="exact"/>
        <w:ind w:firstLine="240" w:firstLineChars="100"/>
        <w:jc w:val="left"/>
      </w:pPr>
      <w:r>
        <w:rPr>
          <w:rFonts w:ascii="宋体" w:hAnsi="宋体" w:eastAsia="宋体" w:cs="宋体"/>
          <w:color w:val="000000"/>
          <w:sz w:val="24"/>
        </w:rPr>
        <w:t> 第二条 本条例中，公寓指学生居住楼院，寝室特指学生所居住公寓楼的房间。</w:t>
      </w:r>
    </w:p>
    <w:p w14:paraId="63CA7864">
      <w:pPr>
        <w:wordWrap w:val="0"/>
        <w:spacing w:line="360" w:lineRule="exact"/>
        <w:ind w:firstLine="240" w:firstLineChars="100"/>
        <w:jc w:val="left"/>
      </w:pPr>
      <w:r>
        <w:rPr>
          <w:rFonts w:ascii="宋体" w:hAnsi="宋体" w:eastAsia="宋体" w:cs="宋体"/>
          <w:color w:val="000000"/>
          <w:sz w:val="24"/>
        </w:rPr>
        <w:t> 第三条 本规定适用于在我校学生寝室内住宿的所有学生，包括我校统招的学生和在我校短期进修培训、访学交流等其他学员。住宿学生应自觉遵守国家法律法规和学校规章制度，养成良好的学习生活习惯，体现良好的道德精神风貌。</w:t>
      </w:r>
    </w:p>
    <w:p w14:paraId="6979780E">
      <w:pPr>
        <w:wordWrap w:val="0"/>
        <w:spacing w:line="360" w:lineRule="exact"/>
        <w:jc w:val="center"/>
      </w:pPr>
      <w:r>
        <w:rPr>
          <w:rFonts w:ascii="宋体" w:hAnsi="宋体" w:eastAsia="宋体" w:cs="宋体"/>
          <w:color w:val="000000"/>
          <w:sz w:val="24"/>
        </w:rPr>
        <w:t>第二章 公寓内设施、物品的管理</w:t>
      </w:r>
    </w:p>
    <w:p w14:paraId="73FFA838">
      <w:pPr>
        <w:wordWrap w:val="0"/>
        <w:spacing w:line="360" w:lineRule="exact"/>
        <w:ind w:firstLine="240" w:firstLineChars="100"/>
        <w:jc w:val="left"/>
      </w:pPr>
      <w:r>
        <w:rPr>
          <w:rFonts w:ascii="宋体" w:hAnsi="宋体" w:eastAsia="宋体" w:cs="宋体"/>
          <w:color w:val="000000"/>
          <w:sz w:val="24"/>
        </w:rPr>
        <w:t> 第四条 为了便于管理，学生公寓由数幢公寓楼构成一个公寓组团。每个组团出入口处设公寓管理站，并根据场所设施条件逐步设置值班室、活动室、会客室等；公寓管理站（楼）值班人员负责区域内的学生日常管理与服务；会客室用于学生接待来访客人和站内人员开会、培训，活动室用于站内学生文化创建活动。</w:t>
      </w:r>
    </w:p>
    <w:p w14:paraId="31E56534">
      <w:pPr>
        <w:wordWrap w:val="0"/>
        <w:spacing w:line="360" w:lineRule="exact"/>
        <w:ind w:firstLine="240" w:firstLineChars="100"/>
        <w:jc w:val="left"/>
      </w:pPr>
      <w:r>
        <w:rPr>
          <w:rFonts w:ascii="宋体" w:hAnsi="宋体" w:eastAsia="宋体" w:cs="宋体"/>
          <w:color w:val="000000"/>
          <w:sz w:val="24"/>
        </w:rPr>
        <w:t> 第五条 学生公寓内设施因建设时间不同配置的设备不同。</w:t>
      </w:r>
    </w:p>
    <w:p w14:paraId="48685548">
      <w:pPr>
        <w:wordWrap w:val="0"/>
        <w:spacing w:line="360" w:lineRule="exact"/>
        <w:ind w:firstLine="240" w:firstLineChars="100"/>
        <w:jc w:val="left"/>
      </w:pPr>
      <w:r>
        <w:rPr>
          <w:rFonts w:ascii="宋体" w:hAnsi="宋体" w:eastAsia="宋体" w:cs="宋体"/>
          <w:color w:val="000000"/>
          <w:sz w:val="24"/>
        </w:rPr>
        <w:t> 第六条 水电费按相关标准实行定额补贴。超额部分按规定收费，并由寝室成员共同承担，学生自行购买。</w:t>
      </w:r>
    </w:p>
    <w:p w14:paraId="659C7961">
      <w:pPr>
        <w:wordWrap w:val="0"/>
        <w:spacing w:line="360" w:lineRule="exact"/>
        <w:jc w:val="center"/>
      </w:pPr>
      <w:r>
        <w:rPr>
          <w:rFonts w:ascii="宋体" w:hAnsi="宋体" w:eastAsia="宋体" w:cs="宋体"/>
          <w:color w:val="000000"/>
          <w:sz w:val="24"/>
        </w:rPr>
        <w:t>第三章 学生入住、调宿和退宿手续</w:t>
      </w:r>
    </w:p>
    <w:p w14:paraId="3EE9705B">
      <w:pPr>
        <w:wordWrap w:val="0"/>
        <w:spacing w:line="360" w:lineRule="exact"/>
        <w:ind w:firstLine="240" w:firstLineChars="100"/>
        <w:jc w:val="left"/>
      </w:pPr>
      <w:r>
        <w:rPr>
          <w:rFonts w:ascii="宋体" w:hAnsi="宋体" w:eastAsia="宋体" w:cs="宋体"/>
          <w:color w:val="000000"/>
          <w:sz w:val="24"/>
        </w:rPr>
        <w:t> 第七条 学生申请住宿必须经学生处学生公寓管理中心批准，其他任何单位或个人无权分配学校学生寝室床位。</w:t>
      </w:r>
    </w:p>
    <w:p w14:paraId="1C881F0A">
      <w:pPr>
        <w:wordWrap w:val="0"/>
        <w:spacing w:line="360" w:lineRule="exact"/>
        <w:ind w:firstLine="240" w:firstLineChars="100"/>
        <w:jc w:val="left"/>
      </w:pPr>
      <w:r>
        <w:rPr>
          <w:rFonts w:ascii="宋体" w:hAnsi="宋体" w:eastAsia="宋体" w:cs="宋体"/>
          <w:color w:val="000000"/>
          <w:sz w:val="24"/>
        </w:rPr>
        <w:t> 第八条 原则上，学校仅为统招的学生安排住宿。前来我校进修培训、访学交流等其他学员，经学校相关管理部门审核，由学生处学生公寓管理中心根据学生寝室空余情况确定是否安排住宿，住宿期限原则上不超过一年。</w:t>
      </w:r>
    </w:p>
    <w:p w14:paraId="2D1B7D27">
      <w:pPr>
        <w:wordWrap w:val="0"/>
        <w:spacing w:line="360" w:lineRule="exact"/>
        <w:ind w:firstLine="240" w:firstLineChars="100"/>
        <w:jc w:val="left"/>
      </w:pPr>
      <w:r>
        <w:rPr>
          <w:rFonts w:ascii="宋体" w:hAnsi="宋体" w:eastAsia="宋体" w:cs="宋体"/>
          <w:color w:val="000000"/>
          <w:sz w:val="24"/>
        </w:rPr>
        <w:t> 第九条 学生寝室内的空房间、空床位由学生处学生公寓管理中心统一调配和管理，任何人不得私自占用。</w:t>
      </w:r>
    </w:p>
    <w:p w14:paraId="129D15B1">
      <w:pPr>
        <w:wordWrap w:val="0"/>
        <w:spacing w:line="360" w:lineRule="exact"/>
        <w:ind w:firstLine="240" w:firstLineChars="100"/>
        <w:jc w:val="left"/>
      </w:pPr>
      <w:r>
        <w:rPr>
          <w:rFonts w:ascii="宋体" w:hAnsi="宋体" w:eastAsia="宋体" w:cs="宋体"/>
          <w:color w:val="000000"/>
          <w:sz w:val="24"/>
        </w:rPr>
        <w:t> 第十条 学校为全日制学生提供住宿、调宿、退宿申请服务。住宿学生应自觉按照确定的房间住宿，不得自行调换，也不得以任何理由拒绝其他正常入住的学生入住。在校期间，学生本人仅可有一次提出调整寝室要求。</w:t>
      </w:r>
    </w:p>
    <w:p w14:paraId="2F55D695">
      <w:pPr>
        <w:wordWrap w:val="0"/>
        <w:spacing w:line="360" w:lineRule="exact"/>
        <w:ind w:firstLine="240" w:firstLineChars="100"/>
        <w:jc w:val="left"/>
      </w:pPr>
      <w:r>
        <w:rPr>
          <w:rFonts w:ascii="宋体" w:hAnsi="宋体" w:eastAsia="宋体" w:cs="宋体"/>
          <w:color w:val="000000"/>
          <w:sz w:val="24"/>
        </w:rPr>
        <w:t> 第十一条 对于因个人习惯等主观原因严重影响他人、不适宜集体生活的学生，多次违反相关管理规定，屡教不改，学校有权根据实际调整其住宿床位。</w:t>
      </w:r>
    </w:p>
    <w:p w14:paraId="0B15DD36">
      <w:pPr>
        <w:wordWrap w:val="0"/>
        <w:spacing w:line="360" w:lineRule="exact"/>
        <w:ind w:firstLine="240" w:firstLineChars="100"/>
        <w:jc w:val="left"/>
      </w:pPr>
      <w:r>
        <w:rPr>
          <w:rFonts w:ascii="宋体" w:hAnsi="宋体" w:eastAsia="宋体" w:cs="宋体"/>
          <w:color w:val="000000"/>
          <w:sz w:val="24"/>
        </w:rPr>
        <w:t> 第十二条 新生入学并交纳住宿费后，到指定公寓管理站（楼）值班室办理住宿手续，领取钥匙方可入住，管理站（楼）负责统一安排学生入住并为每位同学填制床卡。住宿学生应服从并配合公寓管理站值班人员的管理，按指定房间和床位住宿，未经管理人员同意，不得擅自调换或强占他人床位。</w:t>
      </w:r>
    </w:p>
    <w:p w14:paraId="60D4143E">
      <w:pPr>
        <w:wordWrap w:val="0"/>
        <w:spacing w:line="360" w:lineRule="exact"/>
        <w:ind w:firstLine="240" w:firstLineChars="100"/>
        <w:jc w:val="left"/>
      </w:pPr>
      <w:r>
        <w:rPr>
          <w:rFonts w:ascii="宋体" w:hAnsi="宋体" w:eastAsia="宋体" w:cs="宋体"/>
          <w:color w:val="000000"/>
          <w:sz w:val="24"/>
        </w:rPr>
        <w:t> 第十三条 学生入住公寓的住宿费按学年收取，须在每学年开学时交齐。中途入住或退宿学生的住宿费根据当年度实际住宿时间按月结算，不足一个月按整月收取。一学年按十个月计算。</w:t>
      </w:r>
    </w:p>
    <w:p w14:paraId="43196E22">
      <w:pPr>
        <w:wordWrap w:val="0"/>
        <w:spacing w:line="360" w:lineRule="exact"/>
        <w:ind w:firstLine="240" w:firstLineChars="100"/>
        <w:jc w:val="left"/>
      </w:pPr>
      <w:r>
        <w:rPr>
          <w:rFonts w:ascii="宋体" w:hAnsi="宋体" w:eastAsia="宋体" w:cs="宋体"/>
          <w:color w:val="000000"/>
          <w:sz w:val="24"/>
        </w:rPr>
        <w:t> 第十四条 寒暑假期间学生留校，执行学校寒暑期留校管理办法。先本人申请，经学院审核、学生处批准后，在指定的公寓管理站住宿。</w:t>
      </w:r>
    </w:p>
    <w:p w14:paraId="41A2DF80">
      <w:pPr>
        <w:wordWrap w:val="0"/>
        <w:spacing w:line="360" w:lineRule="exact"/>
        <w:ind w:firstLine="240" w:firstLineChars="100"/>
        <w:jc w:val="left"/>
      </w:pPr>
      <w:r>
        <w:rPr>
          <w:rFonts w:ascii="宋体" w:hAnsi="宋体" w:eastAsia="宋体" w:cs="宋体"/>
          <w:color w:val="000000"/>
          <w:sz w:val="24"/>
        </w:rPr>
        <w:t> 第十五条 住宿学生应在学校规定的期限内办理退宿手续。新生如不需要在校住宿，应在开学一周内办理退宿手续。其他在校住宿学生申请退宿，应在每年寒暑假前一个月内办理。学生在休学、退学、出国、毕业时，应在接到通知后三日内到学生处学生公寓管理中心办理退宿手续。其所住寝室家具及水电设施等经管理人员清点、检查如有缺损，需按规定交纳赔偿金后方可办理退宿手续。学生未按规定办理退宿手续或退宿后未及时搬走者，其遗留物品因清扫、维修、寝室另作它用等原因造成的损失由其本人负责。</w:t>
      </w:r>
    </w:p>
    <w:p w14:paraId="2065007A">
      <w:pPr>
        <w:wordWrap w:val="0"/>
        <w:spacing w:line="360" w:lineRule="exact"/>
        <w:ind w:firstLine="240" w:firstLineChars="100"/>
        <w:jc w:val="left"/>
      </w:pPr>
      <w:r>
        <w:rPr>
          <w:rFonts w:ascii="宋体" w:hAnsi="宋体" w:eastAsia="宋体" w:cs="宋体"/>
          <w:color w:val="000000"/>
          <w:sz w:val="24"/>
        </w:rPr>
        <w:t> 第十六条 延期毕业的学生一般不安排住宿。确需住宿的，应提出书面申请，经学院签署意见，学生处、研究生处审核批准后，由学生处学生公寓管理中心根据条件安排住宿，并按在校学生的住宿标准收取住宿费。</w:t>
      </w:r>
    </w:p>
    <w:p w14:paraId="5DD00D07">
      <w:pPr>
        <w:wordWrap w:val="0"/>
        <w:spacing w:line="360" w:lineRule="exact"/>
        <w:ind w:firstLine="240" w:firstLineChars="100"/>
        <w:jc w:val="left"/>
      </w:pPr>
      <w:r>
        <w:rPr>
          <w:rFonts w:ascii="宋体" w:hAnsi="宋体" w:eastAsia="宋体" w:cs="宋体"/>
          <w:color w:val="000000"/>
          <w:sz w:val="24"/>
        </w:rPr>
        <w:t> 第十七条 学生如有特殊原因要求不在校内学生公寓住宿的，须向学院提出书面申请，经学院会同有关职能部门研究批准后，与学校签订协议，发生问题，学校不承担法律责任。住宿学生办理了入住手续又私自到校外住宿者，发生问题，责任由学生自负。</w:t>
      </w:r>
    </w:p>
    <w:p w14:paraId="1190B50A">
      <w:pPr>
        <w:wordWrap w:val="0"/>
        <w:spacing w:line="360" w:lineRule="exact"/>
        <w:ind w:firstLine="240" w:firstLineChars="100"/>
        <w:jc w:val="left"/>
      </w:pPr>
      <w:r>
        <w:rPr>
          <w:rFonts w:ascii="宋体" w:hAnsi="宋体" w:eastAsia="宋体" w:cs="宋体"/>
          <w:color w:val="000000"/>
          <w:sz w:val="24"/>
        </w:rPr>
        <w:t> 第十八条 学生处学生公寓管理中心有权对住宿床位进行安排和动态调整，住宿学生须服从安排和调整。对因学生住宿定额情况、寝室基建和维修工作、毕业、休学、退学、出国等原因而空出的床位加以调整时，学生不得以任何理由影响调整工作。</w:t>
      </w:r>
    </w:p>
    <w:p w14:paraId="777DFEE5">
      <w:pPr>
        <w:wordWrap w:val="0"/>
        <w:spacing w:line="360" w:lineRule="exact"/>
        <w:jc w:val="center"/>
      </w:pPr>
      <w:r>
        <w:rPr>
          <w:rFonts w:ascii="宋体" w:hAnsi="宋体" w:eastAsia="宋体" w:cs="宋体"/>
          <w:color w:val="000000"/>
          <w:sz w:val="24"/>
        </w:rPr>
        <w:t>第四章 公寓基本规范</w:t>
      </w:r>
    </w:p>
    <w:p w14:paraId="37A89539">
      <w:pPr>
        <w:wordWrap w:val="0"/>
        <w:spacing w:line="360" w:lineRule="exact"/>
        <w:ind w:firstLine="240" w:firstLineChars="100"/>
        <w:jc w:val="left"/>
      </w:pPr>
      <w:r>
        <w:rPr>
          <w:rFonts w:ascii="宋体" w:hAnsi="宋体" w:eastAsia="宋体" w:cs="宋体"/>
          <w:color w:val="000000"/>
          <w:sz w:val="24"/>
        </w:rPr>
        <w:t> 第十九条 寝室内物品应按规定摆放整齐，保持整齐美观。盥洗间口杯、牙刷、脸盆毛巾、水瓶、箱包等按规定要求放置，书本等学习用品和茶杯等放置在本人自修桌上，寝室内的拖把、扫帚、簸箕等卫生工具放置在（公用）阳台墙角。盖被统一叠成方块形放在床的一端，枕头放在另一端，床面清洁平整；床下除并列摆放整齐的鞋子和衣箱外，不允许摆放或弃置其它物品。</w:t>
      </w:r>
    </w:p>
    <w:p w14:paraId="59717343">
      <w:pPr>
        <w:wordWrap w:val="0"/>
        <w:spacing w:line="360" w:lineRule="exact"/>
        <w:ind w:firstLine="240" w:firstLineChars="100"/>
        <w:jc w:val="left"/>
      </w:pPr>
      <w:r>
        <w:rPr>
          <w:rFonts w:ascii="宋体" w:hAnsi="宋体" w:eastAsia="宋体" w:cs="宋体"/>
          <w:color w:val="000000"/>
          <w:sz w:val="24"/>
        </w:rPr>
        <w:t> 第二十条 在季节更替时，各寝室挂、收蚊帐应统一。夏季不用的相关寝具包裹捆扎好，装入行李袋放置指定的地方。</w:t>
      </w:r>
    </w:p>
    <w:p w14:paraId="705FBD16">
      <w:pPr>
        <w:wordWrap w:val="0"/>
        <w:spacing w:line="360" w:lineRule="exact"/>
        <w:ind w:firstLine="240" w:firstLineChars="100"/>
        <w:jc w:val="left"/>
      </w:pPr>
      <w:r>
        <w:rPr>
          <w:rFonts w:ascii="宋体" w:hAnsi="宋体" w:eastAsia="宋体" w:cs="宋体"/>
          <w:color w:val="000000"/>
          <w:sz w:val="24"/>
        </w:rPr>
        <w:t> 第二十一条 寝室内门窗及所有物品须保持清洁，地面须保持干净、无尘、无水、无纸屑杂物、无痰迹，墙面清洁、无蛛网吊灰，墙壁上不乱贴、乱画。不允许敲钉入墙入门入床、乱挂衣物。阳台、卫生间须保持卫生、整洁无异味。自备的家具不得搬入寝室。走廊、盥洗室不得堆放杂物。</w:t>
      </w:r>
    </w:p>
    <w:p w14:paraId="23E5D67A">
      <w:pPr>
        <w:wordWrap w:val="0"/>
        <w:spacing w:line="360" w:lineRule="exact"/>
        <w:ind w:firstLine="240" w:firstLineChars="100"/>
        <w:jc w:val="left"/>
      </w:pPr>
      <w:r>
        <w:rPr>
          <w:rFonts w:ascii="宋体" w:hAnsi="宋体" w:eastAsia="宋体" w:cs="宋体"/>
          <w:color w:val="000000"/>
          <w:sz w:val="24"/>
        </w:rPr>
        <w:t> 第二十二条 公用设施须按规定的方法正确使用，保持完好。内外门锁不得擅自更换，如有问题及时报修。</w:t>
      </w:r>
    </w:p>
    <w:p w14:paraId="4361C5EF">
      <w:pPr>
        <w:wordWrap w:val="0"/>
        <w:spacing w:line="360" w:lineRule="exact"/>
        <w:ind w:firstLine="240" w:firstLineChars="100"/>
        <w:jc w:val="left"/>
      </w:pPr>
      <w:r>
        <w:rPr>
          <w:rFonts w:ascii="宋体" w:hAnsi="宋体" w:eastAsia="宋体" w:cs="宋体"/>
          <w:color w:val="000000"/>
          <w:sz w:val="24"/>
        </w:rPr>
        <w:t> 第二十三条 学生公寓实行门禁管理制度。住宿学生进出公寓楼应自觉使用学生卡进行身份识别。</w:t>
      </w:r>
    </w:p>
    <w:p w14:paraId="18F343D5">
      <w:pPr>
        <w:wordWrap w:val="0"/>
        <w:spacing w:line="360" w:lineRule="exact"/>
        <w:ind w:firstLine="240" w:firstLineChars="100"/>
        <w:jc w:val="left"/>
      </w:pPr>
      <w:r>
        <w:rPr>
          <w:rFonts w:ascii="宋体" w:hAnsi="宋体" w:eastAsia="宋体" w:cs="宋体"/>
          <w:color w:val="000000"/>
          <w:sz w:val="24"/>
        </w:rPr>
        <w:t> 第二十四条 学生寝室实行查房制度。学生处学生公寓管理中心及物业相关工作人员按照工作制度可进入寝室巡查，维护公共安全和生活秩序，保障设施、设备完好，督导寝室内的安全卫生状况。学生应积极主动配合检查，不得以任何理由推诿、拒绝。</w:t>
      </w:r>
    </w:p>
    <w:p w14:paraId="477E0C55">
      <w:pPr>
        <w:wordWrap w:val="0"/>
        <w:spacing w:line="360" w:lineRule="exact"/>
        <w:jc w:val="center"/>
      </w:pPr>
      <w:r>
        <w:rPr>
          <w:rFonts w:ascii="宋体" w:hAnsi="宋体" w:eastAsia="宋体" w:cs="宋体"/>
          <w:color w:val="000000"/>
          <w:sz w:val="24"/>
        </w:rPr>
        <w:t>第五章 公寓内学生行为管理</w:t>
      </w:r>
    </w:p>
    <w:p w14:paraId="49ABFD6F">
      <w:pPr>
        <w:wordWrap w:val="0"/>
        <w:spacing w:line="360" w:lineRule="exact"/>
        <w:ind w:firstLine="240" w:firstLineChars="100"/>
        <w:jc w:val="left"/>
      </w:pPr>
      <w:r>
        <w:rPr>
          <w:rFonts w:ascii="宋体" w:hAnsi="宋体" w:eastAsia="宋体" w:cs="宋体"/>
          <w:color w:val="000000"/>
          <w:sz w:val="24"/>
        </w:rPr>
        <w:t> 第二十五条 学生公寓社区成立学生自治组织，协助管理站（楼）做好公寓内管理与服务工作。各寝室室长全面负责本寝室的日常管理。室长由本寝室学生在管理站和辅导员的指导下选举产生，任期一学年（大一新生寝室长由学院指定）。</w:t>
      </w:r>
    </w:p>
    <w:p w14:paraId="66265C05">
      <w:pPr>
        <w:wordWrap w:val="0"/>
        <w:spacing w:line="360" w:lineRule="exact"/>
        <w:ind w:firstLine="240" w:firstLineChars="100"/>
        <w:jc w:val="left"/>
      </w:pPr>
      <w:r>
        <w:rPr>
          <w:rFonts w:ascii="宋体" w:hAnsi="宋体" w:eastAsia="宋体" w:cs="宋体"/>
          <w:color w:val="000000"/>
          <w:sz w:val="24"/>
        </w:rPr>
        <w:t> 第二十六条 注重文明礼仪。住宿学生应尊敬师长，团结同学，讲文明，懂礼貌，自觉遵守社会公德和文明公约，努力提高个人文明素养，增强集体荣誉感。</w:t>
      </w:r>
    </w:p>
    <w:p w14:paraId="68A51DB5">
      <w:pPr>
        <w:wordWrap w:val="0"/>
        <w:spacing w:line="360" w:lineRule="exact"/>
        <w:ind w:firstLine="240" w:firstLineChars="100"/>
        <w:jc w:val="left"/>
      </w:pPr>
      <w:r>
        <w:rPr>
          <w:rFonts w:ascii="宋体" w:hAnsi="宋体" w:eastAsia="宋体" w:cs="宋体"/>
          <w:color w:val="000000"/>
          <w:sz w:val="24"/>
        </w:rPr>
        <w:t> 第二十七条 讲究卫生。学生公寓楼公共场所（包括走廊、楼梯）由物业管理公司清理；寝室卫生由住宿学生轮流值日，共同保持。寝室室长排定卫生值日表和分工责任区；值日生每天负责拖扫本室及寝室内公共场所地面，擦洗门窗，督促本室成员整理好个人内务；值日生还须每天清扫卫生间，将废纸、垃圾装袋后放在指定地点；每周末寝室内全体成员扫除一次。寝室内的垃圾清扫分类后应及时自行带至楼外分类垃圾桶处倾倒，保持公寓楼内走廊、楼梯全天24小时无垃圾。不得向窗外、阳台外或走廊上泼水、乱丢果壳、纸屑等杂物。寝室内不得饲养任何宠物。不得将饭菜带入寝室（生病等特殊原因除外）。</w:t>
      </w:r>
    </w:p>
    <w:p w14:paraId="21718631">
      <w:pPr>
        <w:wordWrap w:val="0"/>
        <w:spacing w:line="360" w:lineRule="exact"/>
        <w:ind w:firstLine="240" w:firstLineChars="100"/>
        <w:jc w:val="left"/>
      </w:pPr>
      <w:r>
        <w:rPr>
          <w:rFonts w:ascii="宋体" w:hAnsi="宋体" w:eastAsia="宋体" w:cs="宋体"/>
          <w:color w:val="000000"/>
          <w:sz w:val="24"/>
        </w:rPr>
        <w:t> 第二十八条 爱护公物。寝室内门窗、玻璃、桌椅、床橱、水电设施、网络等公共设施应爱惜使用、保管，不得私自拆装或挪移。如有自然损坏，应及时与公寓管理站（或值班室）联系报修。保持厕所内用水管道畅通，严禁向水池、厕所内乱扔杂物。</w:t>
      </w:r>
    </w:p>
    <w:p w14:paraId="1B35CCAF">
      <w:pPr>
        <w:wordWrap w:val="0"/>
        <w:spacing w:line="360" w:lineRule="exact"/>
        <w:ind w:firstLine="240" w:firstLineChars="100"/>
        <w:jc w:val="left"/>
      </w:pPr>
      <w:r>
        <w:rPr>
          <w:rFonts w:ascii="宋体" w:hAnsi="宋体" w:eastAsia="宋体" w:cs="宋体"/>
          <w:color w:val="000000"/>
          <w:sz w:val="24"/>
        </w:rPr>
        <w:t> 第二十九条 美化环境。寝室内家具和生活用具须擦拭干净、摆放整齐，保持整齐美观。室内布置力求简洁大方，格调健康。严禁在公寓楼内包括本寝室张贴、涂抹及其它污染寝室内外环境的行为。</w:t>
      </w:r>
    </w:p>
    <w:p w14:paraId="79FA28F7">
      <w:pPr>
        <w:wordWrap w:val="0"/>
        <w:spacing w:line="360" w:lineRule="exact"/>
        <w:ind w:firstLine="240" w:firstLineChars="100"/>
        <w:jc w:val="left"/>
      </w:pPr>
      <w:r>
        <w:rPr>
          <w:rFonts w:ascii="宋体" w:hAnsi="宋体" w:eastAsia="宋体" w:cs="宋体"/>
          <w:color w:val="000000"/>
          <w:sz w:val="24"/>
        </w:rPr>
        <w:t> 第三十条 遵守秩序。合理安排作息时间，养成良好的生活习惯。午休及晚熄灯后禁止大声喧哗、放音响等影响他人休息的活动。寝室内禁止赌博、酗酒、吸烟，严禁起哄闹事、抛扔杂物。寝室内不准打球、踢球等。严禁在寝室内收藏、传播、观看危害国家安全或扰乱社会生活秩序或不健康的书刊、影碟、网上信息。住宿学生应自觉服从并配合卫生和秩序检查。在公寓院内组织的集体活动须经学生处批准。不经学生处批准，不得私自张贴通知、海报等各类印刷品或宣传品。</w:t>
      </w:r>
    </w:p>
    <w:p w14:paraId="0D02924E">
      <w:pPr>
        <w:wordWrap w:val="0"/>
        <w:spacing w:line="360" w:lineRule="exact"/>
        <w:ind w:firstLine="240" w:firstLineChars="100"/>
        <w:jc w:val="left"/>
      </w:pPr>
      <w:r>
        <w:rPr>
          <w:rFonts w:ascii="宋体" w:hAnsi="宋体" w:eastAsia="宋体" w:cs="宋体"/>
          <w:color w:val="000000"/>
          <w:sz w:val="24"/>
        </w:rPr>
        <w:t> 第三十一条 节约水电。住宿学生应注意养成人离寝室随手关灯断水的习惯。</w:t>
      </w:r>
    </w:p>
    <w:p w14:paraId="36B37681">
      <w:pPr>
        <w:wordWrap w:val="0"/>
        <w:spacing w:line="360" w:lineRule="exact"/>
        <w:ind w:firstLine="240" w:firstLineChars="100"/>
        <w:jc w:val="left"/>
      </w:pPr>
      <w:r>
        <w:rPr>
          <w:rFonts w:ascii="宋体" w:hAnsi="宋体" w:eastAsia="宋体" w:cs="宋体"/>
          <w:color w:val="000000"/>
          <w:sz w:val="24"/>
        </w:rPr>
        <w:t> 第三十二条 注意安全和自我防范。住宿学生应自觉维护寝室安全，增强安全意识和法制观念，提高危险防范能力和自救逃生能力，严禁在寝室内从事传销、传教等活动，对破坏寝室正常秩序的不良行为，应及时劝阻、制止。严禁在阳台栏杆上放置凳子、哑铃等重物。个人贵重物品自行妥善保管，现金存入银行。注意随手关、锁寝室房门。任何人不得将寝室钥匙转借他人，不得私自调换、配制门锁或另加门锁。如门锁有问题，及时报告公寓管理站（或值班室）进行处理。如因故需借用本寝室钥匙必须凭有效证件到公寓管理站（或值班室）办理借用手续。发现可疑人员、可疑情况或治安案件时应及时报告值班人员，拨打报警电话。</w:t>
      </w:r>
    </w:p>
    <w:p w14:paraId="1DD6073C">
      <w:pPr>
        <w:wordWrap w:val="0"/>
        <w:spacing w:line="360" w:lineRule="exact"/>
        <w:ind w:firstLine="240" w:firstLineChars="100"/>
        <w:jc w:val="left"/>
      </w:pPr>
      <w:r>
        <w:rPr>
          <w:rFonts w:ascii="宋体" w:hAnsi="宋体" w:eastAsia="宋体" w:cs="宋体"/>
          <w:color w:val="000000"/>
          <w:sz w:val="24"/>
        </w:rPr>
        <w:t> 第三十二条 增强消防意识。严禁占用消防通道。任何人不得擅自挪用楼内消防器材，不得在寝室内烧煮饭菜，严禁私自拉接电源，严禁在寝室内动用明火（如燃烧纸张、垃圾，点蜡烛、煤油炉、酒精炉等），严禁使用电炉、电热杯、热得快、电水壶、电熨斗、电饭锅、电褥子、电吹风等超标准、超功率及存在安全隐患的电器。一经发现，收缴其违规用具，由管理站代管，放假或毕业回家时退还。</w:t>
      </w:r>
    </w:p>
    <w:p w14:paraId="36E05081">
      <w:pPr>
        <w:wordWrap w:val="0"/>
        <w:spacing w:line="360" w:lineRule="exact"/>
        <w:ind w:firstLine="240" w:firstLineChars="100"/>
        <w:jc w:val="left"/>
      </w:pPr>
      <w:r>
        <w:rPr>
          <w:rFonts w:ascii="宋体" w:hAnsi="宋体" w:eastAsia="宋体" w:cs="宋体"/>
          <w:color w:val="000000"/>
          <w:sz w:val="24"/>
        </w:rPr>
        <w:t> 第三十三条 学生公寓内严禁经商、做广告等活动。未经学生处学生公寓管理中心批准，任何人不得在公寓楼内从事销售、租赁、修理等一切经营活动。不准在公寓内散发、张贴广告和传单等。</w:t>
      </w:r>
    </w:p>
    <w:p w14:paraId="567D382F">
      <w:pPr>
        <w:wordWrap w:val="0"/>
        <w:spacing w:line="360" w:lineRule="exact"/>
        <w:ind w:firstLine="240" w:firstLineChars="100"/>
        <w:jc w:val="left"/>
      </w:pPr>
      <w:r>
        <w:rPr>
          <w:rFonts w:ascii="宋体" w:hAnsi="宋体" w:eastAsia="宋体" w:cs="宋体"/>
          <w:color w:val="000000"/>
          <w:sz w:val="24"/>
        </w:rPr>
        <w:t> 第三十四条 积极维护公寓治安秩序。住宿学生出入公寓楼须持有效证件，服从值班人员的检查。除由学校、学院组织并在公寓管理站（楼）值班室备案的各项参观、检查等活动以及管理站（楼）值班室组织的检查、维修等日常工作外，所有外来人员来访必须持有效证件在值班室进行登记，并注明进入和离开时间。会客结束后到值班室取回所押有效证件。会客时不得影响周围同学的正常作息。来访人员须在规定的时间前离开。任何人不得私自在寝室内留宿他人。严禁来访人员进入异性居住区。</w:t>
      </w:r>
    </w:p>
    <w:p w14:paraId="1CE13C51">
      <w:pPr>
        <w:wordWrap w:val="0"/>
        <w:spacing w:line="360" w:lineRule="exact"/>
        <w:ind w:firstLine="240" w:firstLineChars="100"/>
        <w:jc w:val="left"/>
      </w:pPr>
      <w:r>
        <w:rPr>
          <w:rFonts w:ascii="宋体" w:hAnsi="宋体" w:eastAsia="宋体" w:cs="宋体"/>
          <w:color w:val="000000"/>
          <w:sz w:val="24"/>
        </w:rPr>
        <w:t> 第三十五条 学生应在每晚23:00前返回自己所住公寓就寝。晚间迟返寝室，一律凭贴有本人照片的有效证件登记并说明原因（因公迟归的学生须持有关职能部门或学院出具的证明）方可进入公寓，禁止翻越公寓围栏。</w:t>
      </w:r>
    </w:p>
    <w:p w14:paraId="07D3AFB8">
      <w:pPr>
        <w:wordWrap w:val="0"/>
        <w:spacing w:line="360" w:lineRule="exact"/>
        <w:ind w:firstLine="240" w:firstLineChars="100"/>
        <w:jc w:val="left"/>
      </w:pPr>
      <w:r>
        <w:rPr>
          <w:rFonts w:ascii="宋体" w:hAnsi="宋体" w:eastAsia="宋体" w:cs="宋体"/>
          <w:color w:val="000000"/>
          <w:sz w:val="24"/>
        </w:rPr>
        <w:t> 第三十六条 严禁学生擅自夜不归宿。学生因故须在外住宿的，必须履行请假手续，持有效凭证和床卡到所在公寓管理站（楼）值班室备案，返回后及时到所在公寓管理站（楼）值班室领取销假凭证，到所在学院销假；校外住宿及法定节假日回家的学生，一律到所在公寓管理站（楼）值班室备案，返回后应及时到所在公寓管理站（楼）值班室销假。</w:t>
      </w:r>
    </w:p>
    <w:p w14:paraId="5F08D379">
      <w:pPr>
        <w:wordWrap w:val="0"/>
        <w:spacing w:line="360" w:lineRule="exact"/>
        <w:jc w:val="center"/>
      </w:pPr>
      <w:r>
        <w:rPr>
          <w:rFonts w:ascii="宋体" w:hAnsi="宋体" w:eastAsia="宋体" w:cs="宋体"/>
          <w:color w:val="000000"/>
          <w:sz w:val="24"/>
        </w:rPr>
        <w:t>第六章 网络管理</w:t>
      </w:r>
    </w:p>
    <w:p w14:paraId="70A5BA8C">
      <w:pPr>
        <w:wordWrap w:val="0"/>
        <w:spacing w:line="360" w:lineRule="exact"/>
        <w:ind w:firstLine="240" w:firstLineChars="100"/>
        <w:jc w:val="left"/>
      </w:pPr>
      <w:r>
        <w:rPr>
          <w:rFonts w:ascii="宋体" w:hAnsi="宋体" w:eastAsia="宋体" w:cs="宋体"/>
          <w:color w:val="000000"/>
          <w:sz w:val="24"/>
        </w:rPr>
        <w:t> 第三十七条 学生在寝室内使用计算机，须遵守以下规定。</w:t>
      </w:r>
    </w:p>
    <w:p w14:paraId="20F274CA">
      <w:pPr>
        <w:wordWrap w:val="0"/>
        <w:spacing w:line="360" w:lineRule="exact"/>
        <w:ind w:firstLine="240" w:firstLineChars="100"/>
        <w:jc w:val="left"/>
      </w:pPr>
      <w:r>
        <w:rPr>
          <w:rFonts w:ascii="宋体" w:hAnsi="宋体" w:eastAsia="宋体" w:cs="宋体"/>
          <w:color w:val="000000"/>
          <w:sz w:val="24"/>
        </w:rPr>
        <w:t> （一）学生个人计算机用于学习、课程设计和符合学校规定的适当娱乐活动，不得观看任何带有反动、淫秽等不健康内容的文字、图片或影碟。</w:t>
      </w:r>
    </w:p>
    <w:p w14:paraId="10771A77">
      <w:pPr>
        <w:wordWrap w:val="0"/>
        <w:spacing w:line="360" w:lineRule="exact"/>
        <w:ind w:firstLine="240" w:firstLineChars="100"/>
        <w:jc w:val="left"/>
      </w:pPr>
      <w:r>
        <w:rPr>
          <w:rFonts w:ascii="宋体" w:hAnsi="宋体" w:eastAsia="宋体" w:cs="宋体"/>
          <w:color w:val="000000"/>
          <w:sz w:val="24"/>
        </w:rPr>
        <w:t> （二）上网须严格遵守学校网控中心的各项规定，不浏览、下载反动、淫秽等不健康内容，不使用他人账号上网；禁止私自跨寝室联机联网。</w:t>
      </w:r>
    </w:p>
    <w:p w14:paraId="443EF9BB">
      <w:pPr>
        <w:wordWrap w:val="0"/>
        <w:spacing w:line="360" w:lineRule="exact"/>
        <w:ind w:firstLine="240" w:firstLineChars="100"/>
        <w:jc w:val="left"/>
      </w:pPr>
      <w:r>
        <w:rPr>
          <w:rFonts w:ascii="宋体" w:hAnsi="宋体" w:eastAsia="宋体" w:cs="宋体"/>
          <w:color w:val="000000"/>
          <w:sz w:val="24"/>
        </w:rPr>
        <w:t> （三）摆放计算机及拉接电源须做到整齐、安全，不得乱拉乱扯电线；使用时不应影响他人学习、休息。</w:t>
      </w:r>
    </w:p>
    <w:p w14:paraId="3EFF651B">
      <w:pPr>
        <w:wordWrap w:val="0"/>
        <w:spacing w:line="360" w:lineRule="exact"/>
        <w:ind w:firstLine="240" w:firstLineChars="100"/>
        <w:jc w:val="left"/>
      </w:pPr>
      <w:r>
        <w:rPr>
          <w:rFonts w:ascii="宋体" w:hAnsi="宋体" w:eastAsia="宋体" w:cs="宋体"/>
          <w:color w:val="000000"/>
          <w:sz w:val="24"/>
        </w:rPr>
        <w:t> （四）假期期间学生自行保管本人计算机。</w:t>
      </w:r>
    </w:p>
    <w:p w14:paraId="66D6A568">
      <w:pPr>
        <w:wordWrap w:val="0"/>
        <w:spacing w:line="360" w:lineRule="exact"/>
        <w:jc w:val="center"/>
      </w:pPr>
      <w:r>
        <w:rPr>
          <w:rFonts w:ascii="宋体" w:hAnsi="宋体" w:eastAsia="宋体" w:cs="宋体"/>
          <w:color w:val="000000"/>
          <w:sz w:val="24"/>
        </w:rPr>
        <w:t>第七章 公寓管理奖惩</w:t>
      </w:r>
    </w:p>
    <w:p w14:paraId="53947680">
      <w:pPr>
        <w:wordWrap w:val="0"/>
        <w:spacing w:line="360" w:lineRule="exact"/>
        <w:ind w:firstLine="240" w:firstLineChars="100"/>
        <w:jc w:val="left"/>
      </w:pPr>
      <w:r>
        <w:rPr>
          <w:rFonts w:ascii="宋体" w:hAnsi="宋体" w:eastAsia="宋体" w:cs="宋体"/>
          <w:color w:val="000000"/>
          <w:sz w:val="24"/>
        </w:rPr>
        <w:t> 第三十八条 每学年按《南京财经大学学生公寓目标管理办法》对学生寝室进行考核评比，按得分高低确定文明示范寝室、文明寝室、达标寝室、不达标寝室。凡荣获“文明示范寝室”和“文明寝室”称号的先进集体和荣获“寝室文明标兵”和“寝室先进个人”的优秀学生，学校将给予表彰和奖励。</w:t>
      </w:r>
    </w:p>
    <w:p w14:paraId="0192DFAD">
      <w:pPr>
        <w:wordWrap w:val="0"/>
        <w:spacing w:line="360" w:lineRule="exact"/>
        <w:ind w:firstLine="240" w:firstLineChars="100"/>
        <w:jc w:val="left"/>
      </w:pPr>
      <w:r>
        <w:rPr>
          <w:rFonts w:ascii="宋体" w:hAnsi="宋体" w:eastAsia="宋体" w:cs="宋体"/>
          <w:color w:val="000000"/>
          <w:sz w:val="24"/>
        </w:rPr>
        <w:t> 第三十九条 故意损坏公寓内的公用设施以及造成他人财产、公共财产损失的，一经查实须照价赔偿；造成共有财产、公共财产损失，寝室内责任不清的，由寝室成员共同赔偿；对有故意损坏行为者，视情节轻重，可依据《南京财经大学学生违纪处分条例》有关条款给予处分，并取消其住宿资格。</w:t>
      </w:r>
    </w:p>
    <w:p w14:paraId="7A9B94C9">
      <w:pPr>
        <w:wordWrap w:val="0"/>
        <w:spacing w:line="360" w:lineRule="exact"/>
        <w:ind w:firstLine="240" w:firstLineChars="100"/>
        <w:jc w:val="left"/>
      </w:pPr>
      <w:r>
        <w:rPr>
          <w:rFonts w:ascii="宋体" w:hAnsi="宋体" w:eastAsia="宋体" w:cs="宋体"/>
          <w:color w:val="000000"/>
          <w:sz w:val="24"/>
        </w:rPr>
        <w:t> 第四十条 对在公寓内行为不当者，公寓管理站（楼）有责任行使管理权和教育权，责令或帮助其纠正行为。对不服从管理者，公寓管理站（楼）须及时向学生处和有关学院反映，情节严重的，将依据《南京财经大学学生违纪处分条例》有关条款给予处分。</w:t>
      </w:r>
    </w:p>
    <w:p w14:paraId="3DA7D1EA">
      <w:pPr>
        <w:wordWrap w:val="0"/>
        <w:spacing w:line="360" w:lineRule="exact"/>
        <w:jc w:val="center"/>
      </w:pPr>
      <w:r>
        <w:rPr>
          <w:rFonts w:ascii="宋体" w:hAnsi="宋体" w:eastAsia="宋体" w:cs="宋体"/>
          <w:color w:val="000000"/>
          <w:sz w:val="24"/>
        </w:rPr>
        <w:t>第八章 附 则</w:t>
      </w:r>
    </w:p>
    <w:p w14:paraId="6A2CDCCA">
      <w:pPr>
        <w:wordWrap w:val="0"/>
        <w:spacing w:line="360" w:lineRule="exact"/>
        <w:ind w:firstLine="240" w:firstLineChars="100"/>
        <w:jc w:val="left"/>
      </w:pPr>
      <w:r>
        <w:rPr>
          <w:rFonts w:ascii="宋体" w:hAnsi="宋体" w:eastAsia="宋体" w:cs="宋体"/>
          <w:color w:val="000000"/>
          <w:sz w:val="24"/>
        </w:rPr>
        <w:t> 第四十一条 本条例自颁布之日起实施，凡以往规定与本条例相抵触的，以本条例为准。</w:t>
      </w:r>
    </w:p>
    <w:p w14:paraId="561F28F8">
      <w:pPr>
        <w:wordWrap w:val="0"/>
        <w:spacing w:line="360" w:lineRule="exact"/>
        <w:ind w:firstLine="240" w:firstLineChars="100"/>
        <w:jc w:val="left"/>
      </w:pPr>
      <w:r>
        <w:rPr>
          <w:rFonts w:ascii="宋体" w:hAnsi="宋体" w:eastAsia="宋体" w:cs="宋体"/>
          <w:color w:val="000000"/>
          <w:sz w:val="24"/>
        </w:rPr>
        <w:t> 第四十二条 本条例由南京财经大学学生处负责解释。</w:t>
      </w:r>
    </w:p>
    <w:p w14:paraId="0473880A">
      <w:pPr>
        <w:wordWrap w:val="0"/>
        <w:spacing w:line="360" w:lineRule="exact"/>
        <w:ind w:firstLine="210" w:firstLineChars="100"/>
        <w:jc w:val="left"/>
      </w:pPr>
    </w:p>
    <w:p w14:paraId="5F36A838">
      <w:pPr>
        <w:wordWrap w:val="0"/>
        <w:spacing w:line="360" w:lineRule="exact"/>
        <w:ind w:firstLine="240" w:firstLineChars="100"/>
        <w:jc w:val="center"/>
      </w:pPr>
      <w:r>
        <w:rPr>
          <w:rFonts w:ascii="宋体" w:hAnsi="宋体" w:eastAsia="宋体" w:cs="宋体"/>
          <w:color w:val="000000"/>
          <w:sz w:val="24"/>
        </w:rPr>
        <w:t> 二○二一年六月</w:t>
      </w:r>
    </w:p>
    <w:p w14:paraId="4EE05C36">
      <w:pPr>
        <w:wordWrap w:val="0"/>
        <w:spacing w:line="360" w:lineRule="exact"/>
        <w:ind w:firstLine="240" w:firstLineChars="100"/>
        <w:jc w:val="left"/>
      </w:pPr>
      <w:r>
        <w:rPr>
          <w:rFonts w:ascii="宋体" w:hAnsi="宋体" w:eastAsia="宋体" w:cs="宋体"/>
          <w:color w:val="000000"/>
          <w:sz w:val="24"/>
        </w:rPr>
        <w:t> </w:t>
      </w:r>
    </w:p>
    <w:p w14:paraId="103E64BA">
      <w:r>
        <w:br w:type="page"/>
      </w:r>
    </w:p>
    <w:p w14:paraId="44AAF6A2">
      <w:pPr>
        <w:wordWrap w:val="0"/>
        <w:spacing w:line="360" w:lineRule="exact"/>
        <w:jc w:val="left"/>
      </w:pPr>
      <w:r>
        <w:rPr>
          <w:rFonts w:ascii="宋体" w:hAnsi="宋体" w:eastAsia="宋体" w:cs="宋体"/>
          <w:color w:val="000000"/>
          <w:sz w:val="24"/>
        </w:rPr>
        <w:t>附件2：</w:t>
      </w:r>
    </w:p>
    <w:p w14:paraId="6DC46E21">
      <w:pPr>
        <w:wordWrap w:val="0"/>
        <w:spacing w:line="360" w:lineRule="exact"/>
        <w:ind w:firstLine="240" w:firstLineChars="100"/>
        <w:jc w:val="center"/>
      </w:pPr>
      <w:r>
        <w:rPr>
          <w:rFonts w:ascii="宋体" w:hAnsi="宋体" w:eastAsia="宋体" w:cs="宋体"/>
          <w:color w:val="000000"/>
          <w:sz w:val="24"/>
        </w:rPr>
        <w:t> 南京财经大学研究生公寓管理条例</w:t>
      </w:r>
    </w:p>
    <w:p w14:paraId="23C1DA8E">
      <w:pPr>
        <w:wordWrap w:val="0"/>
        <w:spacing w:line="360" w:lineRule="exact"/>
        <w:jc w:val="center"/>
      </w:pPr>
      <w:r>
        <w:rPr>
          <w:rFonts w:ascii="宋体" w:hAnsi="宋体" w:eastAsia="宋体" w:cs="宋体"/>
          <w:color w:val="000000"/>
          <w:sz w:val="24"/>
        </w:rPr>
        <w:t>第一章 总则</w:t>
      </w:r>
    </w:p>
    <w:p w14:paraId="5EEA4915">
      <w:pPr>
        <w:wordWrap w:val="0"/>
        <w:spacing w:line="360" w:lineRule="exact"/>
        <w:ind w:firstLine="240" w:firstLineChars="100"/>
        <w:jc w:val="left"/>
      </w:pPr>
      <w:r>
        <w:rPr>
          <w:rFonts w:ascii="宋体" w:hAnsi="宋体" w:eastAsia="宋体" w:cs="宋体"/>
          <w:color w:val="000000"/>
          <w:sz w:val="24"/>
        </w:rPr>
        <w:t> 第一条 研究生公寓是研究生日常生活与学习的重要场所。为全面改进和加强研究生公寓的物业管理和研究生的日常行为管理，保证研究生在公寓内人身和财物安全，维护公寓内的正常学习秩序和生活秩序，促进研究生身心健康发展，特制定本条例。</w:t>
      </w:r>
    </w:p>
    <w:p w14:paraId="5D02A01D">
      <w:pPr>
        <w:wordWrap w:val="0"/>
        <w:spacing w:line="360" w:lineRule="exact"/>
        <w:ind w:firstLine="240" w:firstLineChars="100"/>
        <w:jc w:val="left"/>
      </w:pPr>
      <w:r>
        <w:rPr>
          <w:rFonts w:ascii="宋体" w:hAnsi="宋体" w:eastAsia="宋体" w:cs="宋体"/>
          <w:color w:val="000000"/>
          <w:sz w:val="24"/>
        </w:rPr>
        <w:t> 第二条 本条例中，公寓指研究生居住楼院，寝室特指研究生所居住公寓楼的标准套房。</w:t>
      </w:r>
    </w:p>
    <w:p w14:paraId="48C5718B">
      <w:pPr>
        <w:wordWrap w:val="0"/>
        <w:spacing w:line="360" w:lineRule="exact"/>
        <w:jc w:val="center"/>
      </w:pPr>
      <w:r>
        <w:rPr>
          <w:rFonts w:ascii="宋体" w:hAnsi="宋体" w:eastAsia="宋体" w:cs="宋体"/>
          <w:color w:val="000000"/>
          <w:sz w:val="24"/>
        </w:rPr>
        <w:t>第二章 公寓内设施、物品的管理</w:t>
      </w:r>
    </w:p>
    <w:p w14:paraId="59A1C8BF">
      <w:pPr>
        <w:wordWrap w:val="0"/>
        <w:spacing w:line="360" w:lineRule="exact"/>
        <w:ind w:firstLine="240" w:firstLineChars="100"/>
        <w:jc w:val="left"/>
      </w:pPr>
      <w:r>
        <w:rPr>
          <w:rFonts w:ascii="宋体" w:hAnsi="宋体" w:eastAsia="宋体" w:cs="宋体"/>
          <w:color w:val="000000"/>
          <w:sz w:val="24"/>
        </w:rPr>
        <w:t> 第三条 为了便于管理，将数幢公寓楼构成一个公寓组团。组团出入口处设公寓管理站，并根据场所设施条件逐步设置活动室、会客室；公寓管理站（楼）值班人员负责管理区域内的研究生日常管理；会客室用于研究生接待来访客人和站内人员开会、培训，活动室用于站内研究生文化创建活动。</w:t>
      </w:r>
    </w:p>
    <w:p w14:paraId="2E9F2CC4">
      <w:pPr>
        <w:wordWrap w:val="0"/>
        <w:spacing w:line="360" w:lineRule="exact"/>
        <w:ind w:firstLine="240" w:firstLineChars="100"/>
        <w:jc w:val="left"/>
      </w:pPr>
      <w:r>
        <w:rPr>
          <w:rFonts w:ascii="宋体" w:hAnsi="宋体" w:eastAsia="宋体" w:cs="宋体"/>
          <w:color w:val="000000"/>
          <w:sz w:val="24"/>
        </w:rPr>
        <w:t> 第四条 研究生公寓均有电话和宽带网接口，按实际居住人数配备单人床、多用书橱桌、椅子等。</w:t>
      </w:r>
    </w:p>
    <w:p w14:paraId="2B852BD4">
      <w:pPr>
        <w:wordWrap w:val="0"/>
        <w:spacing w:line="360" w:lineRule="exact"/>
        <w:ind w:firstLine="240" w:firstLineChars="100"/>
        <w:jc w:val="left"/>
      </w:pPr>
      <w:r>
        <w:rPr>
          <w:rFonts w:ascii="宋体" w:hAnsi="宋体" w:eastAsia="宋体" w:cs="宋体"/>
          <w:color w:val="000000"/>
          <w:sz w:val="24"/>
        </w:rPr>
        <w:t> 第五条 洗衣机原则上由寝室成员共同出资购买。属寝室成员的共同财产，如有损坏，由寝室成员自费修理。</w:t>
      </w:r>
    </w:p>
    <w:p w14:paraId="2EEF2894">
      <w:pPr>
        <w:wordWrap w:val="0"/>
        <w:spacing w:line="360" w:lineRule="exact"/>
        <w:jc w:val="center"/>
      </w:pPr>
      <w:r>
        <w:rPr>
          <w:rFonts w:ascii="宋体" w:hAnsi="宋体" w:eastAsia="宋体" w:cs="宋体"/>
          <w:color w:val="000000"/>
          <w:sz w:val="24"/>
        </w:rPr>
        <w:t>第三章 研究生入住、退宿手续</w:t>
      </w:r>
    </w:p>
    <w:p w14:paraId="27F470F6">
      <w:pPr>
        <w:wordWrap w:val="0"/>
        <w:spacing w:line="360" w:lineRule="exact"/>
        <w:ind w:firstLine="240" w:firstLineChars="100"/>
        <w:jc w:val="left"/>
      </w:pPr>
      <w:r>
        <w:rPr>
          <w:rFonts w:ascii="宋体" w:hAnsi="宋体" w:eastAsia="宋体" w:cs="宋体"/>
          <w:color w:val="000000"/>
          <w:sz w:val="24"/>
        </w:rPr>
        <w:t> 第六条 新生入学后，须到指定的公寓管理站值班室办理住宿手续（到财务处交纳住宿费后方可入住），管理站负责安排领取钥匙并为每位同学填制床卡。住宿研究生应服从并配合公寓管理站值班人员的管理，按指定房间和床位住宿，未经管理人员同意，不得擅自调换或强占他人床位。成立学生宿管会，协助管理站做好本公寓组团的管理工作。</w:t>
      </w:r>
    </w:p>
    <w:p w14:paraId="679E53DF">
      <w:pPr>
        <w:wordWrap w:val="0"/>
        <w:spacing w:line="360" w:lineRule="exact"/>
        <w:ind w:firstLine="240" w:firstLineChars="100"/>
        <w:jc w:val="left"/>
      </w:pPr>
      <w:r>
        <w:rPr>
          <w:rFonts w:ascii="宋体" w:hAnsi="宋体" w:eastAsia="宋体" w:cs="宋体"/>
          <w:color w:val="000000"/>
          <w:sz w:val="24"/>
        </w:rPr>
        <w:t> 1、研究生入住公寓的住宿费按学年收取，须在每学年开学时交齐。</w:t>
      </w:r>
    </w:p>
    <w:p w14:paraId="40048F4B">
      <w:pPr>
        <w:wordWrap w:val="0"/>
        <w:spacing w:line="360" w:lineRule="exact"/>
        <w:ind w:firstLine="240" w:firstLineChars="100"/>
        <w:jc w:val="left"/>
      </w:pPr>
      <w:r>
        <w:rPr>
          <w:rFonts w:ascii="宋体" w:hAnsi="宋体" w:eastAsia="宋体" w:cs="宋体"/>
          <w:color w:val="000000"/>
          <w:sz w:val="24"/>
        </w:rPr>
        <w:t> 2、寒暑假期间研究生留校，执行学校寒暑期留校管理办法。先本人申请，经学院审核、研究生处和学生处批准后，按学校规定安排住宿。</w:t>
      </w:r>
    </w:p>
    <w:p w14:paraId="09F9FEB3">
      <w:pPr>
        <w:wordWrap w:val="0"/>
        <w:spacing w:line="360" w:lineRule="exact"/>
        <w:ind w:firstLine="240" w:firstLineChars="100"/>
        <w:jc w:val="left"/>
      </w:pPr>
      <w:r>
        <w:rPr>
          <w:rFonts w:ascii="宋体" w:hAnsi="宋体" w:eastAsia="宋体" w:cs="宋体"/>
          <w:color w:val="000000"/>
          <w:sz w:val="24"/>
        </w:rPr>
        <w:t> 3、住寓学生在休学、退学、出国、毕业时，应在接到通知后一周内到公寓管理中心办理退宿手续。其所住寝舍家俱及水电设施等经管理人员清点、检查如有缺损，需按规定交纳赔偿金后方可办理退宿手续。研究生未按规定办理退宿手续或退宿后未及时搬走者，其遗留物品因清扫、维修、寝舍另作它用等原因造成的损失由其本人负责。</w:t>
      </w:r>
    </w:p>
    <w:p w14:paraId="56ACD352">
      <w:pPr>
        <w:wordWrap w:val="0"/>
        <w:spacing w:line="360" w:lineRule="exact"/>
        <w:ind w:firstLine="240" w:firstLineChars="100"/>
        <w:jc w:val="left"/>
      </w:pPr>
      <w:r>
        <w:rPr>
          <w:rFonts w:ascii="宋体" w:hAnsi="宋体" w:eastAsia="宋体" w:cs="宋体"/>
          <w:color w:val="000000"/>
          <w:sz w:val="24"/>
        </w:rPr>
        <w:t> 4. 在职攻读学位的本校职工，在学期间，不安排其住宿。特殊情况，需要安排住宿的，需本人提交书面申请，部门签署意见，学生处根据住宿条件审核批准后，方可安排住宿，并按学年收取住宿费。</w:t>
      </w:r>
    </w:p>
    <w:p w14:paraId="3F33D6C4">
      <w:pPr>
        <w:wordWrap w:val="0"/>
        <w:spacing w:line="360" w:lineRule="exact"/>
        <w:ind w:firstLine="240" w:firstLineChars="100"/>
        <w:jc w:val="left"/>
      </w:pPr>
      <w:r>
        <w:rPr>
          <w:rFonts w:ascii="宋体" w:hAnsi="宋体" w:eastAsia="宋体" w:cs="宋体"/>
          <w:color w:val="000000"/>
          <w:sz w:val="24"/>
        </w:rPr>
        <w:t> 5. 延期毕业的研究生一般不安排住宿。确需住宿的，应书面提出申请，经导师签署意见，研究生处审核批准后，由公寓管理中心根据条件安排住宿，并按在读研究生的住宿标准收取住宿费。</w:t>
      </w:r>
    </w:p>
    <w:p w14:paraId="42C2FF36">
      <w:pPr>
        <w:wordWrap w:val="0"/>
        <w:spacing w:line="360" w:lineRule="exact"/>
        <w:jc w:val="center"/>
      </w:pPr>
      <w:r>
        <w:rPr>
          <w:rFonts w:ascii="宋体" w:hAnsi="宋体" w:eastAsia="宋体" w:cs="宋体"/>
          <w:color w:val="000000"/>
          <w:sz w:val="24"/>
        </w:rPr>
        <w:t>第四章 公寓内研究生行为管理</w:t>
      </w:r>
    </w:p>
    <w:p w14:paraId="4DC58492">
      <w:pPr>
        <w:wordWrap w:val="0"/>
        <w:spacing w:line="360" w:lineRule="exact"/>
        <w:ind w:firstLine="240" w:firstLineChars="100"/>
        <w:jc w:val="left"/>
      </w:pPr>
      <w:r>
        <w:rPr>
          <w:rFonts w:ascii="宋体" w:hAnsi="宋体" w:eastAsia="宋体" w:cs="宋体"/>
          <w:color w:val="000000"/>
          <w:sz w:val="24"/>
        </w:rPr>
        <w:t> 第七条爱护公物。寝舍内门窗、玻璃、桌椅、床橱、水电设施、电话机、电视机、网络等公共设施应爱惜使用、保管，不得私自拆装或挪移。如有自然损坏，应及时与公寓管理站联系报修。</w:t>
      </w:r>
    </w:p>
    <w:p w14:paraId="2D7BB998">
      <w:pPr>
        <w:wordWrap w:val="0"/>
        <w:spacing w:line="360" w:lineRule="exact"/>
        <w:ind w:firstLine="240" w:firstLineChars="100"/>
        <w:jc w:val="left"/>
      </w:pPr>
      <w:r>
        <w:rPr>
          <w:rFonts w:ascii="宋体" w:hAnsi="宋体" w:eastAsia="宋体" w:cs="宋体"/>
          <w:color w:val="000000"/>
          <w:sz w:val="24"/>
        </w:rPr>
        <w:t> 第八条讲究卫生。研究生公寓楼公共场所（包括走廊、楼梯）由物业管理公司清理；寝舍卫生由住宿研究生轮流值日，共同保持。不得向窗外或走廊上泼水、乱丢果壳、纸屑等杂物。寝舍内的垃圾清扫后应及时倒入垃圾道内或自行带至楼外垃圾桶处倾倒，保持公寓楼内走廊、楼梯全天24小时无垃圾。寝舍内不得饲养任何宠物。</w:t>
      </w:r>
    </w:p>
    <w:p w14:paraId="7E8BCCEA">
      <w:pPr>
        <w:wordWrap w:val="0"/>
        <w:spacing w:line="360" w:lineRule="exact"/>
        <w:ind w:firstLine="240" w:firstLineChars="100"/>
        <w:jc w:val="left"/>
      </w:pPr>
      <w:r>
        <w:rPr>
          <w:rFonts w:ascii="宋体" w:hAnsi="宋体" w:eastAsia="宋体" w:cs="宋体"/>
          <w:color w:val="000000"/>
          <w:sz w:val="24"/>
        </w:rPr>
        <w:t> 第九条美化环境。寝舍内家俱和生活用具须擦拭干净、摆放整齐，保持整齐美观。室内布置力求简洁大方，格调健康。严禁在公寓楼内包括本寝舍乱张贴、涂抹及其它污染寝舍内外环境的行为。不允许敲钉入墙入门入床、乱挂衣物。走廊、盥洗室不得堆放杂物。自备的家俱不得搬入寝舍。杜绝一切自行在寝舍内的装修、安装。允许根据个人需要和爱好进行一些不破坏墙体和床具柜桌、不影响整洁的高雅高品位室内设计。</w:t>
      </w:r>
    </w:p>
    <w:p w14:paraId="54411EE6">
      <w:pPr>
        <w:wordWrap w:val="0"/>
        <w:spacing w:line="360" w:lineRule="exact"/>
        <w:ind w:firstLine="240" w:firstLineChars="100"/>
        <w:jc w:val="left"/>
      </w:pPr>
      <w:r>
        <w:rPr>
          <w:rFonts w:ascii="宋体" w:hAnsi="宋体" w:eastAsia="宋体" w:cs="宋体"/>
          <w:color w:val="000000"/>
          <w:sz w:val="24"/>
        </w:rPr>
        <w:t> 第十条遵守秩序。合理安排作息时间，养成良好的生活习惯。午休及晚熄灯后禁止大声喧哗、放音响等影响他人休息的活动。寝舍内禁止赌博、酗酒，严禁起哄闹事、扔酒瓶。寝舍内不准打球、踢球等。住宿研究生应自觉服从并配合卫生和秩序检查。</w:t>
      </w:r>
    </w:p>
    <w:p w14:paraId="614B3AFD">
      <w:pPr>
        <w:wordWrap w:val="0"/>
        <w:spacing w:line="360" w:lineRule="exact"/>
        <w:ind w:firstLine="240" w:firstLineChars="100"/>
        <w:jc w:val="left"/>
      </w:pPr>
      <w:r>
        <w:rPr>
          <w:rFonts w:ascii="宋体" w:hAnsi="宋体" w:eastAsia="宋体" w:cs="宋体"/>
          <w:color w:val="000000"/>
          <w:sz w:val="24"/>
        </w:rPr>
        <w:t> 第十一条节约水电。水电费实行定额补贴，补贴标准为：每人每学期定额用电量100度、定额用水量25吨。每个寝室每学期的补贴标准为：个人标准额度×寝室人数。超额部分按规定收费，由寝室成员共同承担，学生自行向管理站或配电中心购买。</w:t>
      </w:r>
    </w:p>
    <w:p w14:paraId="1E22E928">
      <w:pPr>
        <w:wordWrap w:val="0"/>
        <w:spacing w:line="360" w:lineRule="exact"/>
        <w:ind w:firstLine="240" w:firstLineChars="100"/>
        <w:jc w:val="left"/>
      </w:pPr>
      <w:r>
        <w:rPr>
          <w:rFonts w:ascii="宋体" w:hAnsi="宋体" w:eastAsia="宋体" w:cs="宋体"/>
          <w:color w:val="000000"/>
          <w:sz w:val="24"/>
        </w:rPr>
        <w:t> 第十二条注意自我防范。离开寝舍须随手关、锁门，任何人不得将寝舍钥匙转借他人，不得私自调换、配制门锁或另加门锁。如门锁有问题，报告公寓管理站（或值班室）人员进行处理。个人贵重物品自行妥善保管，现金存入银行。如因故需借用本寝舍钥匙必须凭有效证件到公寓管理站办理借用手续。发现可疑人员应及时报告值班人员或拨打110。</w:t>
      </w:r>
    </w:p>
    <w:p w14:paraId="3C5776ED">
      <w:pPr>
        <w:wordWrap w:val="0"/>
        <w:spacing w:line="360" w:lineRule="exact"/>
        <w:ind w:firstLine="240" w:firstLineChars="100"/>
        <w:jc w:val="left"/>
      </w:pPr>
      <w:r>
        <w:rPr>
          <w:rFonts w:ascii="宋体" w:hAnsi="宋体" w:eastAsia="宋体" w:cs="宋体"/>
          <w:color w:val="000000"/>
          <w:sz w:val="24"/>
        </w:rPr>
        <w:t> 第十三条增强消防意识。任何人不得擅自挪用楼内消防器材，禁止在寝舍内动用明火（如点蜡烛、燃烧纸张、垃圾、点煤油炉、酒精炉等），严禁使用电炉、电热杯、热得快、电水壶、电熨斗、电饭锅、电褥子等大功率电器。禁止私自拉接电源。任何人不得在寝舍内烧煮饭菜。</w:t>
      </w:r>
    </w:p>
    <w:p w14:paraId="027A424F">
      <w:pPr>
        <w:wordWrap w:val="0"/>
        <w:spacing w:line="360" w:lineRule="exact"/>
        <w:ind w:firstLine="240" w:firstLineChars="100"/>
        <w:jc w:val="left"/>
      </w:pPr>
      <w:r>
        <w:rPr>
          <w:rFonts w:ascii="宋体" w:hAnsi="宋体" w:eastAsia="宋体" w:cs="宋体"/>
          <w:color w:val="000000"/>
          <w:sz w:val="24"/>
        </w:rPr>
        <w:t> 第十四条研究生公寓楼内严禁经商、做广告等活动。未经公寓管理中心批准，任何人不得在公寓楼内从事销售、租赁、修理等一切经营活动。不准在寝舍内散发、张贴广告和传单等。</w:t>
      </w:r>
    </w:p>
    <w:p w14:paraId="274E8CDE">
      <w:pPr>
        <w:wordWrap w:val="0"/>
        <w:spacing w:line="360" w:lineRule="exact"/>
        <w:ind w:firstLine="240" w:firstLineChars="100"/>
        <w:jc w:val="left"/>
      </w:pPr>
      <w:r>
        <w:rPr>
          <w:rFonts w:ascii="宋体" w:hAnsi="宋体" w:eastAsia="宋体" w:cs="宋体"/>
          <w:color w:val="000000"/>
          <w:sz w:val="24"/>
        </w:rPr>
        <w:t> 第十五条 严禁在阳台栏杆上放置凳子、哑铃等重物，严禁向窗外和阳台外抛砸各种果皮、杂物等，严禁向窗外泼水。</w:t>
      </w:r>
    </w:p>
    <w:p w14:paraId="0B7EF506">
      <w:pPr>
        <w:wordWrap w:val="0"/>
        <w:spacing w:line="360" w:lineRule="exact"/>
        <w:ind w:firstLine="240" w:firstLineChars="100"/>
        <w:jc w:val="left"/>
      </w:pPr>
      <w:r>
        <w:rPr>
          <w:rFonts w:ascii="宋体" w:hAnsi="宋体" w:eastAsia="宋体" w:cs="宋体"/>
          <w:color w:val="000000"/>
          <w:sz w:val="24"/>
        </w:rPr>
        <w:t> 第十六条加强值班保卫，维护公寓楼治安秩序。住寓研究生出入公寓楼须持有效证件，服从值班人员的检查。除由学校、学院组织并在公寓管理站值班室备案的各项参观、检查等活动以及管理站值班室组织的检查、维修等日常工作外，所有外来人员来访必须持有效证件在值班室进行登记，并注明进入和离开时间。会客结束后到值班室取回所押有效证件。会客时不得影响周围同学的正常作息。来访人员须在规定的时间前离开。任何人不得私自在寝舍内留宿他人。严禁来访人员进入异性居住区。</w:t>
      </w:r>
    </w:p>
    <w:p w14:paraId="208A9F87">
      <w:pPr>
        <w:wordWrap w:val="0"/>
        <w:spacing w:line="360" w:lineRule="exact"/>
        <w:ind w:firstLine="240" w:firstLineChars="100"/>
        <w:jc w:val="left"/>
      </w:pPr>
      <w:r>
        <w:rPr>
          <w:rFonts w:ascii="宋体" w:hAnsi="宋体" w:eastAsia="宋体" w:cs="宋体"/>
          <w:color w:val="000000"/>
          <w:sz w:val="24"/>
        </w:rPr>
        <w:t> 第十七条 研究生迟返寝室，应持贴有本人照片的有效证件，到所在公寓管理站值班室登记并说明原因方可进入公寓，禁止翻越公寓围栏。</w:t>
      </w:r>
    </w:p>
    <w:p w14:paraId="0116C84D">
      <w:pPr>
        <w:wordWrap w:val="0"/>
        <w:spacing w:line="360" w:lineRule="exact"/>
        <w:ind w:firstLine="240" w:firstLineChars="100"/>
        <w:jc w:val="left"/>
      </w:pPr>
      <w:r>
        <w:rPr>
          <w:rFonts w:ascii="宋体" w:hAnsi="宋体" w:eastAsia="宋体" w:cs="宋体"/>
          <w:color w:val="000000"/>
          <w:sz w:val="24"/>
        </w:rPr>
        <w:t> 第十八条因故需在外住宿或法定节假日回家的研究生，应履行请假手续，持贴有本人照片的有效证件和床卡到所在公寓管理站值班室备案，返回后及时到所在公寓管理站值班室销假。</w:t>
      </w:r>
    </w:p>
    <w:p w14:paraId="620EE5AC">
      <w:pPr>
        <w:wordWrap w:val="0"/>
        <w:spacing w:line="360" w:lineRule="exact"/>
        <w:ind w:firstLine="240" w:firstLineChars="100"/>
        <w:jc w:val="left"/>
      </w:pPr>
      <w:r>
        <w:rPr>
          <w:rFonts w:ascii="宋体" w:hAnsi="宋体" w:eastAsia="宋体" w:cs="宋体"/>
          <w:color w:val="000000"/>
          <w:sz w:val="24"/>
        </w:rPr>
        <w:t> 第十九条 研究生在校学习期间原则上不得提出校外住宿要求。研究生如有特殊原因要求不在校内研究生公寓住宿的，须向研究生处提出书面申请，被批准后与研究生处签订协议，发生问题，学校不承担法律责任。住宿研究生办理了入住手续又私自到校外住宿者，发生问题，责任由研究生自负。</w:t>
      </w:r>
    </w:p>
    <w:p w14:paraId="708DDE0F">
      <w:pPr>
        <w:wordWrap w:val="0"/>
        <w:spacing w:line="360" w:lineRule="exact"/>
        <w:ind w:firstLine="240" w:firstLineChars="100"/>
        <w:jc w:val="left"/>
      </w:pPr>
      <w:r>
        <w:rPr>
          <w:rFonts w:ascii="宋体" w:hAnsi="宋体" w:eastAsia="宋体" w:cs="宋体"/>
          <w:color w:val="000000"/>
          <w:sz w:val="24"/>
        </w:rPr>
        <w:t> 第二十条公寓管理中心有权对住宿床位实行动态调整。对因研究生未报到、毕业、休学、退学、出国等原因而空出的床位及时加以调整，住宿研究生须服从安排、调整。</w:t>
      </w:r>
    </w:p>
    <w:p w14:paraId="0D8CE44E">
      <w:pPr>
        <w:wordWrap w:val="0"/>
        <w:spacing w:line="360" w:lineRule="exact"/>
        <w:jc w:val="center"/>
      </w:pPr>
      <w:r>
        <w:rPr>
          <w:rFonts w:ascii="宋体" w:hAnsi="宋体" w:eastAsia="宋体" w:cs="宋体"/>
          <w:color w:val="000000"/>
          <w:sz w:val="24"/>
        </w:rPr>
        <w:t>第五章 网络管理</w:t>
      </w:r>
    </w:p>
    <w:p w14:paraId="711F4BBD">
      <w:pPr>
        <w:wordWrap w:val="0"/>
        <w:spacing w:line="360" w:lineRule="exact"/>
        <w:ind w:firstLine="240" w:firstLineChars="100"/>
        <w:jc w:val="left"/>
      </w:pPr>
      <w:r>
        <w:rPr>
          <w:rFonts w:ascii="宋体" w:hAnsi="宋体" w:eastAsia="宋体" w:cs="宋体"/>
          <w:color w:val="000000"/>
          <w:sz w:val="24"/>
        </w:rPr>
        <w:t> 第二十一条研究生在寝舍内使用计算机，须遵守以下规定。</w:t>
      </w:r>
    </w:p>
    <w:p w14:paraId="58A995D5">
      <w:pPr>
        <w:wordWrap w:val="0"/>
        <w:spacing w:line="360" w:lineRule="exact"/>
        <w:ind w:firstLine="240" w:firstLineChars="100"/>
        <w:jc w:val="left"/>
      </w:pPr>
      <w:r>
        <w:rPr>
          <w:rFonts w:ascii="宋体" w:hAnsi="宋体" w:eastAsia="宋体" w:cs="宋体"/>
          <w:color w:val="000000"/>
          <w:sz w:val="24"/>
        </w:rPr>
        <w:t> 1、研究生在寝舍内使用计算机，须事先在公寓管理站填写“研究生寝舍自备微机登记表”。网络宽带向学校网控中心申请开通，费用按规定收取。</w:t>
      </w:r>
    </w:p>
    <w:p w14:paraId="7CE5F619">
      <w:pPr>
        <w:wordWrap w:val="0"/>
        <w:spacing w:line="360" w:lineRule="exact"/>
        <w:ind w:firstLine="240" w:firstLineChars="100"/>
        <w:jc w:val="left"/>
      </w:pPr>
      <w:r>
        <w:rPr>
          <w:rFonts w:ascii="宋体" w:hAnsi="宋体" w:eastAsia="宋体" w:cs="宋体"/>
          <w:color w:val="000000"/>
          <w:sz w:val="24"/>
        </w:rPr>
        <w:t> 2、研究生个人计算机用于学习、课程设计和符合学校规定的适当娱乐活动，不得观看任何带有反动、淫秽等不健康内容的文字、图片或影碟。</w:t>
      </w:r>
    </w:p>
    <w:p w14:paraId="1D1F289A">
      <w:pPr>
        <w:wordWrap w:val="0"/>
        <w:spacing w:line="360" w:lineRule="exact"/>
        <w:ind w:firstLine="240" w:firstLineChars="100"/>
        <w:jc w:val="left"/>
      </w:pPr>
      <w:r>
        <w:rPr>
          <w:rFonts w:ascii="宋体" w:hAnsi="宋体" w:eastAsia="宋体" w:cs="宋体"/>
          <w:color w:val="000000"/>
          <w:sz w:val="24"/>
        </w:rPr>
        <w:t> 3、上网须严格遵守学校网控中心的各项规定，不浏览、下载反动、淫秽等不健康内容，不使用他人账号上网；禁止私自跨寝舍联机联网。</w:t>
      </w:r>
    </w:p>
    <w:p w14:paraId="4F6557D0">
      <w:pPr>
        <w:wordWrap w:val="0"/>
        <w:spacing w:line="360" w:lineRule="exact"/>
        <w:ind w:firstLine="240" w:firstLineChars="100"/>
        <w:jc w:val="left"/>
      </w:pPr>
      <w:r>
        <w:rPr>
          <w:rFonts w:ascii="宋体" w:hAnsi="宋体" w:eastAsia="宋体" w:cs="宋体"/>
          <w:color w:val="000000"/>
          <w:sz w:val="24"/>
        </w:rPr>
        <w:t> 4、摆放计算机及拉接电源须做到整齐、安全，不得乱拉乱扯电线；使用时不应影响他人学习、休息。</w:t>
      </w:r>
    </w:p>
    <w:p w14:paraId="7DE6A56B">
      <w:pPr>
        <w:wordWrap w:val="0"/>
        <w:spacing w:line="360" w:lineRule="exact"/>
        <w:ind w:firstLine="240" w:firstLineChars="100"/>
        <w:jc w:val="left"/>
      </w:pPr>
      <w:r>
        <w:rPr>
          <w:rFonts w:ascii="宋体" w:hAnsi="宋体" w:eastAsia="宋体" w:cs="宋体"/>
          <w:color w:val="000000"/>
          <w:sz w:val="24"/>
        </w:rPr>
        <w:t> 5、假期期间自行保存本人计算机。</w:t>
      </w:r>
    </w:p>
    <w:p w14:paraId="1464F86E">
      <w:pPr>
        <w:wordWrap w:val="0"/>
        <w:spacing w:line="360" w:lineRule="exact"/>
        <w:jc w:val="center"/>
      </w:pPr>
      <w:r>
        <w:rPr>
          <w:rFonts w:ascii="宋体" w:hAnsi="宋体" w:eastAsia="宋体" w:cs="宋体"/>
          <w:color w:val="000000"/>
          <w:sz w:val="24"/>
        </w:rPr>
        <w:t>第六章 研究生寝舍卫生及“文明寝舍”评比</w:t>
      </w:r>
    </w:p>
    <w:p w14:paraId="009B3F80">
      <w:pPr>
        <w:wordWrap w:val="0"/>
        <w:spacing w:line="360" w:lineRule="exact"/>
        <w:ind w:firstLine="240" w:firstLineChars="100"/>
        <w:jc w:val="left"/>
      </w:pPr>
      <w:r>
        <w:rPr>
          <w:rFonts w:ascii="宋体" w:hAnsi="宋体" w:eastAsia="宋体" w:cs="宋体"/>
          <w:color w:val="000000"/>
          <w:sz w:val="24"/>
        </w:rPr>
        <w:t> 第二十二条 公寓管理中心负责组织对研究生寝舍进行内务卫生检查、评比及“文明寝舍”评比。</w:t>
      </w:r>
    </w:p>
    <w:p w14:paraId="5EDFB311">
      <w:pPr>
        <w:wordWrap w:val="0"/>
        <w:spacing w:line="360" w:lineRule="exact"/>
        <w:ind w:firstLine="240" w:firstLineChars="100"/>
        <w:jc w:val="left"/>
      </w:pPr>
      <w:r>
        <w:rPr>
          <w:rFonts w:ascii="宋体" w:hAnsi="宋体" w:eastAsia="宋体" w:cs="宋体"/>
          <w:color w:val="000000"/>
          <w:sz w:val="24"/>
        </w:rPr>
        <w:t> 1、公寓管理中心组织人员对研究生寝舍进行定期或不定期检查或抽查，并及时发布成绩通报。检查的主要内容如下：</w:t>
      </w:r>
    </w:p>
    <w:p w14:paraId="46E57B67">
      <w:pPr>
        <w:wordWrap w:val="0"/>
        <w:spacing w:line="360" w:lineRule="exact"/>
        <w:ind w:firstLine="240" w:firstLineChars="100"/>
        <w:jc w:val="left"/>
      </w:pPr>
      <w:r>
        <w:rPr>
          <w:rFonts w:ascii="宋体" w:hAnsi="宋体" w:eastAsia="宋体" w:cs="宋体"/>
          <w:color w:val="000000"/>
          <w:sz w:val="24"/>
        </w:rPr>
        <w:t> （1）地面、墙壁干净；</w:t>
      </w:r>
    </w:p>
    <w:p w14:paraId="6CBBF6C2">
      <w:pPr>
        <w:wordWrap w:val="0"/>
        <w:spacing w:line="360" w:lineRule="exact"/>
        <w:ind w:firstLine="240" w:firstLineChars="100"/>
        <w:jc w:val="left"/>
      </w:pPr>
      <w:r>
        <w:rPr>
          <w:rFonts w:ascii="宋体" w:hAnsi="宋体" w:eastAsia="宋体" w:cs="宋体"/>
          <w:color w:val="000000"/>
          <w:sz w:val="24"/>
        </w:rPr>
        <w:t> （2）门窗玻璃洁净；</w:t>
      </w:r>
    </w:p>
    <w:p w14:paraId="01F6503D">
      <w:pPr>
        <w:wordWrap w:val="0"/>
        <w:spacing w:line="360" w:lineRule="exact"/>
        <w:ind w:firstLine="240" w:firstLineChars="100"/>
        <w:jc w:val="left"/>
      </w:pPr>
      <w:r>
        <w:rPr>
          <w:rFonts w:ascii="宋体" w:hAnsi="宋体" w:eastAsia="宋体" w:cs="宋体"/>
          <w:color w:val="000000"/>
          <w:sz w:val="24"/>
        </w:rPr>
        <w:t> （3）个人生活用品摆放整齐；</w:t>
      </w:r>
    </w:p>
    <w:p w14:paraId="6170ED07">
      <w:pPr>
        <w:wordWrap w:val="0"/>
        <w:spacing w:line="360" w:lineRule="exact"/>
        <w:ind w:firstLine="240" w:firstLineChars="100"/>
        <w:jc w:val="left"/>
      </w:pPr>
      <w:r>
        <w:rPr>
          <w:rFonts w:ascii="宋体" w:hAnsi="宋体" w:eastAsia="宋体" w:cs="宋体"/>
          <w:color w:val="000000"/>
          <w:sz w:val="24"/>
        </w:rPr>
        <w:t> （4）室内布置规范，无乱贴乱挂现象；</w:t>
      </w:r>
    </w:p>
    <w:p w14:paraId="44422094">
      <w:pPr>
        <w:wordWrap w:val="0"/>
        <w:spacing w:line="360" w:lineRule="exact"/>
        <w:ind w:firstLine="240" w:firstLineChars="100"/>
        <w:jc w:val="left"/>
      </w:pPr>
      <w:r>
        <w:rPr>
          <w:rFonts w:ascii="宋体" w:hAnsi="宋体" w:eastAsia="宋体" w:cs="宋体"/>
          <w:color w:val="000000"/>
          <w:sz w:val="24"/>
        </w:rPr>
        <w:t> （5）无违章现象。</w:t>
      </w:r>
    </w:p>
    <w:p w14:paraId="37E8A1FC">
      <w:pPr>
        <w:wordWrap w:val="0"/>
        <w:spacing w:line="360" w:lineRule="exact"/>
        <w:ind w:firstLine="240" w:firstLineChars="100"/>
        <w:jc w:val="left"/>
      </w:pPr>
      <w:r>
        <w:rPr>
          <w:rFonts w:ascii="宋体" w:hAnsi="宋体" w:eastAsia="宋体" w:cs="宋体"/>
          <w:color w:val="000000"/>
          <w:sz w:val="24"/>
        </w:rPr>
        <w:t> 2、文明寝舍评比标准：</w:t>
      </w:r>
    </w:p>
    <w:p w14:paraId="729B20AD">
      <w:pPr>
        <w:wordWrap w:val="0"/>
        <w:spacing w:line="360" w:lineRule="exact"/>
        <w:ind w:firstLine="240" w:firstLineChars="100"/>
        <w:jc w:val="left"/>
      </w:pPr>
      <w:r>
        <w:rPr>
          <w:rFonts w:ascii="宋体" w:hAnsi="宋体" w:eastAsia="宋体" w:cs="宋体"/>
          <w:color w:val="000000"/>
          <w:sz w:val="24"/>
        </w:rPr>
        <w:t> （1）寝舍值日制度健全，内务卫生成绩优秀。</w:t>
      </w:r>
    </w:p>
    <w:p w14:paraId="44418EC6">
      <w:pPr>
        <w:wordWrap w:val="0"/>
        <w:spacing w:line="360" w:lineRule="exact"/>
        <w:ind w:firstLine="240" w:firstLineChars="100"/>
        <w:jc w:val="left"/>
      </w:pPr>
      <w:r>
        <w:rPr>
          <w:rFonts w:ascii="宋体" w:hAnsi="宋体" w:eastAsia="宋体" w:cs="宋体"/>
          <w:color w:val="000000"/>
          <w:sz w:val="24"/>
        </w:rPr>
        <w:t> （2）寝舍成员自觉遵守各项公寓管理制度，无被学校通报批评或纪律处分记录。</w:t>
      </w:r>
    </w:p>
    <w:p w14:paraId="220F1A92">
      <w:pPr>
        <w:wordWrap w:val="0"/>
        <w:spacing w:line="360" w:lineRule="exact"/>
        <w:ind w:firstLine="240" w:firstLineChars="100"/>
        <w:jc w:val="left"/>
      </w:pPr>
      <w:r>
        <w:rPr>
          <w:rFonts w:ascii="宋体" w:hAnsi="宋体" w:eastAsia="宋体" w:cs="宋体"/>
          <w:color w:val="000000"/>
          <w:sz w:val="24"/>
        </w:rPr>
        <w:t> （3）寝舍成员学习成绩优良，无考试作弊记录。</w:t>
      </w:r>
    </w:p>
    <w:p w14:paraId="387B284F">
      <w:pPr>
        <w:wordWrap w:val="0"/>
        <w:spacing w:line="360" w:lineRule="exact"/>
        <w:ind w:firstLine="240" w:firstLineChars="100"/>
        <w:jc w:val="left"/>
      </w:pPr>
      <w:r>
        <w:rPr>
          <w:rFonts w:ascii="宋体" w:hAnsi="宋体" w:eastAsia="宋体" w:cs="宋体"/>
          <w:color w:val="000000"/>
          <w:sz w:val="24"/>
        </w:rPr>
        <w:t> （4）寝舍成员爱护公物，无损坏公物行为和安全事故发生。</w:t>
      </w:r>
    </w:p>
    <w:p w14:paraId="67C62D4C">
      <w:pPr>
        <w:wordWrap w:val="0"/>
        <w:spacing w:line="360" w:lineRule="exact"/>
        <w:ind w:firstLine="240" w:firstLineChars="100"/>
        <w:jc w:val="left"/>
      </w:pPr>
      <w:r>
        <w:rPr>
          <w:rFonts w:ascii="宋体" w:hAnsi="宋体" w:eastAsia="宋体" w:cs="宋体"/>
          <w:color w:val="000000"/>
          <w:sz w:val="24"/>
        </w:rPr>
        <w:t> （5）寝舍成员无违章、留宿异性等违纪行为。</w:t>
      </w:r>
    </w:p>
    <w:p w14:paraId="38C4AB34">
      <w:pPr>
        <w:wordWrap w:val="0"/>
        <w:spacing w:line="360" w:lineRule="exact"/>
        <w:ind w:firstLine="240" w:firstLineChars="100"/>
        <w:jc w:val="left"/>
      </w:pPr>
      <w:r>
        <w:rPr>
          <w:rFonts w:ascii="宋体" w:hAnsi="宋体" w:eastAsia="宋体" w:cs="宋体"/>
          <w:color w:val="000000"/>
          <w:sz w:val="24"/>
        </w:rPr>
        <w:t> 3、奖惩办法：</w:t>
      </w:r>
    </w:p>
    <w:p w14:paraId="6BE8C7A0">
      <w:pPr>
        <w:wordWrap w:val="0"/>
        <w:spacing w:line="360" w:lineRule="exact"/>
        <w:ind w:firstLine="240" w:firstLineChars="100"/>
        <w:jc w:val="left"/>
      </w:pPr>
      <w:r>
        <w:rPr>
          <w:rFonts w:ascii="宋体" w:hAnsi="宋体" w:eastAsia="宋体" w:cs="宋体"/>
          <w:color w:val="000000"/>
          <w:sz w:val="24"/>
        </w:rPr>
        <w:t> 研究生寝舍卫生成绩每学期末进行总评，对内务卫生成绩优秀的研究生寝舍予以通报表扬；对内务卫生成绩差的研究生寝舍予以通报批评。</w:t>
      </w:r>
    </w:p>
    <w:p w14:paraId="5C3F27E1">
      <w:pPr>
        <w:wordWrap w:val="0"/>
        <w:spacing w:line="360" w:lineRule="exact"/>
        <w:jc w:val="center"/>
      </w:pPr>
      <w:r>
        <w:rPr>
          <w:rFonts w:ascii="宋体" w:hAnsi="宋体" w:eastAsia="宋体" w:cs="宋体"/>
          <w:color w:val="000000"/>
          <w:sz w:val="24"/>
        </w:rPr>
        <w:t>第七章处罚规定</w:t>
      </w:r>
    </w:p>
    <w:p w14:paraId="7DE9CC29">
      <w:pPr>
        <w:wordWrap w:val="0"/>
        <w:spacing w:line="360" w:lineRule="exact"/>
        <w:ind w:firstLine="240" w:firstLineChars="100"/>
        <w:jc w:val="left"/>
      </w:pPr>
      <w:r>
        <w:rPr>
          <w:rFonts w:ascii="宋体" w:hAnsi="宋体" w:eastAsia="宋体" w:cs="宋体"/>
          <w:color w:val="000000"/>
          <w:sz w:val="24"/>
        </w:rPr>
        <w:t> 第二十三条研究生应严格遵守学校各项规章制度和本条例规定。对违纪者处罚办法见《南京财经大学研究生违纪处分条例》。</w:t>
      </w:r>
    </w:p>
    <w:p w14:paraId="0D4A308B">
      <w:pPr>
        <w:wordWrap w:val="0"/>
        <w:spacing w:line="360" w:lineRule="exact"/>
        <w:jc w:val="center"/>
      </w:pPr>
      <w:r>
        <w:rPr>
          <w:rFonts w:ascii="宋体" w:hAnsi="宋体" w:eastAsia="宋体" w:cs="宋体"/>
          <w:color w:val="000000"/>
          <w:sz w:val="24"/>
        </w:rPr>
        <w:t>第八章 附 则</w:t>
      </w:r>
    </w:p>
    <w:p w14:paraId="7234EA7B">
      <w:pPr>
        <w:wordWrap w:val="0"/>
        <w:spacing w:line="360" w:lineRule="exact"/>
        <w:ind w:firstLine="240" w:firstLineChars="100"/>
        <w:jc w:val="left"/>
      </w:pPr>
      <w:r>
        <w:rPr>
          <w:rFonts w:ascii="宋体" w:hAnsi="宋体" w:eastAsia="宋体" w:cs="宋体"/>
          <w:color w:val="000000"/>
          <w:sz w:val="24"/>
        </w:rPr>
        <w:t> 第二十四条 本规定由学生处负责解释，自发布之日起执行。</w:t>
      </w:r>
    </w:p>
    <w:p w14:paraId="73147468">
      <w:pPr>
        <w:wordWrap w:val="0"/>
        <w:spacing w:line="360" w:lineRule="exact"/>
        <w:ind w:firstLine="240" w:firstLineChars="100"/>
        <w:jc w:val="left"/>
      </w:pPr>
      <w:r>
        <w:rPr>
          <w:rFonts w:ascii="宋体" w:hAnsi="宋体" w:eastAsia="宋体" w:cs="宋体"/>
          <w:color w:val="000000"/>
          <w:sz w:val="24"/>
        </w:rPr>
        <w:t> </w:t>
      </w:r>
    </w:p>
    <w:p w14:paraId="72C2A035">
      <w:r>
        <w:br w:type="page"/>
      </w:r>
    </w:p>
    <w:p w14:paraId="2F88F6C8">
      <w:pPr>
        <w:wordWrap w:val="0"/>
        <w:spacing w:line="360" w:lineRule="exact"/>
        <w:jc w:val="left"/>
      </w:pPr>
      <w:r>
        <w:rPr>
          <w:rFonts w:ascii="宋体" w:hAnsi="宋体" w:eastAsia="宋体" w:cs="宋体"/>
          <w:color w:val="000000"/>
          <w:sz w:val="24"/>
        </w:rPr>
        <w:t>附件3：</w:t>
      </w:r>
    </w:p>
    <w:p w14:paraId="3470354B">
      <w:pPr>
        <w:wordWrap w:val="0"/>
        <w:spacing w:line="360" w:lineRule="exact"/>
        <w:ind w:firstLine="240" w:firstLineChars="100"/>
        <w:jc w:val="center"/>
      </w:pPr>
      <w:r>
        <w:rPr>
          <w:rFonts w:ascii="宋体" w:hAnsi="宋体" w:eastAsia="宋体" w:cs="宋体"/>
          <w:color w:val="000000"/>
          <w:sz w:val="24"/>
        </w:rPr>
        <w:t> 南京财经大学学生公寓目标管理办法</w:t>
      </w:r>
    </w:p>
    <w:p w14:paraId="4FB94188">
      <w:pPr>
        <w:wordWrap w:val="0"/>
        <w:spacing w:line="360" w:lineRule="exact"/>
        <w:ind w:firstLine="240" w:firstLineChars="100"/>
        <w:jc w:val="center"/>
      </w:pPr>
      <w:r>
        <w:rPr>
          <w:rFonts w:ascii="宋体" w:hAnsi="宋体" w:eastAsia="宋体" w:cs="宋体"/>
          <w:color w:val="000000"/>
          <w:sz w:val="24"/>
        </w:rPr>
        <w:t> （试 行）</w:t>
      </w:r>
    </w:p>
    <w:p w14:paraId="1113DC98">
      <w:pPr>
        <w:wordWrap w:val="0"/>
        <w:spacing w:line="360" w:lineRule="exact"/>
        <w:ind w:firstLine="240" w:firstLineChars="100"/>
        <w:jc w:val="center"/>
      </w:pPr>
      <w:r>
        <w:rPr>
          <w:rFonts w:ascii="宋体" w:hAnsi="宋体" w:eastAsia="宋体" w:cs="宋体"/>
          <w:color w:val="000000"/>
          <w:sz w:val="24"/>
        </w:rPr>
        <w:t> 2012年3月修订</w:t>
      </w:r>
    </w:p>
    <w:p w14:paraId="4202730F">
      <w:pPr>
        <w:wordWrap w:val="0"/>
        <w:spacing w:line="360" w:lineRule="exact"/>
        <w:ind w:firstLine="240" w:firstLineChars="100"/>
        <w:jc w:val="left"/>
      </w:pPr>
      <w:r>
        <w:rPr>
          <w:rFonts w:ascii="宋体" w:hAnsi="宋体" w:eastAsia="宋体" w:cs="宋体"/>
          <w:color w:val="000000"/>
          <w:sz w:val="24"/>
        </w:rPr>
        <w:t> 学生公寓是学生学习、生活的主要场所，也是培养合格人才的重要场所。为创造整洁优美的公寓环境，培养学生良好的生活习惯，提高学生自我管理能力，逐步建立学生公寓目标管理体制，使我校学生公寓管理工作更加规范化、制度化和科学化，特制定如下管理办法：</w:t>
      </w:r>
    </w:p>
    <w:p w14:paraId="7304D6FF">
      <w:pPr>
        <w:wordWrap w:val="0"/>
        <w:spacing w:line="360" w:lineRule="exact"/>
        <w:ind w:firstLine="240" w:firstLineChars="100"/>
        <w:jc w:val="left"/>
      </w:pPr>
      <w:r>
        <w:rPr>
          <w:rFonts w:ascii="宋体" w:hAnsi="宋体" w:eastAsia="宋体" w:cs="宋体"/>
          <w:color w:val="000000"/>
          <w:sz w:val="24"/>
        </w:rPr>
        <w:t> 一、目标管理评分办法</w:t>
      </w:r>
    </w:p>
    <w:p w14:paraId="1BB8D898">
      <w:pPr>
        <w:wordWrap w:val="0"/>
        <w:spacing w:line="360" w:lineRule="exact"/>
        <w:ind w:firstLine="240" w:firstLineChars="100"/>
        <w:jc w:val="left"/>
      </w:pPr>
      <w:r>
        <w:rPr>
          <w:rFonts w:ascii="宋体" w:hAnsi="宋体" w:eastAsia="宋体" w:cs="宋体"/>
          <w:color w:val="000000"/>
          <w:sz w:val="24"/>
        </w:rPr>
        <w:t> 学生公寓的安全、文明、卫生和有无违章行为为公寓目标管理的主要内容，分室内卫生和个人文明行为两类，室内卫生又分为室内个人卫生和值日生卫生。每位同学每学期得分含基本分和附加分，基本分基数为500分，评分按下列计分细则逐项倒扣；附加分基数为0，评分按评分细则逐项累加。</w:t>
      </w:r>
    </w:p>
    <w:p w14:paraId="1D59FEAF">
      <w:pPr>
        <w:wordWrap w:val="0"/>
        <w:spacing w:line="360" w:lineRule="exact"/>
        <w:ind w:firstLine="240" w:firstLineChars="100"/>
        <w:jc w:val="left"/>
      </w:pPr>
      <w:r>
        <w:rPr>
          <w:rFonts w:ascii="宋体" w:hAnsi="宋体" w:eastAsia="宋体" w:cs="宋体"/>
          <w:color w:val="000000"/>
          <w:sz w:val="24"/>
        </w:rPr>
        <w:t> （一）基本分计分细则</w:t>
      </w:r>
    </w:p>
    <w:p w14:paraId="208C53A5">
      <w:pPr>
        <w:wordWrap w:val="0"/>
        <w:spacing w:line="360" w:lineRule="exact"/>
        <w:ind w:firstLine="240" w:firstLineChars="100"/>
        <w:jc w:val="left"/>
      </w:pPr>
      <w:r>
        <w:rPr>
          <w:rFonts w:ascii="宋体" w:hAnsi="宋体" w:eastAsia="宋体" w:cs="宋体"/>
          <w:color w:val="000000"/>
          <w:sz w:val="24"/>
        </w:rPr>
        <w:t> 1．室内卫生</w:t>
      </w:r>
    </w:p>
    <w:p w14:paraId="4271B323">
      <w:pPr>
        <w:wordWrap w:val="0"/>
        <w:spacing w:line="360" w:lineRule="exact"/>
        <w:ind w:firstLine="240" w:firstLineChars="100"/>
        <w:jc w:val="left"/>
      </w:pPr>
      <w:r>
        <w:rPr>
          <w:rFonts w:ascii="宋体" w:hAnsi="宋体" w:eastAsia="宋体" w:cs="宋体"/>
          <w:color w:val="000000"/>
          <w:sz w:val="24"/>
        </w:rPr>
        <w:t> （1）值日生卫生</w:t>
      </w:r>
    </w:p>
    <w:p w14:paraId="1EF22986">
      <w:pPr>
        <w:wordWrap w:val="0"/>
        <w:spacing w:line="360" w:lineRule="exact"/>
        <w:ind w:firstLine="240" w:firstLineChars="100"/>
        <w:jc w:val="left"/>
      </w:pPr>
      <w:r>
        <w:rPr>
          <w:rFonts w:ascii="宋体" w:hAnsi="宋体" w:eastAsia="宋体" w:cs="宋体"/>
          <w:color w:val="000000"/>
          <w:sz w:val="24"/>
        </w:rPr>
        <w:t> 寝室未排值日表，扣室长20分；值日生不打扫寝室卫生每次扣20分，值日不负责，达不到卫生标准，按以下内容逐项每次扣5分，直至扣满20分。</w:t>
      </w:r>
    </w:p>
    <w:p w14:paraId="4B2FAB0F">
      <w:pPr>
        <w:wordWrap w:val="0"/>
        <w:spacing w:line="360" w:lineRule="exact"/>
        <w:ind w:firstLine="240" w:firstLineChars="100"/>
        <w:jc w:val="left"/>
      </w:pPr>
      <w:r>
        <w:rPr>
          <w:rFonts w:ascii="宋体" w:hAnsi="宋体" w:eastAsia="宋体" w:cs="宋体"/>
          <w:color w:val="000000"/>
          <w:sz w:val="24"/>
        </w:rPr>
        <w:t> ①值日生将垃圾堆放在走廊或室内；</w:t>
      </w:r>
    </w:p>
    <w:p w14:paraId="7EC22CD2">
      <w:pPr>
        <w:wordWrap w:val="0"/>
        <w:spacing w:line="360" w:lineRule="exact"/>
        <w:ind w:firstLine="240" w:firstLineChars="100"/>
        <w:jc w:val="left"/>
      </w:pPr>
      <w:r>
        <w:rPr>
          <w:rFonts w:ascii="宋体" w:hAnsi="宋体" w:eastAsia="宋体" w:cs="宋体"/>
          <w:color w:val="000000"/>
          <w:sz w:val="24"/>
        </w:rPr>
        <w:t> ②阳台有垃圾、积水，物品摆放不整齐；</w:t>
      </w:r>
    </w:p>
    <w:p w14:paraId="7A3E7457">
      <w:pPr>
        <w:wordWrap w:val="0"/>
        <w:spacing w:line="360" w:lineRule="exact"/>
        <w:ind w:firstLine="240" w:firstLineChars="100"/>
        <w:jc w:val="left"/>
      </w:pPr>
      <w:r>
        <w:rPr>
          <w:rFonts w:ascii="宋体" w:hAnsi="宋体" w:eastAsia="宋体" w:cs="宋体"/>
          <w:color w:val="000000"/>
          <w:sz w:val="24"/>
        </w:rPr>
        <w:t> ③大厅内茶几、凳子摆放零乱不整齐或布满灰尘；</w:t>
      </w:r>
    </w:p>
    <w:p w14:paraId="490217C7">
      <w:pPr>
        <w:wordWrap w:val="0"/>
        <w:spacing w:line="360" w:lineRule="exact"/>
        <w:ind w:firstLine="240" w:firstLineChars="100"/>
        <w:jc w:val="left"/>
      </w:pPr>
      <w:r>
        <w:rPr>
          <w:rFonts w:ascii="宋体" w:hAnsi="宋体" w:eastAsia="宋体" w:cs="宋体"/>
          <w:color w:val="000000"/>
          <w:sz w:val="24"/>
        </w:rPr>
        <w:t> ④盥洗室口杯、牙刷摆放不整齐、毛巾乱挂且责任不明确者；</w:t>
      </w:r>
    </w:p>
    <w:p w14:paraId="705715F7">
      <w:pPr>
        <w:wordWrap w:val="0"/>
        <w:spacing w:line="360" w:lineRule="exact"/>
        <w:ind w:firstLine="240" w:firstLineChars="100"/>
        <w:jc w:val="left"/>
      </w:pPr>
      <w:r>
        <w:rPr>
          <w:rFonts w:ascii="宋体" w:hAnsi="宋体" w:eastAsia="宋体" w:cs="宋体"/>
          <w:color w:val="000000"/>
          <w:sz w:val="24"/>
        </w:rPr>
        <w:t> ⑤寝室门、防盗门有污渍；</w:t>
      </w:r>
    </w:p>
    <w:p w14:paraId="57F29B6A">
      <w:pPr>
        <w:wordWrap w:val="0"/>
        <w:spacing w:line="360" w:lineRule="exact"/>
        <w:ind w:firstLine="240" w:firstLineChars="100"/>
        <w:jc w:val="left"/>
      </w:pPr>
      <w:r>
        <w:rPr>
          <w:rFonts w:ascii="宋体" w:hAnsi="宋体" w:eastAsia="宋体" w:cs="宋体"/>
          <w:color w:val="000000"/>
          <w:sz w:val="24"/>
        </w:rPr>
        <w:t> ⑥玻璃、门头及窗户有灰尘；</w:t>
      </w:r>
    </w:p>
    <w:p w14:paraId="114126EC">
      <w:pPr>
        <w:wordWrap w:val="0"/>
        <w:spacing w:line="360" w:lineRule="exact"/>
        <w:ind w:firstLine="240" w:firstLineChars="100"/>
        <w:jc w:val="left"/>
      </w:pPr>
      <w:r>
        <w:rPr>
          <w:rFonts w:ascii="宋体" w:hAnsi="宋体" w:eastAsia="宋体" w:cs="宋体"/>
          <w:color w:val="000000"/>
          <w:sz w:val="24"/>
        </w:rPr>
        <w:t> ⑦盥洗室水池脏或地面有积水、垃圾；</w:t>
      </w:r>
    </w:p>
    <w:p w14:paraId="0B7EF76A">
      <w:pPr>
        <w:wordWrap w:val="0"/>
        <w:spacing w:line="360" w:lineRule="exact"/>
        <w:ind w:firstLine="240" w:firstLineChars="100"/>
        <w:jc w:val="left"/>
      </w:pPr>
      <w:r>
        <w:rPr>
          <w:rFonts w:ascii="宋体" w:hAnsi="宋体" w:eastAsia="宋体" w:cs="宋体"/>
          <w:color w:val="000000"/>
          <w:sz w:val="24"/>
        </w:rPr>
        <w:t> ⑧厕所未冲洗或地面有垃圾。</w:t>
      </w:r>
    </w:p>
    <w:p w14:paraId="20E66285">
      <w:pPr>
        <w:wordWrap w:val="0"/>
        <w:spacing w:line="360" w:lineRule="exact"/>
        <w:ind w:firstLine="240" w:firstLineChars="100"/>
        <w:jc w:val="left"/>
      </w:pPr>
      <w:r>
        <w:rPr>
          <w:rFonts w:ascii="宋体" w:hAnsi="宋体" w:eastAsia="宋体" w:cs="宋体"/>
          <w:color w:val="000000"/>
          <w:sz w:val="24"/>
        </w:rPr>
        <w:t> （2）个人卫生</w:t>
      </w:r>
    </w:p>
    <w:p w14:paraId="415E46F5">
      <w:pPr>
        <w:wordWrap w:val="0"/>
        <w:spacing w:line="360" w:lineRule="exact"/>
        <w:ind w:firstLine="240" w:firstLineChars="100"/>
        <w:jc w:val="left"/>
      </w:pPr>
      <w:r>
        <w:rPr>
          <w:rFonts w:ascii="宋体" w:hAnsi="宋体" w:eastAsia="宋体" w:cs="宋体"/>
          <w:color w:val="000000"/>
          <w:sz w:val="24"/>
        </w:rPr>
        <w:t> ①起床以后，被子未叠每次扣10分；</w:t>
      </w:r>
    </w:p>
    <w:p w14:paraId="58D4F926">
      <w:pPr>
        <w:wordWrap w:val="0"/>
        <w:spacing w:line="360" w:lineRule="exact"/>
        <w:ind w:firstLine="240" w:firstLineChars="100"/>
        <w:jc w:val="left"/>
      </w:pPr>
      <w:r>
        <w:rPr>
          <w:rFonts w:ascii="宋体" w:hAnsi="宋体" w:eastAsia="宋体" w:cs="宋体"/>
          <w:color w:val="000000"/>
          <w:sz w:val="24"/>
        </w:rPr>
        <w:t> ②床上物品摆放不整齐每次扣5分；</w:t>
      </w:r>
    </w:p>
    <w:p w14:paraId="7D66FFF7">
      <w:pPr>
        <w:wordWrap w:val="0"/>
        <w:spacing w:line="360" w:lineRule="exact"/>
        <w:ind w:firstLine="240" w:firstLineChars="100"/>
        <w:jc w:val="left"/>
      </w:pPr>
      <w:r>
        <w:rPr>
          <w:rFonts w:ascii="宋体" w:hAnsi="宋体" w:eastAsia="宋体" w:cs="宋体"/>
          <w:color w:val="000000"/>
          <w:sz w:val="24"/>
        </w:rPr>
        <w:t> ③床架周围乱挂衣物每次扣5分；</w:t>
      </w:r>
    </w:p>
    <w:p w14:paraId="7376ACC6">
      <w:pPr>
        <w:wordWrap w:val="0"/>
        <w:spacing w:line="360" w:lineRule="exact"/>
        <w:ind w:firstLine="240" w:firstLineChars="100"/>
        <w:jc w:val="left"/>
      </w:pPr>
      <w:r>
        <w:rPr>
          <w:rFonts w:ascii="宋体" w:hAnsi="宋体" w:eastAsia="宋体" w:cs="宋体"/>
          <w:color w:val="000000"/>
          <w:sz w:val="24"/>
        </w:rPr>
        <w:t> ④床下鞋子摆放不整齐每次扣5分；</w:t>
      </w:r>
    </w:p>
    <w:p w14:paraId="2ACF267C">
      <w:pPr>
        <w:wordWrap w:val="0"/>
        <w:spacing w:line="360" w:lineRule="exact"/>
        <w:ind w:firstLine="240" w:firstLineChars="100"/>
        <w:jc w:val="left"/>
      </w:pPr>
      <w:r>
        <w:rPr>
          <w:rFonts w:ascii="宋体" w:hAnsi="宋体" w:eastAsia="宋体" w:cs="宋体"/>
          <w:color w:val="000000"/>
          <w:sz w:val="24"/>
        </w:rPr>
        <w:t> ⑤小室内个人垃圾篓乱放每次扣5分；</w:t>
      </w:r>
    </w:p>
    <w:p w14:paraId="680434F1">
      <w:pPr>
        <w:wordWrap w:val="0"/>
        <w:spacing w:line="360" w:lineRule="exact"/>
        <w:ind w:firstLine="240" w:firstLineChars="100"/>
        <w:jc w:val="left"/>
      </w:pPr>
      <w:r>
        <w:rPr>
          <w:rFonts w:ascii="宋体" w:hAnsi="宋体" w:eastAsia="宋体" w:cs="宋体"/>
          <w:color w:val="000000"/>
          <w:sz w:val="24"/>
        </w:rPr>
        <w:t> ⑥个人书架、放物架和桌子上物品摆放零乱不整齐，每次扣5分；</w:t>
      </w:r>
    </w:p>
    <w:p w14:paraId="046FEFD9">
      <w:pPr>
        <w:wordWrap w:val="0"/>
        <w:spacing w:line="360" w:lineRule="exact"/>
        <w:ind w:firstLine="240" w:firstLineChars="100"/>
        <w:jc w:val="left"/>
      </w:pPr>
      <w:r>
        <w:rPr>
          <w:rFonts w:ascii="宋体" w:hAnsi="宋体" w:eastAsia="宋体" w:cs="宋体"/>
          <w:color w:val="000000"/>
          <w:sz w:val="24"/>
        </w:rPr>
        <w:t> ⑦随地吐痰，每次扣5分；</w:t>
      </w:r>
    </w:p>
    <w:p w14:paraId="555119B1">
      <w:pPr>
        <w:wordWrap w:val="0"/>
        <w:spacing w:line="360" w:lineRule="exact"/>
        <w:ind w:firstLine="240" w:firstLineChars="100"/>
        <w:jc w:val="left"/>
      </w:pPr>
      <w:r>
        <w:rPr>
          <w:rFonts w:ascii="宋体" w:hAnsi="宋体" w:eastAsia="宋体" w:cs="宋体"/>
          <w:color w:val="000000"/>
          <w:sz w:val="24"/>
        </w:rPr>
        <w:t> ⑧电话、电脑、卫生洁具及其他物品未按要求摆放，每次每项扣5分；</w:t>
      </w:r>
    </w:p>
    <w:p w14:paraId="23538E8B">
      <w:pPr>
        <w:wordWrap w:val="0"/>
        <w:spacing w:line="360" w:lineRule="exact"/>
        <w:ind w:firstLine="240" w:firstLineChars="100"/>
        <w:jc w:val="left"/>
      </w:pPr>
      <w:r>
        <w:rPr>
          <w:rFonts w:ascii="宋体" w:hAnsi="宋体" w:eastAsia="宋体" w:cs="宋体"/>
          <w:color w:val="000000"/>
          <w:sz w:val="24"/>
        </w:rPr>
        <w:t> ⑨向公共楼道、公寓外乱扔垃圾，每次扣10分；</w:t>
      </w:r>
    </w:p>
    <w:p w14:paraId="57902BE8">
      <w:pPr>
        <w:wordWrap w:val="0"/>
        <w:spacing w:line="360" w:lineRule="exact"/>
        <w:ind w:firstLine="240" w:firstLineChars="100"/>
        <w:jc w:val="left"/>
      </w:pPr>
      <w:r>
        <w:rPr>
          <w:rFonts w:ascii="宋体" w:hAnsi="宋体" w:eastAsia="宋体" w:cs="宋体"/>
          <w:color w:val="000000"/>
          <w:sz w:val="24"/>
        </w:rPr>
        <w:t> ⑩向下水道、水池乱扔果皮等异物，造成管道排水不畅或堵塞，每次扣10分；责任不明，所在寝室成员每人每次扣5分；</w:t>
      </w:r>
    </w:p>
    <w:p w14:paraId="50F15313">
      <w:pPr>
        <w:wordWrap w:val="0"/>
        <w:spacing w:line="360" w:lineRule="exact"/>
        <w:ind w:firstLine="240" w:firstLineChars="100"/>
        <w:jc w:val="left"/>
      </w:pPr>
      <w:r>
        <w:rPr>
          <w:rFonts w:ascii="宋体" w:hAnsi="宋体" w:eastAsia="宋体" w:cs="宋体"/>
          <w:color w:val="000000"/>
          <w:sz w:val="24"/>
        </w:rPr>
        <w:t> 2．个人行为</w:t>
      </w:r>
    </w:p>
    <w:p w14:paraId="550CDA0A">
      <w:pPr>
        <w:wordWrap w:val="0"/>
        <w:spacing w:line="360" w:lineRule="exact"/>
        <w:ind w:firstLine="240" w:firstLineChars="100"/>
        <w:jc w:val="left"/>
      </w:pPr>
      <w:r>
        <w:rPr>
          <w:rFonts w:ascii="宋体" w:hAnsi="宋体" w:eastAsia="宋体" w:cs="宋体"/>
          <w:color w:val="000000"/>
          <w:sz w:val="24"/>
        </w:rPr>
        <w:t> （1）私自调换寝室房间或床位，每次扣30分；</w:t>
      </w:r>
    </w:p>
    <w:p w14:paraId="69159F2D">
      <w:pPr>
        <w:wordWrap w:val="0"/>
        <w:spacing w:line="360" w:lineRule="exact"/>
        <w:ind w:firstLine="240" w:firstLineChars="100"/>
        <w:jc w:val="left"/>
      </w:pPr>
      <w:r>
        <w:rPr>
          <w:rFonts w:ascii="宋体" w:hAnsi="宋体" w:eastAsia="宋体" w:cs="宋体"/>
          <w:color w:val="000000"/>
          <w:sz w:val="24"/>
        </w:rPr>
        <w:t> （2）私自调换、拆卸门锁，每次扣50分；</w:t>
      </w:r>
    </w:p>
    <w:p w14:paraId="7D88709D">
      <w:pPr>
        <w:wordWrap w:val="0"/>
        <w:spacing w:line="360" w:lineRule="exact"/>
        <w:ind w:firstLine="240" w:firstLineChars="100"/>
        <w:jc w:val="left"/>
      </w:pPr>
      <w:r>
        <w:rPr>
          <w:rFonts w:ascii="宋体" w:hAnsi="宋体" w:eastAsia="宋体" w:cs="宋体"/>
          <w:color w:val="000000"/>
          <w:sz w:val="24"/>
        </w:rPr>
        <w:t> （3）故意不挂床卡或床卡无照片者，每次扣10分；</w:t>
      </w:r>
    </w:p>
    <w:p w14:paraId="76552D1F">
      <w:pPr>
        <w:wordWrap w:val="0"/>
        <w:spacing w:line="360" w:lineRule="exact"/>
        <w:ind w:firstLine="240" w:firstLineChars="100"/>
        <w:jc w:val="left"/>
      </w:pPr>
      <w:r>
        <w:rPr>
          <w:rFonts w:ascii="宋体" w:hAnsi="宋体" w:eastAsia="宋体" w:cs="宋体"/>
          <w:color w:val="000000"/>
          <w:sz w:val="24"/>
        </w:rPr>
        <w:t> （4）擅带异性入寝室，每次扣50分；擅自留客住宿每次扣50分；</w:t>
      </w:r>
    </w:p>
    <w:p w14:paraId="3CB0E24B">
      <w:pPr>
        <w:wordWrap w:val="0"/>
        <w:spacing w:line="360" w:lineRule="exact"/>
        <w:ind w:firstLine="240" w:firstLineChars="100"/>
        <w:jc w:val="left"/>
      </w:pPr>
      <w:r>
        <w:rPr>
          <w:rFonts w:ascii="宋体" w:hAnsi="宋体" w:eastAsia="宋体" w:cs="宋体"/>
          <w:color w:val="000000"/>
          <w:sz w:val="24"/>
        </w:rPr>
        <w:t> （5）乱拉电线、私自安装插座和灯头，每次扣20分；责任不明确，所在寝室成员每人每次扣10分；</w:t>
      </w:r>
    </w:p>
    <w:p w14:paraId="68E61D9A">
      <w:pPr>
        <w:wordWrap w:val="0"/>
        <w:spacing w:line="360" w:lineRule="exact"/>
        <w:ind w:firstLine="240" w:firstLineChars="100"/>
        <w:jc w:val="left"/>
      </w:pPr>
      <w:r>
        <w:rPr>
          <w:rFonts w:ascii="宋体" w:hAnsi="宋体" w:eastAsia="宋体" w:cs="宋体"/>
          <w:color w:val="000000"/>
          <w:sz w:val="24"/>
        </w:rPr>
        <w:t> （6）在公寓楼内焚烧纸张杂物，每次扣30分；</w:t>
      </w:r>
    </w:p>
    <w:p w14:paraId="5F0A8C4A">
      <w:pPr>
        <w:wordWrap w:val="0"/>
        <w:spacing w:line="360" w:lineRule="exact"/>
        <w:ind w:firstLine="240" w:firstLineChars="100"/>
        <w:jc w:val="left"/>
      </w:pPr>
      <w:r>
        <w:rPr>
          <w:rFonts w:ascii="宋体" w:hAnsi="宋体" w:eastAsia="宋体" w:cs="宋体"/>
          <w:color w:val="000000"/>
          <w:sz w:val="24"/>
        </w:rPr>
        <w:t> （7）在公寓楼内用煤油炉、酒精炉、电饭锅等自炊，每次扣50分；责任不明确，所在寝室成员每人扣20分；</w:t>
      </w:r>
    </w:p>
    <w:p w14:paraId="32B4C993">
      <w:pPr>
        <w:wordWrap w:val="0"/>
        <w:spacing w:line="360" w:lineRule="exact"/>
        <w:ind w:firstLine="240" w:firstLineChars="100"/>
        <w:jc w:val="left"/>
      </w:pPr>
      <w:r>
        <w:rPr>
          <w:rFonts w:ascii="宋体" w:hAnsi="宋体" w:eastAsia="宋体" w:cs="宋体"/>
          <w:color w:val="000000"/>
          <w:sz w:val="24"/>
        </w:rPr>
        <w:t> （8）带饭、菜、酒等入宿舍，每次扣10分；</w:t>
      </w:r>
    </w:p>
    <w:p w14:paraId="5CA5EC4F">
      <w:pPr>
        <w:wordWrap w:val="0"/>
        <w:spacing w:line="360" w:lineRule="exact"/>
        <w:ind w:firstLine="240" w:firstLineChars="100"/>
        <w:jc w:val="left"/>
      </w:pPr>
      <w:r>
        <w:rPr>
          <w:rFonts w:ascii="宋体" w:hAnsi="宋体" w:eastAsia="宋体" w:cs="宋体"/>
          <w:color w:val="000000"/>
          <w:sz w:val="24"/>
        </w:rPr>
        <w:t> （9）在公寓内乱涂乱画、乱张贴，每次扣20分，责任不明，所在寝室成员每人扣5分；</w:t>
      </w:r>
    </w:p>
    <w:p w14:paraId="64677FB8">
      <w:pPr>
        <w:wordWrap w:val="0"/>
        <w:spacing w:line="360" w:lineRule="exact"/>
        <w:ind w:firstLine="240" w:firstLineChars="100"/>
        <w:jc w:val="left"/>
      </w:pPr>
      <w:r>
        <w:rPr>
          <w:rFonts w:ascii="宋体" w:hAnsi="宋体" w:eastAsia="宋体" w:cs="宋体"/>
          <w:color w:val="000000"/>
          <w:sz w:val="24"/>
        </w:rPr>
        <w:t> （10）酗酒、赌博、打架每次扣50分；</w:t>
      </w:r>
    </w:p>
    <w:p w14:paraId="719B9AB2">
      <w:pPr>
        <w:wordWrap w:val="0"/>
        <w:spacing w:line="360" w:lineRule="exact"/>
        <w:ind w:firstLine="240" w:firstLineChars="100"/>
        <w:jc w:val="left"/>
      </w:pPr>
      <w:r>
        <w:rPr>
          <w:rFonts w:ascii="宋体" w:hAnsi="宋体" w:eastAsia="宋体" w:cs="宋体"/>
          <w:color w:val="000000"/>
          <w:sz w:val="24"/>
        </w:rPr>
        <w:t> （11）在寝室内抽烟、乱扔烟头每次扣20分；责任不明，所在寝室成员每人扣5分；</w:t>
      </w:r>
    </w:p>
    <w:p w14:paraId="798A8B3B">
      <w:pPr>
        <w:wordWrap w:val="0"/>
        <w:spacing w:line="360" w:lineRule="exact"/>
        <w:ind w:firstLine="240" w:firstLineChars="100"/>
        <w:jc w:val="left"/>
      </w:pPr>
      <w:r>
        <w:rPr>
          <w:rFonts w:ascii="宋体" w:hAnsi="宋体" w:eastAsia="宋体" w:cs="宋体"/>
          <w:color w:val="000000"/>
          <w:sz w:val="24"/>
        </w:rPr>
        <w:t> （12）不按管理站要求摆放篮球、足球、排球等，每次扣5分；</w:t>
      </w:r>
    </w:p>
    <w:p w14:paraId="530C5E47">
      <w:pPr>
        <w:wordWrap w:val="0"/>
        <w:spacing w:line="360" w:lineRule="exact"/>
        <w:ind w:firstLine="240" w:firstLineChars="100"/>
        <w:jc w:val="left"/>
      </w:pPr>
      <w:r>
        <w:rPr>
          <w:rFonts w:ascii="宋体" w:hAnsi="宋体" w:eastAsia="宋体" w:cs="宋体"/>
          <w:color w:val="000000"/>
          <w:sz w:val="24"/>
        </w:rPr>
        <w:t> （13）在规定的休息时间喧哗吵闹，影响他人休息，每次扣10分；在公寓内不得打麻将，违反者每次扣30分；</w:t>
      </w:r>
    </w:p>
    <w:p w14:paraId="1C89AFC6">
      <w:pPr>
        <w:wordWrap w:val="0"/>
        <w:spacing w:line="360" w:lineRule="exact"/>
        <w:ind w:firstLine="240" w:firstLineChars="100"/>
        <w:jc w:val="left"/>
      </w:pPr>
      <w:r>
        <w:rPr>
          <w:rFonts w:ascii="宋体" w:hAnsi="宋体" w:eastAsia="宋体" w:cs="宋体"/>
          <w:color w:val="000000"/>
          <w:sz w:val="24"/>
        </w:rPr>
        <w:t> （14）不按时归宿要登记，学生不出示证件、不登记或登记虚假信息，一经查出，每次扣30分；翻越公寓栏杆，每人每次扣50分；</w:t>
      </w:r>
    </w:p>
    <w:p w14:paraId="6928FA92">
      <w:pPr>
        <w:wordWrap w:val="0"/>
        <w:spacing w:line="360" w:lineRule="exact"/>
        <w:ind w:firstLine="240" w:firstLineChars="100"/>
        <w:jc w:val="left"/>
      </w:pPr>
      <w:r>
        <w:rPr>
          <w:rFonts w:ascii="宋体" w:hAnsi="宋体" w:eastAsia="宋体" w:cs="宋体"/>
          <w:color w:val="000000"/>
          <w:sz w:val="24"/>
        </w:rPr>
        <w:t> （15）擅自夜不归宿者，每次扣100分；对冒名顶替者，每次扣100分；</w:t>
      </w:r>
    </w:p>
    <w:p w14:paraId="6421A35B">
      <w:pPr>
        <w:wordWrap w:val="0"/>
        <w:spacing w:line="360" w:lineRule="exact"/>
        <w:ind w:firstLine="240" w:firstLineChars="100"/>
        <w:jc w:val="left"/>
      </w:pPr>
      <w:r>
        <w:rPr>
          <w:rFonts w:ascii="宋体" w:hAnsi="宋体" w:eastAsia="宋体" w:cs="宋体"/>
          <w:color w:val="000000"/>
          <w:sz w:val="24"/>
        </w:rPr>
        <w:t> （16）行为不礼貌、不文明或说粗话、脏话、不服从管理人员和执行工作的学生干部的劝告而无理取闹，妨碍正常工作，每次扣20—50分；</w:t>
      </w:r>
    </w:p>
    <w:p w14:paraId="7984BE9C">
      <w:pPr>
        <w:wordWrap w:val="0"/>
        <w:spacing w:line="360" w:lineRule="exact"/>
        <w:ind w:firstLine="240" w:firstLineChars="100"/>
        <w:jc w:val="left"/>
      </w:pPr>
      <w:r>
        <w:rPr>
          <w:rFonts w:ascii="宋体" w:hAnsi="宋体" w:eastAsia="宋体" w:cs="宋体"/>
          <w:color w:val="000000"/>
          <w:sz w:val="24"/>
        </w:rPr>
        <w:t> （17）抛砸瓶子、杂物、起哄、闹事的，每人每次扣30分，责任不明确，所在寝室成员每人扣10分；</w:t>
      </w:r>
    </w:p>
    <w:p w14:paraId="74915DBB">
      <w:pPr>
        <w:wordWrap w:val="0"/>
        <w:spacing w:line="360" w:lineRule="exact"/>
        <w:ind w:firstLine="240" w:firstLineChars="100"/>
        <w:jc w:val="left"/>
      </w:pPr>
      <w:r>
        <w:rPr>
          <w:rFonts w:ascii="宋体" w:hAnsi="宋体" w:eastAsia="宋体" w:cs="宋体"/>
          <w:color w:val="000000"/>
          <w:sz w:val="24"/>
        </w:rPr>
        <w:t> （18）在寝室内使用电炉、电饭锅、热得快、电吹风、电热毯等违章电器，点蜡烛等明火的，每次扣50分。责任不明确，所在寝室成员每人扣20分；寝室无人在时，使用电器的插头不拔，每人每次扣10分；</w:t>
      </w:r>
    </w:p>
    <w:p w14:paraId="07C5C0E7">
      <w:pPr>
        <w:wordWrap w:val="0"/>
        <w:spacing w:line="360" w:lineRule="exact"/>
        <w:ind w:firstLine="240" w:firstLineChars="100"/>
        <w:jc w:val="left"/>
      </w:pPr>
      <w:r>
        <w:rPr>
          <w:rFonts w:ascii="宋体" w:hAnsi="宋体" w:eastAsia="宋体" w:cs="宋体"/>
          <w:color w:val="000000"/>
          <w:sz w:val="24"/>
        </w:rPr>
        <w:t> （19）在公寓内从事招工、招聘、电影包场、广告宣传等商业活动，每人每次扣30分；</w:t>
      </w:r>
    </w:p>
    <w:p w14:paraId="48861C09">
      <w:pPr>
        <w:wordWrap w:val="0"/>
        <w:spacing w:line="360" w:lineRule="exact"/>
        <w:ind w:firstLine="240" w:firstLineChars="100"/>
        <w:jc w:val="left"/>
      </w:pPr>
      <w:r>
        <w:rPr>
          <w:rFonts w:ascii="宋体" w:hAnsi="宋体" w:eastAsia="宋体" w:cs="宋体"/>
          <w:color w:val="000000"/>
          <w:sz w:val="24"/>
        </w:rPr>
        <w:t> （20）破坏公寓和寝室内公物、除依照有关规定赔偿外，视其情节轻重，每次扣20—80分；</w:t>
      </w:r>
    </w:p>
    <w:p w14:paraId="5BEE4EFF">
      <w:pPr>
        <w:wordWrap w:val="0"/>
        <w:spacing w:line="360" w:lineRule="exact"/>
        <w:ind w:firstLine="240" w:firstLineChars="100"/>
        <w:jc w:val="left"/>
      </w:pPr>
      <w:r>
        <w:rPr>
          <w:rFonts w:ascii="宋体" w:hAnsi="宋体" w:eastAsia="宋体" w:cs="宋体"/>
          <w:color w:val="000000"/>
          <w:sz w:val="24"/>
        </w:rPr>
        <w:t> （二）附加分计分细则</w:t>
      </w:r>
    </w:p>
    <w:p w14:paraId="605982A6">
      <w:pPr>
        <w:wordWrap w:val="0"/>
        <w:spacing w:line="360" w:lineRule="exact"/>
        <w:ind w:firstLine="240" w:firstLineChars="100"/>
        <w:jc w:val="left"/>
      </w:pPr>
      <w:r>
        <w:rPr>
          <w:rFonts w:ascii="宋体" w:hAnsi="宋体" w:eastAsia="宋体" w:cs="宋体"/>
          <w:color w:val="000000"/>
          <w:sz w:val="24"/>
        </w:rPr>
        <w:t> 1. 凡积极参加学院组织的各项公寓文化创建活动的寝室，经学生处认定和批准后，寝室所有成员均加5分；如为个人参加者，每人每次加10分。</w:t>
      </w:r>
    </w:p>
    <w:p w14:paraId="64F5F75D">
      <w:pPr>
        <w:wordWrap w:val="0"/>
        <w:spacing w:line="360" w:lineRule="exact"/>
        <w:ind w:firstLine="240" w:firstLineChars="100"/>
        <w:jc w:val="left"/>
      </w:pPr>
      <w:r>
        <w:rPr>
          <w:rFonts w:ascii="宋体" w:hAnsi="宋体" w:eastAsia="宋体" w:cs="宋体"/>
          <w:color w:val="000000"/>
          <w:sz w:val="24"/>
        </w:rPr>
        <w:t> 2．凡积极参加公寓组织的各项文化创建活动的寝室，寝室所有成员均加5分；如为个人参加者，每人每次加10分。</w:t>
      </w:r>
    </w:p>
    <w:p w14:paraId="4B1F9B8D">
      <w:pPr>
        <w:wordWrap w:val="0"/>
        <w:spacing w:line="360" w:lineRule="exact"/>
        <w:ind w:firstLine="240" w:firstLineChars="100"/>
        <w:jc w:val="left"/>
      </w:pPr>
      <w:r>
        <w:rPr>
          <w:rFonts w:ascii="宋体" w:hAnsi="宋体" w:eastAsia="宋体" w:cs="宋体"/>
          <w:color w:val="000000"/>
          <w:sz w:val="24"/>
        </w:rPr>
        <w:t> 3．凡在公寓组织的各项文化创建活动中，荣获参与奖（或鼓励奖）的寝室，寝室所有成员每人每次加10分；如为个人项目，则获奖个人单独加15分。</w:t>
      </w:r>
    </w:p>
    <w:p w14:paraId="169F583A">
      <w:pPr>
        <w:wordWrap w:val="0"/>
        <w:spacing w:line="360" w:lineRule="exact"/>
        <w:ind w:firstLine="240" w:firstLineChars="100"/>
        <w:jc w:val="left"/>
      </w:pPr>
      <w:r>
        <w:rPr>
          <w:rFonts w:ascii="宋体" w:hAnsi="宋体" w:eastAsia="宋体" w:cs="宋体"/>
          <w:color w:val="000000"/>
          <w:sz w:val="24"/>
        </w:rPr>
        <w:t> 4．凡在公寓组织的各项文化创建活动中，荣奖三等奖的寝室，寝室内所有成员每人每次加15分；如为个人项目，则获奖个人单独加20分。</w:t>
      </w:r>
    </w:p>
    <w:p w14:paraId="7A08610A">
      <w:pPr>
        <w:wordWrap w:val="0"/>
        <w:spacing w:line="360" w:lineRule="exact"/>
        <w:ind w:firstLine="240" w:firstLineChars="100"/>
        <w:jc w:val="left"/>
      </w:pPr>
      <w:r>
        <w:rPr>
          <w:rFonts w:ascii="宋体" w:hAnsi="宋体" w:eastAsia="宋体" w:cs="宋体"/>
          <w:color w:val="000000"/>
          <w:sz w:val="24"/>
        </w:rPr>
        <w:t> 5．凡在公寓组织的各项文化创建活动中，荣获二等奖的寝室，寝室内所有成员每人每次加20分；如为个人项目，则获奖个人单独加30分。</w:t>
      </w:r>
    </w:p>
    <w:p w14:paraId="2E7FB0C6">
      <w:pPr>
        <w:wordWrap w:val="0"/>
        <w:spacing w:line="360" w:lineRule="exact"/>
        <w:ind w:firstLine="240" w:firstLineChars="100"/>
        <w:jc w:val="left"/>
      </w:pPr>
      <w:r>
        <w:rPr>
          <w:rFonts w:ascii="宋体" w:hAnsi="宋体" w:eastAsia="宋体" w:cs="宋体"/>
          <w:color w:val="000000"/>
          <w:sz w:val="24"/>
        </w:rPr>
        <w:t> 6．凡在公寓组织的各项文化创建活动中，荣获一等奖的寝室，寝室内所有成员每人每次加25分；如为个人项目，则获奖个人单独加40分。举办个人书画等方面展出加40分。</w:t>
      </w:r>
    </w:p>
    <w:p w14:paraId="73AD6462">
      <w:pPr>
        <w:wordWrap w:val="0"/>
        <w:spacing w:line="360" w:lineRule="exact"/>
        <w:ind w:firstLine="240" w:firstLineChars="100"/>
        <w:jc w:val="left"/>
      </w:pPr>
      <w:r>
        <w:rPr>
          <w:rFonts w:ascii="宋体" w:hAnsi="宋体" w:eastAsia="宋体" w:cs="宋体"/>
          <w:color w:val="000000"/>
          <w:sz w:val="24"/>
        </w:rPr>
        <w:t> 7．组织活动的宿管会成员，每人每次加10分。</w:t>
      </w:r>
    </w:p>
    <w:p w14:paraId="5DF0F63E">
      <w:pPr>
        <w:wordWrap w:val="0"/>
        <w:spacing w:line="360" w:lineRule="exact"/>
        <w:ind w:firstLine="240" w:firstLineChars="100"/>
        <w:jc w:val="left"/>
      </w:pPr>
      <w:r>
        <w:rPr>
          <w:rFonts w:ascii="宋体" w:hAnsi="宋体" w:eastAsia="宋体" w:cs="宋体"/>
          <w:color w:val="000000"/>
          <w:sz w:val="24"/>
        </w:rPr>
        <w:t> 8．每学期室长以上的学生社区干部，按人数的30%进行评比，工作积极、表现突出的学生干部每学期给予一次性加20-30分。</w:t>
      </w:r>
    </w:p>
    <w:p w14:paraId="00237F12">
      <w:pPr>
        <w:wordWrap w:val="0"/>
        <w:spacing w:line="360" w:lineRule="exact"/>
        <w:ind w:firstLine="240" w:firstLineChars="100"/>
        <w:jc w:val="left"/>
      </w:pPr>
      <w:r>
        <w:rPr>
          <w:rFonts w:ascii="宋体" w:hAnsi="宋体" w:eastAsia="宋体" w:cs="宋体"/>
          <w:color w:val="000000"/>
          <w:sz w:val="24"/>
        </w:rPr>
        <w:t> 9．对具有拾金不味、见义勇为等高尚行为的学生，视情节给予10—100分加分。</w:t>
      </w:r>
    </w:p>
    <w:p w14:paraId="6CCE8125">
      <w:pPr>
        <w:wordWrap w:val="0"/>
        <w:spacing w:line="360" w:lineRule="exact"/>
        <w:ind w:firstLine="240" w:firstLineChars="100"/>
        <w:jc w:val="left"/>
      </w:pPr>
      <w:r>
        <w:rPr>
          <w:rFonts w:ascii="宋体" w:hAnsi="宋体" w:eastAsia="宋体" w:cs="宋体"/>
          <w:color w:val="000000"/>
          <w:sz w:val="24"/>
        </w:rPr>
        <w:t> 10．对发现违纪行为能及时汇报的学生，经确认后加10—50分。</w:t>
      </w:r>
    </w:p>
    <w:p w14:paraId="493D5DB5">
      <w:pPr>
        <w:wordWrap w:val="0"/>
        <w:spacing w:line="360" w:lineRule="exact"/>
        <w:ind w:firstLine="240" w:firstLineChars="100"/>
        <w:jc w:val="left"/>
      </w:pPr>
      <w:r>
        <w:rPr>
          <w:rFonts w:ascii="宋体" w:hAnsi="宋体" w:eastAsia="宋体" w:cs="宋体"/>
          <w:color w:val="000000"/>
          <w:sz w:val="24"/>
        </w:rPr>
        <w:t> 11．协助管理站查房，每人每次加5分；协助管理站出谋划策的学生，一经采用每人每次加10分；协助管理站美化布置的学生，每人每次加5分；协助学生公寓检查考核的学生，每人每次加5分。</w:t>
      </w:r>
    </w:p>
    <w:p w14:paraId="5240B4F5">
      <w:pPr>
        <w:wordWrap w:val="0"/>
        <w:spacing w:line="360" w:lineRule="exact"/>
        <w:ind w:firstLine="240" w:firstLineChars="100"/>
        <w:jc w:val="left"/>
      </w:pPr>
      <w:r>
        <w:rPr>
          <w:rFonts w:ascii="宋体" w:hAnsi="宋体" w:eastAsia="宋体" w:cs="宋体"/>
          <w:color w:val="000000"/>
          <w:sz w:val="24"/>
        </w:rPr>
        <w:t> 12．其他经学生处认定和批准的加分。</w:t>
      </w:r>
    </w:p>
    <w:p w14:paraId="176AEA6E">
      <w:pPr>
        <w:wordWrap w:val="0"/>
        <w:spacing w:line="360" w:lineRule="exact"/>
        <w:ind w:firstLine="240" w:firstLineChars="100"/>
        <w:jc w:val="left"/>
      </w:pPr>
      <w:r>
        <w:rPr>
          <w:rFonts w:ascii="宋体" w:hAnsi="宋体" w:eastAsia="宋体" w:cs="宋体"/>
          <w:color w:val="000000"/>
          <w:sz w:val="24"/>
        </w:rPr>
        <w:t> 二、计分方法</w:t>
      </w:r>
    </w:p>
    <w:p w14:paraId="7BB0461D">
      <w:pPr>
        <w:wordWrap w:val="0"/>
        <w:spacing w:line="360" w:lineRule="exact"/>
        <w:ind w:firstLine="240" w:firstLineChars="100"/>
        <w:jc w:val="left"/>
      </w:pPr>
      <w:r>
        <w:rPr>
          <w:rFonts w:ascii="宋体" w:hAnsi="宋体" w:eastAsia="宋体" w:cs="宋体"/>
          <w:color w:val="000000"/>
          <w:sz w:val="24"/>
        </w:rPr>
        <w:t> 按照计分细则，每学期考核的个人卫生和个人行为的扣分及附加分累计到个人，采取扣、加分的方法，统计学期内总分。本着公平、公正、客观的原则，各管理站对扣分、加分情况予以定期公示。凡加分的活动项目和计分标准，各管理站拟定计划并报学生处审批，同时将加分结果报学生处备案。</w:t>
      </w:r>
    </w:p>
    <w:p w14:paraId="347EC3AB">
      <w:pPr>
        <w:wordWrap w:val="0"/>
        <w:spacing w:line="360" w:lineRule="exact"/>
        <w:ind w:firstLine="240" w:firstLineChars="100"/>
        <w:jc w:val="left"/>
      </w:pPr>
      <w:r>
        <w:rPr>
          <w:rFonts w:ascii="宋体" w:hAnsi="宋体" w:eastAsia="宋体" w:cs="宋体"/>
          <w:color w:val="000000"/>
          <w:sz w:val="24"/>
        </w:rPr>
        <w:t> 三、计分依据</w:t>
      </w:r>
    </w:p>
    <w:p w14:paraId="7E2537C8">
      <w:pPr>
        <w:wordWrap w:val="0"/>
        <w:spacing w:line="360" w:lineRule="exact"/>
        <w:ind w:firstLine="240" w:firstLineChars="100"/>
        <w:jc w:val="left"/>
      </w:pPr>
      <w:r>
        <w:rPr>
          <w:rFonts w:ascii="宋体" w:hAnsi="宋体" w:eastAsia="宋体" w:cs="宋体"/>
          <w:color w:val="000000"/>
          <w:sz w:val="24"/>
        </w:rPr>
        <w:t> （一）管理站日常检查记录；</w:t>
      </w:r>
    </w:p>
    <w:p w14:paraId="74D9EA7D">
      <w:pPr>
        <w:wordWrap w:val="0"/>
        <w:spacing w:line="360" w:lineRule="exact"/>
        <w:ind w:firstLine="240" w:firstLineChars="100"/>
        <w:jc w:val="left"/>
      </w:pPr>
      <w:r>
        <w:rPr>
          <w:rFonts w:ascii="宋体" w:hAnsi="宋体" w:eastAsia="宋体" w:cs="宋体"/>
          <w:color w:val="000000"/>
          <w:sz w:val="24"/>
        </w:rPr>
        <w:t> （二）管理站日常工作记录；</w:t>
      </w:r>
    </w:p>
    <w:p w14:paraId="6705C0E8">
      <w:pPr>
        <w:wordWrap w:val="0"/>
        <w:spacing w:line="360" w:lineRule="exact"/>
        <w:ind w:firstLine="240" w:firstLineChars="100"/>
        <w:jc w:val="left"/>
      </w:pPr>
      <w:r>
        <w:rPr>
          <w:rFonts w:ascii="宋体" w:hAnsi="宋体" w:eastAsia="宋体" w:cs="宋体"/>
          <w:color w:val="000000"/>
          <w:sz w:val="24"/>
        </w:rPr>
        <w:t> （三）管理站文化活动记录；</w:t>
      </w:r>
    </w:p>
    <w:p w14:paraId="62C67C17">
      <w:pPr>
        <w:wordWrap w:val="0"/>
        <w:spacing w:line="360" w:lineRule="exact"/>
        <w:ind w:firstLine="240" w:firstLineChars="100"/>
        <w:jc w:val="left"/>
      </w:pPr>
      <w:r>
        <w:rPr>
          <w:rFonts w:ascii="宋体" w:hAnsi="宋体" w:eastAsia="宋体" w:cs="宋体"/>
          <w:color w:val="000000"/>
          <w:sz w:val="24"/>
        </w:rPr>
        <w:t> （四）各学院日常抽查记录；</w:t>
      </w:r>
    </w:p>
    <w:p w14:paraId="73936933">
      <w:pPr>
        <w:wordWrap w:val="0"/>
        <w:spacing w:line="360" w:lineRule="exact"/>
        <w:ind w:firstLine="240" w:firstLineChars="100"/>
        <w:jc w:val="left"/>
      </w:pPr>
      <w:r>
        <w:rPr>
          <w:rFonts w:ascii="宋体" w:hAnsi="宋体" w:eastAsia="宋体" w:cs="宋体"/>
          <w:color w:val="000000"/>
          <w:sz w:val="24"/>
        </w:rPr>
        <w:t> （五）学生处日常抽查记录；</w:t>
      </w:r>
    </w:p>
    <w:p w14:paraId="7937CA7A">
      <w:pPr>
        <w:wordWrap w:val="0"/>
        <w:spacing w:line="360" w:lineRule="exact"/>
        <w:ind w:firstLine="240" w:firstLineChars="100"/>
        <w:jc w:val="left"/>
      </w:pPr>
      <w:r>
        <w:rPr>
          <w:rFonts w:ascii="宋体" w:hAnsi="宋体" w:eastAsia="宋体" w:cs="宋体"/>
          <w:color w:val="000000"/>
          <w:sz w:val="24"/>
        </w:rPr>
        <w:t> （六）校宿舍管理委员会文化活动记录。</w:t>
      </w:r>
    </w:p>
    <w:p w14:paraId="6C5F9B62">
      <w:pPr>
        <w:wordWrap w:val="0"/>
        <w:spacing w:line="360" w:lineRule="exact"/>
        <w:ind w:firstLine="240" w:firstLineChars="100"/>
        <w:jc w:val="left"/>
      </w:pPr>
      <w:r>
        <w:rPr>
          <w:rFonts w:ascii="宋体" w:hAnsi="宋体" w:eastAsia="宋体" w:cs="宋体"/>
          <w:color w:val="000000"/>
          <w:sz w:val="24"/>
        </w:rPr>
        <w:t> 四、评优标准</w:t>
      </w:r>
    </w:p>
    <w:p w14:paraId="2AD9028D">
      <w:pPr>
        <w:wordWrap w:val="0"/>
        <w:spacing w:line="360" w:lineRule="exact"/>
        <w:ind w:firstLine="240" w:firstLineChars="100"/>
        <w:jc w:val="left"/>
      </w:pPr>
      <w:r>
        <w:rPr>
          <w:rFonts w:ascii="宋体" w:hAnsi="宋体" w:eastAsia="宋体" w:cs="宋体"/>
          <w:color w:val="000000"/>
          <w:sz w:val="24"/>
        </w:rPr>
        <w:t> 为充分体现“自我管理、自我教育、自我服务”宗旨，每年9-10月份在学校开展一次“文明示范寝室”、“文明寝室”、“寝室文明标兵”、“寝室先进个人”评选活动。评选标准如下：</w:t>
      </w:r>
    </w:p>
    <w:p w14:paraId="6243B01D">
      <w:pPr>
        <w:wordWrap w:val="0"/>
        <w:spacing w:line="360" w:lineRule="exact"/>
        <w:ind w:firstLine="240" w:firstLineChars="100"/>
        <w:jc w:val="left"/>
      </w:pPr>
      <w:r>
        <w:rPr>
          <w:rFonts w:ascii="宋体" w:hAnsi="宋体" w:eastAsia="宋体" w:cs="宋体"/>
          <w:color w:val="000000"/>
          <w:sz w:val="24"/>
        </w:rPr>
        <w:t> （一）文明示范寝室：按管理站寝室基数的4%确定，基本要求为：寝室学年人均分为1100分以上，宿舍成员无课程重修；无通报批评或警告以上（含警告）纪律处分；无其他严重不良行为。</w:t>
      </w:r>
    </w:p>
    <w:p w14:paraId="59C84105">
      <w:pPr>
        <w:wordWrap w:val="0"/>
        <w:spacing w:line="360" w:lineRule="exact"/>
        <w:ind w:firstLine="240" w:firstLineChars="100"/>
        <w:jc w:val="left"/>
      </w:pPr>
      <w:r>
        <w:rPr>
          <w:rFonts w:ascii="宋体" w:hAnsi="宋体" w:eastAsia="宋体" w:cs="宋体"/>
          <w:color w:val="000000"/>
          <w:sz w:val="24"/>
        </w:rPr>
        <w:t> （二）文明寝室：按管理站寝室基数的30%确定，基本要求为：寝室学年人均分为1000分以上；宿舍成员无课程重修；无通报批评或警告以上（含警告）纪律处分；无其他严重不良行为。</w:t>
      </w:r>
    </w:p>
    <w:p w14:paraId="727339A6">
      <w:pPr>
        <w:wordWrap w:val="0"/>
        <w:spacing w:line="360" w:lineRule="exact"/>
        <w:ind w:firstLine="240" w:firstLineChars="100"/>
        <w:jc w:val="left"/>
      </w:pPr>
      <w:r>
        <w:rPr>
          <w:rFonts w:ascii="宋体" w:hAnsi="宋体" w:eastAsia="宋体" w:cs="宋体"/>
          <w:color w:val="000000"/>
          <w:sz w:val="24"/>
        </w:rPr>
        <w:t> （三）文明标兵：按管理站学生基数的1%确定，基本要求为：学年个人得分在1200分以上；无课程重修；无通报批评或警告以上（含警告）纪律处分；无其他严重不良行为。</w:t>
      </w:r>
    </w:p>
    <w:p w14:paraId="49779788">
      <w:pPr>
        <w:wordWrap w:val="0"/>
        <w:spacing w:line="360" w:lineRule="exact"/>
        <w:ind w:firstLine="240" w:firstLineChars="100"/>
        <w:jc w:val="left"/>
      </w:pPr>
      <w:r>
        <w:rPr>
          <w:rFonts w:ascii="宋体" w:hAnsi="宋体" w:eastAsia="宋体" w:cs="宋体"/>
          <w:color w:val="000000"/>
          <w:sz w:val="24"/>
        </w:rPr>
        <w:t> （四）先进个人：按管理站学生基数的5%确定，基本要求为：学年个人得分在1100分以上；无课程重修；无通报批评或警告以上（含警告）纪律处分；无其他严重不良行为。</w:t>
      </w:r>
    </w:p>
    <w:p w14:paraId="0BFD0A8F">
      <w:pPr>
        <w:wordWrap w:val="0"/>
        <w:spacing w:line="360" w:lineRule="exact"/>
        <w:ind w:firstLine="240" w:firstLineChars="100"/>
        <w:jc w:val="left"/>
      </w:pPr>
      <w:r>
        <w:rPr>
          <w:rFonts w:ascii="宋体" w:hAnsi="宋体" w:eastAsia="宋体" w:cs="宋体"/>
          <w:color w:val="000000"/>
          <w:sz w:val="24"/>
        </w:rPr>
        <w:t> 五、奖励办法</w:t>
      </w:r>
    </w:p>
    <w:p w14:paraId="058AD4BD">
      <w:pPr>
        <w:wordWrap w:val="0"/>
        <w:spacing w:line="360" w:lineRule="exact"/>
        <w:ind w:firstLine="240" w:firstLineChars="100"/>
        <w:jc w:val="left"/>
      </w:pPr>
      <w:r>
        <w:rPr>
          <w:rFonts w:ascii="宋体" w:hAnsi="宋体" w:eastAsia="宋体" w:cs="宋体"/>
          <w:color w:val="000000"/>
          <w:sz w:val="24"/>
        </w:rPr>
        <w:t> （一）学校对获得“文明示范寝室”、“文明寝室”的先进集体予以表彰，颁发奖状，并分别按照50元/人、15元/人的标准颁发奖品，以资鼓励。</w:t>
      </w:r>
    </w:p>
    <w:p w14:paraId="3A100065">
      <w:pPr>
        <w:wordWrap w:val="0"/>
        <w:spacing w:line="360" w:lineRule="exact"/>
        <w:ind w:firstLine="240" w:firstLineChars="100"/>
        <w:jc w:val="left"/>
      </w:pPr>
      <w:r>
        <w:rPr>
          <w:rFonts w:ascii="宋体" w:hAnsi="宋体" w:eastAsia="宋体" w:cs="宋体"/>
          <w:color w:val="000000"/>
          <w:sz w:val="24"/>
        </w:rPr>
        <w:t> （二）学校对获得“文明标兵”、“先进个人”的先进同学予以表彰，颁发荣誉证书，并分别按照100元/人、40元/人的标准颁发奖品，以资鼓励。</w:t>
      </w:r>
    </w:p>
    <w:p w14:paraId="12EC0334">
      <w:pPr>
        <w:wordWrap w:val="0"/>
        <w:spacing w:line="360" w:lineRule="exact"/>
        <w:ind w:firstLine="240" w:firstLineChars="100"/>
        <w:jc w:val="left"/>
      </w:pPr>
      <w:r>
        <w:rPr>
          <w:rFonts w:ascii="宋体" w:hAnsi="宋体" w:eastAsia="宋体" w:cs="宋体"/>
          <w:color w:val="000000"/>
          <w:sz w:val="24"/>
        </w:rPr>
        <w:t> （三）学生个人公寓目标管理分作为评定奖学金等奖项的重要依据之一。</w:t>
      </w:r>
    </w:p>
    <w:p w14:paraId="03439392">
      <w:pPr>
        <w:wordWrap w:val="0"/>
        <w:spacing w:line="360" w:lineRule="exact"/>
        <w:ind w:firstLine="240" w:firstLineChars="100"/>
        <w:jc w:val="left"/>
      </w:pPr>
      <w:r>
        <w:rPr>
          <w:rFonts w:ascii="宋体" w:hAnsi="宋体" w:eastAsia="宋体" w:cs="宋体"/>
          <w:color w:val="000000"/>
          <w:sz w:val="24"/>
        </w:rPr>
        <w:t> 六、处罚办法</w:t>
      </w:r>
    </w:p>
    <w:p w14:paraId="52810BEC">
      <w:pPr>
        <w:wordWrap w:val="0"/>
        <w:spacing w:line="360" w:lineRule="exact"/>
        <w:ind w:firstLine="240" w:firstLineChars="100"/>
        <w:jc w:val="left"/>
      </w:pPr>
      <w:r>
        <w:rPr>
          <w:rFonts w:ascii="宋体" w:hAnsi="宋体" w:eastAsia="宋体" w:cs="宋体"/>
          <w:color w:val="000000"/>
          <w:sz w:val="24"/>
        </w:rPr>
        <w:t> 一学期累计个人得分在350分以下或学年累计个人得分700分以下者，以及学期人均得分400分以下或学年人均得分800分以下的寝室，将责令其整改，同时给予全校通报批评，并通知其家长。</w:t>
      </w:r>
    </w:p>
    <w:p w14:paraId="3BB34C4E">
      <w:pPr>
        <w:wordWrap w:val="0"/>
        <w:spacing w:line="360" w:lineRule="exact"/>
        <w:ind w:firstLine="240" w:firstLineChars="100"/>
        <w:jc w:val="left"/>
      </w:pPr>
      <w:r>
        <w:rPr>
          <w:rFonts w:ascii="宋体" w:hAnsi="宋体" w:eastAsia="宋体" w:cs="宋体"/>
          <w:color w:val="000000"/>
          <w:sz w:val="24"/>
        </w:rPr>
        <w:t> 七、本办法自颁布之日起实施，凡以往规定与本办法相抵触的，以本办法为准。</w:t>
      </w:r>
    </w:p>
    <w:p w14:paraId="68832892">
      <w:pPr>
        <w:wordWrap w:val="0"/>
        <w:spacing w:line="360" w:lineRule="exact"/>
        <w:ind w:firstLine="240" w:firstLineChars="100"/>
        <w:jc w:val="left"/>
      </w:pPr>
      <w:r>
        <w:rPr>
          <w:rFonts w:ascii="宋体" w:hAnsi="宋体" w:eastAsia="宋体" w:cs="宋体"/>
          <w:color w:val="000000"/>
          <w:sz w:val="24"/>
        </w:rPr>
        <w:t> 八、本办法由学生处负责解释。</w:t>
      </w:r>
    </w:p>
    <w:p w14:paraId="0AB859E2">
      <w:pPr>
        <w:wordWrap w:val="0"/>
        <w:spacing w:line="360" w:lineRule="exact"/>
        <w:ind w:firstLine="210" w:firstLineChars="100"/>
        <w:jc w:val="left"/>
      </w:pPr>
    </w:p>
    <w:p w14:paraId="5D5CFBB5">
      <w:pPr>
        <w:wordWrap w:val="0"/>
        <w:spacing w:line="360" w:lineRule="exact"/>
        <w:ind w:firstLine="210" w:firstLineChars="100"/>
        <w:jc w:val="left"/>
      </w:pPr>
    </w:p>
    <w:p w14:paraId="533128F7">
      <w:pPr>
        <w:wordWrap w:val="0"/>
        <w:spacing w:line="360" w:lineRule="exact"/>
        <w:ind w:firstLine="240" w:firstLineChars="100"/>
        <w:jc w:val="left"/>
      </w:pPr>
      <w:r>
        <w:rPr>
          <w:rFonts w:ascii="宋体" w:hAnsi="宋体" w:eastAsia="宋体" w:cs="宋体"/>
          <w:color w:val="000000"/>
          <w:sz w:val="24"/>
        </w:rPr>
        <w:t> </w:t>
      </w:r>
    </w:p>
    <w:p w14:paraId="1FFD803F">
      <w:r>
        <w:br w:type="page"/>
      </w:r>
    </w:p>
    <w:p w14:paraId="5B2DB5AB">
      <w:pPr>
        <w:wordWrap w:val="0"/>
        <w:spacing w:line="360" w:lineRule="exact"/>
        <w:jc w:val="left"/>
      </w:pPr>
      <w:r>
        <w:rPr>
          <w:rFonts w:ascii="宋体" w:hAnsi="宋体" w:eastAsia="宋体" w:cs="宋体"/>
          <w:color w:val="000000"/>
          <w:sz w:val="24"/>
        </w:rPr>
        <w:t>附件4：</w:t>
      </w:r>
    </w:p>
    <w:p w14:paraId="039F5796">
      <w:pPr>
        <w:wordWrap w:val="0"/>
        <w:spacing w:line="360" w:lineRule="exact"/>
        <w:ind w:firstLine="240" w:firstLineChars="100"/>
        <w:jc w:val="center"/>
      </w:pPr>
      <w:r>
        <w:rPr>
          <w:rFonts w:ascii="宋体" w:hAnsi="宋体" w:eastAsia="宋体" w:cs="宋体"/>
          <w:color w:val="000000"/>
          <w:sz w:val="24"/>
        </w:rPr>
        <w:t> 南京财经大学学生公寓维修责任范围</w:t>
      </w:r>
    </w:p>
    <w:p w14:paraId="12EFCFA4">
      <w:pPr>
        <w:wordWrap w:val="0"/>
        <w:spacing w:line="360" w:lineRule="exact"/>
        <w:ind w:firstLine="240" w:firstLineChars="100"/>
        <w:jc w:val="center"/>
      </w:pPr>
      <w:r>
        <w:rPr>
          <w:rFonts w:ascii="宋体" w:hAnsi="宋体" w:eastAsia="宋体" w:cs="宋体"/>
          <w:color w:val="000000"/>
          <w:sz w:val="24"/>
        </w:rPr>
        <w:t> （受托公司承担部分）</w:t>
      </w:r>
    </w:p>
    <w:p w14:paraId="14FD7842">
      <w:pPr>
        <w:wordWrap w:val="0"/>
        <w:spacing w:line="360" w:lineRule="exact"/>
        <w:ind w:firstLine="240" w:firstLineChars="100"/>
        <w:jc w:val="left"/>
      </w:pPr>
      <w:r>
        <w:rPr>
          <w:rFonts w:ascii="宋体" w:hAnsi="宋体" w:eastAsia="宋体" w:cs="宋体"/>
          <w:color w:val="000000"/>
          <w:sz w:val="24"/>
        </w:rPr>
        <w:t> 一、学生公寓物业管理公司维修责任定位</w:t>
      </w:r>
    </w:p>
    <w:p w14:paraId="5AFB3FDC">
      <w:pPr>
        <w:wordWrap w:val="0"/>
        <w:spacing w:line="360" w:lineRule="exact"/>
        <w:ind w:firstLine="240" w:firstLineChars="100"/>
        <w:jc w:val="left"/>
      </w:pPr>
      <w:r>
        <w:rPr>
          <w:rFonts w:ascii="宋体" w:hAnsi="宋体" w:eastAsia="宋体" w:cs="宋体"/>
          <w:color w:val="000000"/>
          <w:sz w:val="24"/>
        </w:rPr>
        <w:t> 1、依据年度学生公寓物业委托管理合同的规定，承担相关的维修责任，并承担相关的费用支出。</w:t>
      </w:r>
    </w:p>
    <w:p w14:paraId="73CDCA7D">
      <w:pPr>
        <w:wordWrap w:val="0"/>
        <w:spacing w:line="360" w:lineRule="exact"/>
        <w:ind w:firstLine="240" w:firstLineChars="100"/>
        <w:jc w:val="left"/>
      </w:pPr>
      <w:r>
        <w:rPr>
          <w:rFonts w:ascii="宋体" w:hAnsi="宋体" w:eastAsia="宋体" w:cs="宋体"/>
          <w:color w:val="000000"/>
          <w:sz w:val="24"/>
        </w:rPr>
        <w:t> 2、接受采购人（学生处）对受托公寓维修责任履行情况的督促检查，接受因未能履行委托合同规定的维修责任而进行的处罚。</w:t>
      </w:r>
    </w:p>
    <w:p w14:paraId="38DE0902">
      <w:pPr>
        <w:wordWrap w:val="0"/>
        <w:spacing w:line="360" w:lineRule="exact"/>
        <w:ind w:firstLine="240" w:firstLineChars="100"/>
        <w:jc w:val="left"/>
      </w:pPr>
      <w:r>
        <w:rPr>
          <w:rFonts w:ascii="宋体" w:hAnsi="宋体" w:eastAsia="宋体" w:cs="宋体"/>
          <w:color w:val="000000"/>
          <w:sz w:val="24"/>
        </w:rPr>
        <w:t> 3、在合同报价中明确用于维修部分的经费预算，承担因实际维修发生金额超出此项预算而产生的风险。</w:t>
      </w:r>
    </w:p>
    <w:p w14:paraId="390C6546">
      <w:pPr>
        <w:wordWrap w:val="0"/>
        <w:spacing w:line="360" w:lineRule="exact"/>
        <w:ind w:firstLine="240" w:firstLineChars="100"/>
        <w:jc w:val="left"/>
      </w:pPr>
      <w:r>
        <w:rPr>
          <w:rFonts w:ascii="宋体" w:hAnsi="宋体" w:eastAsia="宋体" w:cs="宋体"/>
          <w:color w:val="000000"/>
          <w:sz w:val="24"/>
        </w:rPr>
        <w:t> 4、接受学生处提供的项目竣工图纸、合同副本、工程或设施技术说明、使用说明，施工或供货单位的情况说明等物业资料，建立物业档案。</w:t>
      </w:r>
    </w:p>
    <w:p w14:paraId="2B95F636">
      <w:pPr>
        <w:wordWrap w:val="0"/>
        <w:spacing w:line="360" w:lineRule="exact"/>
        <w:ind w:firstLine="240" w:firstLineChars="100"/>
        <w:jc w:val="left"/>
      </w:pPr>
      <w:r>
        <w:rPr>
          <w:rFonts w:ascii="宋体" w:hAnsi="宋体" w:eastAsia="宋体" w:cs="宋体"/>
          <w:color w:val="000000"/>
          <w:sz w:val="24"/>
        </w:rPr>
        <w:t> 5、在采购人负责的维修改造项目工程实施过程中，积极配合，履行与此相关的物业管理责任。</w:t>
      </w:r>
    </w:p>
    <w:p w14:paraId="33134FE8">
      <w:pPr>
        <w:wordWrap w:val="0"/>
        <w:spacing w:line="360" w:lineRule="exact"/>
        <w:ind w:firstLine="240" w:firstLineChars="100"/>
        <w:jc w:val="left"/>
      </w:pPr>
      <w:r>
        <w:rPr>
          <w:rFonts w:ascii="宋体" w:hAnsi="宋体" w:eastAsia="宋体" w:cs="宋体"/>
          <w:color w:val="000000"/>
          <w:sz w:val="24"/>
        </w:rPr>
        <w:t> 6、坚持维修责任范围内标的的原有质量标准，不得以次充好。</w:t>
      </w:r>
    </w:p>
    <w:p w14:paraId="06ED4C67">
      <w:pPr>
        <w:wordWrap w:val="0"/>
        <w:spacing w:line="360" w:lineRule="exact"/>
        <w:ind w:firstLine="240" w:firstLineChars="100"/>
        <w:jc w:val="left"/>
      </w:pPr>
      <w:r>
        <w:rPr>
          <w:rFonts w:ascii="宋体" w:hAnsi="宋体" w:eastAsia="宋体" w:cs="宋体"/>
          <w:color w:val="000000"/>
          <w:sz w:val="24"/>
        </w:rPr>
        <w:t> 7、妥善做好损坏公寓设施的学生赔偿责任的界定和估价工作。甲乙双方共同制定赔偿标准，并向全体学生公布。</w:t>
      </w:r>
    </w:p>
    <w:p w14:paraId="5898CC14">
      <w:pPr>
        <w:wordWrap w:val="0"/>
        <w:spacing w:line="360" w:lineRule="exact"/>
        <w:ind w:firstLine="240" w:firstLineChars="100"/>
        <w:jc w:val="left"/>
      </w:pPr>
      <w:r>
        <w:rPr>
          <w:rFonts w:ascii="宋体" w:hAnsi="宋体" w:eastAsia="宋体" w:cs="宋体"/>
          <w:color w:val="000000"/>
          <w:sz w:val="24"/>
        </w:rPr>
        <w:t> 8、对于维修责任范围的项目不得向学生收取费用。</w:t>
      </w:r>
    </w:p>
    <w:p w14:paraId="78DA1219">
      <w:pPr>
        <w:wordWrap w:val="0"/>
        <w:spacing w:line="360" w:lineRule="exact"/>
        <w:ind w:firstLine="240" w:firstLineChars="100"/>
        <w:jc w:val="left"/>
      </w:pPr>
      <w:r>
        <w:rPr>
          <w:rFonts w:ascii="宋体" w:hAnsi="宋体" w:eastAsia="宋体" w:cs="宋体"/>
          <w:color w:val="000000"/>
          <w:sz w:val="24"/>
        </w:rPr>
        <w:t> 9、对于超出维修责任范围的事项及时报告，并做好对学生的解释工作。</w:t>
      </w:r>
    </w:p>
    <w:p w14:paraId="60F54C6E">
      <w:pPr>
        <w:wordWrap w:val="0"/>
        <w:spacing w:line="360" w:lineRule="exact"/>
        <w:ind w:firstLine="240" w:firstLineChars="100"/>
        <w:jc w:val="left"/>
      </w:pPr>
      <w:r>
        <w:rPr>
          <w:rFonts w:ascii="宋体" w:hAnsi="宋体" w:eastAsia="宋体" w:cs="宋体"/>
          <w:color w:val="000000"/>
          <w:sz w:val="24"/>
        </w:rPr>
        <w:t> 10、合同期满，接受采购人的设施设备验收，保证无故障交付。</w:t>
      </w:r>
    </w:p>
    <w:p w14:paraId="3D8201D6">
      <w:pPr>
        <w:wordWrap w:val="0"/>
        <w:spacing w:line="360" w:lineRule="exact"/>
        <w:ind w:firstLine="240" w:firstLineChars="100"/>
        <w:jc w:val="left"/>
      </w:pPr>
      <w:r>
        <w:rPr>
          <w:rFonts w:ascii="宋体" w:hAnsi="宋体" w:eastAsia="宋体" w:cs="宋体"/>
          <w:color w:val="000000"/>
          <w:sz w:val="24"/>
        </w:rPr>
        <w:t> 二、物业公司维修责任范围</w:t>
      </w:r>
    </w:p>
    <w:p w14:paraId="3F8D3B78">
      <w:pPr>
        <w:wordWrap w:val="0"/>
        <w:spacing w:line="360" w:lineRule="exact"/>
        <w:ind w:firstLine="240" w:firstLineChars="100"/>
        <w:jc w:val="left"/>
      </w:pPr>
      <w:r>
        <w:rPr>
          <w:rFonts w:ascii="宋体" w:hAnsi="宋体" w:eastAsia="宋体" w:cs="宋体"/>
          <w:color w:val="000000"/>
          <w:sz w:val="24"/>
        </w:rPr>
        <w:t> 1、负责对托管设备在维保责任期内的责任方进行督促检查，并及时与采购人沟通。</w:t>
      </w:r>
    </w:p>
    <w:p w14:paraId="282F446F">
      <w:pPr>
        <w:wordWrap w:val="0"/>
        <w:spacing w:line="360" w:lineRule="exact"/>
        <w:ind w:firstLine="240" w:firstLineChars="100"/>
        <w:jc w:val="left"/>
      </w:pPr>
      <w:r>
        <w:rPr>
          <w:rFonts w:ascii="宋体" w:hAnsi="宋体" w:eastAsia="宋体" w:cs="宋体"/>
          <w:color w:val="000000"/>
          <w:sz w:val="24"/>
        </w:rPr>
        <w:t> 2、承担学生公寓小型项目的维修，负责对超过维保责任期的小型设备、设施进行维修或更换。</w:t>
      </w:r>
    </w:p>
    <w:p w14:paraId="386127FF">
      <w:pPr>
        <w:wordWrap w:val="0"/>
        <w:spacing w:line="360" w:lineRule="exact"/>
        <w:ind w:firstLine="240" w:firstLineChars="100"/>
        <w:jc w:val="left"/>
      </w:pPr>
      <w:r>
        <w:rPr>
          <w:rFonts w:ascii="宋体" w:hAnsi="宋体" w:eastAsia="宋体" w:cs="宋体"/>
          <w:color w:val="000000"/>
          <w:sz w:val="24"/>
        </w:rPr>
        <w:t> 具体维修范围包括以下内容：</w:t>
      </w:r>
    </w:p>
    <w:p w14:paraId="02483B08">
      <w:pPr>
        <w:wordWrap w:val="0"/>
        <w:spacing w:line="360" w:lineRule="exact"/>
        <w:ind w:firstLine="240" w:firstLineChars="100"/>
        <w:jc w:val="left"/>
      </w:pPr>
      <w:r>
        <w:rPr>
          <w:rFonts w:ascii="宋体" w:hAnsi="宋体" w:eastAsia="宋体" w:cs="宋体"/>
          <w:color w:val="000000"/>
          <w:sz w:val="24"/>
        </w:rPr>
        <w:t> （1）寝室内及公共部位的照明灯具（白炽灯、日光灯、灯头、灯罩）、镇流器、启辉器、开关、空气开关等的修理与更换。</w:t>
      </w:r>
    </w:p>
    <w:p w14:paraId="280D49C5">
      <w:pPr>
        <w:wordWrap w:val="0"/>
        <w:spacing w:line="360" w:lineRule="exact"/>
        <w:ind w:firstLine="240" w:firstLineChars="100"/>
        <w:jc w:val="left"/>
      </w:pPr>
      <w:r>
        <w:rPr>
          <w:rFonts w:ascii="宋体" w:hAnsi="宋体" w:eastAsia="宋体" w:cs="宋体"/>
          <w:color w:val="000000"/>
          <w:sz w:val="24"/>
        </w:rPr>
        <w:t> （2）电风扇的修理，风扇调速器的修理与更换。</w:t>
      </w:r>
    </w:p>
    <w:p w14:paraId="20D3D653">
      <w:pPr>
        <w:wordWrap w:val="0"/>
        <w:spacing w:line="360" w:lineRule="exact"/>
        <w:ind w:firstLine="240" w:firstLineChars="100"/>
        <w:jc w:val="left"/>
      </w:pPr>
      <w:r>
        <w:rPr>
          <w:rFonts w:ascii="宋体" w:hAnsi="宋体" w:eastAsia="宋体" w:cs="宋体"/>
          <w:color w:val="000000"/>
          <w:sz w:val="24"/>
        </w:rPr>
        <w:t> （3）自来水阀门（冲水阀、混水阀）、水龙头、软管、水表、地漏的维修与更换，盥洗池、拖把池、便池等配套设施的修理。</w:t>
      </w:r>
    </w:p>
    <w:p w14:paraId="79D1EAC4">
      <w:pPr>
        <w:wordWrap w:val="0"/>
        <w:spacing w:line="360" w:lineRule="exact"/>
        <w:ind w:firstLine="240" w:firstLineChars="100"/>
        <w:jc w:val="left"/>
      </w:pPr>
      <w:r>
        <w:rPr>
          <w:rFonts w:ascii="宋体" w:hAnsi="宋体" w:eastAsia="宋体" w:cs="宋体"/>
          <w:color w:val="000000"/>
          <w:sz w:val="24"/>
        </w:rPr>
        <w:t> （4）水管、下水管道的小型治漏和修理(不含土建工程)。</w:t>
      </w:r>
    </w:p>
    <w:p w14:paraId="05285F63">
      <w:pPr>
        <w:wordWrap w:val="0"/>
        <w:spacing w:line="360" w:lineRule="exact"/>
        <w:ind w:firstLine="240" w:firstLineChars="100"/>
        <w:jc w:val="left"/>
      </w:pPr>
      <w:r>
        <w:rPr>
          <w:rFonts w:ascii="宋体" w:hAnsi="宋体" w:eastAsia="宋体" w:cs="宋体"/>
          <w:color w:val="000000"/>
          <w:sz w:val="24"/>
        </w:rPr>
        <w:t> （5）电路设备的维护、修理，小型零配件（面板、插座、保险丝等）的更换。</w:t>
      </w:r>
    </w:p>
    <w:p w14:paraId="78E007F1">
      <w:pPr>
        <w:wordWrap w:val="0"/>
        <w:spacing w:line="360" w:lineRule="exact"/>
        <w:ind w:firstLine="240" w:firstLineChars="100"/>
        <w:jc w:val="left"/>
      </w:pPr>
      <w:r>
        <w:rPr>
          <w:rFonts w:ascii="宋体" w:hAnsi="宋体" w:eastAsia="宋体" w:cs="宋体"/>
          <w:color w:val="000000"/>
          <w:sz w:val="24"/>
        </w:rPr>
        <w:t> （6）下水道、便池的小型疏通。</w:t>
      </w:r>
    </w:p>
    <w:p w14:paraId="459DA47B">
      <w:pPr>
        <w:wordWrap w:val="0"/>
        <w:spacing w:line="360" w:lineRule="exact"/>
        <w:ind w:firstLine="240" w:firstLineChars="100"/>
        <w:jc w:val="left"/>
      </w:pPr>
      <w:r>
        <w:rPr>
          <w:rFonts w:ascii="宋体" w:hAnsi="宋体" w:eastAsia="宋体" w:cs="宋体"/>
          <w:color w:val="000000"/>
          <w:sz w:val="24"/>
        </w:rPr>
        <w:t> （7）门锁（防盗门锁、塑钢门锁、木门锁）、壁柜锁、抽屉锁、钥匙、家具配件（铰链、搭扣、插销、拉手）的修理与更换。</w:t>
      </w:r>
    </w:p>
    <w:p w14:paraId="4BBBED4E">
      <w:pPr>
        <w:wordWrap w:val="0"/>
        <w:spacing w:line="360" w:lineRule="exact"/>
        <w:ind w:firstLine="240" w:firstLineChars="100"/>
        <w:jc w:val="left"/>
      </w:pPr>
      <w:r>
        <w:rPr>
          <w:rFonts w:ascii="宋体" w:hAnsi="宋体" w:eastAsia="宋体" w:cs="宋体"/>
          <w:color w:val="000000"/>
          <w:sz w:val="24"/>
        </w:rPr>
        <w:t> （8）门、窗附属配件（纱窗、玻璃、搭扣、把手、窗帘、窗帘轨道）的修理与更换。</w:t>
      </w:r>
    </w:p>
    <w:p w14:paraId="038BB563">
      <w:pPr>
        <w:wordWrap w:val="0"/>
        <w:spacing w:line="360" w:lineRule="exact"/>
        <w:ind w:firstLine="240" w:firstLineChars="100"/>
        <w:jc w:val="left"/>
      </w:pPr>
      <w:r>
        <w:rPr>
          <w:rFonts w:ascii="宋体" w:hAnsi="宋体" w:eastAsia="宋体" w:cs="宋体"/>
          <w:color w:val="000000"/>
          <w:sz w:val="24"/>
        </w:rPr>
        <w:t> （9）床俱（床架、床板、床护栏、床梯）、家具（沙发、茶几、电视柜、壁柜、鞋柜、桌椅）的修理（不含更换）。</w:t>
      </w:r>
    </w:p>
    <w:p w14:paraId="21BA4798">
      <w:pPr>
        <w:wordWrap w:val="0"/>
        <w:spacing w:line="360" w:lineRule="exact"/>
        <w:ind w:firstLine="240" w:firstLineChars="100"/>
        <w:jc w:val="left"/>
      </w:pPr>
      <w:r>
        <w:rPr>
          <w:rFonts w:ascii="宋体" w:hAnsi="宋体" w:eastAsia="宋体" w:cs="宋体"/>
          <w:color w:val="000000"/>
          <w:sz w:val="24"/>
        </w:rPr>
        <w:t> （10）信箱、宣传栏的修理（不含更换）。</w:t>
      </w:r>
    </w:p>
    <w:p w14:paraId="025967A4">
      <w:pPr>
        <w:wordWrap w:val="0"/>
        <w:spacing w:line="360" w:lineRule="exact"/>
        <w:ind w:firstLine="240" w:firstLineChars="100"/>
        <w:jc w:val="left"/>
      </w:pPr>
      <w:r>
        <w:rPr>
          <w:rFonts w:ascii="宋体" w:hAnsi="宋体" w:eastAsia="宋体" w:cs="宋体"/>
          <w:color w:val="000000"/>
          <w:sz w:val="24"/>
        </w:rPr>
        <w:t> （11）毛巾架、放物架、镜子、阳台晒衣架的修理与更换。</w:t>
      </w:r>
    </w:p>
    <w:p w14:paraId="3AE9B4C0">
      <w:pPr>
        <w:wordWrap w:val="0"/>
        <w:spacing w:line="360" w:lineRule="exact"/>
        <w:ind w:firstLine="240" w:firstLineChars="100"/>
        <w:jc w:val="left"/>
      </w:pPr>
      <w:r>
        <w:rPr>
          <w:rFonts w:ascii="宋体" w:hAnsi="宋体" w:eastAsia="宋体" w:cs="宋体"/>
          <w:color w:val="000000"/>
          <w:sz w:val="24"/>
        </w:rPr>
        <w:t> （12）管理站玻璃门、简单的木制品等的维修。</w:t>
      </w:r>
    </w:p>
    <w:p w14:paraId="32C8101B">
      <w:pPr>
        <w:wordWrap w:val="0"/>
        <w:spacing w:line="360" w:lineRule="exact"/>
        <w:ind w:firstLine="240" w:firstLineChars="100"/>
        <w:jc w:val="left"/>
      </w:pPr>
      <w:r>
        <w:rPr>
          <w:rFonts w:ascii="宋体" w:hAnsi="宋体" w:eastAsia="宋体" w:cs="宋体"/>
          <w:color w:val="000000"/>
          <w:sz w:val="24"/>
        </w:rPr>
        <w:t> （13）寝室内及公共部位墙面污损的涂料覆盖。</w:t>
      </w:r>
    </w:p>
    <w:p w14:paraId="401EAAEF">
      <w:pPr>
        <w:wordWrap w:val="0"/>
        <w:spacing w:line="360" w:lineRule="exact"/>
        <w:ind w:firstLine="240" w:firstLineChars="100"/>
        <w:jc w:val="left"/>
      </w:pPr>
      <w:r>
        <w:rPr>
          <w:rFonts w:ascii="宋体" w:hAnsi="宋体" w:eastAsia="宋体" w:cs="宋体"/>
          <w:color w:val="000000"/>
          <w:sz w:val="24"/>
        </w:rPr>
        <w:t> 三、物业公司维修免责范围</w:t>
      </w:r>
    </w:p>
    <w:p w14:paraId="73906578">
      <w:pPr>
        <w:wordWrap w:val="0"/>
        <w:spacing w:line="360" w:lineRule="exact"/>
        <w:ind w:firstLine="240" w:firstLineChars="100"/>
        <w:jc w:val="left"/>
      </w:pPr>
      <w:r>
        <w:rPr>
          <w:rFonts w:ascii="宋体" w:hAnsi="宋体" w:eastAsia="宋体" w:cs="宋体"/>
          <w:color w:val="000000"/>
          <w:sz w:val="24"/>
        </w:rPr>
        <w:t> 1、建筑结构、房屋、墙体自然损坏或渗漏。</w:t>
      </w:r>
    </w:p>
    <w:p w14:paraId="059193D9">
      <w:pPr>
        <w:wordWrap w:val="0"/>
        <w:spacing w:line="360" w:lineRule="exact"/>
        <w:ind w:firstLine="240" w:firstLineChars="100"/>
        <w:jc w:val="left"/>
      </w:pPr>
      <w:r>
        <w:rPr>
          <w:rFonts w:ascii="宋体" w:hAnsi="宋体" w:eastAsia="宋体" w:cs="宋体"/>
          <w:color w:val="000000"/>
          <w:sz w:val="24"/>
        </w:rPr>
        <w:t> 2、保修期内的设施、设备。</w:t>
      </w:r>
    </w:p>
    <w:p w14:paraId="3CE1AAFF">
      <w:pPr>
        <w:wordWrap w:val="0"/>
        <w:spacing w:line="360" w:lineRule="exact"/>
        <w:ind w:firstLine="240" w:firstLineChars="100"/>
        <w:jc w:val="left"/>
      </w:pPr>
      <w:r>
        <w:rPr>
          <w:rFonts w:ascii="宋体" w:hAnsi="宋体" w:eastAsia="宋体" w:cs="宋体"/>
          <w:color w:val="000000"/>
          <w:sz w:val="24"/>
        </w:rPr>
        <w:t> 3、已签订专业维保协议的设施、设备。</w:t>
      </w:r>
    </w:p>
    <w:p w14:paraId="3869D732">
      <w:pPr>
        <w:wordWrap w:val="0"/>
        <w:spacing w:line="360" w:lineRule="exact"/>
        <w:ind w:firstLine="240" w:firstLineChars="100"/>
        <w:jc w:val="left"/>
      </w:pPr>
      <w:r>
        <w:rPr>
          <w:rFonts w:ascii="宋体" w:hAnsi="宋体" w:eastAsia="宋体" w:cs="宋体"/>
          <w:color w:val="000000"/>
          <w:sz w:val="24"/>
        </w:rPr>
        <w:t> </w:t>
      </w:r>
    </w:p>
    <w:p w14:paraId="4F717BD8">
      <w:r>
        <w:br w:type="page"/>
      </w:r>
    </w:p>
    <w:p w14:paraId="4FA8EFC6">
      <w:pPr>
        <w:wordWrap w:val="0"/>
        <w:spacing w:line="360" w:lineRule="exact"/>
        <w:jc w:val="left"/>
      </w:pPr>
      <w:r>
        <w:rPr>
          <w:rFonts w:ascii="宋体" w:hAnsi="宋体" w:eastAsia="宋体" w:cs="宋体"/>
          <w:color w:val="000000"/>
          <w:sz w:val="24"/>
        </w:rPr>
        <w:t>附件5：</w:t>
      </w:r>
    </w:p>
    <w:p w14:paraId="1F0364C2">
      <w:pPr>
        <w:wordWrap w:val="0"/>
        <w:spacing w:line="360" w:lineRule="exact"/>
        <w:ind w:firstLine="240" w:firstLineChars="100"/>
        <w:jc w:val="center"/>
      </w:pPr>
      <w:r>
        <w:rPr>
          <w:rFonts w:ascii="宋体" w:hAnsi="宋体" w:eastAsia="宋体" w:cs="宋体"/>
          <w:color w:val="000000"/>
          <w:sz w:val="24"/>
        </w:rPr>
        <w:t> 南京财经大学仙林校区学生公寓</w:t>
      </w:r>
    </w:p>
    <w:p w14:paraId="603D3A8B">
      <w:pPr>
        <w:wordWrap w:val="0"/>
        <w:spacing w:line="360" w:lineRule="exact"/>
        <w:ind w:firstLine="240" w:firstLineChars="100"/>
        <w:jc w:val="center"/>
      </w:pPr>
      <w:r>
        <w:rPr>
          <w:rFonts w:ascii="宋体" w:hAnsi="宋体" w:eastAsia="宋体" w:cs="宋体"/>
          <w:color w:val="000000"/>
          <w:sz w:val="24"/>
        </w:rPr>
        <w:t> 委托管理基本规范</w:t>
      </w:r>
    </w:p>
    <w:p w14:paraId="27FBDF0F">
      <w:pPr>
        <w:wordWrap w:val="0"/>
        <w:spacing w:line="360" w:lineRule="exact"/>
        <w:ind w:firstLine="210" w:firstLineChars="100"/>
        <w:jc w:val="left"/>
      </w:pPr>
    </w:p>
    <w:p w14:paraId="04A8FFE5">
      <w:pPr>
        <w:wordWrap w:val="0"/>
        <w:spacing w:line="360" w:lineRule="exact"/>
        <w:ind w:firstLine="240" w:firstLineChars="100"/>
        <w:jc w:val="left"/>
      </w:pPr>
      <w:r>
        <w:rPr>
          <w:rFonts w:ascii="宋体" w:hAnsi="宋体" w:eastAsia="宋体" w:cs="宋体"/>
          <w:color w:val="000000"/>
          <w:sz w:val="24"/>
        </w:rPr>
        <w:t> 1、依所作承诺和确定的服务项目及质量标准，实施公寓管理区内服务、管理、育人工作。</w:t>
      </w:r>
    </w:p>
    <w:p w14:paraId="626DA591">
      <w:pPr>
        <w:wordWrap w:val="0"/>
        <w:spacing w:line="360" w:lineRule="exact"/>
        <w:ind w:firstLine="240" w:firstLineChars="100"/>
        <w:jc w:val="left"/>
      </w:pPr>
      <w:r>
        <w:rPr>
          <w:rFonts w:ascii="宋体" w:hAnsi="宋体" w:eastAsia="宋体" w:cs="宋体"/>
          <w:color w:val="000000"/>
          <w:sz w:val="24"/>
        </w:rPr>
        <w:t> 2、受托公司须配备相应工作人员（其中应有一定计算机基础的人员），包括管理站站长、管理员、保洁员、维修工等，并制订相应的岗位职责。选派的公寓管理站长应有大专以上学历，具备一定的高校学生管理工作和思想政治工作经验，作风正派、亲和力强，年龄一般不超过55周岁；其他主要管理人员学历应在高中以上，年龄一般不超过50周岁，且具备较高政治思想素质和服务水平。受托公司须将工作人员情况送学生处备案。</w:t>
      </w:r>
    </w:p>
    <w:p w14:paraId="2375A06B">
      <w:pPr>
        <w:wordWrap w:val="0"/>
        <w:spacing w:line="360" w:lineRule="exact"/>
        <w:ind w:firstLine="240" w:firstLineChars="100"/>
        <w:jc w:val="left"/>
      </w:pPr>
      <w:r>
        <w:rPr>
          <w:rFonts w:ascii="宋体" w:hAnsi="宋体" w:eastAsia="宋体" w:cs="宋体"/>
          <w:color w:val="000000"/>
          <w:sz w:val="24"/>
        </w:rPr>
        <w:t> 3、学生公寓实行24小时门卫值班制度，师生进出凭证件，异性学生和外单位人员不得进入公寓。管理员必须认真核对、登记证件，严格把关，并随时巡查；每天做好值班和交接班记录，发现异常情况及时上报。遇突发事件按照学生公寓突发事件处理预案及时处理，确保学生人身和财产安全，确保公寓内无恶性治安事件发生。受托公司每日须安排值班站长负责协调处理所管管理站相关事宜。</w:t>
      </w:r>
    </w:p>
    <w:p w14:paraId="7297DC32">
      <w:pPr>
        <w:wordWrap w:val="0"/>
        <w:spacing w:line="360" w:lineRule="exact"/>
        <w:ind w:firstLine="240" w:firstLineChars="100"/>
        <w:jc w:val="left"/>
      </w:pPr>
      <w:r>
        <w:rPr>
          <w:rFonts w:ascii="宋体" w:hAnsi="宋体" w:eastAsia="宋体" w:cs="宋体"/>
          <w:color w:val="000000"/>
          <w:sz w:val="24"/>
        </w:rPr>
        <w:t> 4、严格执行学生公寓作息时间，按时启、闭门。对会客、晚归、不归、外请等，坚持验证登记制度。实施查夜制度，做好晚归、外出不归学生的统计工作并及时上报学生处。</w:t>
      </w:r>
    </w:p>
    <w:p w14:paraId="46E75443">
      <w:pPr>
        <w:wordWrap w:val="0"/>
        <w:spacing w:line="360" w:lineRule="exact"/>
        <w:ind w:firstLine="240" w:firstLineChars="100"/>
        <w:jc w:val="left"/>
      </w:pPr>
      <w:r>
        <w:rPr>
          <w:rFonts w:ascii="宋体" w:hAnsi="宋体" w:eastAsia="宋体" w:cs="宋体"/>
          <w:color w:val="000000"/>
          <w:sz w:val="24"/>
        </w:rPr>
        <w:t> 5、每周组织2次以上安全、消防检查，及时排除安全隐患，并做好相关记录；严禁任何人在公寓内使用明火，杜绝违章用电；做好消防器材维护保养，确保消防器材处于良好状态，消防通道畅通，公寓内无消防安全隐患。</w:t>
      </w:r>
    </w:p>
    <w:p w14:paraId="33986FF9">
      <w:pPr>
        <w:wordWrap w:val="0"/>
        <w:spacing w:line="360" w:lineRule="exact"/>
        <w:ind w:firstLine="240" w:firstLineChars="100"/>
        <w:jc w:val="left"/>
      </w:pPr>
      <w:r>
        <w:rPr>
          <w:rFonts w:ascii="宋体" w:hAnsi="宋体" w:eastAsia="宋体" w:cs="宋体"/>
          <w:color w:val="000000"/>
          <w:sz w:val="24"/>
        </w:rPr>
        <w:t> 6、管理站要建立健全《住宿学生个人档案》，工作人员要熟悉住宿学生情况，加强与各学院、各寝室室长、“学生宿管会”成员的联系和交流，定期或不定期组织管理区内文化、艺术等精神文明活动，并鼓励各寝室开展精神文明竞赛活动。积极配合推进学生党团组织进公寓和学生思想政治教育进公寓的工作；掌握学生的思想动态，及时做好引导、说服、教育工作，做到管理育人、服务育人，并及时向有关部门和学生所在班级辅导员反映学生在公寓内的表现和动态。</w:t>
      </w:r>
    </w:p>
    <w:p w14:paraId="7A0C70EE">
      <w:pPr>
        <w:wordWrap w:val="0"/>
        <w:spacing w:line="360" w:lineRule="exact"/>
        <w:ind w:firstLine="240" w:firstLineChars="100"/>
        <w:jc w:val="left"/>
      </w:pPr>
      <w:r>
        <w:rPr>
          <w:rFonts w:ascii="宋体" w:hAnsi="宋体" w:eastAsia="宋体" w:cs="宋体"/>
          <w:color w:val="000000"/>
          <w:sz w:val="24"/>
        </w:rPr>
        <w:t> 7、负责管理责任区内的卫生，要求每天（含双休日）对责任区域进行两次保洁工作并达到规定的清洁标准，地面、楼梯、垃圾桶随时保洁，要求做到地面干净无泥垢、无积水、无痰迹、天花板无蛛网；墙面保持整洁，无污迹、无乱悬挂、无乱张贴等现象。负责管理范围的垃圾清扫、清收并运到学校指定场所，负责管理范围内生活废水管道的定期疏通（不含化粪池粪水的清运）。</w:t>
      </w:r>
    </w:p>
    <w:p w14:paraId="4A55539F">
      <w:pPr>
        <w:wordWrap w:val="0"/>
        <w:spacing w:line="360" w:lineRule="exact"/>
        <w:ind w:firstLine="240" w:firstLineChars="100"/>
        <w:jc w:val="left"/>
      </w:pPr>
      <w:r>
        <w:rPr>
          <w:rFonts w:ascii="宋体" w:hAnsi="宋体" w:eastAsia="宋体" w:cs="宋体"/>
          <w:color w:val="000000"/>
          <w:sz w:val="24"/>
        </w:rPr>
        <w:t> 8、学生宿舍内务管理方面，每天对学生寝室的内务进行1次检查并做好记录，每天巡视寝室2 次以上，定期公布宿舍目标管理成绩；有效制止学生在公寓内吸烟、酗酒等不文明现象；促进学生文明行为的养成，对违纪和不文明行为进行批评教育，并将有关情况予以记载；对宿舍环境卫生较差的宿舍做好教育工作，并帮助整改。</w:t>
      </w:r>
    </w:p>
    <w:p w14:paraId="4675C9A9">
      <w:pPr>
        <w:wordWrap w:val="0"/>
        <w:spacing w:line="360" w:lineRule="exact"/>
        <w:ind w:firstLine="240" w:firstLineChars="100"/>
        <w:jc w:val="left"/>
      </w:pPr>
      <w:r>
        <w:rPr>
          <w:rFonts w:ascii="宋体" w:hAnsi="宋体" w:eastAsia="宋体" w:cs="宋体"/>
          <w:color w:val="000000"/>
          <w:sz w:val="24"/>
        </w:rPr>
        <w:t> 9、建立严格的维修制度，配备专业维修人员，并建立报修档案；维修及时、快速，紧急维修响应不超过半小时，一般维修半个工作日内响应，并且当天完成，确保学生学习、生活正常。定期对水电设施、消防器材等各类公用设施进行检查、维护并做好记录。</w:t>
      </w:r>
    </w:p>
    <w:p w14:paraId="2FC63C80">
      <w:pPr>
        <w:wordWrap w:val="0"/>
        <w:spacing w:line="360" w:lineRule="exact"/>
        <w:ind w:firstLine="240" w:firstLineChars="100"/>
        <w:jc w:val="left"/>
      </w:pPr>
      <w:r>
        <w:rPr>
          <w:rFonts w:ascii="宋体" w:hAnsi="宋体" w:eastAsia="宋体" w:cs="宋体"/>
          <w:color w:val="000000"/>
          <w:sz w:val="24"/>
        </w:rPr>
        <w:t> 10、对学生进行节水、节能、环保等方面的宣传教育，做好相应的台帐和数据管理。</w:t>
      </w:r>
    </w:p>
    <w:p w14:paraId="630BC7C0">
      <w:pPr>
        <w:wordWrap w:val="0"/>
        <w:spacing w:line="360" w:lineRule="exact"/>
        <w:ind w:firstLine="240" w:firstLineChars="100"/>
        <w:jc w:val="left"/>
      </w:pPr>
      <w:r>
        <w:rPr>
          <w:rFonts w:ascii="宋体" w:hAnsi="宋体" w:eastAsia="宋体" w:cs="宋体"/>
          <w:color w:val="000000"/>
          <w:sz w:val="24"/>
        </w:rPr>
        <w:t> </w:t>
      </w:r>
    </w:p>
    <w:p w14:paraId="55FAF501">
      <w:r>
        <w:br w:type="page"/>
      </w:r>
    </w:p>
    <w:p w14:paraId="1796028E">
      <w:pPr>
        <w:wordWrap w:val="0"/>
        <w:spacing w:line="360" w:lineRule="exact"/>
        <w:jc w:val="left"/>
      </w:pPr>
      <w:r>
        <w:rPr>
          <w:rFonts w:ascii="宋体" w:hAnsi="宋体" w:eastAsia="宋体" w:cs="宋体"/>
          <w:color w:val="000000"/>
          <w:sz w:val="24"/>
        </w:rPr>
        <w:t>附件6：</w:t>
      </w:r>
    </w:p>
    <w:p w14:paraId="70ECB73B">
      <w:pPr>
        <w:wordWrap w:val="0"/>
        <w:spacing w:line="360" w:lineRule="exact"/>
        <w:ind w:firstLine="240" w:firstLineChars="100"/>
        <w:jc w:val="center"/>
      </w:pPr>
      <w:r>
        <w:rPr>
          <w:rFonts w:ascii="宋体" w:hAnsi="宋体" w:eastAsia="宋体" w:cs="宋体"/>
          <w:color w:val="000000"/>
          <w:sz w:val="24"/>
        </w:rPr>
        <w:t> 南京财经大学仙林校区学生公寓物业管理考核办法</w:t>
      </w:r>
    </w:p>
    <w:p w14:paraId="443E54BC">
      <w:pPr>
        <w:wordWrap w:val="0"/>
        <w:spacing w:line="360" w:lineRule="exact"/>
        <w:ind w:firstLine="240" w:firstLineChars="100"/>
        <w:jc w:val="left"/>
      </w:pPr>
      <w:r>
        <w:rPr>
          <w:rFonts w:ascii="宋体" w:hAnsi="宋体" w:eastAsia="宋体" w:cs="宋体"/>
          <w:color w:val="000000"/>
          <w:sz w:val="24"/>
        </w:rPr>
        <w:t> 为推进学生公寓委托管理工作的规范化与制度化，促进现代高校物业的良性发展，根据学校学生公寓委托管理有关会议精神与合同要求，现制定南京财经大学仙林校区学生公寓考核管理办法如下：</w:t>
      </w:r>
    </w:p>
    <w:p w14:paraId="26458558">
      <w:pPr>
        <w:wordWrap w:val="0"/>
        <w:spacing w:line="360" w:lineRule="exact"/>
        <w:ind w:firstLine="240" w:firstLineChars="100"/>
        <w:jc w:val="left"/>
      </w:pPr>
      <w:r>
        <w:rPr>
          <w:rFonts w:ascii="宋体" w:hAnsi="宋体" w:eastAsia="宋体" w:cs="宋体"/>
          <w:color w:val="000000"/>
          <w:sz w:val="24"/>
        </w:rPr>
        <w:t> 一、凡经招标接受委托在南京财经大学仙林校区从事学生公寓管理的所有物业公司单位均须严格遵守本办法，本办法为学生公寓委托管理合同附件。</w:t>
      </w:r>
    </w:p>
    <w:p w14:paraId="54193AAA">
      <w:pPr>
        <w:wordWrap w:val="0"/>
        <w:spacing w:line="360" w:lineRule="exact"/>
        <w:ind w:firstLine="240" w:firstLineChars="100"/>
        <w:jc w:val="left"/>
      </w:pPr>
      <w:r>
        <w:rPr>
          <w:rFonts w:ascii="宋体" w:hAnsi="宋体" w:eastAsia="宋体" w:cs="宋体"/>
          <w:color w:val="000000"/>
          <w:sz w:val="24"/>
        </w:rPr>
        <w:t> 二、根据学生公寓委托管理合同，本办法所实施对象为仙林校区的所有学生公寓管理站。</w:t>
      </w:r>
    </w:p>
    <w:p w14:paraId="66EC605A">
      <w:pPr>
        <w:wordWrap w:val="0"/>
        <w:spacing w:line="360" w:lineRule="exact"/>
        <w:ind w:firstLine="240" w:firstLineChars="100"/>
        <w:jc w:val="left"/>
      </w:pPr>
      <w:r>
        <w:rPr>
          <w:rFonts w:ascii="宋体" w:hAnsi="宋体" w:eastAsia="宋体" w:cs="宋体"/>
          <w:color w:val="000000"/>
          <w:sz w:val="24"/>
        </w:rPr>
        <w:t> 三、本办法的实施采用定量与定性评比相结合，定期检查与不定期抽查相结合。定期检查人员由采购人人员及学院老师代表、学生代表共同组成，基本依据为《南京财经大学仙林校区学生公寓物业管理考核实施细则》及学生干部、学生代表和有关部门的反馈意见。</w:t>
      </w:r>
    </w:p>
    <w:p w14:paraId="1539394F">
      <w:pPr>
        <w:wordWrap w:val="0"/>
        <w:spacing w:line="360" w:lineRule="exact"/>
        <w:ind w:firstLine="240" w:firstLineChars="100"/>
        <w:jc w:val="left"/>
      </w:pPr>
      <w:r>
        <w:rPr>
          <w:rFonts w:ascii="宋体" w:hAnsi="宋体" w:eastAsia="宋体" w:cs="宋体"/>
          <w:color w:val="000000"/>
          <w:sz w:val="24"/>
        </w:rPr>
        <w:t> 四、具体操作办法：</w:t>
      </w:r>
    </w:p>
    <w:p w14:paraId="4F5852A8">
      <w:pPr>
        <w:wordWrap w:val="0"/>
        <w:spacing w:line="360" w:lineRule="exact"/>
        <w:ind w:firstLine="240" w:firstLineChars="100"/>
        <w:jc w:val="left"/>
      </w:pPr>
      <w:r>
        <w:rPr>
          <w:rFonts w:ascii="宋体" w:hAnsi="宋体" w:eastAsia="宋体" w:cs="宋体"/>
          <w:color w:val="000000"/>
          <w:sz w:val="24"/>
        </w:rPr>
        <w:t> 1、定量考核：</w:t>
      </w:r>
    </w:p>
    <w:p w14:paraId="0A67D166">
      <w:pPr>
        <w:wordWrap w:val="0"/>
        <w:spacing w:line="360" w:lineRule="exact"/>
        <w:ind w:firstLine="240" w:firstLineChars="100"/>
        <w:jc w:val="left"/>
      </w:pPr>
      <w:r>
        <w:rPr>
          <w:rFonts w:ascii="宋体" w:hAnsi="宋体" w:eastAsia="宋体" w:cs="宋体"/>
          <w:color w:val="000000"/>
          <w:sz w:val="24"/>
        </w:rPr>
        <w:t> 根据学生公寓管理检查考核结果统计，凡全年考核总评分在学生公寓中名列最后两名的管理站，采购人可视情况予以淘汰。</w:t>
      </w:r>
    </w:p>
    <w:p w14:paraId="4BD8EBC7">
      <w:pPr>
        <w:wordWrap w:val="0"/>
        <w:spacing w:line="360" w:lineRule="exact"/>
        <w:ind w:firstLine="240" w:firstLineChars="100"/>
        <w:jc w:val="left"/>
      </w:pPr>
      <w:r>
        <w:rPr>
          <w:rFonts w:ascii="宋体" w:hAnsi="宋体" w:eastAsia="宋体" w:cs="宋体"/>
          <w:color w:val="000000"/>
          <w:sz w:val="24"/>
        </w:rPr>
        <w:t> 2、定性考核：</w:t>
      </w:r>
    </w:p>
    <w:p w14:paraId="5BDA1432">
      <w:pPr>
        <w:wordWrap w:val="0"/>
        <w:spacing w:line="360" w:lineRule="exact"/>
        <w:ind w:firstLine="240" w:firstLineChars="100"/>
        <w:jc w:val="left"/>
      </w:pPr>
      <w:r>
        <w:rPr>
          <w:rFonts w:ascii="宋体" w:hAnsi="宋体" w:eastAsia="宋体" w:cs="宋体"/>
          <w:color w:val="000000"/>
          <w:sz w:val="24"/>
        </w:rPr>
        <w:t> （1）凡在学生公寓内发生因管理不善导致学生斗殴致残、男女同宿、火灾、学生伤亡等安全责任事故，经采购人调查认定管理站负有主要责任的，视情况采购人有权责令物业公司公司缴纳1000-3000元的违约金，或终止该站公寓的管理合同，其间造成的一切后果由物业公司负责。</w:t>
      </w:r>
    </w:p>
    <w:p w14:paraId="5845B960">
      <w:pPr>
        <w:wordWrap w:val="0"/>
        <w:spacing w:line="360" w:lineRule="exact"/>
        <w:ind w:firstLine="240" w:firstLineChars="100"/>
        <w:jc w:val="left"/>
      </w:pPr>
      <w:r>
        <w:rPr>
          <w:rFonts w:ascii="宋体" w:hAnsi="宋体" w:eastAsia="宋体" w:cs="宋体"/>
          <w:color w:val="000000"/>
          <w:sz w:val="24"/>
        </w:rPr>
        <w:t> （2）凡因管理工作不到位、不规范，连续两次被学校主管部门通知整改，或连续两个月考核成绩在学生公寓中名列最后一名的管理站，视情况采购人有权责令物业公司公司缴纳1000-3000元的违约金，或终止该站公寓的管理合同，其间造成的一切后果由物业公司负责。</w:t>
      </w:r>
    </w:p>
    <w:p w14:paraId="05E57158">
      <w:pPr>
        <w:wordWrap w:val="0"/>
        <w:spacing w:line="360" w:lineRule="exact"/>
        <w:ind w:firstLine="240" w:firstLineChars="100"/>
        <w:jc w:val="left"/>
      </w:pPr>
      <w:r>
        <w:rPr>
          <w:rFonts w:ascii="宋体" w:hAnsi="宋体" w:eastAsia="宋体" w:cs="宋体"/>
          <w:color w:val="000000"/>
          <w:sz w:val="24"/>
        </w:rPr>
        <w:t> （3）凡因公寓管理站在管理工作中方法失当、渎职或故意引发学生矛盾并造成严重后果的，视情况采购人有权责令物业公司公司缴纳1000-3000元的违约金，或终止该站公寓的管理合同，其间造成的一切后果由物业公司负责。</w:t>
      </w:r>
    </w:p>
    <w:p w14:paraId="4E39EBCC">
      <w:pPr>
        <w:wordWrap w:val="0"/>
        <w:spacing w:line="360" w:lineRule="exact"/>
        <w:ind w:firstLine="240" w:firstLineChars="100"/>
        <w:jc w:val="left"/>
      </w:pPr>
      <w:r>
        <w:rPr>
          <w:rFonts w:ascii="宋体" w:hAnsi="宋体" w:eastAsia="宋体" w:cs="宋体"/>
          <w:color w:val="000000"/>
          <w:sz w:val="24"/>
        </w:rPr>
        <w:t> （4）对公寓内发生的违纪违规事件不汇报、不制止或汇报迟缓、制止不力，而造成严重后果的，视情况采购人有权责令物业公司公司缴纳1000-3000元的违约金，或终止该站公寓的管理合同，其间造成的一切后果由物业公司负责。</w:t>
      </w:r>
    </w:p>
    <w:p w14:paraId="1F17DF1B">
      <w:pPr>
        <w:wordWrap w:val="0"/>
        <w:spacing w:line="360" w:lineRule="exact"/>
        <w:ind w:firstLine="240" w:firstLineChars="100"/>
        <w:jc w:val="left"/>
      </w:pPr>
      <w:r>
        <w:rPr>
          <w:rFonts w:ascii="宋体" w:hAnsi="宋体" w:eastAsia="宋体" w:cs="宋体"/>
          <w:color w:val="000000"/>
          <w:sz w:val="24"/>
        </w:rPr>
        <w:t> （5）凡因公寓管理站在管理、服务工作中违反合同相关条款，产生严重后果，造成不良影响的，视情况采购人有权责令物业公司公司缴纳3000-5000元的违约金，或终止该站公寓的管理合同，其间造成的一切后果由物业公司负责。</w:t>
      </w:r>
    </w:p>
    <w:p w14:paraId="71D6DB28">
      <w:pPr>
        <w:wordWrap w:val="0"/>
        <w:spacing w:line="360" w:lineRule="exact"/>
        <w:ind w:firstLine="240" w:firstLineChars="100"/>
        <w:jc w:val="left"/>
      </w:pPr>
      <w:r>
        <w:rPr>
          <w:rFonts w:ascii="宋体" w:hAnsi="宋体" w:eastAsia="宋体" w:cs="宋体"/>
          <w:color w:val="000000"/>
          <w:sz w:val="24"/>
        </w:rPr>
        <w:t> 五、本办法自本期委托管理工作开始时实施，未尽事宜，协商解决。</w:t>
      </w:r>
    </w:p>
    <w:p w14:paraId="5AA29141">
      <w:pPr>
        <w:wordWrap w:val="0"/>
        <w:spacing w:line="360" w:lineRule="exact"/>
        <w:ind w:firstLine="210" w:firstLineChars="100"/>
        <w:jc w:val="left"/>
      </w:pPr>
    </w:p>
    <w:p w14:paraId="29AB510B">
      <w:pPr>
        <w:wordWrap w:val="0"/>
        <w:spacing w:line="360" w:lineRule="exact"/>
        <w:ind w:firstLine="240" w:firstLineChars="100"/>
        <w:jc w:val="left"/>
      </w:pPr>
      <w:r>
        <w:rPr>
          <w:rFonts w:ascii="宋体" w:hAnsi="宋体" w:eastAsia="宋体" w:cs="宋体"/>
          <w:color w:val="000000"/>
          <w:sz w:val="24"/>
        </w:rPr>
        <w:t> </w:t>
      </w:r>
    </w:p>
    <w:p w14:paraId="2C50D216">
      <w:r>
        <w:br w:type="page"/>
      </w:r>
    </w:p>
    <w:p w14:paraId="33986D96">
      <w:pPr>
        <w:wordWrap w:val="0"/>
        <w:spacing w:line="360" w:lineRule="exact"/>
        <w:jc w:val="left"/>
      </w:pPr>
      <w:r>
        <w:rPr>
          <w:rFonts w:ascii="宋体" w:hAnsi="宋体" w:eastAsia="宋体" w:cs="宋体"/>
          <w:color w:val="000000"/>
          <w:sz w:val="24"/>
        </w:rPr>
        <w:t>附件7：</w:t>
      </w:r>
    </w:p>
    <w:p w14:paraId="79B0D3ED">
      <w:pPr>
        <w:wordWrap w:val="0"/>
        <w:spacing w:line="360" w:lineRule="exact"/>
        <w:ind w:firstLine="240" w:firstLineChars="100"/>
        <w:jc w:val="center"/>
      </w:pPr>
      <w:r>
        <w:rPr>
          <w:rFonts w:ascii="宋体" w:hAnsi="宋体" w:eastAsia="宋体" w:cs="宋体"/>
          <w:color w:val="000000"/>
          <w:sz w:val="24"/>
        </w:rPr>
        <w:t> 南京财经大学仙林校区学生公寓</w:t>
      </w:r>
    </w:p>
    <w:p w14:paraId="0FBF3365">
      <w:pPr>
        <w:wordWrap w:val="0"/>
        <w:spacing w:line="360" w:lineRule="exact"/>
        <w:ind w:firstLine="240" w:firstLineChars="100"/>
        <w:jc w:val="center"/>
      </w:pPr>
      <w:r>
        <w:rPr>
          <w:rFonts w:ascii="宋体" w:hAnsi="宋体" w:eastAsia="宋体" w:cs="宋体"/>
          <w:color w:val="000000"/>
          <w:sz w:val="24"/>
        </w:rPr>
        <w:t> 物业管理考核实施细则</w:t>
      </w:r>
    </w:p>
    <w:p w14:paraId="35236CC1">
      <w:pPr>
        <w:wordWrap w:val="0"/>
        <w:spacing w:line="360" w:lineRule="exact"/>
        <w:ind w:firstLine="210" w:firstLineChars="100"/>
        <w:jc w:val="left"/>
      </w:pPr>
    </w:p>
    <w:p w14:paraId="2B0FF165">
      <w:pPr>
        <w:wordWrap w:val="0"/>
        <w:spacing w:line="360" w:lineRule="exact"/>
        <w:ind w:firstLine="240" w:firstLineChars="100"/>
        <w:jc w:val="left"/>
      </w:pPr>
      <w:r>
        <w:rPr>
          <w:rFonts w:ascii="宋体" w:hAnsi="宋体" w:eastAsia="宋体" w:cs="宋体"/>
          <w:color w:val="000000"/>
          <w:sz w:val="24"/>
        </w:rPr>
        <w:t> 为完善学生公寓社会化管理的规章制度，加强对各物业管理公司的监督，增加工作的透明度，特制定本考核实施细则。</w:t>
      </w:r>
    </w:p>
    <w:p w14:paraId="1DAC7BE5">
      <w:pPr>
        <w:wordWrap w:val="0"/>
        <w:spacing w:line="360" w:lineRule="exact"/>
        <w:ind w:firstLine="240" w:firstLineChars="100"/>
        <w:jc w:val="left"/>
      </w:pPr>
      <w:r>
        <w:rPr>
          <w:rFonts w:ascii="宋体" w:hAnsi="宋体" w:eastAsia="宋体" w:cs="宋体"/>
          <w:color w:val="000000"/>
          <w:sz w:val="24"/>
        </w:rPr>
        <w:t> 一 、内部管理（20分）</w:t>
      </w:r>
    </w:p>
    <w:p w14:paraId="7D19CF9D">
      <w:pPr>
        <w:wordWrap w:val="0"/>
        <w:spacing w:line="360" w:lineRule="exact"/>
        <w:ind w:firstLine="240" w:firstLineChars="100"/>
        <w:jc w:val="left"/>
      </w:pPr>
      <w:r>
        <w:rPr>
          <w:rFonts w:ascii="宋体" w:hAnsi="宋体" w:eastAsia="宋体" w:cs="宋体"/>
          <w:color w:val="000000"/>
          <w:sz w:val="24"/>
        </w:rPr>
        <w:t> （一）管理站内部风貌（4分）</w:t>
      </w:r>
    </w:p>
    <w:p w14:paraId="623EA88D">
      <w:pPr>
        <w:wordWrap w:val="0"/>
        <w:spacing w:line="360" w:lineRule="exact"/>
        <w:ind w:firstLine="240" w:firstLineChars="100"/>
        <w:jc w:val="left"/>
      </w:pPr>
      <w:r>
        <w:rPr>
          <w:rFonts w:ascii="宋体" w:hAnsi="宋体" w:eastAsia="宋体" w:cs="宋体"/>
          <w:color w:val="000000"/>
          <w:sz w:val="24"/>
        </w:rPr>
        <w:t> 因素：办公室整洁度。</w:t>
      </w:r>
    </w:p>
    <w:p w14:paraId="18D5266E">
      <w:pPr>
        <w:wordWrap w:val="0"/>
        <w:spacing w:line="360" w:lineRule="exact"/>
        <w:ind w:firstLine="240" w:firstLineChars="100"/>
        <w:jc w:val="left"/>
      </w:pPr>
      <w:r>
        <w:rPr>
          <w:rFonts w:ascii="宋体" w:hAnsi="宋体" w:eastAsia="宋体" w:cs="宋体"/>
          <w:color w:val="000000"/>
          <w:sz w:val="24"/>
        </w:rPr>
        <w:t> （二）管理人员精神风貌（4分）</w:t>
      </w:r>
    </w:p>
    <w:p w14:paraId="44301171">
      <w:pPr>
        <w:wordWrap w:val="0"/>
        <w:spacing w:line="360" w:lineRule="exact"/>
        <w:ind w:firstLine="240" w:firstLineChars="100"/>
        <w:jc w:val="left"/>
      </w:pPr>
      <w:r>
        <w:rPr>
          <w:rFonts w:ascii="宋体" w:hAnsi="宋体" w:eastAsia="宋体" w:cs="宋体"/>
          <w:color w:val="000000"/>
          <w:sz w:val="24"/>
        </w:rPr>
        <w:t> 因素：工作人员统一着装、佩带工作牌；装扮庄重、大方。</w:t>
      </w:r>
    </w:p>
    <w:p w14:paraId="031A00D5">
      <w:pPr>
        <w:wordWrap w:val="0"/>
        <w:spacing w:line="360" w:lineRule="exact"/>
        <w:ind w:firstLine="240" w:firstLineChars="100"/>
        <w:jc w:val="left"/>
      </w:pPr>
      <w:r>
        <w:rPr>
          <w:rFonts w:ascii="宋体" w:hAnsi="宋体" w:eastAsia="宋体" w:cs="宋体"/>
          <w:color w:val="000000"/>
          <w:sz w:val="24"/>
        </w:rPr>
        <w:t> （三）完成学校布置的有关工作（4分）</w:t>
      </w:r>
    </w:p>
    <w:p w14:paraId="179EAA9F">
      <w:pPr>
        <w:wordWrap w:val="0"/>
        <w:spacing w:line="360" w:lineRule="exact"/>
        <w:ind w:firstLine="240" w:firstLineChars="100"/>
        <w:jc w:val="left"/>
      </w:pPr>
      <w:r>
        <w:rPr>
          <w:rFonts w:ascii="宋体" w:hAnsi="宋体" w:eastAsia="宋体" w:cs="宋体"/>
          <w:color w:val="000000"/>
          <w:sz w:val="24"/>
        </w:rPr>
        <w:t> 因素：工作态度、工作时效、工作质量。</w:t>
      </w:r>
    </w:p>
    <w:p w14:paraId="3D0454EE">
      <w:pPr>
        <w:wordWrap w:val="0"/>
        <w:spacing w:line="360" w:lineRule="exact"/>
        <w:ind w:firstLine="240" w:firstLineChars="100"/>
        <w:jc w:val="left"/>
      </w:pPr>
      <w:r>
        <w:rPr>
          <w:rFonts w:ascii="宋体" w:hAnsi="宋体" w:eastAsia="宋体" w:cs="宋体"/>
          <w:color w:val="000000"/>
          <w:sz w:val="24"/>
        </w:rPr>
        <w:t> （四）管理台帐与工作记录（4分）</w:t>
      </w:r>
    </w:p>
    <w:p w14:paraId="6A3AFDA8">
      <w:pPr>
        <w:wordWrap w:val="0"/>
        <w:spacing w:line="360" w:lineRule="exact"/>
        <w:ind w:firstLine="240" w:firstLineChars="100"/>
        <w:jc w:val="left"/>
      </w:pPr>
      <w:r>
        <w:rPr>
          <w:rFonts w:ascii="宋体" w:hAnsi="宋体" w:eastAsia="宋体" w:cs="宋体"/>
          <w:color w:val="000000"/>
          <w:sz w:val="24"/>
        </w:rPr>
        <w:t> 因素：管理台帐完整、记录清晰、详实。</w:t>
      </w:r>
    </w:p>
    <w:p w14:paraId="74221602">
      <w:pPr>
        <w:wordWrap w:val="0"/>
        <w:spacing w:line="360" w:lineRule="exact"/>
        <w:ind w:firstLine="240" w:firstLineChars="100"/>
        <w:jc w:val="left"/>
      </w:pPr>
      <w:r>
        <w:rPr>
          <w:rFonts w:ascii="宋体" w:hAnsi="宋体" w:eastAsia="宋体" w:cs="宋体"/>
          <w:color w:val="000000"/>
          <w:sz w:val="24"/>
        </w:rPr>
        <w:t> （五）执行学校规章制度（4分）</w:t>
      </w:r>
    </w:p>
    <w:p w14:paraId="5AB32DDB">
      <w:pPr>
        <w:wordWrap w:val="0"/>
        <w:spacing w:line="360" w:lineRule="exact"/>
        <w:ind w:firstLine="240" w:firstLineChars="100"/>
        <w:jc w:val="left"/>
      </w:pPr>
      <w:r>
        <w:rPr>
          <w:rFonts w:ascii="宋体" w:hAnsi="宋体" w:eastAsia="宋体" w:cs="宋体"/>
          <w:color w:val="000000"/>
          <w:sz w:val="24"/>
        </w:rPr>
        <w:t> 因素：按时公布学校颁发的通知、规定，严格管理公共信息发布。</w:t>
      </w:r>
    </w:p>
    <w:p w14:paraId="26F31063">
      <w:pPr>
        <w:wordWrap w:val="0"/>
        <w:spacing w:line="360" w:lineRule="exact"/>
        <w:ind w:firstLine="240" w:firstLineChars="100"/>
        <w:jc w:val="left"/>
      </w:pPr>
      <w:r>
        <w:rPr>
          <w:rFonts w:ascii="宋体" w:hAnsi="宋体" w:eastAsia="宋体" w:cs="宋体"/>
          <w:color w:val="000000"/>
          <w:sz w:val="24"/>
        </w:rPr>
        <w:t> 二 、教育管理（40分）</w:t>
      </w:r>
    </w:p>
    <w:p w14:paraId="55C87A09">
      <w:pPr>
        <w:wordWrap w:val="0"/>
        <w:spacing w:line="360" w:lineRule="exact"/>
        <w:ind w:firstLine="240" w:firstLineChars="100"/>
        <w:jc w:val="left"/>
      </w:pPr>
      <w:r>
        <w:rPr>
          <w:rFonts w:ascii="宋体" w:hAnsi="宋体" w:eastAsia="宋体" w:cs="宋体"/>
          <w:color w:val="000000"/>
          <w:sz w:val="24"/>
        </w:rPr>
        <w:t> （一）突发事件汇报、处理及时度（5分）</w:t>
      </w:r>
    </w:p>
    <w:p w14:paraId="06FE7D78">
      <w:pPr>
        <w:wordWrap w:val="0"/>
        <w:spacing w:line="360" w:lineRule="exact"/>
        <w:ind w:firstLine="240" w:firstLineChars="100"/>
        <w:jc w:val="left"/>
      </w:pPr>
      <w:r>
        <w:rPr>
          <w:rFonts w:ascii="宋体" w:hAnsi="宋体" w:eastAsia="宋体" w:cs="宋体"/>
          <w:color w:val="000000"/>
          <w:sz w:val="24"/>
        </w:rPr>
        <w:t>  因素：对公寓内突发事件及时汇报，按照规定的工作程序处理。</w:t>
      </w:r>
    </w:p>
    <w:p w14:paraId="6C202208">
      <w:pPr>
        <w:wordWrap w:val="0"/>
        <w:spacing w:line="360" w:lineRule="exact"/>
        <w:ind w:firstLine="240" w:firstLineChars="100"/>
        <w:jc w:val="left"/>
      </w:pPr>
      <w:r>
        <w:rPr>
          <w:rFonts w:ascii="宋体" w:hAnsi="宋体" w:eastAsia="宋体" w:cs="宋体"/>
          <w:color w:val="000000"/>
          <w:sz w:val="24"/>
        </w:rPr>
        <w:t> （二）学生寝室卫生（10分）</w:t>
      </w:r>
    </w:p>
    <w:p w14:paraId="27C68B03">
      <w:pPr>
        <w:wordWrap w:val="0"/>
        <w:spacing w:line="360" w:lineRule="exact"/>
        <w:ind w:firstLine="240" w:firstLineChars="100"/>
        <w:jc w:val="left"/>
      </w:pPr>
      <w:r>
        <w:rPr>
          <w:rFonts w:ascii="宋体" w:hAnsi="宋体" w:eastAsia="宋体" w:cs="宋体"/>
          <w:color w:val="000000"/>
          <w:sz w:val="24"/>
        </w:rPr>
        <w:t>  因素：学生寝室物品、卧具摆放整齐，寝室干净整洁。</w:t>
      </w:r>
    </w:p>
    <w:p w14:paraId="06CFC08B">
      <w:pPr>
        <w:wordWrap w:val="0"/>
        <w:spacing w:line="360" w:lineRule="exact"/>
        <w:ind w:firstLine="240" w:firstLineChars="100"/>
        <w:jc w:val="left"/>
      </w:pPr>
      <w:r>
        <w:rPr>
          <w:rFonts w:ascii="宋体" w:hAnsi="宋体" w:eastAsia="宋体" w:cs="宋体"/>
          <w:color w:val="000000"/>
          <w:sz w:val="24"/>
        </w:rPr>
        <w:t> （三）教育工作到位度（10分）</w:t>
      </w:r>
    </w:p>
    <w:p w14:paraId="6B1A4ECA">
      <w:pPr>
        <w:wordWrap w:val="0"/>
        <w:spacing w:line="360" w:lineRule="exact"/>
        <w:ind w:firstLine="240" w:firstLineChars="100"/>
        <w:jc w:val="left"/>
      </w:pPr>
      <w:r>
        <w:rPr>
          <w:rFonts w:ascii="宋体" w:hAnsi="宋体" w:eastAsia="宋体" w:cs="宋体"/>
          <w:color w:val="000000"/>
          <w:sz w:val="24"/>
        </w:rPr>
        <w:t>  因素：1、学生违规情况及教育、处理。</w:t>
      </w:r>
    </w:p>
    <w:p w14:paraId="6B4D815C">
      <w:pPr>
        <w:wordWrap w:val="0"/>
        <w:spacing w:line="360" w:lineRule="exact"/>
        <w:ind w:firstLine="240" w:firstLineChars="100"/>
        <w:jc w:val="left"/>
      </w:pPr>
      <w:r>
        <w:rPr>
          <w:rFonts w:ascii="宋体" w:hAnsi="宋体" w:eastAsia="宋体" w:cs="宋体"/>
          <w:color w:val="000000"/>
          <w:sz w:val="24"/>
        </w:rPr>
        <w:t>     2、管理人员熟悉本公寓学生情况。</w:t>
      </w:r>
    </w:p>
    <w:p w14:paraId="17688881">
      <w:pPr>
        <w:wordWrap w:val="0"/>
        <w:spacing w:line="360" w:lineRule="exact"/>
        <w:ind w:firstLine="240" w:firstLineChars="100"/>
        <w:jc w:val="left"/>
      </w:pPr>
      <w:r>
        <w:rPr>
          <w:rFonts w:ascii="宋体" w:hAnsi="宋体" w:eastAsia="宋体" w:cs="宋体"/>
          <w:color w:val="000000"/>
          <w:sz w:val="24"/>
        </w:rPr>
        <w:t>     3、管理人员与院系工作配合，沟通协调。</w:t>
      </w:r>
    </w:p>
    <w:p w14:paraId="20498DDD">
      <w:pPr>
        <w:wordWrap w:val="0"/>
        <w:spacing w:line="360" w:lineRule="exact"/>
        <w:ind w:firstLine="240" w:firstLineChars="100"/>
        <w:jc w:val="left"/>
      </w:pPr>
      <w:r>
        <w:rPr>
          <w:rFonts w:ascii="宋体" w:hAnsi="宋体" w:eastAsia="宋体" w:cs="宋体"/>
          <w:color w:val="000000"/>
          <w:sz w:val="24"/>
        </w:rPr>
        <w:t> （四）与学生的思想交流（5分）</w:t>
      </w:r>
    </w:p>
    <w:p w14:paraId="40D41853">
      <w:pPr>
        <w:wordWrap w:val="0"/>
        <w:spacing w:line="360" w:lineRule="exact"/>
        <w:ind w:firstLine="240" w:firstLineChars="100"/>
        <w:jc w:val="left"/>
      </w:pPr>
      <w:r>
        <w:rPr>
          <w:rFonts w:ascii="宋体" w:hAnsi="宋体" w:eastAsia="宋体" w:cs="宋体"/>
          <w:color w:val="000000"/>
          <w:sz w:val="24"/>
        </w:rPr>
        <w:t>  因素：关注学生学习生活，与学生谈心制度。</w:t>
      </w:r>
    </w:p>
    <w:p w14:paraId="23B5F51B">
      <w:pPr>
        <w:wordWrap w:val="0"/>
        <w:spacing w:line="360" w:lineRule="exact"/>
        <w:ind w:firstLine="240" w:firstLineChars="100"/>
        <w:jc w:val="left"/>
      </w:pPr>
      <w:r>
        <w:rPr>
          <w:rFonts w:ascii="宋体" w:hAnsi="宋体" w:eastAsia="宋体" w:cs="宋体"/>
          <w:color w:val="000000"/>
          <w:sz w:val="24"/>
        </w:rPr>
        <w:t> （五）与宿管会的工作沟通（5分）</w:t>
      </w:r>
    </w:p>
    <w:p w14:paraId="1688D531">
      <w:pPr>
        <w:wordWrap w:val="0"/>
        <w:spacing w:line="360" w:lineRule="exact"/>
        <w:ind w:firstLine="240" w:firstLineChars="100"/>
        <w:jc w:val="left"/>
      </w:pPr>
      <w:r>
        <w:rPr>
          <w:rFonts w:ascii="宋体" w:hAnsi="宋体" w:eastAsia="宋体" w:cs="宋体"/>
          <w:color w:val="000000"/>
          <w:sz w:val="24"/>
        </w:rPr>
        <w:t>  因素：关心支持学生宿管会工作，沟通协调，接受监督。</w:t>
      </w:r>
    </w:p>
    <w:p w14:paraId="1A677E1D">
      <w:pPr>
        <w:wordWrap w:val="0"/>
        <w:spacing w:line="360" w:lineRule="exact"/>
        <w:ind w:firstLine="240" w:firstLineChars="100"/>
        <w:jc w:val="left"/>
      </w:pPr>
      <w:r>
        <w:rPr>
          <w:rFonts w:ascii="宋体" w:hAnsi="宋体" w:eastAsia="宋体" w:cs="宋体"/>
          <w:color w:val="000000"/>
          <w:sz w:val="24"/>
        </w:rPr>
        <w:t> （六）安全管理（5分）</w:t>
      </w:r>
    </w:p>
    <w:p w14:paraId="0F5DD2B0">
      <w:pPr>
        <w:wordWrap w:val="0"/>
        <w:spacing w:line="360" w:lineRule="exact"/>
        <w:ind w:firstLine="240" w:firstLineChars="100"/>
        <w:jc w:val="left"/>
      </w:pPr>
      <w:r>
        <w:rPr>
          <w:rFonts w:ascii="宋体" w:hAnsi="宋体" w:eastAsia="宋体" w:cs="宋体"/>
          <w:color w:val="000000"/>
          <w:sz w:val="24"/>
        </w:rPr>
        <w:t> 因素：安全制度、门卫制度及执行，防盗、防火措施，值夜与巡查。</w:t>
      </w:r>
    </w:p>
    <w:p w14:paraId="1D686D9A">
      <w:pPr>
        <w:wordWrap w:val="0"/>
        <w:spacing w:line="360" w:lineRule="exact"/>
        <w:ind w:firstLine="240" w:firstLineChars="100"/>
        <w:jc w:val="left"/>
      </w:pPr>
      <w:r>
        <w:rPr>
          <w:rFonts w:ascii="宋体" w:hAnsi="宋体" w:eastAsia="宋体" w:cs="宋体"/>
          <w:color w:val="000000"/>
          <w:sz w:val="24"/>
        </w:rPr>
        <w:t> 三 、文化创建（15分）</w:t>
      </w:r>
    </w:p>
    <w:p w14:paraId="4A41613F">
      <w:pPr>
        <w:wordWrap w:val="0"/>
        <w:spacing w:line="360" w:lineRule="exact"/>
        <w:ind w:firstLine="240" w:firstLineChars="100"/>
        <w:jc w:val="left"/>
      </w:pPr>
      <w:r>
        <w:rPr>
          <w:rFonts w:ascii="宋体" w:hAnsi="宋体" w:eastAsia="宋体" w:cs="宋体"/>
          <w:color w:val="000000"/>
          <w:sz w:val="24"/>
        </w:rPr>
        <w:t> （一）公寓文化气氛（5分）</w:t>
      </w:r>
    </w:p>
    <w:p w14:paraId="493C7F7C">
      <w:pPr>
        <w:wordWrap w:val="0"/>
        <w:spacing w:line="360" w:lineRule="exact"/>
        <w:ind w:firstLine="240" w:firstLineChars="100"/>
        <w:jc w:val="left"/>
      </w:pPr>
      <w:r>
        <w:rPr>
          <w:rFonts w:ascii="宋体" w:hAnsi="宋体" w:eastAsia="宋体" w:cs="宋体"/>
          <w:color w:val="000000"/>
          <w:sz w:val="24"/>
        </w:rPr>
        <w:t>  因素：文化气氛，迎送学生、节日庆贺。</w:t>
      </w:r>
    </w:p>
    <w:p w14:paraId="30F38A78">
      <w:pPr>
        <w:wordWrap w:val="0"/>
        <w:spacing w:line="360" w:lineRule="exact"/>
        <w:ind w:firstLine="240" w:firstLineChars="100"/>
        <w:jc w:val="left"/>
      </w:pPr>
      <w:r>
        <w:rPr>
          <w:rFonts w:ascii="宋体" w:hAnsi="宋体" w:eastAsia="宋体" w:cs="宋体"/>
          <w:color w:val="000000"/>
          <w:sz w:val="24"/>
        </w:rPr>
        <w:t> （二）公寓管理站开展的文化活动（5分）</w:t>
      </w:r>
    </w:p>
    <w:p w14:paraId="0A13EFF2">
      <w:pPr>
        <w:wordWrap w:val="0"/>
        <w:spacing w:line="360" w:lineRule="exact"/>
        <w:ind w:firstLine="240" w:firstLineChars="100"/>
        <w:jc w:val="left"/>
      </w:pPr>
      <w:r>
        <w:rPr>
          <w:rFonts w:ascii="宋体" w:hAnsi="宋体" w:eastAsia="宋体" w:cs="宋体"/>
          <w:color w:val="000000"/>
          <w:sz w:val="24"/>
        </w:rPr>
        <w:t>  因素：公寓主题活动的开展与效果。</w:t>
      </w:r>
    </w:p>
    <w:p w14:paraId="39E8BBEE">
      <w:pPr>
        <w:wordWrap w:val="0"/>
        <w:spacing w:line="360" w:lineRule="exact"/>
        <w:ind w:firstLine="240" w:firstLineChars="100"/>
        <w:jc w:val="left"/>
      </w:pPr>
      <w:r>
        <w:rPr>
          <w:rFonts w:ascii="宋体" w:hAnsi="宋体" w:eastAsia="宋体" w:cs="宋体"/>
          <w:color w:val="000000"/>
          <w:sz w:val="24"/>
        </w:rPr>
        <w:t> （三）公寓文化宣传（5分）</w:t>
      </w:r>
    </w:p>
    <w:p w14:paraId="307E68F6">
      <w:pPr>
        <w:wordWrap w:val="0"/>
        <w:spacing w:line="360" w:lineRule="exact"/>
        <w:ind w:firstLine="240" w:firstLineChars="100"/>
        <w:jc w:val="left"/>
      </w:pPr>
      <w:r>
        <w:rPr>
          <w:rFonts w:ascii="宋体" w:hAnsi="宋体" w:eastAsia="宋体" w:cs="宋体"/>
          <w:color w:val="000000"/>
          <w:sz w:val="24"/>
        </w:rPr>
        <w:t>  因素：对公寓内文化活动，先进事迹的宣传、报道。</w:t>
      </w:r>
    </w:p>
    <w:p w14:paraId="7C8D747D">
      <w:pPr>
        <w:wordWrap w:val="0"/>
        <w:spacing w:line="360" w:lineRule="exact"/>
        <w:ind w:firstLine="240" w:firstLineChars="100"/>
        <w:jc w:val="left"/>
      </w:pPr>
      <w:r>
        <w:rPr>
          <w:rFonts w:ascii="宋体" w:hAnsi="宋体" w:eastAsia="宋体" w:cs="宋体"/>
          <w:color w:val="000000"/>
          <w:sz w:val="24"/>
        </w:rPr>
        <w:t> 四 、日常服务（25分）</w:t>
      </w:r>
    </w:p>
    <w:p w14:paraId="59BAD86B">
      <w:pPr>
        <w:wordWrap w:val="0"/>
        <w:spacing w:line="360" w:lineRule="exact"/>
        <w:ind w:firstLine="240" w:firstLineChars="100"/>
        <w:jc w:val="left"/>
      </w:pPr>
      <w:r>
        <w:rPr>
          <w:rFonts w:ascii="宋体" w:hAnsi="宋体" w:eastAsia="宋体" w:cs="宋体"/>
          <w:color w:val="000000"/>
          <w:sz w:val="24"/>
        </w:rPr>
        <w:t> （一）服务工作态度（5分）</w:t>
      </w:r>
    </w:p>
    <w:p w14:paraId="700D6832">
      <w:pPr>
        <w:wordWrap w:val="0"/>
        <w:spacing w:line="360" w:lineRule="exact"/>
        <w:ind w:firstLine="240" w:firstLineChars="100"/>
        <w:jc w:val="left"/>
      </w:pPr>
      <w:r>
        <w:rPr>
          <w:rFonts w:ascii="宋体" w:hAnsi="宋体" w:eastAsia="宋体" w:cs="宋体"/>
          <w:color w:val="000000"/>
          <w:sz w:val="24"/>
        </w:rPr>
        <w:t> 因素：服务态度的调查或学生举报。</w:t>
      </w:r>
    </w:p>
    <w:p w14:paraId="4D633283">
      <w:pPr>
        <w:wordWrap w:val="0"/>
        <w:spacing w:line="360" w:lineRule="exact"/>
        <w:ind w:firstLine="240" w:firstLineChars="100"/>
        <w:jc w:val="left"/>
      </w:pPr>
      <w:r>
        <w:rPr>
          <w:rFonts w:ascii="宋体" w:hAnsi="宋体" w:eastAsia="宋体" w:cs="宋体"/>
          <w:color w:val="000000"/>
          <w:sz w:val="24"/>
        </w:rPr>
        <w:t> （二）公寓环境及寝室保洁（10分）</w:t>
      </w:r>
    </w:p>
    <w:p w14:paraId="7195983D">
      <w:pPr>
        <w:wordWrap w:val="0"/>
        <w:spacing w:line="360" w:lineRule="exact"/>
        <w:ind w:firstLine="240" w:firstLineChars="100"/>
        <w:jc w:val="left"/>
      </w:pPr>
      <w:r>
        <w:rPr>
          <w:rFonts w:ascii="宋体" w:hAnsi="宋体" w:eastAsia="宋体" w:cs="宋体"/>
          <w:color w:val="000000"/>
          <w:sz w:val="24"/>
        </w:rPr>
        <w:t> 因素：环境整洁，寝室公共区域整洁，保洁到位、效果良好。</w:t>
      </w:r>
    </w:p>
    <w:p w14:paraId="12FE5566">
      <w:pPr>
        <w:wordWrap w:val="0"/>
        <w:spacing w:line="360" w:lineRule="exact"/>
        <w:ind w:firstLine="240" w:firstLineChars="100"/>
        <w:jc w:val="left"/>
      </w:pPr>
      <w:r>
        <w:rPr>
          <w:rFonts w:ascii="宋体" w:hAnsi="宋体" w:eastAsia="宋体" w:cs="宋体"/>
          <w:color w:val="000000"/>
          <w:sz w:val="24"/>
        </w:rPr>
        <w:t> （三）设施、设备维护管理（10分）</w:t>
      </w:r>
    </w:p>
    <w:p w14:paraId="421ED9A2">
      <w:pPr>
        <w:wordWrap w:val="0"/>
        <w:spacing w:line="360" w:lineRule="exact"/>
        <w:ind w:firstLine="240" w:firstLineChars="100"/>
        <w:jc w:val="left"/>
      </w:pPr>
      <w:r>
        <w:rPr>
          <w:rFonts w:ascii="宋体" w:hAnsi="宋体" w:eastAsia="宋体" w:cs="宋体"/>
          <w:color w:val="000000"/>
          <w:sz w:val="24"/>
        </w:rPr>
        <w:t> 因素：维护操作熟练，修理及时，管理有序，设施、设备状态良好。</w:t>
      </w:r>
    </w:p>
    <w:p w14:paraId="349002CE">
      <w:pPr>
        <w:wordWrap w:val="0"/>
        <w:spacing w:line="360" w:lineRule="exact"/>
        <w:ind w:firstLine="240" w:firstLineChars="100"/>
        <w:jc w:val="left"/>
      </w:pPr>
      <w:r>
        <w:rPr>
          <w:rFonts w:ascii="宋体" w:hAnsi="宋体" w:eastAsia="宋体" w:cs="宋体"/>
          <w:color w:val="000000"/>
          <w:sz w:val="24"/>
        </w:rPr>
        <w:t> 在检查考核中发现的本考核实施细则中未涉及到的违规行为，由考核方根据合同及其附件参照细则中相关条款处理，因受托管理单位违规所引发的其它问题由学校另行处理，责任重大的将按有关法律程序处理。</w:t>
      </w:r>
    </w:p>
    <w:p w14:paraId="13C86258">
      <w:pPr>
        <w:wordWrap w:val="0"/>
        <w:spacing w:line="360" w:lineRule="exact"/>
        <w:ind w:firstLine="240" w:firstLineChars="100"/>
        <w:jc w:val="left"/>
      </w:pPr>
      <w:r>
        <w:rPr>
          <w:rFonts w:ascii="宋体" w:hAnsi="宋体" w:eastAsia="宋体" w:cs="宋体"/>
          <w:color w:val="000000"/>
          <w:sz w:val="24"/>
        </w:rPr>
        <w:t> 本检查考核实施细则、实施办法自合同生效日起实行，解释权归南京财经大学学生处。</w:t>
      </w:r>
    </w:p>
    <w:p w14:paraId="097184B7">
      <w:pPr>
        <w:wordWrap w:val="0"/>
        <w:spacing w:line="360" w:lineRule="exact"/>
        <w:ind w:firstLine="210" w:firstLineChars="100"/>
        <w:jc w:val="left"/>
      </w:pPr>
    </w:p>
    <w:p w14:paraId="62FD238A">
      <w:pPr>
        <w:wordWrap w:val="0"/>
        <w:spacing w:line="360" w:lineRule="exact"/>
        <w:ind w:firstLine="240" w:firstLineChars="100"/>
        <w:jc w:val="left"/>
      </w:pPr>
      <w:r>
        <w:rPr>
          <w:rFonts w:ascii="宋体" w:hAnsi="宋体" w:eastAsia="宋体" w:cs="宋体"/>
          <w:color w:val="000000"/>
          <w:sz w:val="24"/>
        </w:rPr>
        <w:t> </w:t>
      </w:r>
    </w:p>
    <w:p w14:paraId="244954C7">
      <w:r>
        <w:br w:type="page"/>
      </w:r>
    </w:p>
    <w:p w14:paraId="2C46227F">
      <w:pPr>
        <w:wordWrap w:val="0"/>
        <w:spacing w:line="360" w:lineRule="exact"/>
        <w:jc w:val="left"/>
      </w:pPr>
      <w:r>
        <w:rPr>
          <w:rFonts w:ascii="宋体" w:hAnsi="宋体" w:eastAsia="宋体" w:cs="宋体"/>
          <w:color w:val="000000"/>
          <w:sz w:val="24"/>
        </w:rPr>
        <w:t>附件8：</w:t>
      </w:r>
    </w:p>
    <w:p w14:paraId="19A63190">
      <w:pPr>
        <w:wordWrap w:val="0"/>
        <w:spacing w:line="360" w:lineRule="exact"/>
        <w:ind w:firstLine="240" w:firstLineChars="100"/>
        <w:jc w:val="center"/>
      </w:pPr>
      <w:r>
        <w:rPr>
          <w:rFonts w:ascii="宋体" w:hAnsi="宋体" w:eastAsia="宋体" w:cs="宋体"/>
          <w:color w:val="000000"/>
          <w:sz w:val="24"/>
        </w:rPr>
        <w:t> 南京财经大学物业管理暂行办法</w:t>
      </w:r>
    </w:p>
    <w:p w14:paraId="17C82979">
      <w:pPr>
        <w:wordWrap w:val="0"/>
        <w:spacing w:line="360" w:lineRule="exact"/>
        <w:ind w:firstLine="240" w:firstLineChars="100"/>
        <w:jc w:val="center"/>
      </w:pPr>
      <w:r>
        <w:rPr>
          <w:rFonts w:ascii="宋体" w:hAnsi="宋体" w:eastAsia="宋体" w:cs="宋体"/>
          <w:color w:val="000000"/>
          <w:sz w:val="24"/>
        </w:rPr>
        <w:t> 南财大后字[2019]1号</w:t>
      </w:r>
    </w:p>
    <w:p w14:paraId="74EBB75C">
      <w:pPr>
        <w:wordWrap w:val="0"/>
        <w:spacing w:line="360" w:lineRule="exact"/>
        <w:jc w:val="center"/>
      </w:pPr>
      <w:r>
        <w:rPr>
          <w:rFonts w:ascii="宋体" w:hAnsi="宋体" w:eastAsia="宋体" w:cs="宋体"/>
          <w:color w:val="000000"/>
          <w:sz w:val="24"/>
        </w:rPr>
        <w:t>第一章 总则</w:t>
      </w:r>
    </w:p>
    <w:p w14:paraId="11E62B4D">
      <w:pPr>
        <w:wordWrap w:val="0"/>
        <w:spacing w:line="360" w:lineRule="exact"/>
        <w:ind w:firstLine="240" w:firstLineChars="100"/>
        <w:jc w:val="left"/>
      </w:pPr>
      <w:r>
        <w:rPr>
          <w:rFonts w:ascii="宋体" w:hAnsi="宋体" w:eastAsia="宋体" w:cs="宋体"/>
          <w:color w:val="000000"/>
          <w:sz w:val="24"/>
        </w:rPr>
        <w:t> 第一条 为规范学校物业管理工作，保障教学、科研工作的顺利进行，营造清洁、优美、安全的校园环境，根据《江苏省物业管理条例》（2013年修订），结合学校实际，特制定本办法。</w:t>
      </w:r>
    </w:p>
    <w:p w14:paraId="4617EB95">
      <w:pPr>
        <w:wordWrap w:val="0"/>
        <w:spacing w:line="360" w:lineRule="exact"/>
        <w:ind w:firstLine="240" w:firstLineChars="100"/>
        <w:jc w:val="left"/>
      </w:pPr>
      <w:r>
        <w:rPr>
          <w:rFonts w:ascii="宋体" w:hAnsi="宋体" w:eastAsia="宋体" w:cs="宋体"/>
          <w:color w:val="000000"/>
          <w:sz w:val="24"/>
        </w:rPr>
        <w:t> 第二条 本办法所称物业，是指学校实行物业管理的公共建筑物及其附属建筑物、公共设施、周边附属场地等。</w:t>
      </w:r>
    </w:p>
    <w:p w14:paraId="1EB59F54">
      <w:pPr>
        <w:wordWrap w:val="0"/>
        <w:spacing w:line="360" w:lineRule="exact"/>
        <w:ind w:firstLine="240" w:firstLineChars="100"/>
        <w:jc w:val="left"/>
      </w:pPr>
      <w:r>
        <w:rPr>
          <w:rFonts w:ascii="宋体" w:hAnsi="宋体" w:eastAsia="宋体" w:cs="宋体"/>
          <w:color w:val="000000"/>
          <w:sz w:val="24"/>
        </w:rPr>
        <w:t> 第三条 本办法所称物业管理，是指学校通过选聘物业管理企业，由学校和物业管理企业按照物业管理服务合同约定，对学校公共建筑物及配套的设施设备和相关场地进行维修、养护、管理，维护相关区域内的环境卫生和秩序的活动。</w:t>
      </w:r>
    </w:p>
    <w:p w14:paraId="38AE1815">
      <w:pPr>
        <w:wordWrap w:val="0"/>
        <w:spacing w:line="360" w:lineRule="exact"/>
        <w:ind w:firstLine="240" w:firstLineChars="100"/>
        <w:jc w:val="left"/>
      </w:pPr>
      <w:r>
        <w:rPr>
          <w:rFonts w:ascii="宋体" w:hAnsi="宋体" w:eastAsia="宋体" w:cs="宋体"/>
          <w:color w:val="000000"/>
          <w:sz w:val="24"/>
        </w:rPr>
        <w:t> 第四条 学校通过公开、公平、公正的市场竞争机制选择物业管理服务企业。</w:t>
      </w:r>
    </w:p>
    <w:p w14:paraId="09DEAACF">
      <w:pPr>
        <w:wordWrap w:val="0"/>
        <w:spacing w:line="360" w:lineRule="exact"/>
        <w:ind w:firstLine="240" w:firstLineChars="100"/>
        <w:jc w:val="left"/>
      </w:pPr>
      <w:r>
        <w:rPr>
          <w:rFonts w:ascii="宋体" w:hAnsi="宋体" w:eastAsia="宋体" w:cs="宋体"/>
          <w:color w:val="000000"/>
          <w:sz w:val="24"/>
        </w:rPr>
        <w:t> 第五条 学校教学、科研、办公和学生生活等公共建筑及其附属建筑和设施设备、园林绿化、道路均须按本办法的规定统一实行物业管理。</w:t>
      </w:r>
    </w:p>
    <w:p w14:paraId="3E4B7E1F">
      <w:pPr>
        <w:wordWrap w:val="0"/>
        <w:spacing w:line="360" w:lineRule="exact"/>
        <w:ind w:firstLine="240" w:firstLineChars="100"/>
        <w:jc w:val="left"/>
      </w:pPr>
      <w:r>
        <w:rPr>
          <w:rFonts w:ascii="宋体" w:hAnsi="宋体" w:eastAsia="宋体" w:cs="宋体"/>
          <w:color w:val="000000"/>
          <w:sz w:val="24"/>
        </w:rPr>
        <w:t> 第六条 学校凡实行物业管理的各项活动，必须遵守本办法的规定。</w:t>
      </w:r>
    </w:p>
    <w:p w14:paraId="71324A91">
      <w:pPr>
        <w:wordWrap w:val="0"/>
        <w:spacing w:line="360" w:lineRule="exact"/>
        <w:jc w:val="center"/>
      </w:pPr>
      <w:r>
        <w:rPr>
          <w:rFonts w:ascii="宋体" w:hAnsi="宋体" w:eastAsia="宋体" w:cs="宋体"/>
          <w:color w:val="000000"/>
          <w:sz w:val="24"/>
        </w:rPr>
        <w:t>第二章 物业管理监管机构及职责</w:t>
      </w:r>
    </w:p>
    <w:p w14:paraId="31639EAD">
      <w:pPr>
        <w:wordWrap w:val="0"/>
        <w:spacing w:line="360" w:lineRule="exact"/>
        <w:ind w:firstLine="240" w:firstLineChars="100"/>
        <w:jc w:val="left"/>
      </w:pPr>
      <w:r>
        <w:rPr>
          <w:rFonts w:ascii="宋体" w:hAnsi="宋体" w:eastAsia="宋体" w:cs="宋体"/>
          <w:color w:val="000000"/>
          <w:sz w:val="24"/>
        </w:rPr>
        <w:t> 第七条 实行学校宏观综合管理与使用单位微观日常管理相结合，后勤保障处主导实施的分级管理模式。学校作为校内所有物业管理的唯一业主，后勤保障处代表学校对物业管理企业的管理活动行使监督管理职责，享有《江苏省物业管理条例》等法律法规赋予业主的相应权利，履行相应义务。</w:t>
      </w:r>
    </w:p>
    <w:p w14:paraId="55CB3261">
      <w:pPr>
        <w:wordWrap w:val="0"/>
        <w:spacing w:line="360" w:lineRule="exact"/>
        <w:jc w:val="left"/>
      </w:pPr>
      <w:r>
        <w:rPr>
          <w:rFonts w:ascii="宋体" w:hAnsi="宋体" w:eastAsia="宋体" w:cs="宋体"/>
          <w:color w:val="000000"/>
          <w:sz w:val="24"/>
        </w:rPr>
        <w:t>第八条 后勤保障处职责</w:t>
      </w:r>
    </w:p>
    <w:p w14:paraId="6F58A3C7">
      <w:pPr>
        <w:wordWrap w:val="0"/>
        <w:spacing w:line="360" w:lineRule="exact"/>
        <w:jc w:val="left"/>
      </w:pPr>
      <w:r>
        <w:rPr>
          <w:rFonts w:ascii="宋体" w:hAnsi="宋体" w:eastAsia="宋体" w:cs="宋体"/>
          <w:color w:val="000000"/>
          <w:sz w:val="24"/>
        </w:rPr>
        <w:t>（一）负责配合招投标中心组织学校物业管理招投标工作，代表学校与选聘的物业管理企业签订物业管理服务合同，并视物业管理企业的管理情况决定是否解聘物业管理企业；</w:t>
      </w:r>
    </w:p>
    <w:p w14:paraId="369002C1">
      <w:pPr>
        <w:wordWrap w:val="0"/>
        <w:spacing w:line="360" w:lineRule="exact"/>
        <w:ind w:firstLine="240" w:firstLineChars="100"/>
        <w:jc w:val="left"/>
      </w:pPr>
      <w:r>
        <w:rPr>
          <w:rFonts w:ascii="宋体" w:hAnsi="宋体" w:eastAsia="宋体" w:cs="宋体"/>
          <w:color w:val="000000"/>
          <w:sz w:val="24"/>
        </w:rPr>
        <w:t>（二）负责物业管理的考核管理工作，监督和检查物业管理企业履行物业服务合同情况；</w:t>
      </w:r>
    </w:p>
    <w:p w14:paraId="4DC66A86">
      <w:pPr>
        <w:wordWrap w:val="0"/>
        <w:spacing w:line="360" w:lineRule="exact"/>
        <w:ind w:firstLine="240" w:firstLineChars="100"/>
        <w:jc w:val="left"/>
      </w:pPr>
      <w:r>
        <w:rPr>
          <w:rFonts w:ascii="宋体" w:hAnsi="宋体" w:eastAsia="宋体" w:cs="宋体"/>
          <w:color w:val="000000"/>
          <w:sz w:val="24"/>
        </w:rPr>
        <w:t> （三）组织相关部门及师生定期对物业管理企业进行考核；</w:t>
      </w:r>
    </w:p>
    <w:p w14:paraId="4FF16A4D">
      <w:pPr>
        <w:wordWrap w:val="0"/>
        <w:spacing w:line="360" w:lineRule="exact"/>
        <w:jc w:val="left"/>
      </w:pPr>
      <w:r>
        <w:rPr>
          <w:rFonts w:ascii="宋体" w:hAnsi="宋体" w:eastAsia="宋体" w:cs="宋体"/>
          <w:color w:val="000000"/>
          <w:sz w:val="24"/>
        </w:rPr>
        <w:t>（四）汇总物业使用部门对物业管理的日常考核结果，及时了解物业使用部门对物业管理的意见、建议，受理物业管理活动中的投诉事宜；</w:t>
      </w:r>
    </w:p>
    <w:p w14:paraId="7B87DAB8">
      <w:pPr>
        <w:wordWrap w:val="0"/>
        <w:spacing w:line="360" w:lineRule="exact"/>
        <w:jc w:val="left"/>
      </w:pPr>
      <w:r>
        <w:rPr>
          <w:rFonts w:ascii="宋体" w:hAnsi="宋体" w:eastAsia="宋体" w:cs="宋体"/>
          <w:color w:val="000000"/>
          <w:sz w:val="24"/>
        </w:rPr>
        <w:t>（五）负责水电保障和物业服务范围外维修，协调物业维修工作，监督和检查物业管理公司的维修情况；</w:t>
      </w:r>
    </w:p>
    <w:p w14:paraId="25DEC160">
      <w:pPr>
        <w:wordWrap w:val="0"/>
        <w:spacing w:line="360" w:lineRule="exact"/>
        <w:jc w:val="left"/>
      </w:pPr>
      <w:r>
        <w:rPr>
          <w:rFonts w:ascii="宋体" w:hAnsi="宋体" w:eastAsia="宋体" w:cs="宋体"/>
          <w:color w:val="000000"/>
          <w:sz w:val="24"/>
        </w:rPr>
        <w:t>（六）负责物业管理费用的审核、支付；</w:t>
      </w:r>
    </w:p>
    <w:p w14:paraId="6DAD5584">
      <w:pPr>
        <w:wordWrap w:val="0"/>
        <w:spacing w:line="360" w:lineRule="exact"/>
        <w:jc w:val="left"/>
      </w:pPr>
      <w:r>
        <w:rPr>
          <w:rFonts w:ascii="宋体" w:hAnsi="宋体" w:eastAsia="宋体" w:cs="宋体"/>
          <w:color w:val="000000"/>
          <w:sz w:val="24"/>
        </w:rPr>
        <w:t>（七）负责制定、修改物业管理设施设备的使用、公共秩序和环境卫生的维护等有关物业管理方面的规章制度。</w:t>
      </w:r>
    </w:p>
    <w:p w14:paraId="2DB69A65">
      <w:pPr>
        <w:wordWrap w:val="0"/>
        <w:spacing w:line="360" w:lineRule="exact"/>
        <w:ind w:firstLine="240" w:firstLineChars="100"/>
        <w:jc w:val="left"/>
      </w:pPr>
      <w:r>
        <w:rPr>
          <w:rFonts w:ascii="宋体" w:hAnsi="宋体" w:eastAsia="宋体" w:cs="宋体"/>
          <w:color w:val="000000"/>
          <w:sz w:val="24"/>
        </w:rPr>
        <w:t> 第九条 保卫处职责 履行指导、监督各物业管理企业在消防安全和公共秩序维护管理方面的工作，协助物业管理企业处理物业管理区域内违反学校规定、违反物业管理规定的事宜，配备消防器材，处置各类安全事故，协助公安部门为安全事故，协助公安部门为安全事故提供法律和事实依据。参与物业企业招标标书消防及安保相关条款审定工作。</w:t>
      </w:r>
    </w:p>
    <w:p w14:paraId="514DEED4">
      <w:pPr>
        <w:wordWrap w:val="0"/>
        <w:spacing w:line="360" w:lineRule="exact"/>
        <w:ind w:firstLine="240" w:firstLineChars="100"/>
        <w:jc w:val="left"/>
      </w:pPr>
      <w:r>
        <w:rPr>
          <w:rFonts w:ascii="宋体" w:hAnsi="宋体" w:eastAsia="宋体" w:cs="宋体"/>
          <w:color w:val="000000"/>
          <w:sz w:val="24"/>
        </w:rPr>
        <w:t> 第十条 学生处、研究生院职责 代表学校履行对物业管理企业监管职责，负责学生公寓物业管理企业的监管和日常考核，协助处理学生公寓室内维修等有关事宜，参与学生公寓物业管理公司招标工作。</w:t>
      </w:r>
    </w:p>
    <w:p w14:paraId="35D02890">
      <w:pPr>
        <w:wordWrap w:val="0"/>
        <w:spacing w:line="360" w:lineRule="exact"/>
        <w:ind w:firstLine="240" w:firstLineChars="100"/>
        <w:jc w:val="left"/>
      </w:pPr>
      <w:r>
        <w:rPr>
          <w:rFonts w:ascii="宋体" w:hAnsi="宋体" w:eastAsia="宋体" w:cs="宋体"/>
          <w:color w:val="000000"/>
          <w:sz w:val="24"/>
        </w:rPr>
        <w:t> 第十一条 食品科学与工程学院、体育部、图书馆职责 负责工科楼、体育馆、图书馆物业管理企业的监管和日常考核，协助处理本部门建筑维修等有关事宜，参与本部门建筑物业管理企业招标工作。</w:t>
      </w:r>
    </w:p>
    <w:p w14:paraId="0DB0E539">
      <w:pPr>
        <w:wordWrap w:val="0"/>
        <w:spacing w:line="360" w:lineRule="exact"/>
        <w:ind w:firstLine="240" w:firstLineChars="100"/>
        <w:jc w:val="left"/>
      </w:pPr>
      <w:r>
        <w:rPr>
          <w:rFonts w:ascii="宋体" w:hAnsi="宋体" w:eastAsia="宋体" w:cs="宋体"/>
          <w:color w:val="000000"/>
          <w:sz w:val="24"/>
        </w:rPr>
        <w:t> 第十二条 教务处职责 负责教学楼使用秩序的管理，对教学楼开放时间、开放区域提出明确要求，参与教学楼物业管理企业的日常考核工作。</w:t>
      </w:r>
    </w:p>
    <w:p w14:paraId="56566511">
      <w:pPr>
        <w:wordWrap w:val="0"/>
        <w:spacing w:line="360" w:lineRule="exact"/>
        <w:ind w:firstLine="240" w:firstLineChars="100"/>
        <w:jc w:val="left"/>
      </w:pPr>
      <w:r>
        <w:rPr>
          <w:rFonts w:ascii="宋体" w:hAnsi="宋体" w:eastAsia="宋体" w:cs="宋体"/>
          <w:color w:val="000000"/>
          <w:sz w:val="24"/>
        </w:rPr>
        <w:t> 第十三条 基建处职责 履行协调、督促承建商在质量保证期内对所承建建筑物或设施进行维修保养的职责，履行对建筑物本体制定大中修计划、编列预算并进行维修的职责。</w:t>
      </w:r>
    </w:p>
    <w:p w14:paraId="4B702134">
      <w:pPr>
        <w:wordWrap w:val="0"/>
        <w:spacing w:line="360" w:lineRule="exact"/>
        <w:jc w:val="center"/>
      </w:pPr>
      <w:r>
        <w:rPr>
          <w:rFonts w:ascii="宋体" w:hAnsi="宋体" w:eastAsia="宋体" w:cs="宋体"/>
          <w:color w:val="000000"/>
          <w:sz w:val="24"/>
        </w:rPr>
        <w:t>第三章 物业管理企业</w:t>
      </w:r>
    </w:p>
    <w:p w14:paraId="27B6B48A">
      <w:pPr>
        <w:wordWrap w:val="0"/>
        <w:spacing w:line="360" w:lineRule="exact"/>
        <w:ind w:firstLine="240" w:firstLineChars="100"/>
        <w:jc w:val="left"/>
      </w:pPr>
      <w:r>
        <w:rPr>
          <w:rFonts w:ascii="宋体" w:hAnsi="宋体" w:eastAsia="宋体" w:cs="宋体"/>
          <w:color w:val="000000"/>
          <w:sz w:val="24"/>
        </w:rPr>
        <w:t> 第十四条 在学校从事物业管理的企业，必须具有独立法人和取得从事物业管理活动的相应资质。</w:t>
      </w:r>
    </w:p>
    <w:p w14:paraId="2738D425">
      <w:pPr>
        <w:wordWrap w:val="0"/>
        <w:spacing w:line="360" w:lineRule="exact"/>
        <w:ind w:firstLine="240" w:firstLineChars="100"/>
        <w:jc w:val="left"/>
      </w:pPr>
      <w:r>
        <w:rPr>
          <w:rFonts w:ascii="宋体" w:hAnsi="宋体" w:eastAsia="宋体" w:cs="宋体"/>
          <w:color w:val="000000"/>
          <w:sz w:val="24"/>
        </w:rPr>
        <w:t> 第十五条 从事物业管理与服务的人员应当按照国家有关规定，取得相应职业资格证书。</w:t>
      </w:r>
    </w:p>
    <w:p w14:paraId="4A2F6A41">
      <w:pPr>
        <w:wordWrap w:val="0"/>
        <w:spacing w:line="360" w:lineRule="exact"/>
        <w:ind w:firstLine="240" w:firstLineChars="100"/>
        <w:jc w:val="left"/>
      </w:pPr>
      <w:r>
        <w:rPr>
          <w:rFonts w:ascii="宋体" w:hAnsi="宋体" w:eastAsia="宋体" w:cs="宋体"/>
          <w:color w:val="000000"/>
          <w:sz w:val="24"/>
        </w:rPr>
        <w:t> 第十六条 物业管理企业必须遵守国家法律法规和学校的各项规章制度。</w:t>
      </w:r>
    </w:p>
    <w:p w14:paraId="180C1F26">
      <w:pPr>
        <w:wordWrap w:val="0"/>
        <w:spacing w:line="360" w:lineRule="exact"/>
        <w:ind w:firstLine="240" w:firstLineChars="100"/>
        <w:jc w:val="left"/>
      </w:pPr>
      <w:r>
        <w:rPr>
          <w:rFonts w:ascii="宋体" w:hAnsi="宋体" w:eastAsia="宋体" w:cs="宋体"/>
          <w:color w:val="000000"/>
          <w:sz w:val="24"/>
        </w:rPr>
        <w:t> 第十七条 物业管理企业享有根据有关法律法规规定和合同约定的管理权利。物业使用人应遵守物业管理公司为做好相关区域物业管理工作而制定的各项管理规定。</w:t>
      </w:r>
    </w:p>
    <w:p w14:paraId="2413BEFC">
      <w:pPr>
        <w:wordWrap w:val="0"/>
        <w:spacing w:line="360" w:lineRule="exact"/>
        <w:jc w:val="center"/>
      </w:pPr>
      <w:r>
        <w:rPr>
          <w:rFonts w:ascii="宋体" w:hAnsi="宋体" w:eastAsia="宋体" w:cs="宋体"/>
          <w:color w:val="000000"/>
          <w:sz w:val="24"/>
        </w:rPr>
        <w:t>第四章 物业的使用</w:t>
      </w:r>
    </w:p>
    <w:p w14:paraId="24929CA5">
      <w:pPr>
        <w:wordWrap w:val="0"/>
        <w:spacing w:line="360" w:lineRule="exact"/>
        <w:ind w:firstLine="240" w:firstLineChars="100"/>
        <w:jc w:val="left"/>
      </w:pPr>
      <w:r>
        <w:rPr>
          <w:rFonts w:ascii="宋体" w:hAnsi="宋体" w:eastAsia="宋体" w:cs="宋体"/>
          <w:color w:val="000000"/>
          <w:sz w:val="24"/>
        </w:rPr>
        <w:t> 第十八条 物业属学校公共资源，除学校统一分配或规定，任何单位或个人不得擅自占用学校物业。</w:t>
      </w:r>
    </w:p>
    <w:p w14:paraId="27902A47">
      <w:pPr>
        <w:wordWrap w:val="0"/>
        <w:spacing w:line="360" w:lineRule="exact"/>
        <w:ind w:firstLine="240" w:firstLineChars="100"/>
        <w:jc w:val="left"/>
      </w:pPr>
      <w:r>
        <w:rPr>
          <w:rFonts w:ascii="宋体" w:hAnsi="宋体" w:eastAsia="宋体" w:cs="宋体"/>
          <w:color w:val="000000"/>
          <w:sz w:val="24"/>
        </w:rPr>
        <w:t> 第十九条 物业使用部门及个人不得将物业转租、转借。</w:t>
      </w:r>
    </w:p>
    <w:p w14:paraId="60B2B271">
      <w:pPr>
        <w:wordWrap w:val="0"/>
        <w:spacing w:line="360" w:lineRule="exact"/>
        <w:ind w:firstLine="240" w:firstLineChars="100"/>
        <w:jc w:val="left"/>
      </w:pPr>
      <w:r>
        <w:rPr>
          <w:rFonts w:ascii="宋体" w:hAnsi="宋体" w:eastAsia="宋体" w:cs="宋体"/>
          <w:color w:val="000000"/>
          <w:sz w:val="24"/>
        </w:rPr>
        <w:t> 第二十条 物业管理企业可享有配置的管理用房使用权，物业管理企业不得擅自占用物业管理用房，管理用房必须严格用于物业管理活动，不得挪作它用。</w:t>
      </w:r>
    </w:p>
    <w:p w14:paraId="42749249">
      <w:pPr>
        <w:wordWrap w:val="0"/>
        <w:spacing w:line="360" w:lineRule="exact"/>
        <w:ind w:firstLine="240" w:firstLineChars="100"/>
        <w:jc w:val="left"/>
      </w:pPr>
      <w:r>
        <w:rPr>
          <w:rFonts w:ascii="宋体" w:hAnsi="宋体" w:eastAsia="宋体" w:cs="宋体"/>
          <w:color w:val="000000"/>
          <w:sz w:val="24"/>
        </w:rPr>
        <w:t> 第二十一条 任何单位和个人不得擅自改变物业用途。物业使用部门如确需对物业进行装修或安装可能改变物业外观的设施设备，必须事先书面报告后勤保障处，经后勤保障处审批同意后，在物业管理公司的指导下实施。</w:t>
      </w:r>
    </w:p>
    <w:p w14:paraId="0D1CD051">
      <w:pPr>
        <w:wordWrap w:val="0"/>
        <w:spacing w:line="360" w:lineRule="exact"/>
        <w:ind w:firstLine="240" w:firstLineChars="100"/>
        <w:jc w:val="left"/>
      </w:pPr>
      <w:r>
        <w:rPr>
          <w:rFonts w:ascii="宋体" w:hAnsi="宋体" w:eastAsia="宋体" w:cs="宋体"/>
          <w:color w:val="000000"/>
          <w:sz w:val="24"/>
        </w:rPr>
        <w:t> 第二十二条 物业使用部门必须遵守学校和物业管理公司制定的各项管理规定，维护物业整洁。物业管理区域禁止饲养宠物、家禽，禁止不经批准随意设立各类永久性的设施。宣传广告、宣传横幅等必须经保卫处批准，并到所在区域内的物业管理公司办理相关手续，方可张贴、悬挂。未经批准或未办理相关手续张贴悬挂的广告横幅，物业管理公司有权根据学校规定对其进行撤除、清理。</w:t>
      </w:r>
    </w:p>
    <w:p w14:paraId="25706614">
      <w:pPr>
        <w:wordWrap w:val="0"/>
        <w:spacing w:line="360" w:lineRule="exact"/>
        <w:ind w:firstLine="240" w:firstLineChars="100"/>
        <w:jc w:val="left"/>
      </w:pPr>
      <w:r>
        <w:rPr>
          <w:rFonts w:ascii="宋体" w:hAnsi="宋体" w:eastAsia="宋体" w:cs="宋体"/>
          <w:color w:val="000000"/>
          <w:sz w:val="24"/>
        </w:rPr>
        <w:t> 第二十三条 除学校统一规划的商业经营网点外，禁止一切临时性或永久性的商业经营摊点在物业管理区域内经营；宣传或公益性的临时摊点（不超过24小时），须经保卫处批准，向所负责区域的物业管理公司书面报告，并办理相关手续。</w:t>
      </w:r>
    </w:p>
    <w:p w14:paraId="6408DF03">
      <w:pPr>
        <w:wordWrap w:val="0"/>
        <w:spacing w:line="360" w:lineRule="exact"/>
        <w:jc w:val="center"/>
      </w:pPr>
      <w:r>
        <w:rPr>
          <w:rFonts w:ascii="宋体" w:hAnsi="宋体" w:eastAsia="宋体" w:cs="宋体"/>
          <w:color w:val="000000"/>
          <w:sz w:val="24"/>
        </w:rPr>
        <w:t>第五章 附则</w:t>
      </w:r>
    </w:p>
    <w:p w14:paraId="43605673">
      <w:pPr>
        <w:wordWrap w:val="0"/>
        <w:spacing w:line="360" w:lineRule="exact"/>
        <w:ind w:firstLine="240" w:firstLineChars="100"/>
        <w:jc w:val="left"/>
      </w:pPr>
      <w:r>
        <w:rPr>
          <w:rFonts w:ascii="宋体" w:hAnsi="宋体" w:eastAsia="宋体" w:cs="宋体"/>
          <w:color w:val="000000"/>
          <w:sz w:val="24"/>
        </w:rPr>
        <w:t> 第二十四条 各使用部门根据本办法和现职能制定管理考核办法。</w:t>
      </w:r>
    </w:p>
    <w:p w14:paraId="61E143E1">
      <w:pPr>
        <w:wordWrap w:val="0"/>
        <w:spacing w:line="360" w:lineRule="exact"/>
        <w:ind w:firstLine="240" w:firstLineChars="100"/>
        <w:jc w:val="left"/>
      </w:pPr>
      <w:r>
        <w:rPr>
          <w:rFonts w:ascii="宋体" w:hAnsi="宋体" w:eastAsia="宋体" w:cs="宋体"/>
          <w:color w:val="000000"/>
          <w:sz w:val="24"/>
        </w:rPr>
        <w:t> 第二十五条 本办法自公布之日起实施，由后勤保障处负责解释。</w:t>
      </w:r>
    </w:p>
    <w:p w14:paraId="19F6013B">
      <w:pPr>
        <w:wordWrap w:val="0"/>
        <w:spacing w:line="360" w:lineRule="exact"/>
        <w:ind w:firstLine="210" w:firstLineChars="100"/>
        <w:jc w:val="left"/>
      </w:pPr>
    </w:p>
    <w:p w14:paraId="0D99FCE5">
      <w:pPr>
        <w:wordWrap w:val="0"/>
        <w:spacing w:line="360" w:lineRule="exact"/>
        <w:ind w:firstLine="210" w:firstLineChars="100"/>
        <w:jc w:val="left"/>
      </w:pPr>
    </w:p>
    <w:p w14:paraId="6787831A">
      <w:pPr>
        <w:wordWrap w:val="0"/>
        <w:spacing w:line="360" w:lineRule="exact"/>
        <w:ind w:firstLine="240" w:firstLineChars="100"/>
        <w:jc w:val="right"/>
      </w:pPr>
      <w:r>
        <w:rPr>
          <w:rFonts w:ascii="宋体" w:hAnsi="宋体" w:eastAsia="宋体" w:cs="宋体"/>
          <w:color w:val="000000"/>
          <w:sz w:val="24"/>
        </w:rPr>
        <w:t> 南京财经大学校长办公室 2019年6月28日印</w:t>
      </w:r>
    </w:p>
    <w:p w14:paraId="54BD7933">
      <w:r>
        <w:br w:type="page"/>
      </w:r>
    </w:p>
    <w:p w14:paraId="03DF83EE">
      <w:pPr>
        <w:wordWrap w:val="0"/>
        <w:spacing w:line="360" w:lineRule="exact"/>
        <w:jc w:val="left"/>
      </w:pPr>
      <w:r>
        <w:rPr>
          <w:rFonts w:ascii="宋体" w:hAnsi="宋体" w:eastAsia="宋体" w:cs="宋体"/>
          <w:color w:val="000000"/>
          <w:sz w:val="24"/>
        </w:rPr>
        <w:t>附件9：</w:t>
      </w:r>
    </w:p>
    <w:p w14:paraId="30D4F23E">
      <w:pPr>
        <w:wordWrap w:val="0"/>
        <w:spacing w:line="360" w:lineRule="exact"/>
        <w:jc w:val="center"/>
      </w:pPr>
      <w:r>
        <w:rPr>
          <w:rFonts w:ascii="宋体" w:hAnsi="宋体" w:eastAsia="宋体" w:cs="宋体"/>
          <w:b/>
          <w:color w:val="000000"/>
          <w:sz w:val="24"/>
        </w:rPr>
        <w:t>物业公司维修项目清单</w:t>
      </w:r>
    </w:p>
    <w:p w14:paraId="745DF183">
      <w:pPr>
        <w:wordWrap w:val="0"/>
        <w:spacing w:line="360" w:lineRule="exact"/>
        <w:jc w:val="left"/>
      </w:pPr>
      <w:r>
        <w:rPr>
          <w:rFonts w:ascii="宋体" w:hAnsi="宋体" w:eastAsia="宋体" w:cs="宋体"/>
          <w:color w:val="000000"/>
          <w:sz w:val="24"/>
        </w:rPr>
        <w:t>一、普通楼宇的维修内容</w:t>
      </w:r>
    </w:p>
    <w:p w14:paraId="5307293F">
      <w:pPr>
        <w:wordWrap w:val="0"/>
        <w:spacing w:line="360" w:lineRule="exact"/>
        <w:jc w:val="left"/>
      </w:pPr>
      <w:r>
        <w:rPr>
          <w:rFonts w:ascii="宋体" w:hAnsi="宋体" w:eastAsia="宋体" w:cs="宋体"/>
          <w:color w:val="000000"/>
          <w:sz w:val="24"/>
        </w:rPr>
        <w:t>1、普通玻璃（窗户玻璃及消防栓玻璃等）、镜子、窗附属配件（纱窗、搭扣、把手、滚轮、连杆等）的维修更换，玻璃门、窗帘更换除外。简单的木质品维修，课桌椅的维护和零星维修，黑板的维护。</w:t>
      </w:r>
    </w:p>
    <w:p w14:paraId="54C63D10">
      <w:pPr>
        <w:wordWrap w:val="0"/>
        <w:spacing w:line="360" w:lineRule="exact"/>
        <w:jc w:val="left"/>
      </w:pPr>
      <w:r>
        <w:rPr>
          <w:rFonts w:ascii="宋体" w:hAnsi="宋体" w:eastAsia="宋体" w:cs="宋体"/>
          <w:color w:val="000000"/>
          <w:sz w:val="24"/>
        </w:rPr>
        <w:t>2、会议室、报告厅、教室、教师休息室、办公室等普通楼宇内的门锁、壁柜锁、抽屉锁、书柜锁等的维修以及锁体、锁芯的更换，家具配件（铰链、搭扣、插销、拉手等）包括办公室所有门锁的维修与更换。</w:t>
      </w:r>
    </w:p>
    <w:p w14:paraId="54216D39">
      <w:pPr>
        <w:wordWrap w:val="0"/>
        <w:spacing w:line="360" w:lineRule="exact"/>
        <w:jc w:val="left"/>
      </w:pPr>
      <w:r>
        <w:rPr>
          <w:rFonts w:ascii="宋体" w:hAnsi="宋体" w:eastAsia="宋体" w:cs="宋体"/>
          <w:color w:val="000000"/>
          <w:sz w:val="24"/>
        </w:rPr>
        <w:t>3、卫生间（含洗漱间）、开水炉的所有水龙头、软管及阀门（三角阀、混水阀、4分和6分的闸阀等），淋浴喷头（花洒）的维修与更换，盥洗池、拖把池和便池等配套设施的维修。</w:t>
      </w:r>
    </w:p>
    <w:p w14:paraId="2167F874">
      <w:pPr>
        <w:wordWrap w:val="0"/>
        <w:spacing w:line="360" w:lineRule="exact"/>
        <w:jc w:val="left"/>
      </w:pPr>
      <w:r>
        <w:rPr>
          <w:rFonts w:ascii="宋体" w:hAnsi="宋体" w:eastAsia="宋体" w:cs="宋体"/>
          <w:color w:val="000000"/>
          <w:sz w:val="24"/>
        </w:rPr>
        <w:t>4、卫生间内隔板五金配件的简单维修与更换，小便感应器、水箱附件总成、蹲坑的冲水阀和连接管等维修与更换，坐便器配件（如浮球阀、连接管等）的维修与更换。</w:t>
      </w:r>
    </w:p>
    <w:p w14:paraId="2CB33E54">
      <w:pPr>
        <w:wordWrap w:val="0"/>
        <w:spacing w:line="360" w:lineRule="exact"/>
        <w:jc w:val="left"/>
      </w:pPr>
      <w:r>
        <w:rPr>
          <w:rFonts w:ascii="宋体" w:hAnsi="宋体" w:eastAsia="宋体" w:cs="宋体"/>
          <w:color w:val="000000"/>
          <w:sz w:val="24"/>
        </w:rPr>
        <w:t>5、标段内室内水管、下水管道疏通与维修，水管与地漏（包括排污水管）、便池的疏通（不能以无法疏通为借口而推辞）等，需破墙和破地的除外。</w:t>
      </w:r>
    </w:p>
    <w:p w14:paraId="736ADB3A">
      <w:pPr>
        <w:wordWrap w:val="0"/>
        <w:spacing w:line="360" w:lineRule="exact"/>
        <w:jc w:val="left"/>
      </w:pPr>
      <w:r>
        <w:rPr>
          <w:rFonts w:ascii="宋体" w:hAnsi="宋体" w:eastAsia="宋体" w:cs="宋体"/>
          <w:color w:val="000000"/>
          <w:sz w:val="24"/>
        </w:rPr>
        <w:t>6、各建筑物内（包含走廊、卫生间、楼梯道、会议室、实验室、教室、办公室、大礼堂等范围）墙壁开关盒起，出线端后，包括开关盒内空气开关（含漏保；二次设备的电路故障修理和小型零配件的更换；照明灯具（开关、空开、常规灯泡、灯管、灯头、灯罩、灯脚、镇流器等）的维修与更换，特种灯泡和路灯除外。</w:t>
      </w:r>
    </w:p>
    <w:p w14:paraId="6569418B">
      <w:pPr>
        <w:wordWrap w:val="0"/>
        <w:spacing w:line="360" w:lineRule="exact"/>
        <w:jc w:val="left"/>
      </w:pPr>
      <w:r>
        <w:rPr>
          <w:rFonts w:ascii="宋体" w:hAnsi="宋体" w:eastAsia="宋体" w:cs="宋体"/>
          <w:color w:val="000000"/>
          <w:sz w:val="24"/>
        </w:rPr>
        <w:t>7、建筑物内庭院灯，从路灯控制开关起，包括控制路灯线路的空气开关、时控器等以及路灯光源、灯头、灯罩的维修与更换。</w:t>
      </w:r>
    </w:p>
    <w:p w14:paraId="12046CE8">
      <w:pPr>
        <w:wordWrap w:val="0"/>
        <w:spacing w:line="360" w:lineRule="exact"/>
        <w:jc w:val="left"/>
      </w:pPr>
      <w:r>
        <w:rPr>
          <w:rFonts w:ascii="宋体" w:hAnsi="宋体" w:eastAsia="宋体" w:cs="宋体"/>
          <w:color w:val="000000"/>
          <w:sz w:val="24"/>
        </w:rPr>
        <w:t>8、室内电路设备的维护、维修、小型零配件（面板、空开、插座、保险丝、漏保等）的更换。电路故障排查：建筑物内出现照明、空调等二次设备存在非设备问题的断电情况，对电路进行故障排查。</w:t>
      </w:r>
    </w:p>
    <w:p w14:paraId="4ED2B9FA">
      <w:pPr>
        <w:wordWrap w:val="0"/>
        <w:spacing w:line="360" w:lineRule="exact"/>
        <w:jc w:val="left"/>
      </w:pPr>
      <w:r>
        <w:rPr>
          <w:rFonts w:ascii="宋体" w:hAnsi="宋体" w:eastAsia="宋体" w:cs="宋体"/>
          <w:color w:val="000000"/>
          <w:sz w:val="24"/>
        </w:rPr>
        <w:t>二、管理和维护</w:t>
      </w:r>
    </w:p>
    <w:p w14:paraId="0535806B">
      <w:pPr>
        <w:wordWrap w:val="0"/>
        <w:spacing w:line="360" w:lineRule="exact"/>
        <w:jc w:val="left"/>
      </w:pPr>
      <w:r>
        <w:rPr>
          <w:rFonts w:ascii="宋体" w:hAnsi="宋体" w:eastAsia="宋体" w:cs="宋体"/>
          <w:color w:val="000000"/>
          <w:sz w:val="24"/>
        </w:rPr>
        <w:t>1、地垫（电梯间、礼堂、大门）的清洗和更换。</w:t>
      </w:r>
    </w:p>
    <w:p w14:paraId="708C3F1E">
      <w:pPr>
        <w:wordWrap w:val="0"/>
        <w:spacing w:line="360" w:lineRule="exact"/>
        <w:jc w:val="left"/>
      </w:pPr>
      <w:r>
        <w:rPr>
          <w:rFonts w:ascii="宋体" w:hAnsi="宋体" w:eastAsia="宋体" w:cs="宋体"/>
          <w:color w:val="000000"/>
          <w:sz w:val="24"/>
        </w:rPr>
        <w:t>2、电风扇的定期清洗、维修，风扇调速器的维修与更换。</w:t>
      </w:r>
    </w:p>
    <w:p w14:paraId="4F5E4F38">
      <w:pPr>
        <w:wordWrap w:val="0"/>
        <w:spacing w:line="360" w:lineRule="exact"/>
        <w:jc w:val="left"/>
      </w:pPr>
      <w:r>
        <w:rPr>
          <w:rFonts w:ascii="宋体" w:hAnsi="宋体" w:eastAsia="宋体" w:cs="宋体"/>
          <w:color w:val="000000"/>
          <w:sz w:val="24"/>
        </w:rPr>
        <w:t>3、门头的定期清洗和维护，信箱、宣传栏的维修（不含更换）。</w:t>
      </w:r>
    </w:p>
    <w:p w14:paraId="7011F1C8">
      <w:pPr>
        <w:wordWrap w:val="0"/>
        <w:spacing w:line="360" w:lineRule="exact"/>
        <w:jc w:val="left"/>
      </w:pPr>
      <w:r>
        <w:rPr>
          <w:rFonts w:ascii="宋体" w:hAnsi="宋体" w:eastAsia="宋体" w:cs="宋体"/>
          <w:color w:val="000000"/>
          <w:sz w:val="24"/>
        </w:rPr>
        <w:t>4、室外设备的定期维护，如水龙头、水箱做好冬季保温防备工作。</w:t>
      </w:r>
    </w:p>
    <w:p w14:paraId="7B7568B5">
      <w:pPr>
        <w:wordWrap w:val="0"/>
        <w:spacing w:line="360" w:lineRule="exact"/>
        <w:jc w:val="left"/>
      </w:pPr>
      <w:r>
        <w:rPr>
          <w:rFonts w:ascii="宋体" w:hAnsi="宋体" w:eastAsia="宋体" w:cs="宋体"/>
          <w:color w:val="000000"/>
          <w:sz w:val="24"/>
        </w:rPr>
        <w:t>5、电梯的协助维保。</w:t>
      </w:r>
    </w:p>
    <w:p w14:paraId="623EED0D">
      <w:pPr>
        <w:wordWrap w:val="0"/>
        <w:spacing w:line="360" w:lineRule="exact"/>
        <w:jc w:val="left"/>
      </w:pPr>
      <w:r>
        <w:rPr>
          <w:rFonts w:ascii="宋体" w:hAnsi="宋体" w:eastAsia="宋体" w:cs="宋体"/>
          <w:color w:val="000000"/>
          <w:sz w:val="24"/>
        </w:rPr>
        <w:t>6、会议室、教室、教师休息室、报告厅空调的协助维保。</w:t>
      </w:r>
    </w:p>
    <w:p w14:paraId="2318EAF5">
      <w:pPr>
        <w:wordWrap w:val="0"/>
        <w:spacing w:line="360" w:lineRule="exact"/>
        <w:jc w:val="left"/>
      </w:pPr>
      <w:r>
        <w:rPr>
          <w:rFonts w:ascii="宋体" w:hAnsi="宋体" w:eastAsia="宋体" w:cs="宋体"/>
          <w:color w:val="000000"/>
          <w:sz w:val="24"/>
        </w:rPr>
        <w:t>7、礼堂、报告厅、会议室灯光及音响设备的协助维护。</w:t>
      </w:r>
    </w:p>
    <w:p w14:paraId="0DFA8DAD">
      <w:pPr>
        <w:wordWrap w:val="0"/>
        <w:spacing w:line="360" w:lineRule="exact"/>
        <w:jc w:val="left"/>
      </w:pPr>
      <w:r>
        <w:rPr>
          <w:rFonts w:ascii="宋体" w:hAnsi="宋体" w:eastAsia="宋体" w:cs="宋体"/>
          <w:color w:val="000000"/>
          <w:sz w:val="24"/>
        </w:rPr>
        <w:t>8、行政楼和食工楼的玻璃顶、财务处玻璃外墙、食工楼大厅外侧四周玻璃墙（三米以内）的清洗，三米以上的高空作业必须由具备高空作业资质的专业人员清洗，物业公司承担安全责任。</w:t>
      </w:r>
    </w:p>
    <w:p w14:paraId="6019E310">
      <w:pPr>
        <w:wordWrap w:val="0"/>
        <w:spacing w:line="360" w:lineRule="exact"/>
        <w:jc w:val="left"/>
      </w:pPr>
      <w:r>
        <w:rPr>
          <w:rFonts w:ascii="宋体" w:hAnsi="宋体" w:eastAsia="宋体" w:cs="宋体"/>
          <w:color w:val="000000"/>
          <w:sz w:val="24"/>
        </w:rPr>
        <w:t>9、室内的卫生间纸篓、茶水桶、垃圾筐和大厅、过道垃圾桶的配置及更换，道路垃圾桶和垃圾站垃圾桶的维护、维修和更换。</w:t>
      </w:r>
    </w:p>
    <w:p w14:paraId="5C28C603">
      <w:pPr>
        <w:wordWrap w:val="0"/>
        <w:spacing w:line="360" w:lineRule="exact"/>
        <w:jc w:val="left"/>
      </w:pPr>
      <w:r>
        <w:rPr>
          <w:rFonts w:ascii="宋体" w:hAnsi="宋体" w:eastAsia="宋体" w:cs="宋体"/>
          <w:color w:val="000000"/>
          <w:sz w:val="24"/>
        </w:rPr>
        <w:t>三、配件更换等品牌要求</w:t>
      </w:r>
    </w:p>
    <w:p w14:paraId="23413BD5">
      <w:pPr>
        <w:wordWrap w:val="0"/>
        <w:spacing w:line="360" w:lineRule="exact"/>
        <w:jc w:val="left"/>
      </w:pPr>
      <w:r>
        <w:rPr>
          <w:rFonts w:ascii="宋体" w:hAnsi="宋体" w:eastAsia="宋体" w:cs="宋体"/>
          <w:color w:val="000000"/>
          <w:sz w:val="24"/>
        </w:rPr>
        <w:t>1、空气开关、漏保、插座、面板等电路方面二次设备更换品牌统一规定为：正泰。</w:t>
      </w:r>
    </w:p>
    <w:p w14:paraId="18A10C95">
      <w:pPr>
        <w:wordWrap w:val="0"/>
        <w:spacing w:line="360" w:lineRule="exact"/>
        <w:jc w:val="left"/>
      </w:pPr>
      <w:r>
        <w:rPr>
          <w:rFonts w:ascii="宋体" w:hAnsi="宋体" w:eastAsia="宋体" w:cs="宋体"/>
          <w:color w:val="000000"/>
          <w:sz w:val="24"/>
        </w:rPr>
        <w:t>2、灯泡、灯管等照明灯具更换品牌统一规定为：欧普。灯具类型统一规定为：LED灯具。更换照明灯具功率需与更换前灯具功率一致。</w:t>
      </w:r>
    </w:p>
    <w:p w14:paraId="756C7E6D">
      <w:pPr>
        <w:wordWrap w:val="0"/>
        <w:spacing w:line="360" w:lineRule="exact"/>
        <w:jc w:val="left"/>
      </w:pPr>
      <w:r>
        <w:rPr>
          <w:rFonts w:ascii="宋体" w:hAnsi="宋体" w:eastAsia="宋体" w:cs="宋体"/>
          <w:color w:val="000000"/>
          <w:sz w:val="24"/>
        </w:rPr>
        <w:t>3、卫生间（含洗漱间）内所有水龙头、软管及阀门（三角阀、闸阀等）、淋浴喷头（花洒）、下水管、蹲坑冲水阀、浮球阀、连接管等配件的更换品牌统一规定为：九牧。为保证盥洗池等设施齐整美观，更换自来水龙头等配套设施时，需与配套设施形状、规格一致。</w:t>
      </w:r>
    </w:p>
    <w:p w14:paraId="5E3B14AE">
      <w:pPr>
        <w:wordWrap w:val="0"/>
        <w:spacing w:line="360" w:lineRule="exact"/>
        <w:jc w:val="left"/>
      </w:pPr>
      <w:r>
        <w:rPr>
          <w:rFonts w:ascii="宋体" w:hAnsi="宋体" w:eastAsia="宋体" w:cs="宋体"/>
          <w:color w:val="000000"/>
          <w:sz w:val="24"/>
        </w:rPr>
        <w:t>4、五金配件的更换材质统一规定为：304不锈钢。</w:t>
      </w:r>
    </w:p>
    <w:p w14:paraId="1B95456F">
      <w:pPr>
        <w:wordWrap w:val="0"/>
        <w:spacing w:line="360" w:lineRule="exact"/>
        <w:ind w:firstLine="240" w:firstLineChars="100"/>
        <w:jc w:val="left"/>
      </w:pPr>
      <w:r>
        <w:rPr>
          <w:rFonts w:ascii="宋体" w:hAnsi="宋体" w:eastAsia="宋体" w:cs="宋体"/>
          <w:color w:val="000000"/>
          <w:sz w:val="24"/>
        </w:rPr>
        <w:t> 四、各类楼宇另有针对性的维修内容</w:t>
      </w:r>
    </w:p>
    <w:p w14:paraId="48956E38">
      <w:pPr>
        <w:wordWrap w:val="0"/>
        <w:spacing w:line="360" w:lineRule="exact"/>
        <w:ind w:firstLine="240" w:firstLineChars="100"/>
        <w:jc w:val="left"/>
      </w:pPr>
      <w:r>
        <w:rPr>
          <w:rFonts w:ascii="宋体" w:hAnsi="宋体" w:eastAsia="宋体" w:cs="宋体"/>
          <w:color w:val="000000"/>
          <w:sz w:val="24"/>
        </w:rPr>
        <w:t> 1、学生宿舍</w:t>
      </w:r>
    </w:p>
    <w:p w14:paraId="27B22B58">
      <w:pPr>
        <w:wordWrap w:val="0"/>
        <w:spacing w:line="360" w:lineRule="exact"/>
        <w:ind w:firstLine="240" w:firstLineChars="100"/>
        <w:jc w:val="left"/>
      </w:pPr>
      <w:r>
        <w:rPr>
          <w:rFonts w:ascii="宋体" w:hAnsi="宋体" w:eastAsia="宋体" w:cs="宋体"/>
          <w:color w:val="000000"/>
          <w:sz w:val="24"/>
        </w:rPr>
        <w:t> 承担学生公寓小型项目的维修，负责对超过维保责任期的小型设备、设施进行维修或更换。具体维修范围除了普通楼宇维修项目外还有以下内容：</w:t>
      </w:r>
    </w:p>
    <w:p w14:paraId="79359001">
      <w:pPr>
        <w:wordWrap w:val="0"/>
        <w:spacing w:line="360" w:lineRule="exact"/>
        <w:ind w:firstLine="240" w:firstLineChars="100"/>
        <w:jc w:val="left"/>
      </w:pPr>
      <w:r>
        <w:rPr>
          <w:rFonts w:ascii="宋体" w:hAnsi="宋体" w:eastAsia="宋体" w:cs="宋体"/>
          <w:color w:val="000000"/>
          <w:sz w:val="24"/>
        </w:rPr>
        <w:t> （1）门、窗附属配件（纱窗、玻璃、搭扣、把手、窗帘、窗帘轨道）的修理与更换。</w:t>
      </w:r>
    </w:p>
    <w:p w14:paraId="16E269AE">
      <w:pPr>
        <w:wordWrap w:val="0"/>
        <w:spacing w:line="360" w:lineRule="exact"/>
        <w:ind w:firstLine="240" w:firstLineChars="100"/>
        <w:jc w:val="left"/>
      </w:pPr>
      <w:r>
        <w:rPr>
          <w:rFonts w:ascii="宋体" w:hAnsi="宋体" w:eastAsia="宋体" w:cs="宋体"/>
          <w:color w:val="000000"/>
          <w:sz w:val="24"/>
        </w:rPr>
        <w:t> （2）床俱（床架、床板、床护栏、床梯）、家具（沙发、茶几、电视柜、壁柜、鞋柜、桌椅）的修理（不含更换）。</w:t>
      </w:r>
    </w:p>
    <w:p w14:paraId="06FD00AC">
      <w:pPr>
        <w:wordWrap w:val="0"/>
        <w:spacing w:line="360" w:lineRule="exact"/>
        <w:ind w:firstLine="240" w:firstLineChars="100"/>
        <w:jc w:val="left"/>
      </w:pPr>
      <w:r>
        <w:rPr>
          <w:rFonts w:ascii="宋体" w:hAnsi="宋体" w:eastAsia="宋体" w:cs="宋体"/>
          <w:color w:val="000000"/>
          <w:sz w:val="24"/>
        </w:rPr>
        <w:t> （3）信箱、宣传栏的修理（不含更换）。</w:t>
      </w:r>
    </w:p>
    <w:p w14:paraId="330F6C66">
      <w:pPr>
        <w:wordWrap w:val="0"/>
        <w:spacing w:line="360" w:lineRule="exact"/>
        <w:ind w:firstLine="240" w:firstLineChars="100"/>
        <w:jc w:val="left"/>
      </w:pPr>
      <w:r>
        <w:rPr>
          <w:rFonts w:ascii="宋体" w:hAnsi="宋体" w:eastAsia="宋体" w:cs="宋体"/>
          <w:color w:val="000000"/>
          <w:sz w:val="24"/>
        </w:rPr>
        <w:t> （4）毛巾架、放物架、镜子、阳台晒衣架的修理与更换。</w:t>
      </w:r>
    </w:p>
    <w:p w14:paraId="71BE5B72">
      <w:pPr>
        <w:wordWrap w:val="0"/>
        <w:spacing w:line="360" w:lineRule="exact"/>
        <w:ind w:firstLine="240" w:firstLineChars="100"/>
        <w:jc w:val="left"/>
      </w:pPr>
      <w:r>
        <w:rPr>
          <w:rFonts w:ascii="宋体" w:hAnsi="宋体" w:eastAsia="宋体" w:cs="宋体"/>
          <w:color w:val="000000"/>
          <w:sz w:val="24"/>
        </w:rPr>
        <w:t> （5）管理站玻璃门、简单的木制品等的维修。</w:t>
      </w:r>
    </w:p>
    <w:p w14:paraId="2EC70ED0">
      <w:pPr>
        <w:wordWrap w:val="0"/>
        <w:spacing w:line="360" w:lineRule="exact"/>
        <w:ind w:firstLine="240" w:firstLineChars="100"/>
        <w:jc w:val="left"/>
      </w:pPr>
      <w:r>
        <w:rPr>
          <w:rFonts w:ascii="宋体" w:hAnsi="宋体" w:eastAsia="宋体" w:cs="宋体"/>
          <w:color w:val="000000"/>
          <w:sz w:val="24"/>
        </w:rPr>
        <w:t> （6）寝室内及公共部位墙面污损的涂料覆盖。</w:t>
      </w:r>
    </w:p>
    <w:p w14:paraId="259018B5">
      <w:r>
        <w:br w:type="page"/>
      </w:r>
    </w:p>
    <w:p w14:paraId="241094BF">
      <w:pPr>
        <w:wordWrap w:val="0"/>
        <w:spacing w:line="360" w:lineRule="exact"/>
        <w:jc w:val="left"/>
      </w:pPr>
      <w:r>
        <w:rPr>
          <w:rFonts w:ascii="宋体" w:hAnsi="宋体" w:eastAsia="宋体" w:cs="宋体"/>
          <w:color w:val="000000"/>
          <w:sz w:val="24"/>
        </w:rPr>
        <w:t>附件10</w:t>
      </w:r>
    </w:p>
    <w:p w14:paraId="2B2737AF">
      <w:pPr>
        <w:wordWrap w:val="0"/>
        <w:spacing w:line="360" w:lineRule="exact"/>
        <w:jc w:val="center"/>
      </w:pPr>
      <w:r>
        <w:rPr>
          <w:rFonts w:ascii="宋体" w:hAnsi="宋体" w:eastAsia="宋体" w:cs="宋体"/>
          <w:color w:val="000000"/>
          <w:sz w:val="24"/>
        </w:rPr>
        <w:t>南京财经大学物业服务消防安全工作日常考核标准</w:t>
      </w:r>
    </w:p>
    <w:tbl>
      <w:tblPr>
        <w:tblStyle w:val="5"/>
        <w:tblW w:w="8280" w:type="dxa"/>
        <w:jc w:val="center"/>
        <w:tblBorders>
          <w:top w:val="none" w:color="auto" w:sz="0" w:space="0"/>
          <w:left w:val="none" w:color="auto" w:sz="0" w:space="0"/>
          <w:bottom w:val="none" w:color="auto" w:sz="0" w:space="0"/>
          <w:right w:val="none" w:color="auto" w:sz="0" w:space="0"/>
          <w:insideH w:val="single" w:color="auto" w:sz="0" w:space="0"/>
          <w:insideV w:val="single" w:color="auto" w:sz="0" w:space="0"/>
        </w:tblBorders>
        <w:tblLayout w:type="autofit"/>
        <w:tblCellMar>
          <w:top w:w="0" w:type="dxa"/>
          <w:left w:w="10" w:type="dxa"/>
          <w:bottom w:w="0" w:type="dxa"/>
          <w:right w:w="10" w:type="dxa"/>
        </w:tblCellMar>
      </w:tblPr>
      <w:tblGrid>
        <w:gridCol w:w="420"/>
        <w:gridCol w:w="870"/>
        <w:gridCol w:w="5730"/>
        <w:gridCol w:w="420"/>
        <w:gridCol w:w="420"/>
        <w:gridCol w:w="420"/>
      </w:tblGrid>
      <w:tr w14:paraId="34851CDB">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420" w:type="dxa"/>
            <w:tcBorders>
              <w:top w:val="single" w:color="000000" w:sz="6" w:space="0"/>
              <w:left w:val="single" w:color="000000" w:sz="6" w:space="0"/>
              <w:bottom w:val="single" w:color="000000" w:sz="6" w:space="0"/>
              <w:right w:val="single" w:color="000000" w:sz="6" w:space="0"/>
            </w:tcBorders>
            <w:vAlign w:val="center"/>
          </w:tcPr>
          <w:p w14:paraId="1A8FF551">
            <w:pPr>
              <w:wordWrap w:val="0"/>
              <w:spacing w:line="315" w:lineRule="exact"/>
              <w:jc w:val="center"/>
            </w:pPr>
            <w:r>
              <w:rPr>
                <w:rFonts w:ascii="宋体" w:hAnsi="宋体" w:eastAsia="宋体" w:cs="宋体"/>
                <w:color w:val="000000"/>
              </w:rPr>
              <w:t>序号</w:t>
            </w:r>
          </w:p>
        </w:tc>
        <w:tc>
          <w:tcPr>
            <w:tcW w:w="870" w:type="dxa"/>
            <w:tcBorders>
              <w:top w:val="single" w:color="000000" w:sz="6" w:space="0"/>
              <w:left w:val="nil"/>
              <w:bottom w:val="single" w:color="000000" w:sz="6" w:space="0"/>
              <w:right w:val="single" w:color="000000" w:sz="6" w:space="0"/>
            </w:tcBorders>
            <w:vAlign w:val="center"/>
          </w:tcPr>
          <w:p w14:paraId="1FC2D582">
            <w:pPr>
              <w:wordWrap w:val="0"/>
              <w:spacing w:line="315" w:lineRule="exact"/>
              <w:jc w:val="center"/>
            </w:pPr>
            <w:r>
              <w:rPr>
                <w:rFonts w:ascii="宋体" w:hAnsi="宋体" w:eastAsia="宋体" w:cs="宋体"/>
                <w:color w:val="000000"/>
              </w:rPr>
              <w:t>项目</w:t>
            </w:r>
          </w:p>
        </w:tc>
        <w:tc>
          <w:tcPr>
            <w:tcW w:w="5730" w:type="dxa"/>
            <w:tcBorders>
              <w:top w:val="single" w:color="000000" w:sz="6" w:space="0"/>
              <w:left w:val="nil"/>
              <w:bottom w:val="single" w:color="000000" w:sz="6" w:space="0"/>
              <w:right w:val="single" w:color="000000" w:sz="6" w:space="0"/>
            </w:tcBorders>
            <w:vAlign w:val="center"/>
          </w:tcPr>
          <w:p w14:paraId="10858EBB">
            <w:pPr>
              <w:wordWrap w:val="0"/>
              <w:spacing w:line="315" w:lineRule="exact"/>
              <w:jc w:val="center"/>
            </w:pPr>
            <w:r>
              <w:rPr>
                <w:rFonts w:ascii="宋体" w:hAnsi="宋体" w:eastAsia="宋体" w:cs="宋体"/>
                <w:color w:val="000000"/>
              </w:rPr>
              <w:t>分项检查及考核内容</w:t>
            </w:r>
          </w:p>
        </w:tc>
        <w:tc>
          <w:tcPr>
            <w:tcW w:w="420" w:type="dxa"/>
            <w:tcBorders>
              <w:top w:val="single" w:color="000000" w:sz="6" w:space="0"/>
              <w:left w:val="nil"/>
              <w:bottom w:val="single" w:color="000000" w:sz="6" w:space="0"/>
              <w:right w:val="single" w:color="000000" w:sz="6" w:space="0"/>
            </w:tcBorders>
            <w:vAlign w:val="center"/>
          </w:tcPr>
          <w:p w14:paraId="6EC15FBE">
            <w:pPr>
              <w:wordWrap w:val="0"/>
              <w:spacing w:line="315" w:lineRule="exact"/>
              <w:jc w:val="center"/>
            </w:pPr>
            <w:r>
              <w:rPr>
                <w:rFonts w:ascii="宋体" w:hAnsi="宋体" w:eastAsia="宋体" w:cs="宋体"/>
                <w:color w:val="000000"/>
              </w:rPr>
              <w:t>分值</w:t>
            </w:r>
          </w:p>
        </w:tc>
        <w:tc>
          <w:tcPr>
            <w:tcW w:w="420" w:type="dxa"/>
            <w:tcBorders>
              <w:top w:val="single" w:color="000000" w:sz="6" w:space="0"/>
              <w:left w:val="nil"/>
              <w:bottom w:val="single" w:color="000000" w:sz="6" w:space="0"/>
              <w:right w:val="single" w:color="000000" w:sz="6" w:space="0"/>
            </w:tcBorders>
            <w:vAlign w:val="center"/>
          </w:tcPr>
          <w:p w14:paraId="0B82E4A0">
            <w:pPr>
              <w:wordWrap w:val="0"/>
              <w:spacing w:line="315" w:lineRule="exact"/>
              <w:jc w:val="center"/>
            </w:pPr>
            <w:r>
              <w:rPr>
                <w:rFonts w:ascii="宋体" w:hAnsi="宋体" w:eastAsia="宋体" w:cs="宋体"/>
                <w:color w:val="000000"/>
              </w:rPr>
              <w:t>扣值</w:t>
            </w:r>
          </w:p>
        </w:tc>
        <w:tc>
          <w:tcPr>
            <w:tcW w:w="420" w:type="dxa"/>
            <w:tcBorders>
              <w:top w:val="single" w:color="000000" w:sz="6" w:space="0"/>
              <w:left w:val="nil"/>
              <w:bottom w:val="single" w:color="000000" w:sz="6" w:space="0"/>
              <w:right w:val="single" w:color="000000" w:sz="6" w:space="0"/>
            </w:tcBorders>
            <w:vAlign w:val="center"/>
          </w:tcPr>
          <w:p w14:paraId="3789977B">
            <w:pPr>
              <w:wordWrap w:val="0"/>
              <w:spacing w:line="315" w:lineRule="exact"/>
              <w:jc w:val="center"/>
            </w:pPr>
            <w:r>
              <w:rPr>
                <w:rFonts w:ascii="宋体" w:hAnsi="宋体" w:eastAsia="宋体" w:cs="宋体"/>
                <w:color w:val="000000"/>
              </w:rPr>
              <w:t>得分</w:t>
            </w:r>
          </w:p>
        </w:tc>
      </w:tr>
      <w:tr w14:paraId="5F5F533E">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420" w:type="dxa"/>
            <w:tcBorders>
              <w:top w:val="nil"/>
              <w:left w:val="single" w:color="000000" w:sz="6" w:space="0"/>
              <w:bottom w:val="single" w:color="000000" w:sz="6" w:space="0"/>
              <w:right w:val="single" w:color="000000" w:sz="6" w:space="0"/>
            </w:tcBorders>
            <w:vAlign w:val="center"/>
          </w:tcPr>
          <w:p w14:paraId="71B0C8DC">
            <w:pPr>
              <w:wordWrap w:val="0"/>
              <w:spacing w:line="315" w:lineRule="exact"/>
              <w:jc w:val="center"/>
            </w:pPr>
            <w:r>
              <w:rPr>
                <w:rFonts w:ascii="宋体" w:hAnsi="宋体" w:eastAsia="宋体" w:cs="宋体"/>
                <w:color w:val="000000"/>
              </w:rPr>
              <w:t>1</w:t>
            </w:r>
          </w:p>
        </w:tc>
        <w:tc>
          <w:tcPr>
            <w:tcW w:w="870" w:type="dxa"/>
            <w:tcBorders>
              <w:top w:val="nil"/>
              <w:left w:val="nil"/>
              <w:bottom w:val="single" w:color="000000" w:sz="6" w:space="0"/>
              <w:right w:val="single" w:color="000000" w:sz="6" w:space="0"/>
            </w:tcBorders>
            <w:vAlign w:val="center"/>
          </w:tcPr>
          <w:p w14:paraId="26168ED1">
            <w:pPr>
              <w:wordWrap w:val="0"/>
              <w:spacing w:line="315" w:lineRule="exact"/>
              <w:jc w:val="center"/>
            </w:pPr>
            <w:r>
              <w:rPr>
                <w:rFonts w:ascii="宋体" w:hAnsi="宋体" w:eastAsia="宋体" w:cs="宋体"/>
                <w:color w:val="000000"/>
              </w:rPr>
              <w:t>相关制度</w:t>
            </w:r>
          </w:p>
        </w:tc>
        <w:tc>
          <w:tcPr>
            <w:tcW w:w="5730" w:type="dxa"/>
            <w:tcBorders>
              <w:top w:val="nil"/>
              <w:left w:val="nil"/>
              <w:bottom w:val="single" w:color="000000" w:sz="6" w:space="0"/>
              <w:right w:val="single" w:color="000000" w:sz="6" w:space="0"/>
            </w:tcBorders>
            <w:vAlign w:val="center"/>
          </w:tcPr>
          <w:p w14:paraId="4A71BB2C">
            <w:pPr>
              <w:wordWrap w:val="0"/>
              <w:spacing w:line="315" w:lineRule="exact"/>
              <w:jc w:val="left"/>
            </w:pPr>
            <w:r>
              <w:rPr>
                <w:rFonts w:ascii="宋体" w:hAnsi="宋体" w:eastAsia="宋体" w:cs="宋体"/>
                <w:color w:val="000000"/>
              </w:rPr>
              <w:t>制定消防安全相关制度和消防安全操作规程；实行消防安全责任制，确定本项目的消防安全责任人，制定灭火和应急疏散预案</w:t>
            </w:r>
          </w:p>
        </w:tc>
        <w:tc>
          <w:tcPr>
            <w:tcW w:w="420" w:type="dxa"/>
            <w:tcBorders>
              <w:top w:val="nil"/>
              <w:left w:val="nil"/>
              <w:bottom w:val="single" w:color="000000" w:sz="6" w:space="0"/>
              <w:right w:val="single" w:color="000000" w:sz="6" w:space="0"/>
            </w:tcBorders>
            <w:vAlign w:val="center"/>
          </w:tcPr>
          <w:p w14:paraId="08265942">
            <w:pPr>
              <w:wordWrap w:val="0"/>
              <w:spacing w:line="315" w:lineRule="exact"/>
              <w:jc w:val="center"/>
            </w:pPr>
            <w:r>
              <w:rPr>
                <w:rFonts w:ascii="宋体" w:hAnsi="宋体" w:eastAsia="宋体" w:cs="宋体"/>
                <w:color w:val="000000"/>
              </w:rPr>
              <w:t>10</w:t>
            </w:r>
          </w:p>
        </w:tc>
        <w:tc>
          <w:tcPr>
            <w:tcW w:w="420" w:type="dxa"/>
            <w:tcBorders>
              <w:top w:val="nil"/>
              <w:left w:val="nil"/>
              <w:bottom w:val="single" w:color="000000" w:sz="6" w:space="0"/>
              <w:right w:val="single" w:color="000000" w:sz="6" w:space="0"/>
            </w:tcBorders>
            <w:vAlign w:val="center"/>
          </w:tcPr>
          <w:p w14:paraId="423AFD63">
            <w:pPr>
              <w:wordWrap w:val="0"/>
              <w:spacing w:line="315" w:lineRule="exact"/>
              <w:ind w:firstLine="210" w:firstLineChars="100"/>
              <w:jc w:val="center"/>
            </w:pPr>
          </w:p>
        </w:tc>
        <w:tc>
          <w:tcPr>
            <w:tcW w:w="420" w:type="dxa"/>
            <w:tcBorders>
              <w:top w:val="nil"/>
              <w:left w:val="nil"/>
              <w:bottom w:val="single" w:color="000000" w:sz="6" w:space="0"/>
              <w:right w:val="single" w:color="000000" w:sz="6" w:space="0"/>
            </w:tcBorders>
            <w:vAlign w:val="center"/>
          </w:tcPr>
          <w:p w14:paraId="6C179295">
            <w:pPr>
              <w:wordWrap w:val="0"/>
              <w:spacing w:line="315" w:lineRule="exact"/>
              <w:ind w:firstLine="210" w:firstLineChars="100"/>
              <w:jc w:val="center"/>
            </w:pPr>
          </w:p>
        </w:tc>
      </w:tr>
      <w:tr w14:paraId="7866CCC8">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420" w:type="dxa"/>
            <w:tcBorders>
              <w:top w:val="nil"/>
              <w:left w:val="single" w:color="000000" w:sz="6" w:space="0"/>
              <w:bottom w:val="single" w:color="000000" w:sz="6" w:space="0"/>
              <w:right w:val="single" w:color="000000" w:sz="6" w:space="0"/>
            </w:tcBorders>
            <w:vAlign w:val="center"/>
          </w:tcPr>
          <w:p w14:paraId="670947C4">
            <w:pPr>
              <w:wordWrap w:val="0"/>
              <w:spacing w:line="315" w:lineRule="exact"/>
              <w:jc w:val="center"/>
            </w:pPr>
            <w:r>
              <w:rPr>
                <w:rFonts w:ascii="宋体" w:hAnsi="宋体" w:eastAsia="宋体" w:cs="宋体"/>
                <w:color w:val="000000"/>
              </w:rPr>
              <w:t>2</w:t>
            </w:r>
          </w:p>
        </w:tc>
        <w:tc>
          <w:tcPr>
            <w:tcW w:w="870" w:type="dxa"/>
            <w:vMerge w:val="restart"/>
            <w:tcBorders>
              <w:top w:val="nil"/>
              <w:left w:val="nil"/>
              <w:bottom w:val="single" w:color="000000" w:sz="6" w:space="0"/>
              <w:right w:val="single" w:color="000000" w:sz="6" w:space="0"/>
            </w:tcBorders>
            <w:vAlign w:val="center"/>
          </w:tcPr>
          <w:p w14:paraId="6A1306AA">
            <w:pPr>
              <w:wordWrap w:val="0"/>
              <w:spacing w:line="315" w:lineRule="exact"/>
              <w:jc w:val="center"/>
            </w:pPr>
            <w:r>
              <w:rPr>
                <w:rFonts w:ascii="宋体" w:hAnsi="宋体" w:eastAsia="宋体" w:cs="宋体"/>
                <w:color w:val="000000"/>
              </w:rPr>
              <w:t>消防设施定期检查</w:t>
            </w:r>
          </w:p>
        </w:tc>
        <w:tc>
          <w:tcPr>
            <w:tcW w:w="5730" w:type="dxa"/>
            <w:tcBorders>
              <w:top w:val="nil"/>
              <w:left w:val="nil"/>
              <w:bottom w:val="single" w:color="000000" w:sz="6" w:space="0"/>
              <w:right w:val="single" w:color="000000" w:sz="6" w:space="0"/>
            </w:tcBorders>
            <w:vAlign w:val="center"/>
          </w:tcPr>
          <w:p w14:paraId="76F38723">
            <w:pPr>
              <w:wordWrap w:val="0"/>
              <w:spacing w:line="315" w:lineRule="exact"/>
              <w:jc w:val="left"/>
            </w:pPr>
            <w:r>
              <w:rPr>
                <w:rFonts w:ascii="宋体" w:hAnsi="宋体" w:eastAsia="宋体" w:cs="宋体"/>
                <w:color w:val="000000"/>
              </w:rPr>
              <w:t>定期检查灭火器是否过期、欠压</w:t>
            </w:r>
          </w:p>
        </w:tc>
        <w:tc>
          <w:tcPr>
            <w:tcW w:w="420" w:type="dxa"/>
            <w:tcBorders>
              <w:top w:val="nil"/>
              <w:left w:val="nil"/>
              <w:bottom w:val="single" w:color="000000" w:sz="6" w:space="0"/>
              <w:right w:val="single" w:color="000000" w:sz="6" w:space="0"/>
            </w:tcBorders>
            <w:vAlign w:val="center"/>
          </w:tcPr>
          <w:p w14:paraId="779452AE">
            <w:pPr>
              <w:wordWrap w:val="0"/>
              <w:spacing w:line="315" w:lineRule="exact"/>
              <w:jc w:val="center"/>
            </w:pPr>
            <w:r>
              <w:rPr>
                <w:rFonts w:ascii="宋体" w:hAnsi="宋体" w:eastAsia="宋体" w:cs="宋体"/>
                <w:color w:val="000000"/>
              </w:rPr>
              <w:t>10</w:t>
            </w:r>
          </w:p>
        </w:tc>
        <w:tc>
          <w:tcPr>
            <w:tcW w:w="420" w:type="dxa"/>
            <w:tcBorders>
              <w:top w:val="nil"/>
              <w:left w:val="nil"/>
              <w:bottom w:val="single" w:color="000000" w:sz="6" w:space="0"/>
              <w:right w:val="single" w:color="000000" w:sz="6" w:space="0"/>
            </w:tcBorders>
            <w:vAlign w:val="center"/>
          </w:tcPr>
          <w:p w14:paraId="1034DEEA">
            <w:pPr>
              <w:wordWrap w:val="0"/>
              <w:spacing w:line="315" w:lineRule="exact"/>
              <w:ind w:firstLine="210" w:firstLineChars="100"/>
              <w:jc w:val="center"/>
            </w:pPr>
          </w:p>
        </w:tc>
        <w:tc>
          <w:tcPr>
            <w:tcW w:w="420" w:type="dxa"/>
            <w:tcBorders>
              <w:top w:val="nil"/>
              <w:left w:val="nil"/>
              <w:bottom w:val="single" w:color="000000" w:sz="6" w:space="0"/>
              <w:right w:val="single" w:color="000000" w:sz="6" w:space="0"/>
            </w:tcBorders>
            <w:vAlign w:val="center"/>
          </w:tcPr>
          <w:p w14:paraId="57587AAB">
            <w:pPr>
              <w:wordWrap w:val="0"/>
              <w:spacing w:line="315" w:lineRule="exact"/>
              <w:ind w:firstLine="210" w:firstLineChars="100"/>
              <w:jc w:val="center"/>
            </w:pPr>
          </w:p>
        </w:tc>
      </w:tr>
      <w:tr w14:paraId="566283A5">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420" w:type="dxa"/>
            <w:tcBorders>
              <w:top w:val="nil"/>
              <w:left w:val="single" w:color="000000" w:sz="6" w:space="0"/>
              <w:bottom w:val="single" w:color="000000" w:sz="6" w:space="0"/>
              <w:right w:val="single" w:color="000000" w:sz="6" w:space="0"/>
            </w:tcBorders>
            <w:vAlign w:val="center"/>
          </w:tcPr>
          <w:p w14:paraId="1ACB0C9E">
            <w:pPr>
              <w:wordWrap w:val="0"/>
              <w:spacing w:line="315" w:lineRule="exact"/>
              <w:jc w:val="center"/>
            </w:pPr>
            <w:r>
              <w:rPr>
                <w:rFonts w:ascii="宋体" w:hAnsi="宋体" w:eastAsia="宋体" w:cs="宋体"/>
                <w:color w:val="000000"/>
              </w:rPr>
              <w:t>3</w:t>
            </w:r>
          </w:p>
        </w:tc>
        <w:tc>
          <w:tcPr>
            <w:tcW w:w="870" w:type="dxa"/>
            <w:vMerge w:val="continue"/>
            <w:tcBorders>
              <w:top w:val="nil"/>
              <w:left w:val="nil"/>
              <w:bottom w:val="single" w:color="000000" w:sz="6" w:space="0"/>
              <w:right w:val="single" w:color="000000" w:sz="6" w:space="0"/>
            </w:tcBorders>
          </w:tcPr>
          <w:p w14:paraId="7AAFDBE4"/>
        </w:tc>
        <w:tc>
          <w:tcPr>
            <w:tcW w:w="5730" w:type="dxa"/>
            <w:tcBorders>
              <w:top w:val="nil"/>
              <w:left w:val="nil"/>
              <w:bottom w:val="single" w:color="000000" w:sz="6" w:space="0"/>
              <w:right w:val="single" w:color="000000" w:sz="6" w:space="0"/>
            </w:tcBorders>
            <w:vAlign w:val="center"/>
          </w:tcPr>
          <w:p w14:paraId="4793B981">
            <w:pPr>
              <w:wordWrap w:val="0"/>
              <w:spacing w:line="315" w:lineRule="exact"/>
              <w:jc w:val="left"/>
            </w:pPr>
            <w:r>
              <w:rPr>
                <w:rFonts w:ascii="宋体" w:hAnsi="宋体" w:eastAsia="宋体" w:cs="宋体"/>
                <w:color w:val="000000"/>
              </w:rPr>
              <w:t>定期检查室内消火栓箱内设施有误缺失，消防栓头有无锈蚀、是否出水，保持消火栓箱内整洁</w:t>
            </w:r>
          </w:p>
        </w:tc>
        <w:tc>
          <w:tcPr>
            <w:tcW w:w="420" w:type="dxa"/>
            <w:tcBorders>
              <w:top w:val="nil"/>
              <w:left w:val="nil"/>
              <w:bottom w:val="single" w:color="000000" w:sz="6" w:space="0"/>
              <w:right w:val="single" w:color="000000" w:sz="6" w:space="0"/>
            </w:tcBorders>
            <w:vAlign w:val="center"/>
          </w:tcPr>
          <w:p w14:paraId="0940777D">
            <w:pPr>
              <w:wordWrap w:val="0"/>
              <w:spacing w:line="315" w:lineRule="exact"/>
              <w:jc w:val="center"/>
            </w:pPr>
            <w:r>
              <w:rPr>
                <w:rFonts w:ascii="宋体" w:hAnsi="宋体" w:eastAsia="宋体" w:cs="宋体"/>
                <w:color w:val="000000"/>
              </w:rPr>
              <w:t>10</w:t>
            </w:r>
          </w:p>
        </w:tc>
        <w:tc>
          <w:tcPr>
            <w:tcW w:w="420" w:type="dxa"/>
            <w:tcBorders>
              <w:top w:val="nil"/>
              <w:left w:val="nil"/>
              <w:bottom w:val="single" w:color="000000" w:sz="6" w:space="0"/>
              <w:right w:val="single" w:color="000000" w:sz="6" w:space="0"/>
            </w:tcBorders>
            <w:vAlign w:val="center"/>
          </w:tcPr>
          <w:p w14:paraId="09349FED">
            <w:pPr>
              <w:wordWrap w:val="0"/>
              <w:spacing w:line="315" w:lineRule="exact"/>
              <w:ind w:firstLine="210" w:firstLineChars="100"/>
              <w:jc w:val="center"/>
            </w:pPr>
          </w:p>
        </w:tc>
        <w:tc>
          <w:tcPr>
            <w:tcW w:w="420" w:type="dxa"/>
            <w:tcBorders>
              <w:top w:val="nil"/>
              <w:left w:val="nil"/>
              <w:bottom w:val="single" w:color="000000" w:sz="6" w:space="0"/>
              <w:right w:val="single" w:color="000000" w:sz="6" w:space="0"/>
            </w:tcBorders>
            <w:vAlign w:val="center"/>
          </w:tcPr>
          <w:p w14:paraId="42E7EC56">
            <w:pPr>
              <w:wordWrap w:val="0"/>
              <w:spacing w:line="315" w:lineRule="exact"/>
              <w:ind w:firstLine="210" w:firstLineChars="100"/>
              <w:jc w:val="center"/>
            </w:pPr>
          </w:p>
        </w:tc>
      </w:tr>
      <w:tr w14:paraId="1283D54A">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420" w:type="dxa"/>
            <w:tcBorders>
              <w:top w:val="nil"/>
              <w:left w:val="single" w:color="000000" w:sz="6" w:space="0"/>
              <w:bottom w:val="single" w:color="000000" w:sz="6" w:space="0"/>
              <w:right w:val="single" w:color="000000" w:sz="6" w:space="0"/>
            </w:tcBorders>
            <w:vAlign w:val="center"/>
          </w:tcPr>
          <w:p w14:paraId="1C613A11">
            <w:pPr>
              <w:wordWrap w:val="0"/>
              <w:spacing w:line="315" w:lineRule="exact"/>
              <w:jc w:val="center"/>
            </w:pPr>
            <w:r>
              <w:rPr>
                <w:rFonts w:ascii="宋体" w:hAnsi="宋体" w:eastAsia="宋体" w:cs="宋体"/>
                <w:color w:val="000000"/>
              </w:rPr>
              <w:t>4</w:t>
            </w:r>
          </w:p>
        </w:tc>
        <w:tc>
          <w:tcPr>
            <w:tcW w:w="870" w:type="dxa"/>
            <w:vMerge w:val="continue"/>
            <w:tcBorders>
              <w:top w:val="nil"/>
              <w:left w:val="nil"/>
              <w:bottom w:val="single" w:color="000000" w:sz="6" w:space="0"/>
              <w:right w:val="single" w:color="000000" w:sz="6" w:space="0"/>
            </w:tcBorders>
          </w:tcPr>
          <w:p w14:paraId="58FD71F2"/>
        </w:tc>
        <w:tc>
          <w:tcPr>
            <w:tcW w:w="5730" w:type="dxa"/>
            <w:tcBorders>
              <w:top w:val="nil"/>
              <w:left w:val="nil"/>
              <w:bottom w:val="single" w:color="000000" w:sz="6" w:space="0"/>
              <w:right w:val="single" w:color="000000" w:sz="6" w:space="0"/>
            </w:tcBorders>
            <w:vAlign w:val="center"/>
          </w:tcPr>
          <w:p w14:paraId="0E092D9B">
            <w:pPr>
              <w:wordWrap w:val="0"/>
              <w:spacing w:line="315" w:lineRule="exact"/>
              <w:jc w:val="left"/>
            </w:pPr>
            <w:r>
              <w:rPr>
                <w:rFonts w:ascii="宋体" w:hAnsi="宋体" w:eastAsia="宋体" w:cs="宋体"/>
                <w:color w:val="000000"/>
              </w:rPr>
              <w:t>定期检查疏散指示标记、应急照明灯是否工作正常</w:t>
            </w:r>
          </w:p>
        </w:tc>
        <w:tc>
          <w:tcPr>
            <w:tcW w:w="420" w:type="dxa"/>
            <w:tcBorders>
              <w:top w:val="nil"/>
              <w:left w:val="nil"/>
              <w:bottom w:val="single" w:color="000000" w:sz="6" w:space="0"/>
              <w:right w:val="single" w:color="000000" w:sz="6" w:space="0"/>
            </w:tcBorders>
            <w:vAlign w:val="center"/>
          </w:tcPr>
          <w:p w14:paraId="11273AE0">
            <w:pPr>
              <w:wordWrap w:val="0"/>
              <w:spacing w:line="315" w:lineRule="exact"/>
              <w:jc w:val="center"/>
            </w:pPr>
            <w:r>
              <w:rPr>
                <w:rFonts w:ascii="宋体" w:hAnsi="宋体" w:eastAsia="宋体" w:cs="宋体"/>
                <w:color w:val="000000"/>
              </w:rPr>
              <w:t>10</w:t>
            </w:r>
          </w:p>
        </w:tc>
        <w:tc>
          <w:tcPr>
            <w:tcW w:w="420" w:type="dxa"/>
            <w:tcBorders>
              <w:top w:val="nil"/>
              <w:left w:val="nil"/>
              <w:bottom w:val="single" w:color="000000" w:sz="6" w:space="0"/>
              <w:right w:val="single" w:color="000000" w:sz="6" w:space="0"/>
            </w:tcBorders>
            <w:vAlign w:val="center"/>
          </w:tcPr>
          <w:p w14:paraId="290A5342">
            <w:pPr>
              <w:wordWrap w:val="0"/>
              <w:spacing w:line="315" w:lineRule="exact"/>
              <w:ind w:firstLine="210" w:firstLineChars="100"/>
              <w:jc w:val="center"/>
            </w:pPr>
          </w:p>
        </w:tc>
        <w:tc>
          <w:tcPr>
            <w:tcW w:w="420" w:type="dxa"/>
            <w:tcBorders>
              <w:top w:val="nil"/>
              <w:left w:val="nil"/>
              <w:bottom w:val="single" w:color="000000" w:sz="6" w:space="0"/>
              <w:right w:val="single" w:color="000000" w:sz="6" w:space="0"/>
            </w:tcBorders>
            <w:vAlign w:val="center"/>
          </w:tcPr>
          <w:p w14:paraId="0C28C114">
            <w:pPr>
              <w:wordWrap w:val="0"/>
              <w:spacing w:line="315" w:lineRule="exact"/>
              <w:ind w:firstLine="210" w:firstLineChars="100"/>
              <w:jc w:val="center"/>
            </w:pPr>
          </w:p>
        </w:tc>
      </w:tr>
      <w:tr w14:paraId="0B63D64E">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420" w:type="dxa"/>
            <w:tcBorders>
              <w:top w:val="nil"/>
              <w:left w:val="single" w:color="000000" w:sz="6" w:space="0"/>
              <w:bottom w:val="single" w:color="000000" w:sz="6" w:space="0"/>
              <w:right w:val="single" w:color="000000" w:sz="6" w:space="0"/>
            </w:tcBorders>
            <w:vAlign w:val="center"/>
          </w:tcPr>
          <w:p w14:paraId="669A3420">
            <w:pPr>
              <w:wordWrap w:val="0"/>
              <w:spacing w:line="315" w:lineRule="exact"/>
              <w:jc w:val="center"/>
            </w:pPr>
            <w:r>
              <w:rPr>
                <w:rFonts w:ascii="宋体" w:hAnsi="宋体" w:eastAsia="宋体" w:cs="宋体"/>
                <w:color w:val="000000"/>
              </w:rPr>
              <w:t>5</w:t>
            </w:r>
          </w:p>
        </w:tc>
        <w:tc>
          <w:tcPr>
            <w:tcW w:w="870" w:type="dxa"/>
            <w:vMerge w:val="continue"/>
            <w:tcBorders>
              <w:top w:val="nil"/>
              <w:left w:val="nil"/>
              <w:bottom w:val="single" w:color="000000" w:sz="6" w:space="0"/>
              <w:right w:val="single" w:color="000000" w:sz="6" w:space="0"/>
            </w:tcBorders>
          </w:tcPr>
          <w:p w14:paraId="44CE8AF6"/>
        </w:tc>
        <w:tc>
          <w:tcPr>
            <w:tcW w:w="5730" w:type="dxa"/>
            <w:tcBorders>
              <w:top w:val="nil"/>
              <w:left w:val="nil"/>
              <w:bottom w:val="single" w:color="000000" w:sz="6" w:space="0"/>
              <w:right w:val="single" w:color="000000" w:sz="6" w:space="0"/>
            </w:tcBorders>
            <w:vAlign w:val="center"/>
          </w:tcPr>
          <w:p w14:paraId="42B5E951">
            <w:pPr>
              <w:wordWrap w:val="0"/>
              <w:spacing w:line="315" w:lineRule="exact"/>
              <w:jc w:val="left"/>
            </w:pPr>
            <w:r>
              <w:rPr>
                <w:rFonts w:ascii="宋体" w:hAnsi="宋体" w:eastAsia="宋体" w:cs="宋体"/>
                <w:color w:val="000000"/>
              </w:rPr>
              <w:t>定期检查其他消防设施的工作情况</w:t>
            </w:r>
          </w:p>
        </w:tc>
        <w:tc>
          <w:tcPr>
            <w:tcW w:w="420" w:type="dxa"/>
            <w:tcBorders>
              <w:top w:val="nil"/>
              <w:left w:val="nil"/>
              <w:bottom w:val="single" w:color="000000" w:sz="6" w:space="0"/>
              <w:right w:val="single" w:color="000000" w:sz="6" w:space="0"/>
            </w:tcBorders>
            <w:vAlign w:val="center"/>
          </w:tcPr>
          <w:p w14:paraId="57C49C1F">
            <w:pPr>
              <w:wordWrap w:val="0"/>
              <w:spacing w:line="315" w:lineRule="exact"/>
              <w:jc w:val="center"/>
            </w:pPr>
            <w:r>
              <w:rPr>
                <w:rFonts w:ascii="宋体" w:hAnsi="宋体" w:eastAsia="宋体" w:cs="宋体"/>
                <w:color w:val="000000"/>
              </w:rPr>
              <w:t>10</w:t>
            </w:r>
          </w:p>
        </w:tc>
        <w:tc>
          <w:tcPr>
            <w:tcW w:w="420" w:type="dxa"/>
            <w:tcBorders>
              <w:top w:val="nil"/>
              <w:left w:val="nil"/>
              <w:bottom w:val="single" w:color="000000" w:sz="6" w:space="0"/>
              <w:right w:val="single" w:color="000000" w:sz="6" w:space="0"/>
            </w:tcBorders>
            <w:vAlign w:val="center"/>
          </w:tcPr>
          <w:p w14:paraId="2CA626FB">
            <w:pPr>
              <w:wordWrap w:val="0"/>
              <w:spacing w:line="315" w:lineRule="exact"/>
              <w:ind w:firstLine="210" w:firstLineChars="100"/>
              <w:jc w:val="center"/>
            </w:pPr>
          </w:p>
        </w:tc>
        <w:tc>
          <w:tcPr>
            <w:tcW w:w="420" w:type="dxa"/>
            <w:tcBorders>
              <w:top w:val="nil"/>
              <w:left w:val="nil"/>
              <w:bottom w:val="single" w:color="000000" w:sz="6" w:space="0"/>
              <w:right w:val="single" w:color="000000" w:sz="6" w:space="0"/>
            </w:tcBorders>
            <w:vAlign w:val="center"/>
          </w:tcPr>
          <w:p w14:paraId="7D323D3A">
            <w:pPr>
              <w:wordWrap w:val="0"/>
              <w:spacing w:line="315" w:lineRule="exact"/>
              <w:ind w:firstLine="210" w:firstLineChars="100"/>
              <w:jc w:val="center"/>
            </w:pPr>
          </w:p>
        </w:tc>
      </w:tr>
      <w:tr w14:paraId="5E6762AE">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420" w:type="dxa"/>
            <w:tcBorders>
              <w:top w:val="nil"/>
              <w:left w:val="single" w:color="000000" w:sz="6" w:space="0"/>
              <w:bottom w:val="single" w:color="000000" w:sz="6" w:space="0"/>
              <w:right w:val="single" w:color="000000" w:sz="6" w:space="0"/>
            </w:tcBorders>
            <w:vAlign w:val="center"/>
          </w:tcPr>
          <w:p w14:paraId="1021281C">
            <w:pPr>
              <w:wordWrap w:val="0"/>
              <w:spacing w:line="315" w:lineRule="exact"/>
              <w:jc w:val="center"/>
            </w:pPr>
            <w:r>
              <w:rPr>
                <w:rFonts w:ascii="宋体" w:hAnsi="宋体" w:eastAsia="宋体" w:cs="宋体"/>
                <w:color w:val="000000"/>
              </w:rPr>
              <w:t>6</w:t>
            </w:r>
          </w:p>
        </w:tc>
        <w:tc>
          <w:tcPr>
            <w:tcW w:w="870" w:type="dxa"/>
            <w:vMerge w:val="restart"/>
            <w:tcBorders>
              <w:top w:val="nil"/>
              <w:left w:val="nil"/>
              <w:bottom w:val="single" w:color="000000" w:sz="6" w:space="0"/>
              <w:right w:val="single" w:color="000000" w:sz="6" w:space="0"/>
            </w:tcBorders>
            <w:vAlign w:val="center"/>
          </w:tcPr>
          <w:p w14:paraId="630C6F5F">
            <w:pPr>
              <w:wordWrap w:val="0"/>
              <w:spacing w:line="315" w:lineRule="exact"/>
              <w:jc w:val="center"/>
            </w:pPr>
            <w:r>
              <w:rPr>
                <w:rFonts w:ascii="宋体" w:hAnsi="宋体" w:eastAsia="宋体" w:cs="宋体"/>
                <w:color w:val="000000"/>
              </w:rPr>
              <w:t>消防安全巡查检查</w:t>
            </w:r>
          </w:p>
        </w:tc>
        <w:tc>
          <w:tcPr>
            <w:tcW w:w="5730" w:type="dxa"/>
            <w:tcBorders>
              <w:top w:val="nil"/>
              <w:left w:val="nil"/>
              <w:bottom w:val="single" w:color="000000" w:sz="6" w:space="0"/>
              <w:right w:val="single" w:color="000000" w:sz="6" w:space="0"/>
            </w:tcBorders>
            <w:vAlign w:val="center"/>
          </w:tcPr>
          <w:p w14:paraId="6F196800">
            <w:pPr>
              <w:wordWrap w:val="0"/>
              <w:spacing w:line="315" w:lineRule="exact"/>
              <w:jc w:val="left"/>
            </w:pPr>
            <w:r>
              <w:rPr>
                <w:rFonts w:ascii="宋体" w:hAnsi="宋体" w:eastAsia="宋体" w:cs="宋体"/>
                <w:color w:val="000000"/>
              </w:rPr>
              <w:t>定期对楼宇内进行消防巡查，并有台账记录</w:t>
            </w:r>
          </w:p>
        </w:tc>
        <w:tc>
          <w:tcPr>
            <w:tcW w:w="420" w:type="dxa"/>
            <w:tcBorders>
              <w:top w:val="nil"/>
              <w:left w:val="nil"/>
              <w:bottom w:val="single" w:color="000000" w:sz="6" w:space="0"/>
              <w:right w:val="single" w:color="000000" w:sz="6" w:space="0"/>
            </w:tcBorders>
            <w:vAlign w:val="center"/>
          </w:tcPr>
          <w:p w14:paraId="3CB7B5B2">
            <w:pPr>
              <w:wordWrap w:val="0"/>
              <w:spacing w:line="315" w:lineRule="exact"/>
              <w:jc w:val="center"/>
            </w:pPr>
            <w:r>
              <w:rPr>
                <w:rFonts w:ascii="宋体" w:hAnsi="宋体" w:eastAsia="宋体" w:cs="宋体"/>
                <w:color w:val="000000"/>
              </w:rPr>
              <w:t>10</w:t>
            </w:r>
          </w:p>
        </w:tc>
        <w:tc>
          <w:tcPr>
            <w:tcW w:w="420" w:type="dxa"/>
            <w:tcBorders>
              <w:top w:val="nil"/>
              <w:left w:val="nil"/>
              <w:bottom w:val="single" w:color="000000" w:sz="6" w:space="0"/>
              <w:right w:val="single" w:color="000000" w:sz="6" w:space="0"/>
            </w:tcBorders>
            <w:vAlign w:val="center"/>
          </w:tcPr>
          <w:p w14:paraId="6EC24481">
            <w:pPr>
              <w:wordWrap w:val="0"/>
              <w:spacing w:line="315" w:lineRule="exact"/>
              <w:ind w:firstLine="210" w:firstLineChars="100"/>
              <w:jc w:val="center"/>
            </w:pPr>
          </w:p>
        </w:tc>
        <w:tc>
          <w:tcPr>
            <w:tcW w:w="420" w:type="dxa"/>
            <w:tcBorders>
              <w:top w:val="nil"/>
              <w:left w:val="nil"/>
              <w:bottom w:val="single" w:color="000000" w:sz="6" w:space="0"/>
              <w:right w:val="single" w:color="000000" w:sz="6" w:space="0"/>
            </w:tcBorders>
            <w:vAlign w:val="center"/>
          </w:tcPr>
          <w:p w14:paraId="2DCAF6B6">
            <w:pPr>
              <w:wordWrap w:val="0"/>
              <w:spacing w:line="315" w:lineRule="exact"/>
              <w:ind w:firstLine="210" w:firstLineChars="100"/>
              <w:jc w:val="center"/>
            </w:pPr>
          </w:p>
        </w:tc>
      </w:tr>
      <w:tr w14:paraId="05823D7F">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420" w:type="dxa"/>
            <w:tcBorders>
              <w:top w:val="nil"/>
              <w:left w:val="single" w:color="000000" w:sz="6" w:space="0"/>
              <w:bottom w:val="single" w:color="000000" w:sz="6" w:space="0"/>
              <w:right w:val="single" w:color="000000" w:sz="6" w:space="0"/>
            </w:tcBorders>
            <w:vAlign w:val="center"/>
          </w:tcPr>
          <w:p w14:paraId="3F41A0C0">
            <w:pPr>
              <w:wordWrap w:val="0"/>
              <w:spacing w:line="315" w:lineRule="exact"/>
              <w:jc w:val="center"/>
            </w:pPr>
            <w:r>
              <w:rPr>
                <w:rFonts w:ascii="宋体" w:hAnsi="宋体" w:eastAsia="宋体" w:cs="宋体"/>
                <w:color w:val="000000"/>
              </w:rPr>
              <w:t>7</w:t>
            </w:r>
          </w:p>
        </w:tc>
        <w:tc>
          <w:tcPr>
            <w:tcW w:w="870" w:type="dxa"/>
            <w:vMerge w:val="continue"/>
            <w:tcBorders>
              <w:top w:val="nil"/>
              <w:left w:val="nil"/>
              <w:bottom w:val="single" w:color="000000" w:sz="6" w:space="0"/>
              <w:right w:val="single" w:color="000000" w:sz="6" w:space="0"/>
            </w:tcBorders>
          </w:tcPr>
          <w:p w14:paraId="53C0C309"/>
        </w:tc>
        <w:tc>
          <w:tcPr>
            <w:tcW w:w="5730" w:type="dxa"/>
            <w:tcBorders>
              <w:top w:val="nil"/>
              <w:left w:val="nil"/>
              <w:bottom w:val="single" w:color="000000" w:sz="6" w:space="0"/>
              <w:right w:val="single" w:color="000000" w:sz="6" w:space="0"/>
            </w:tcBorders>
            <w:vAlign w:val="center"/>
          </w:tcPr>
          <w:p w14:paraId="25070F95">
            <w:pPr>
              <w:wordWrap w:val="0"/>
              <w:spacing w:line="315" w:lineRule="exact"/>
              <w:jc w:val="left"/>
            </w:pPr>
            <w:r>
              <w:rPr>
                <w:rFonts w:ascii="宋体" w:hAnsi="宋体" w:eastAsia="宋体" w:cs="宋体"/>
                <w:color w:val="000000"/>
              </w:rPr>
              <w:t>定期检查疏散通道，保持安全出口畅通</w:t>
            </w:r>
          </w:p>
        </w:tc>
        <w:tc>
          <w:tcPr>
            <w:tcW w:w="420" w:type="dxa"/>
            <w:tcBorders>
              <w:top w:val="nil"/>
              <w:left w:val="nil"/>
              <w:bottom w:val="single" w:color="000000" w:sz="6" w:space="0"/>
              <w:right w:val="single" w:color="000000" w:sz="6" w:space="0"/>
            </w:tcBorders>
            <w:vAlign w:val="center"/>
          </w:tcPr>
          <w:p w14:paraId="1AED7C68">
            <w:pPr>
              <w:wordWrap w:val="0"/>
              <w:spacing w:line="315" w:lineRule="exact"/>
              <w:jc w:val="center"/>
            </w:pPr>
            <w:r>
              <w:rPr>
                <w:rFonts w:ascii="宋体" w:hAnsi="宋体" w:eastAsia="宋体" w:cs="宋体"/>
                <w:color w:val="000000"/>
              </w:rPr>
              <w:t>10</w:t>
            </w:r>
          </w:p>
        </w:tc>
        <w:tc>
          <w:tcPr>
            <w:tcW w:w="420" w:type="dxa"/>
            <w:tcBorders>
              <w:top w:val="nil"/>
              <w:left w:val="nil"/>
              <w:bottom w:val="single" w:color="000000" w:sz="6" w:space="0"/>
              <w:right w:val="single" w:color="000000" w:sz="6" w:space="0"/>
            </w:tcBorders>
            <w:vAlign w:val="center"/>
          </w:tcPr>
          <w:p w14:paraId="23CA5AE1">
            <w:pPr>
              <w:wordWrap w:val="0"/>
              <w:spacing w:line="315" w:lineRule="exact"/>
              <w:ind w:firstLine="210" w:firstLineChars="100"/>
              <w:jc w:val="center"/>
            </w:pPr>
          </w:p>
        </w:tc>
        <w:tc>
          <w:tcPr>
            <w:tcW w:w="420" w:type="dxa"/>
            <w:tcBorders>
              <w:top w:val="nil"/>
              <w:left w:val="nil"/>
              <w:bottom w:val="single" w:color="000000" w:sz="6" w:space="0"/>
              <w:right w:val="single" w:color="000000" w:sz="6" w:space="0"/>
            </w:tcBorders>
            <w:vAlign w:val="center"/>
          </w:tcPr>
          <w:p w14:paraId="250D2CF3">
            <w:pPr>
              <w:wordWrap w:val="0"/>
              <w:spacing w:line="315" w:lineRule="exact"/>
              <w:ind w:firstLine="210" w:firstLineChars="100"/>
              <w:jc w:val="center"/>
            </w:pPr>
          </w:p>
        </w:tc>
      </w:tr>
      <w:tr w14:paraId="283EE17B">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420" w:type="dxa"/>
            <w:tcBorders>
              <w:top w:val="nil"/>
              <w:left w:val="single" w:color="000000" w:sz="6" w:space="0"/>
              <w:bottom w:val="single" w:color="000000" w:sz="6" w:space="0"/>
              <w:right w:val="single" w:color="000000" w:sz="6" w:space="0"/>
            </w:tcBorders>
            <w:vAlign w:val="center"/>
          </w:tcPr>
          <w:p w14:paraId="707DF518">
            <w:pPr>
              <w:wordWrap w:val="0"/>
              <w:spacing w:line="315" w:lineRule="exact"/>
              <w:jc w:val="center"/>
            </w:pPr>
            <w:r>
              <w:rPr>
                <w:rFonts w:ascii="宋体" w:hAnsi="宋体" w:eastAsia="宋体" w:cs="宋体"/>
                <w:color w:val="000000"/>
              </w:rPr>
              <w:t>8</w:t>
            </w:r>
          </w:p>
        </w:tc>
        <w:tc>
          <w:tcPr>
            <w:tcW w:w="870" w:type="dxa"/>
            <w:tcBorders>
              <w:top w:val="nil"/>
              <w:left w:val="nil"/>
              <w:bottom w:val="single" w:color="000000" w:sz="6" w:space="0"/>
              <w:right w:val="single" w:color="000000" w:sz="6" w:space="0"/>
            </w:tcBorders>
            <w:vAlign w:val="center"/>
          </w:tcPr>
          <w:p w14:paraId="2B309042">
            <w:pPr>
              <w:wordWrap w:val="0"/>
              <w:spacing w:line="315" w:lineRule="exact"/>
              <w:jc w:val="center"/>
            </w:pPr>
            <w:r>
              <w:rPr>
                <w:rFonts w:ascii="宋体" w:hAnsi="宋体" w:eastAsia="宋体" w:cs="宋体"/>
                <w:color w:val="000000"/>
              </w:rPr>
              <w:t>消防安全培训演练</w:t>
            </w:r>
          </w:p>
        </w:tc>
        <w:tc>
          <w:tcPr>
            <w:tcW w:w="5730" w:type="dxa"/>
            <w:tcBorders>
              <w:top w:val="nil"/>
              <w:left w:val="nil"/>
              <w:bottom w:val="single" w:color="000000" w:sz="6" w:space="0"/>
              <w:right w:val="single" w:color="000000" w:sz="6" w:space="0"/>
            </w:tcBorders>
            <w:vAlign w:val="center"/>
          </w:tcPr>
          <w:p w14:paraId="011AF53E">
            <w:pPr>
              <w:wordWrap w:val="0"/>
              <w:spacing w:line="315" w:lineRule="exact"/>
              <w:jc w:val="left"/>
            </w:pPr>
            <w:r>
              <w:rPr>
                <w:rFonts w:ascii="宋体" w:hAnsi="宋体" w:eastAsia="宋体" w:cs="宋体"/>
                <w:color w:val="000000"/>
              </w:rPr>
              <w:t>定期进行消防安全培训和演练</w:t>
            </w:r>
          </w:p>
        </w:tc>
        <w:tc>
          <w:tcPr>
            <w:tcW w:w="420" w:type="dxa"/>
            <w:tcBorders>
              <w:top w:val="nil"/>
              <w:left w:val="nil"/>
              <w:bottom w:val="single" w:color="000000" w:sz="6" w:space="0"/>
              <w:right w:val="single" w:color="000000" w:sz="6" w:space="0"/>
            </w:tcBorders>
            <w:vAlign w:val="center"/>
          </w:tcPr>
          <w:p w14:paraId="023F0705">
            <w:pPr>
              <w:wordWrap w:val="0"/>
              <w:spacing w:line="315" w:lineRule="exact"/>
              <w:jc w:val="center"/>
            </w:pPr>
            <w:r>
              <w:rPr>
                <w:rFonts w:ascii="宋体" w:hAnsi="宋体" w:eastAsia="宋体" w:cs="宋体"/>
                <w:color w:val="000000"/>
              </w:rPr>
              <w:t>10</w:t>
            </w:r>
          </w:p>
        </w:tc>
        <w:tc>
          <w:tcPr>
            <w:tcW w:w="420" w:type="dxa"/>
            <w:tcBorders>
              <w:top w:val="nil"/>
              <w:left w:val="nil"/>
              <w:bottom w:val="single" w:color="000000" w:sz="6" w:space="0"/>
              <w:right w:val="single" w:color="000000" w:sz="6" w:space="0"/>
            </w:tcBorders>
            <w:vAlign w:val="center"/>
          </w:tcPr>
          <w:p w14:paraId="46FD06D6">
            <w:pPr>
              <w:wordWrap w:val="0"/>
              <w:spacing w:line="315" w:lineRule="exact"/>
              <w:ind w:firstLine="210" w:firstLineChars="100"/>
              <w:jc w:val="center"/>
            </w:pPr>
          </w:p>
        </w:tc>
        <w:tc>
          <w:tcPr>
            <w:tcW w:w="420" w:type="dxa"/>
            <w:tcBorders>
              <w:top w:val="nil"/>
              <w:left w:val="nil"/>
              <w:bottom w:val="single" w:color="000000" w:sz="6" w:space="0"/>
              <w:right w:val="single" w:color="000000" w:sz="6" w:space="0"/>
            </w:tcBorders>
            <w:vAlign w:val="center"/>
          </w:tcPr>
          <w:p w14:paraId="73FC11AC">
            <w:pPr>
              <w:wordWrap w:val="0"/>
              <w:spacing w:line="315" w:lineRule="exact"/>
              <w:ind w:firstLine="210" w:firstLineChars="100"/>
              <w:jc w:val="center"/>
            </w:pPr>
          </w:p>
        </w:tc>
      </w:tr>
      <w:tr w14:paraId="5FB8A6CE">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420" w:type="dxa"/>
            <w:tcBorders>
              <w:top w:val="nil"/>
              <w:left w:val="single" w:color="000000" w:sz="6" w:space="0"/>
              <w:bottom w:val="single" w:color="000000" w:sz="6" w:space="0"/>
              <w:right w:val="single" w:color="000000" w:sz="6" w:space="0"/>
            </w:tcBorders>
            <w:vAlign w:val="center"/>
          </w:tcPr>
          <w:p w14:paraId="0F5CF80A">
            <w:pPr>
              <w:wordWrap w:val="0"/>
              <w:spacing w:line="315" w:lineRule="exact"/>
              <w:jc w:val="center"/>
            </w:pPr>
            <w:r>
              <w:rPr>
                <w:rFonts w:ascii="宋体" w:hAnsi="宋体" w:eastAsia="宋体" w:cs="宋体"/>
                <w:color w:val="000000"/>
              </w:rPr>
              <w:t>9</w:t>
            </w:r>
          </w:p>
        </w:tc>
        <w:tc>
          <w:tcPr>
            <w:tcW w:w="870" w:type="dxa"/>
            <w:tcBorders>
              <w:top w:val="nil"/>
              <w:left w:val="nil"/>
              <w:bottom w:val="single" w:color="000000" w:sz="6" w:space="0"/>
              <w:right w:val="single" w:color="000000" w:sz="6" w:space="0"/>
            </w:tcBorders>
            <w:vAlign w:val="center"/>
          </w:tcPr>
          <w:p w14:paraId="7CA44EA0">
            <w:pPr>
              <w:wordWrap w:val="0"/>
              <w:spacing w:line="315" w:lineRule="exact"/>
              <w:jc w:val="center"/>
            </w:pPr>
            <w:r>
              <w:rPr>
                <w:rFonts w:ascii="宋体" w:hAnsi="宋体" w:eastAsia="宋体" w:cs="宋体"/>
                <w:color w:val="000000"/>
              </w:rPr>
              <w:t>应急处置</w:t>
            </w:r>
          </w:p>
        </w:tc>
        <w:tc>
          <w:tcPr>
            <w:tcW w:w="5730" w:type="dxa"/>
            <w:tcBorders>
              <w:top w:val="nil"/>
              <w:left w:val="nil"/>
              <w:bottom w:val="single" w:color="000000" w:sz="6" w:space="0"/>
              <w:right w:val="single" w:color="000000" w:sz="6" w:space="0"/>
            </w:tcBorders>
            <w:vAlign w:val="center"/>
          </w:tcPr>
          <w:p w14:paraId="46695CC4">
            <w:pPr>
              <w:wordWrap w:val="0"/>
              <w:spacing w:line="315" w:lineRule="exact"/>
              <w:jc w:val="left"/>
            </w:pPr>
            <w:r>
              <w:rPr>
                <w:rFonts w:ascii="宋体" w:hAnsi="宋体" w:eastAsia="宋体" w:cs="宋体"/>
                <w:color w:val="000000"/>
              </w:rPr>
              <w:t>在发生消防设施报警或其他紧急情况时，积极配合相关部门对消防设施采取必要操作和现场救援处置</w:t>
            </w:r>
          </w:p>
        </w:tc>
        <w:tc>
          <w:tcPr>
            <w:tcW w:w="420" w:type="dxa"/>
            <w:tcBorders>
              <w:top w:val="nil"/>
              <w:left w:val="nil"/>
              <w:bottom w:val="single" w:color="000000" w:sz="6" w:space="0"/>
              <w:right w:val="single" w:color="000000" w:sz="6" w:space="0"/>
            </w:tcBorders>
            <w:vAlign w:val="center"/>
          </w:tcPr>
          <w:p w14:paraId="5318A2CB">
            <w:pPr>
              <w:wordWrap w:val="0"/>
              <w:spacing w:line="315" w:lineRule="exact"/>
              <w:jc w:val="center"/>
            </w:pPr>
            <w:r>
              <w:rPr>
                <w:rFonts w:ascii="宋体" w:hAnsi="宋体" w:eastAsia="宋体" w:cs="宋体"/>
                <w:color w:val="000000"/>
              </w:rPr>
              <w:t>20</w:t>
            </w:r>
          </w:p>
        </w:tc>
        <w:tc>
          <w:tcPr>
            <w:tcW w:w="420" w:type="dxa"/>
            <w:tcBorders>
              <w:top w:val="nil"/>
              <w:left w:val="nil"/>
              <w:bottom w:val="single" w:color="000000" w:sz="6" w:space="0"/>
              <w:right w:val="single" w:color="000000" w:sz="6" w:space="0"/>
            </w:tcBorders>
            <w:vAlign w:val="center"/>
          </w:tcPr>
          <w:p w14:paraId="732A2C8B">
            <w:pPr>
              <w:wordWrap w:val="0"/>
              <w:spacing w:line="315" w:lineRule="exact"/>
              <w:ind w:firstLine="210" w:firstLineChars="100"/>
              <w:jc w:val="center"/>
            </w:pPr>
          </w:p>
        </w:tc>
        <w:tc>
          <w:tcPr>
            <w:tcW w:w="420" w:type="dxa"/>
            <w:tcBorders>
              <w:top w:val="nil"/>
              <w:left w:val="nil"/>
              <w:bottom w:val="single" w:color="000000" w:sz="6" w:space="0"/>
              <w:right w:val="single" w:color="000000" w:sz="6" w:space="0"/>
            </w:tcBorders>
            <w:vAlign w:val="center"/>
          </w:tcPr>
          <w:p w14:paraId="33FBD8CB">
            <w:pPr>
              <w:wordWrap w:val="0"/>
              <w:spacing w:line="315" w:lineRule="exact"/>
              <w:ind w:firstLine="210" w:firstLineChars="100"/>
              <w:jc w:val="center"/>
            </w:pPr>
          </w:p>
        </w:tc>
      </w:tr>
      <w:tr w14:paraId="64FBAC16">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420" w:type="dxa"/>
            <w:tcBorders>
              <w:top w:val="nil"/>
              <w:left w:val="single" w:color="000000" w:sz="6" w:space="0"/>
              <w:bottom w:val="single" w:color="000000" w:sz="6" w:space="0"/>
              <w:right w:val="single" w:color="000000" w:sz="6" w:space="0"/>
            </w:tcBorders>
            <w:vAlign w:val="center"/>
          </w:tcPr>
          <w:p w14:paraId="49E41C7B">
            <w:pPr>
              <w:wordWrap w:val="0"/>
              <w:spacing w:line="315" w:lineRule="exact"/>
              <w:jc w:val="center"/>
            </w:pPr>
            <w:r>
              <w:rPr>
                <w:rFonts w:ascii="宋体" w:hAnsi="宋体" w:eastAsia="宋体" w:cs="宋体"/>
                <w:color w:val="000000"/>
              </w:rPr>
              <w:t>10</w:t>
            </w:r>
          </w:p>
        </w:tc>
        <w:tc>
          <w:tcPr>
            <w:tcW w:w="870" w:type="dxa"/>
            <w:tcBorders>
              <w:top w:val="nil"/>
              <w:left w:val="nil"/>
              <w:bottom w:val="single" w:color="000000" w:sz="6" w:space="0"/>
              <w:right w:val="single" w:color="000000" w:sz="6" w:space="0"/>
            </w:tcBorders>
            <w:vAlign w:val="center"/>
          </w:tcPr>
          <w:p w14:paraId="4F2566E3">
            <w:pPr>
              <w:wordWrap w:val="0"/>
              <w:spacing w:line="315" w:lineRule="exact"/>
              <w:jc w:val="center"/>
            </w:pPr>
            <w:r>
              <w:rPr>
                <w:rFonts w:ascii="宋体" w:hAnsi="宋体" w:eastAsia="宋体" w:cs="宋体"/>
                <w:color w:val="000000"/>
              </w:rPr>
              <w:t>合计</w:t>
            </w:r>
          </w:p>
        </w:tc>
        <w:tc>
          <w:tcPr>
            <w:tcW w:w="5730" w:type="dxa"/>
            <w:tcBorders>
              <w:top w:val="nil"/>
              <w:left w:val="nil"/>
              <w:bottom w:val="single" w:color="000000" w:sz="6" w:space="0"/>
              <w:right w:val="single" w:color="000000" w:sz="6" w:space="0"/>
            </w:tcBorders>
            <w:vAlign w:val="center"/>
          </w:tcPr>
          <w:p w14:paraId="68E8E1E3">
            <w:pPr>
              <w:wordWrap w:val="0"/>
              <w:spacing w:line="315" w:lineRule="exact"/>
              <w:ind w:firstLine="210" w:firstLineChars="100"/>
              <w:jc w:val="left"/>
            </w:pPr>
          </w:p>
        </w:tc>
        <w:tc>
          <w:tcPr>
            <w:tcW w:w="420" w:type="dxa"/>
            <w:tcBorders>
              <w:top w:val="nil"/>
              <w:left w:val="nil"/>
              <w:bottom w:val="single" w:color="000000" w:sz="6" w:space="0"/>
              <w:right w:val="single" w:color="000000" w:sz="6" w:space="0"/>
            </w:tcBorders>
            <w:vAlign w:val="center"/>
          </w:tcPr>
          <w:p w14:paraId="492EAFFC">
            <w:pPr>
              <w:wordWrap w:val="0"/>
              <w:spacing w:line="315" w:lineRule="exact"/>
              <w:jc w:val="center"/>
            </w:pPr>
            <w:r>
              <w:rPr>
                <w:rFonts w:ascii="宋体" w:hAnsi="宋体" w:eastAsia="宋体" w:cs="宋体"/>
                <w:color w:val="000000"/>
              </w:rPr>
              <w:t>100</w:t>
            </w:r>
          </w:p>
        </w:tc>
        <w:tc>
          <w:tcPr>
            <w:tcW w:w="420" w:type="dxa"/>
            <w:tcBorders>
              <w:top w:val="nil"/>
              <w:left w:val="nil"/>
              <w:bottom w:val="single" w:color="000000" w:sz="6" w:space="0"/>
              <w:right w:val="single" w:color="000000" w:sz="6" w:space="0"/>
            </w:tcBorders>
            <w:vAlign w:val="center"/>
          </w:tcPr>
          <w:p w14:paraId="1F222D51">
            <w:pPr>
              <w:wordWrap w:val="0"/>
              <w:spacing w:line="315" w:lineRule="exact"/>
              <w:ind w:firstLine="210" w:firstLineChars="100"/>
              <w:jc w:val="center"/>
            </w:pPr>
          </w:p>
        </w:tc>
        <w:tc>
          <w:tcPr>
            <w:tcW w:w="420" w:type="dxa"/>
            <w:tcBorders>
              <w:top w:val="nil"/>
              <w:left w:val="nil"/>
              <w:bottom w:val="single" w:color="000000" w:sz="6" w:space="0"/>
              <w:right w:val="single" w:color="000000" w:sz="6" w:space="0"/>
            </w:tcBorders>
            <w:vAlign w:val="center"/>
          </w:tcPr>
          <w:p w14:paraId="7D313CF0">
            <w:pPr>
              <w:wordWrap w:val="0"/>
              <w:spacing w:line="315" w:lineRule="exact"/>
              <w:ind w:firstLine="210" w:firstLineChars="100"/>
              <w:jc w:val="center"/>
            </w:pPr>
          </w:p>
        </w:tc>
      </w:tr>
    </w:tbl>
    <w:p w14:paraId="2605AD39">
      <w:pPr>
        <w:wordWrap w:val="0"/>
        <w:spacing w:line="360" w:lineRule="exact"/>
        <w:ind w:firstLine="210" w:firstLineChars="100"/>
        <w:jc w:val="left"/>
      </w:pPr>
    </w:p>
    <w:p w14:paraId="42D32665">
      <w:r>
        <w:br w:type="page"/>
      </w:r>
    </w:p>
    <w:p w14:paraId="3974BD7E">
      <w:pPr>
        <w:wordWrap w:val="0"/>
        <w:spacing w:line="360" w:lineRule="exact"/>
        <w:jc w:val="left"/>
      </w:pPr>
      <w:r>
        <w:rPr>
          <w:rFonts w:ascii="宋体" w:hAnsi="宋体" w:eastAsia="宋体" w:cs="宋体"/>
          <w:color w:val="000000"/>
          <w:sz w:val="24"/>
        </w:rPr>
        <w:t>附件11</w:t>
      </w:r>
    </w:p>
    <w:p w14:paraId="4E966B95">
      <w:pPr>
        <w:wordWrap w:val="0"/>
        <w:spacing w:line="360" w:lineRule="exact"/>
        <w:jc w:val="center"/>
      </w:pPr>
      <w:r>
        <w:rPr>
          <w:rFonts w:ascii="宋体" w:hAnsi="宋体" w:eastAsia="宋体" w:cs="宋体"/>
          <w:b/>
          <w:color w:val="000000"/>
          <w:sz w:val="24"/>
        </w:rPr>
        <w:t>南京财经大学物业安全巡查制度</w:t>
      </w:r>
    </w:p>
    <w:p w14:paraId="7BAA00AD">
      <w:pPr>
        <w:wordWrap w:val="0"/>
        <w:spacing w:line="360" w:lineRule="exact"/>
        <w:jc w:val="center"/>
      </w:pPr>
      <w:r>
        <w:rPr>
          <w:rFonts w:ascii="宋体" w:hAnsi="宋体" w:eastAsia="宋体" w:cs="宋体"/>
          <w:b/>
          <w:color w:val="000000"/>
          <w:sz w:val="24"/>
        </w:rPr>
        <w:t>（试行）</w:t>
      </w:r>
    </w:p>
    <w:p w14:paraId="43E8ECFA">
      <w:pPr>
        <w:wordWrap w:val="0"/>
        <w:spacing w:line="360" w:lineRule="exact"/>
        <w:ind w:firstLine="240" w:firstLineChars="100"/>
        <w:jc w:val="left"/>
      </w:pPr>
      <w:r>
        <w:rPr>
          <w:rFonts w:ascii="宋体" w:hAnsi="宋体" w:eastAsia="宋体" w:cs="宋体"/>
          <w:color w:val="000000"/>
          <w:sz w:val="24"/>
        </w:rPr>
        <w:t> 为了维护学校正常的教学秩序和安全秩序，杜绝楼宇内发生安全隐患，确保师生生命健康安全，提高物业管理工作规范，特制定物业安全巡查制度。</w:t>
      </w:r>
    </w:p>
    <w:p w14:paraId="59D7FDAC">
      <w:pPr>
        <w:wordWrap w:val="0"/>
        <w:spacing w:line="360" w:lineRule="exact"/>
        <w:jc w:val="left"/>
      </w:pPr>
      <w:r>
        <w:rPr>
          <w:rFonts w:ascii="宋体" w:hAnsi="宋体" w:eastAsia="宋体" w:cs="宋体"/>
          <w:color w:val="000000"/>
          <w:sz w:val="24"/>
        </w:rPr>
        <w:t>一、安全制度建立</w:t>
      </w:r>
    </w:p>
    <w:p w14:paraId="4E2B9AEE">
      <w:pPr>
        <w:wordWrap w:val="0"/>
        <w:spacing w:line="360" w:lineRule="exact"/>
        <w:jc w:val="left"/>
      </w:pPr>
      <w:r>
        <w:rPr>
          <w:rFonts w:ascii="宋体" w:hAnsi="宋体" w:eastAsia="宋体" w:cs="宋体"/>
          <w:color w:val="000000"/>
          <w:sz w:val="24"/>
        </w:rPr>
        <w:t>1、各楼宇内的安全、消防制度规范健全，有各类基础档案；工作人员熟悉工作流程，并能够严格按照工作流程进行操作；熟悉工作环境，清楚工作中的安全事项。</w:t>
      </w:r>
    </w:p>
    <w:p w14:paraId="79E3886E">
      <w:pPr>
        <w:wordWrap w:val="0"/>
        <w:spacing w:line="360" w:lineRule="exact"/>
        <w:jc w:val="left"/>
      </w:pPr>
      <w:r>
        <w:rPr>
          <w:rFonts w:ascii="宋体" w:hAnsi="宋体" w:eastAsia="宋体" w:cs="宋体"/>
          <w:color w:val="000000"/>
          <w:sz w:val="24"/>
        </w:rPr>
        <w:t>2、物业公司须与学校签订安全责任书，设立安全责任人，如果在物业公司责任范围内发生安全事故，物业公司负全责。</w:t>
      </w:r>
    </w:p>
    <w:p w14:paraId="28F5DA59">
      <w:pPr>
        <w:wordWrap w:val="0"/>
        <w:spacing w:line="360" w:lineRule="exact"/>
        <w:ind w:firstLine="240" w:firstLineChars="100"/>
        <w:jc w:val="left"/>
      </w:pPr>
      <w:r>
        <w:rPr>
          <w:rFonts w:ascii="宋体" w:hAnsi="宋体" w:eastAsia="宋体" w:cs="宋体"/>
          <w:color w:val="000000"/>
          <w:sz w:val="24"/>
        </w:rPr>
        <w:t> 3、物业公司应建立健全安全隐患排查机制，建立完备的台账工作，对存在的安全隐患必须限期整改。每月向后勤基建处提交安全隐患排查表。</w:t>
      </w:r>
    </w:p>
    <w:p w14:paraId="7AC661DE">
      <w:pPr>
        <w:wordWrap w:val="0"/>
        <w:spacing w:line="360" w:lineRule="exact"/>
        <w:ind w:firstLine="240" w:firstLineChars="100"/>
        <w:jc w:val="left"/>
      </w:pPr>
      <w:r>
        <w:rPr>
          <w:rFonts w:ascii="宋体" w:hAnsi="宋体" w:eastAsia="宋体" w:cs="宋体"/>
          <w:color w:val="000000"/>
          <w:sz w:val="24"/>
        </w:rPr>
        <w:t> 4、物业公司应建立严格规范、具有针对性的应急工作预案，应急物资准备充足。每季度向后勤基建处提交应急工作预案书。</w:t>
      </w:r>
    </w:p>
    <w:p w14:paraId="27A5842D">
      <w:pPr>
        <w:wordWrap w:val="0"/>
        <w:spacing w:line="360" w:lineRule="exact"/>
        <w:ind w:firstLine="240" w:firstLineChars="100"/>
        <w:jc w:val="left"/>
      </w:pPr>
      <w:r>
        <w:rPr>
          <w:rFonts w:ascii="宋体" w:hAnsi="宋体" w:eastAsia="宋体" w:cs="宋体"/>
          <w:color w:val="000000"/>
          <w:sz w:val="24"/>
        </w:rPr>
        <w:t> 二、安全保卫巡查</w:t>
      </w:r>
    </w:p>
    <w:p w14:paraId="13CC7603">
      <w:pPr>
        <w:wordWrap w:val="0"/>
        <w:spacing w:line="360" w:lineRule="exact"/>
        <w:ind w:firstLine="240" w:firstLineChars="100"/>
        <w:jc w:val="left"/>
      </w:pPr>
      <w:r>
        <w:rPr>
          <w:rFonts w:ascii="宋体" w:hAnsi="宋体" w:eastAsia="宋体" w:cs="宋体"/>
          <w:color w:val="000000"/>
          <w:sz w:val="24"/>
        </w:rPr>
        <w:t> 1、每日安排一名管理人员值班，对楼宇内各个部位尤其是重点场所实行24小时不间断巡查，值班人员严格履行值班巡查职责，巡查记录完整，全方位落实安全巡查措施。</w:t>
      </w:r>
    </w:p>
    <w:p w14:paraId="25D80564">
      <w:pPr>
        <w:wordWrap w:val="0"/>
        <w:spacing w:line="360" w:lineRule="exact"/>
        <w:ind w:firstLine="240" w:firstLineChars="100"/>
        <w:jc w:val="left"/>
      </w:pPr>
      <w:r>
        <w:rPr>
          <w:rFonts w:ascii="宋体" w:hAnsi="宋体" w:eastAsia="宋体" w:cs="宋体"/>
          <w:color w:val="000000"/>
          <w:sz w:val="24"/>
        </w:rPr>
        <w:t> 2、负责行政楼、食品科学与工程楼、体育馆和图书馆等楼宇人员进出登记，每日不定时的巡查楼宇；负责教学楼内日常安全巡查，巡查是否有校外营利组织从事非正常教学活动，并及时上报保卫处；负责楼宇内丢失物品的上缴，并做好记录。</w:t>
      </w:r>
    </w:p>
    <w:p w14:paraId="6B539EEC">
      <w:pPr>
        <w:wordWrap w:val="0"/>
        <w:spacing w:line="360" w:lineRule="exact"/>
        <w:ind w:firstLine="240" w:firstLineChars="100"/>
        <w:jc w:val="left"/>
      </w:pPr>
      <w:r>
        <w:rPr>
          <w:rFonts w:ascii="宋体" w:hAnsi="宋体" w:eastAsia="宋体" w:cs="宋体"/>
          <w:color w:val="000000"/>
          <w:sz w:val="24"/>
        </w:rPr>
        <w:t> 3、负责楼宇内安全保卫、秩序维护和财产安全等工作，协助保卫部门劝阻、清理、驱赶闲杂人员在楼宇内闲逛、玩耍、推销、发传单等行为，禁止闲杂人员进出楼宇；巡查楼宇内固定资产，保证固定资产完好无损；保持信息渠道畅通，对楼宇内的各种影响政治稳定和内部安定的因素与舆情能及时掌握并报告。</w:t>
      </w:r>
    </w:p>
    <w:p w14:paraId="0204BC86">
      <w:pPr>
        <w:wordWrap w:val="0"/>
        <w:spacing w:line="360" w:lineRule="exact"/>
        <w:ind w:firstLine="240" w:firstLineChars="100"/>
        <w:jc w:val="left"/>
      </w:pPr>
      <w:r>
        <w:rPr>
          <w:rFonts w:ascii="宋体" w:hAnsi="宋体" w:eastAsia="宋体" w:cs="宋体"/>
          <w:color w:val="000000"/>
          <w:sz w:val="24"/>
        </w:rPr>
        <w:t> 三、消防安全巡查</w:t>
      </w:r>
    </w:p>
    <w:p w14:paraId="0AC10CAB">
      <w:pPr>
        <w:wordWrap w:val="0"/>
        <w:spacing w:line="360" w:lineRule="exact"/>
        <w:ind w:firstLine="240" w:firstLineChars="100"/>
        <w:jc w:val="left"/>
      </w:pPr>
      <w:r>
        <w:rPr>
          <w:rFonts w:ascii="宋体" w:hAnsi="宋体" w:eastAsia="宋体" w:cs="宋体"/>
          <w:color w:val="000000"/>
          <w:sz w:val="24"/>
        </w:rPr>
        <w:t> 1、消防管理人员配备。每个物业公司至少配备一名消防安全管理人，具体负责项目区域的消防安全管理工作。</w:t>
      </w:r>
    </w:p>
    <w:p w14:paraId="2B0FA124">
      <w:pPr>
        <w:wordWrap w:val="0"/>
        <w:spacing w:line="360" w:lineRule="exact"/>
        <w:ind w:firstLine="240" w:firstLineChars="100"/>
        <w:jc w:val="left"/>
      </w:pPr>
      <w:r>
        <w:rPr>
          <w:rFonts w:ascii="宋体" w:hAnsi="宋体" w:eastAsia="宋体" w:cs="宋体"/>
          <w:color w:val="000000"/>
          <w:sz w:val="24"/>
        </w:rPr>
        <w:t> 2、消防安全巡查检查。规范管理项目范围消防设施设备，定期检查消防器材，每周至少一次，检查灭火器箱内灭火器是否在保质期内，消防栓箱内的配备有无缺失，水带是否完好，并做好书面台帐记录，如有需补充和更换器材要及时上报。（消防器材的配备、灌装均由学校保卫处统一负责）</w:t>
      </w:r>
    </w:p>
    <w:p w14:paraId="11A5A236">
      <w:pPr>
        <w:wordWrap w:val="0"/>
        <w:spacing w:line="360" w:lineRule="exact"/>
        <w:ind w:firstLine="240" w:firstLineChars="100"/>
        <w:jc w:val="left"/>
      </w:pPr>
      <w:r>
        <w:rPr>
          <w:rFonts w:ascii="宋体" w:hAnsi="宋体" w:eastAsia="宋体" w:cs="宋体"/>
          <w:color w:val="000000"/>
          <w:sz w:val="24"/>
        </w:rPr>
        <w:t> 3、公共区域消防通道巡查，发现占用消防通道情况，及时劝阻并上报；公共区域水电安全巡查，发现问题及时上报；定期检查安全出口、应急照明，发现问题及时向保卫处报修，确保无异常。（消防安全方面设施设备维修均由学校保卫处统一负责）</w:t>
      </w:r>
    </w:p>
    <w:p w14:paraId="1A4CA86E">
      <w:pPr>
        <w:wordWrap w:val="0"/>
        <w:spacing w:line="360" w:lineRule="exact"/>
        <w:ind w:firstLine="240" w:firstLineChars="100"/>
        <w:jc w:val="left"/>
      </w:pPr>
      <w:r>
        <w:rPr>
          <w:rFonts w:ascii="宋体" w:hAnsi="宋体" w:eastAsia="宋体" w:cs="宋体"/>
          <w:color w:val="000000"/>
          <w:sz w:val="24"/>
        </w:rPr>
        <w:t> 4、定期组织项目人员开展消防安全培训和演练，熟悉消防设施基本操作，提高消防设施使用技能。</w:t>
      </w:r>
    </w:p>
    <w:p w14:paraId="09E645A4">
      <w:pPr>
        <w:wordWrap w:val="0"/>
        <w:spacing w:line="360" w:lineRule="exact"/>
        <w:ind w:firstLine="240" w:firstLineChars="100"/>
        <w:jc w:val="left"/>
      </w:pPr>
      <w:r>
        <w:rPr>
          <w:rFonts w:ascii="宋体" w:hAnsi="宋体" w:eastAsia="宋体" w:cs="宋体"/>
          <w:color w:val="000000"/>
          <w:sz w:val="24"/>
        </w:rPr>
        <w:t> 5、委托范围内发生的治安警和火警等突发事件果断处理，及时上报，并与相关部门配合处理突发事件，必要时要与公安部门联系、沟通、协调。</w:t>
      </w:r>
    </w:p>
    <w:p w14:paraId="620A4CDA">
      <w:pPr>
        <w:wordWrap w:val="0"/>
        <w:spacing w:line="360" w:lineRule="exact"/>
        <w:ind w:firstLine="240" w:firstLineChars="100"/>
        <w:jc w:val="left"/>
      </w:pPr>
      <w:r>
        <w:rPr>
          <w:rFonts w:ascii="宋体" w:hAnsi="宋体" w:eastAsia="宋体" w:cs="宋体"/>
          <w:color w:val="000000"/>
          <w:sz w:val="24"/>
        </w:rPr>
        <w:t> 6、物业公司负责以上职责范围的消防安全工作，并承担职责范围内的全部消防责任。</w:t>
      </w:r>
    </w:p>
    <w:p w14:paraId="40332618">
      <w:pPr>
        <w:wordWrap w:val="0"/>
        <w:spacing w:line="360" w:lineRule="exact"/>
        <w:ind w:firstLine="240" w:firstLineChars="100"/>
        <w:jc w:val="left"/>
      </w:pPr>
      <w:r>
        <w:rPr>
          <w:rFonts w:ascii="宋体" w:hAnsi="宋体" w:eastAsia="宋体" w:cs="宋体"/>
          <w:color w:val="000000"/>
          <w:sz w:val="24"/>
        </w:rPr>
        <w:t> 四、设施设备安全巡查</w:t>
      </w:r>
    </w:p>
    <w:p w14:paraId="05492F41">
      <w:pPr>
        <w:wordWrap w:val="0"/>
        <w:spacing w:line="360" w:lineRule="exact"/>
        <w:ind w:firstLine="240" w:firstLineChars="100"/>
        <w:jc w:val="left"/>
      </w:pPr>
      <w:r>
        <w:rPr>
          <w:rFonts w:ascii="宋体" w:hAnsi="宋体" w:eastAsia="宋体" w:cs="宋体"/>
          <w:color w:val="000000"/>
          <w:sz w:val="24"/>
        </w:rPr>
        <w:t> 1、负责楼宇内水、电、气等资源的相关管理工作，每日安排工程人员对楼宇内强弱电间、配电房、水泵房、排水系统、开水炉、灯光、电梯、空调和电铃（教学楼内）等进行全面地巡查和维保工作，保持设备设施运行正常无故障，无人为损坏或丢失，并且认真做好巡查记录。禁止电瓶车充电和使用大功率电器。对于存在安全隐患的问题项，应第一时间排除险情并及时报告相关部门处理。</w:t>
      </w:r>
    </w:p>
    <w:p w14:paraId="63A67D7E">
      <w:pPr>
        <w:wordWrap w:val="0"/>
        <w:spacing w:line="360" w:lineRule="exact"/>
        <w:ind w:firstLine="240" w:firstLineChars="100"/>
        <w:jc w:val="left"/>
      </w:pPr>
      <w:r>
        <w:rPr>
          <w:rFonts w:ascii="宋体" w:hAnsi="宋体" w:eastAsia="宋体" w:cs="宋体"/>
          <w:color w:val="000000"/>
          <w:sz w:val="24"/>
        </w:rPr>
        <w:t> 2、物业公司应建立畅通的零星维修项目报修与响应机制，一般的零星维修项目做到小修不过夜，大修要及时，如7天内未能修复的须提交书面材料。对巡查中发现的只需简易加固并不需要维修的设备、设施等要予以加固，不能等到损坏加重后再报学校维修，比如螺丝扭紧、增加线路线卡等。</w:t>
      </w:r>
    </w:p>
    <w:p w14:paraId="05294369">
      <w:pPr>
        <w:wordWrap w:val="0"/>
        <w:spacing w:line="360" w:lineRule="exact"/>
        <w:ind w:firstLine="240" w:firstLineChars="100"/>
        <w:jc w:val="left"/>
      </w:pPr>
      <w:r>
        <w:rPr>
          <w:rFonts w:ascii="宋体" w:hAnsi="宋体" w:eastAsia="宋体" w:cs="宋体"/>
          <w:color w:val="000000"/>
          <w:sz w:val="24"/>
        </w:rPr>
        <w:t> 3、在执行日常巡查工作中，应加强节能减排的巡查力度，特别是对楼宇内出现长明灯和长流水现象加强防控。</w:t>
      </w:r>
    </w:p>
    <w:p w14:paraId="1B0BD78F">
      <w:pPr>
        <w:wordWrap w:val="0"/>
        <w:spacing w:line="360" w:lineRule="exact"/>
        <w:ind w:firstLine="240" w:firstLineChars="100"/>
        <w:jc w:val="left"/>
      </w:pPr>
      <w:r>
        <w:rPr>
          <w:rFonts w:ascii="宋体" w:hAnsi="宋体" w:eastAsia="宋体" w:cs="宋体"/>
          <w:color w:val="000000"/>
          <w:sz w:val="24"/>
        </w:rPr>
        <w:t> 4、设施设备突发故障时，物业公司应保证随叫随到，及时处理，并及时汇报相关部门。</w:t>
      </w:r>
    </w:p>
    <w:p w14:paraId="30593635">
      <w:pPr>
        <w:wordWrap w:val="0"/>
        <w:spacing w:line="360" w:lineRule="exact"/>
        <w:ind w:firstLine="240" w:firstLineChars="100"/>
        <w:jc w:val="left"/>
      </w:pPr>
      <w:r>
        <w:rPr>
          <w:rFonts w:ascii="宋体" w:hAnsi="宋体" w:eastAsia="宋体" w:cs="宋体"/>
          <w:color w:val="000000"/>
          <w:sz w:val="24"/>
        </w:rPr>
        <w:t> 五、其它安全巡查</w:t>
      </w:r>
    </w:p>
    <w:p w14:paraId="69815E00">
      <w:pPr>
        <w:wordWrap w:val="0"/>
        <w:spacing w:line="360" w:lineRule="exact"/>
        <w:ind w:firstLine="240" w:firstLineChars="100"/>
        <w:jc w:val="left"/>
      </w:pPr>
      <w:r>
        <w:rPr>
          <w:rFonts w:ascii="宋体" w:hAnsi="宋体" w:eastAsia="宋体" w:cs="宋体"/>
          <w:color w:val="000000"/>
          <w:sz w:val="24"/>
        </w:rPr>
        <w:t> 1、施工管理巡查。楼宇内施工、停水、停电等，要提前与相关部门沟通，并报主管部门同意后，张贴公告，然后施工；物业公司负责楼宇内施工登记制度，要始终关注施工现场，跟踪施工进度，监督施工单位遵守安全规范，维护正常工作和教学秩序；督促维修公司及时清运建筑垃圾，保持环境整洁、安全；物业公司应制止未经后勤基建处批准、报备或影响正常工作秩序的各类施工。</w:t>
      </w:r>
    </w:p>
    <w:p w14:paraId="23002288">
      <w:pPr>
        <w:wordWrap w:val="0"/>
        <w:spacing w:line="360" w:lineRule="exact"/>
        <w:ind w:firstLine="240" w:firstLineChars="100"/>
        <w:jc w:val="left"/>
      </w:pPr>
      <w:r>
        <w:rPr>
          <w:rFonts w:ascii="宋体" w:hAnsi="宋体" w:eastAsia="宋体" w:cs="宋体"/>
          <w:color w:val="000000"/>
          <w:sz w:val="24"/>
        </w:rPr>
        <w:t> 2、物业公司负责楼宇内生活废水管道、窨井盖、雨水篦子、路灯和绿化带等的定期巡查，如发现化粪池漫溢、窨井盖和雨水篦子缺损、管道堵塞、路灯不亮、人为破坏绿化带等现象应及时报告后勤基建处处理。</w:t>
      </w:r>
    </w:p>
    <w:p w14:paraId="573990E6">
      <w:pPr>
        <w:wordWrap w:val="0"/>
        <w:spacing w:line="360" w:lineRule="exact"/>
        <w:ind w:firstLine="240" w:firstLineChars="100"/>
        <w:jc w:val="left"/>
      </w:pPr>
      <w:r>
        <w:rPr>
          <w:rFonts w:ascii="宋体" w:hAnsi="宋体" w:eastAsia="宋体" w:cs="宋体"/>
          <w:color w:val="000000"/>
          <w:sz w:val="24"/>
        </w:rPr>
        <w:t> 3、如遇极端天气（包括但不限于暴雪、暴雨和狂风等天气）提前准备应急物资，加强各端口巡查，做好各类突发情况的应对处置，及时排除险情，确保楼宇内秩序恢复正常。</w:t>
      </w:r>
    </w:p>
    <w:p w14:paraId="5678AB0F">
      <w:pPr>
        <w:wordWrap w:val="0"/>
        <w:spacing w:line="360" w:lineRule="exact"/>
        <w:ind w:firstLine="240" w:firstLineChars="100"/>
        <w:jc w:val="left"/>
      </w:pPr>
      <w:r>
        <w:rPr>
          <w:rFonts w:ascii="宋体" w:hAnsi="宋体" w:eastAsia="宋体" w:cs="宋体"/>
          <w:color w:val="000000"/>
          <w:sz w:val="24"/>
        </w:rPr>
        <w:t> 六、注意事项</w:t>
      </w:r>
    </w:p>
    <w:p w14:paraId="6E4740AD">
      <w:pPr>
        <w:wordWrap w:val="0"/>
        <w:spacing w:line="360" w:lineRule="exact"/>
        <w:ind w:firstLine="240" w:firstLineChars="100"/>
        <w:jc w:val="left"/>
      </w:pPr>
      <w:r>
        <w:rPr>
          <w:rFonts w:ascii="宋体" w:hAnsi="宋体" w:eastAsia="宋体" w:cs="宋体"/>
          <w:color w:val="000000"/>
          <w:sz w:val="24"/>
        </w:rPr>
        <w:t> 1、物业公司负责员工的安全教育和日常管理，对员工人身财产安全负全责。</w:t>
      </w:r>
    </w:p>
    <w:p w14:paraId="3E893212">
      <w:pPr>
        <w:wordWrap w:val="0"/>
        <w:spacing w:line="360" w:lineRule="exact"/>
        <w:ind w:firstLine="240" w:firstLineChars="100"/>
        <w:jc w:val="left"/>
      </w:pPr>
      <w:r>
        <w:rPr>
          <w:rFonts w:ascii="宋体" w:hAnsi="宋体" w:eastAsia="宋体" w:cs="宋体"/>
          <w:color w:val="000000"/>
          <w:sz w:val="24"/>
        </w:rPr>
        <w:t> 2、物业公司在巡查过程中应注意个人安全，保持通讯畅通，加强自身防护措施，不得扰乱正常的教学秩序和工作环境，保证在安全的环境下作业。</w:t>
      </w:r>
    </w:p>
    <w:p w14:paraId="3052B4E1">
      <w:pPr>
        <w:wordWrap w:val="0"/>
        <w:spacing w:line="360" w:lineRule="exact"/>
        <w:ind w:firstLine="240" w:firstLineChars="100"/>
        <w:jc w:val="left"/>
      </w:pPr>
      <w:r>
        <w:rPr>
          <w:rFonts w:ascii="宋体" w:hAnsi="宋体" w:eastAsia="宋体" w:cs="宋体"/>
          <w:color w:val="000000"/>
          <w:sz w:val="24"/>
        </w:rPr>
        <w:t> 3、安全隐患地区，物业公司应设置提醒标语。</w:t>
      </w:r>
    </w:p>
    <w:p w14:paraId="6FF1FB7E">
      <w:pPr>
        <w:wordWrap w:val="0"/>
        <w:spacing w:line="360" w:lineRule="exact"/>
        <w:ind w:firstLine="240" w:firstLineChars="100"/>
        <w:jc w:val="left"/>
      </w:pPr>
      <w:r>
        <w:rPr>
          <w:rFonts w:ascii="宋体" w:hAnsi="宋体" w:eastAsia="宋体" w:cs="宋体"/>
          <w:color w:val="000000"/>
          <w:sz w:val="24"/>
        </w:rPr>
        <w:t> 七、附则</w:t>
      </w:r>
    </w:p>
    <w:p w14:paraId="314A1639">
      <w:pPr>
        <w:wordWrap w:val="0"/>
        <w:spacing w:line="360" w:lineRule="exact"/>
        <w:ind w:firstLine="240" w:firstLineChars="100"/>
        <w:jc w:val="left"/>
      </w:pPr>
      <w:r>
        <w:rPr>
          <w:rFonts w:ascii="宋体" w:hAnsi="宋体" w:eastAsia="宋体" w:cs="宋体"/>
          <w:color w:val="000000"/>
          <w:sz w:val="24"/>
        </w:rPr>
        <w:t> 1、本规定由后勤基建处负责解释。</w:t>
      </w:r>
    </w:p>
    <w:p w14:paraId="02434F85">
      <w:pPr>
        <w:wordWrap w:val="0"/>
        <w:spacing w:line="360" w:lineRule="exact"/>
        <w:ind w:firstLine="240" w:firstLineChars="100"/>
        <w:jc w:val="left"/>
      </w:pPr>
      <w:r>
        <w:rPr>
          <w:rFonts w:ascii="宋体" w:hAnsi="宋体" w:eastAsia="宋体" w:cs="宋体"/>
          <w:color w:val="000000"/>
          <w:sz w:val="24"/>
        </w:rPr>
        <w:t> 2、本办法自发布之日起实施。</w:t>
      </w:r>
    </w:p>
    <w:p w14:paraId="6B4E4761">
      <w:r>
        <w:br w:type="page"/>
      </w:r>
    </w:p>
    <w:p w14:paraId="35153892">
      <w:pPr>
        <w:wordWrap w:val="0"/>
        <w:spacing w:line="360" w:lineRule="exact"/>
        <w:jc w:val="left"/>
      </w:pPr>
      <w:r>
        <w:rPr>
          <w:rFonts w:ascii="宋体" w:hAnsi="宋体" w:eastAsia="宋体" w:cs="宋体"/>
          <w:color w:val="000000"/>
          <w:sz w:val="24"/>
        </w:rPr>
        <w:t>附件12：</w:t>
      </w:r>
    </w:p>
    <w:p w14:paraId="0A280BD7">
      <w:pPr>
        <w:wordWrap w:val="0"/>
        <w:spacing w:line="360" w:lineRule="exact"/>
        <w:jc w:val="center"/>
      </w:pPr>
      <w:r>
        <w:rPr>
          <w:rFonts w:ascii="宋体" w:hAnsi="宋体" w:eastAsia="宋体" w:cs="宋体"/>
          <w:b/>
          <w:color w:val="000000"/>
          <w:sz w:val="24"/>
        </w:rPr>
        <w:t>南京财经大学物业安全管理责任书</w:t>
      </w:r>
    </w:p>
    <w:p w14:paraId="3D5ADF91">
      <w:pPr>
        <w:wordWrap w:val="0"/>
        <w:spacing w:line="360" w:lineRule="exact"/>
        <w:jc w:val="left"/>
      </w:pPr>
      <w:r>
        <w:rPr>
          <w:rFonts w:ascii="宋体" w:hAnsi="宋体" w:eastAsia="宋体" w:cs="宋体"/>
          <w:color w:val="000000"/>
          <w:sz w:val="24"/>
        </w:rPr>
        <w:t>为了进一步加强落实南京财经大学物业安全监督管理，保证物业安全、生产安全、消防安全，依据《中华人民共和国安全生产法》、《中华人民共和国消防法》、《中华人民共和国物权法》、《物业管理条例》等法律法规的规定以及招标文件、投标文件、考核管理办法等的约定，南京财经大学后勤基建处与物业管理服务公司签订本责任书，明确物业服务单位履行以下责任：</w:t>
      </w:r>
    </w:p>
    <w:p w14:paraId="623F9ACF">
      <w:pPr>
        <w:wordWrap w:val="0"/>
        <w:spacing w:line="360" w:lineRule="exact"/>
        <w:jc w:val="left"/>
      </w:pPr>
      <w:r>
        <w:rPr>
          <w:rFonts w:ascii="宋体" w:hAnsi="宋体" w:eastAsia="宋体" w:cs="宋体"/>
          <w:color w:val="000000"/>
          <w:sz w:val="24"/>
        </w:rPr>
        <w:t>一、管理责任制</w:t>
      </w:r>
    </w:p>
    <w:p w14:paraId="3D22EEEF">
      <w:pPr>
        <w:wordWrap w:val="0"/>
        <w:spacing w:line="360" w:lineRule="exact"/>
        <w:jc w:val="left"/>
      </w:pPr>
      <w:r>
        <w:rPr>
          <w:rFonts w:ascii="宋体" w:hAnsi="宋体" w:eastAsia="宋体" w:cs="宋体"/>
          <w:color w:val="000000"/>
          <w:sz w:val="24"/>
        </w:rPr>
        <w:t>1、根据“谁主管、谁负责”的原则，实行管理负责制，物业公司应逐级落实安全管理工作。为师生的学习、工作和生活创建和谐稳定的校园环境。</w:t>
      </w:r>
    </w:p>
    <w:p w14:paraId="00352AB5">
      <w:pPr>
        <w:wordWrap w:val="0"/>
        <w:spacing w:line="360" w:lineRule="exact"/>
        <w:jc w:val="left"/>
      </w:pPr>
      <w:r>
        <w:rPr>
          <w:rFonts w:ascii="宋体" w:hAnsi="宋体" w:eastAsia="宋体" w:cs="宋体"/>
          <w:color w:val="000000"/>
          <w:sz w:val="24"/>
        </w:rPr>
        <w:t>2、安全责任人要把安全工作纳入物业公司的责任范围和管理目标，并做到年初有计划，每月有安排，平时有检查，及时有效进行安全管理。</w:t>
      </w:r>
    </w:p>
    <w:p w14:paraId="12B41A1A">
      <w:pPr>
        <w:wordWrap w:val="0"/>
        <w:spacing w:line="360" w:lineRule="exact"/>
        <w:jc w:val="left"/>
      </w:pPr>
      <w:r>
        <w:rPr>
          <w:rFonts w:ascii="宋体" w:hAnsi="宋体" w:eastAsia="宋体" w:cs="宋体"/>
          <w:color w:val="000000"/>
          <w:sz w:val="24"/>
        </w:rPr>
        <w:t>3、各级责任人要结合责任区域的安全工作实际，建立健全各项安全规章制度。切实做好责任区域的安全工作，推动安全监管常态化、长效化。</w:t>
      </w:r>
    </w:p>
    <w:p w14:paraId="225A21B4">
      <w:pPr>
        <w:wordWrap w:val="0"/>
        <w:spacing w:line="360" w:lineRule="exact"/>
        <w:jc w:val="left"/>
      </w:pPr>
      <w:r>
        <w:rPr>
          <w:rFonts w:ascii="宋体" w:hAnsi="宋体" w:eastAsia="宋体" w:cs="宋体"/>
          <w:color w:val="000000"/>
          <w:sz w:val="24"/>
        </w:rPr>
        <w:t>二、目标责任制</w:t>
      </w:r>
    </w:p>
    <w:p w14:paraId="76CBB875">
      <w:pPr>
        <w:wordWrap w:val="0"/>
        <w:spacing w:line="360" w:lineRule="exact"/>
        <w:jc w:val="left"/>
      </w:pPr>
      <w:r>
        <w:rPr>
          <w:rFonts w:ascii="宋体" w:hAnsi="宋体" w:eastAsia="宋体" w:cs="宋体"/>
          <w:color w:val="000000"/>
          <w:sz w:val="24"/>
        </w:rPr>
        <w:t>1、安全责任人，对本公司员工要经常进行法纪、心理健康、生命安全及网络安全等教育，加强安全应急演练，增强员工的安全意识和防范能力。努力做好创建安全文明校园安全保障工作。</w:t>
      </w:r>
    </w:p>
    <w:p w14:paraId="00704A28">
      <w:pPr>
        <w:wordWrap w:val="0"/>
        <w:spacing w:line="360" w:lineRule="exact"/>
        <w:jc w:val="left"/>
      </w:pPr>
      <w:r>
        <w:rPr>
          <w:rFonts w:ascii="宋体" w:hAnsi="宋体" w:eastAsia="宋体" w:cs="宋体"/>
          <w:color w:val="000000"/>
          <w:sz w:val="24"/>
        </w:rPr>
        <w:t>2、检查在“防”字上下功夫。要严格按照学校安全防范工作规范要求，加强人防、物防、技防，做好重点区域、要害部位的防范。加强对用火、用电、用水、用气的规范管理。重点实验室、易燃易爆物品、危化品、特种设备严格按国家标准落实安全管理措施，做到制度完善、设施完备、措施落实、经费到位。建立健全隐患排查机制，建立台账，对存在的安全隐患必须限期整改。认真开展防火、防盗、防骗、防交通事故、防食物中毒等各类安全主题教育活动，牢牢掌握安全工作的主动权。</w:t>
      </w:r>
    </w:p>
    <w:p w14:paraId="6ED99880">
      <w:pPr>
        <w:wordWrap w:val="0"/>
        <w:spacing w:line="360" w:lineRule="exact"/>
        <w:jc w:val="left"/>
      </w:pPr>
      <w:r>
        <w:rPr>
          <w:rFonts w:ascii="宋体" w:hAnsi="宋体" w:eastAsia="宋体" w:cs="宋体"/>
          <w:color w:val="000000"/>
          <w:sz w:val="24"/>
        </w:rPr>
        <w:t>3、保持信息渠道畅通。对辖区内的各种影响政治稳定和内部安定的因素与舆情能及时掌握并报告。一旦发生突发事件，能及时有效果断处置。</w:t>
      </w:r>
    </w:p>
    <w:p w14:paraId="2CBC5AA4">
      <w:pPr>
        <w:wordWrap w:val="0"/>
        <w:spacing w:line="360" w:lineRule="exact"/>
        <w:jc w:val="left"/>
      </w:pPr>
      <w:r>
        <w:rPr>
          <w:rFonts w:ascii="宋体" w:hAnsi="宋体" w:eastAsia="宋体" w:cs="宋体"/>
          <w:color w:val="000000"/>
          <w:sz w:val="24"/>
        </w:rPr>
        <w:t>4、通过领导责任制的实施，各单位应达到：</w:t>
      </w:r>
    </w:p>
    <w:p w14:paraId="50EE196C">
      <w:pPr>
        <w:wordWrap w:val="0"/>
        <w:spacing w:line="360" w:lineRule="exact"/>
        <w:jc w:val="left"/>
      </w:pPr>
      <w:r>
        <w:rPr>
          <w:rFonts w:ascii="宋体" w:hAnsi="宋体" w:eastAsia="宋体" w:cs="宋体"/>
          <w:color w:val="000000"/>
          <w:sz w:val="24"/>
        </w:rPr>
        <w:t>（1）无邪教组织活动、群体性上访及聚众闹事影响社会稳定和学校政治稳定的事件；</w:t>
      </w:r>
    </w:p>
    <w:p w14:paraId="595227E3">
      <w:pPr>
        <w:wordWrap w:val="0"/>
        <w:spacing w:line="360" w:lineRule="exact"/>
        <w:jc w:val="left"/>
      </w:pPr>
      <w:r>
        <w:rPr>
          <w:rFonts w:ascii="宋体" w:hAnsi="宋体" w:eastAsia="宋体" w:cs="宋体"/>
          <w:color w:val="000000"/>
          <w:sz w:val="24"/>
        </w:rPr>
        <w:t>（2）无因私拉乱接引起的火灾、爆炸事故；</w:t>
      </w:r>
    </w:p>
    <w:p w14:paraId="3FD11FA2">
      <w:pPr>
        <w:wordWrap w:val="0"/>
        <w:spacing w:line="360" w:lineRule="exact"/>
        <w:jc w:val="left"/>
      </w:pPr>
      <w:r>
        <w:rPr>
          <w:rFonts w:ascii="宋体" w:hAnsi="宋体" w:eastAsia="宋体" w:cs="宋体"/>
          <w:color w:val="000000"/>
          <w:sz w:val="24"/>
        </w:rPr>
        <w:t>（3）无重大盗窃、抢劫、诈骗（2000元以上）、非法吸储案件；</w:t>
      </w:r>
    </w:p>
    <w:p w14:paraId="54B76078">
      <w:pPr>
        <w:wordWrap w:val="0"/>
        <w:spacing w:line="360" w:lineRule="exact"/>
        <w:jc w:val="left"/>
      </w:pPr>
      <w:r>
        <w:rPr>
          <w:rFonts w:ascii="宋体" w:hAnsi="宋体" w:eastAsia="宋体" w:cs="宋体"/>
          <w:color w:val="000000"/>
          <w:sz w:val="24"/>
        </w:rPr>
        <w:t>（4）无重大刑事案件；</w:t>
      </w:r>
    </w:p>
    <w:p w14:paraId="19FCB489">
      <w:pPr>
        <w:wordWrap w:val="0"/>
        <w:spacing w:line="360" w:lineRule="exact"/>
        <w:jc w:val="left"/>
      </w:pPr>
      <w:r>
        <w:rPr>
          <w:rFonts w:ascii="宋体" w:hAnsi="宋体" w:eastAsia="宋体" w:cs="宋体"/>
          <w:color w:val="000000"/>
          <w:sz w:val="24"/>
        </w:rPr>
        <w:t>（5）无管理责任的非正常伤亡事故；</w:t>
      </w:r>
    </w:p>
    <w:p w14:paraId="0EA6B68D">
      <w:pPr>
        <w:wordWrap w:val="0"/>
        <w:spacing w:line="360" w:lineRule="exact"/>
        <w:jc w:val="left"/>
      </w:pPr>
      <w:r>
        <w:rPr>
          <w:rFonts w:ascii="宋体" w:hAnsi="宋体" w:eastAsia="宋体" w:cs="宋体"/>
          <w:color w:val="000000"/>
          <w:sz w:val="24"/>
        </w:rPr>
        <w:t>（6）无食物中毒或剧毒药品、化学物品中毒事故；</w:t>
      </w:r>
    </w:p>
    <w:p w14:paraId="2CB5FD57">
      <w:pPr>
        <w:wordWrap w:val="0"/>
        <w:spacing w:line="360" w:lineRule="exact"/>
        <w:jc w:val="left"/>
      </w:pPr>
      <w:r>
        <w:rPr>
          <w:rFonts w:ascii="宋体" w:hAnsi="宋体" w:eastAsia="宋体" w:cs="宋体"/>
          <w:color w:val="000000"/>
          <w:sz w:val="24"/>
        </w:rPr>
        <w:t>（7）无酒驾、醉驾及重大交通事故；</w:t>
      </w:r>
    </w:p>
    <w:p w14:paraId="5CC4BC55">
      <w:pPr>
        <w:wordWrap w:val="0"/>
        <w:spacing w:line="360" w:lineRule="exact"/>
        <w:jc w:val="left"/>
      </w:pPr>
      <w:r>
        <w:rPr>
          <w:rFonts w:ascii="宋体" w:hAnsi="宋体" w:eastAsia="宋体" w:cs="宋体"/>
          <w:color w:val="000000"/>
          <w:sz w:val="24"/>
        </w:rPr>
        <w:t>（8）无泄密事件；</w:t>
      </w:r>
    </w:p>
    <w:p w14:paraId="0279FEE5">
      <w:pPr>
        <w:wordWrap w:val="0"/>
        <w:spacing w:line="360" w:lineRule="exact"/>
        <w:jc w:val="left"/>
      </w:pPr>
      <w:r>
        <w:rPr>
          <w:rFonts w:ascii="宋体" w:hAnsi="宋体" w:eastAsia="宋体" w:cs="宋体"/>
          <w:color w:val="000000"/>
          <w:sz w:val="24"/>
        </w:rPr>
        <w:t>（9）无责任事故导致漏水、漏气、停水、停电；</w:t>
      </w:r>
    </w:p>
    <w:p w14:paraId="1D344DE4">
      <w:pPr>
        <w:wordWrap w:val="0"/>
        <w:spacing w:line="360" w:lineRule="exact"/>
        <w:jc w:val="left"/>
      </w:pPr>
      <w:r>
        <w:rPr>
          <w:rFonts w:ascii="宋体" w:hAnsi="宋体" w:eastAsia="宋体" w:cs="宋体"/>
          <w:color w:val="000000"/>
          <w:sz w:val="24"/>
        </w:rPr>
        <w:t>（10）无本单位及所辖人员违法犯罪；</w:t>
      </w:r>
    </w:p>
    <w:p w14:paraId="7A9CEE3B">
      <w:pPr>
        <w:wordWrap w:val="0"/>
        <w:spacing w:line="360" w:lineRule="exact"/>
        <w:jc w:val="left"/>
      </w:pPr>
      <w:r>
        <w:rPr>
          <w:rFonts w:ascii="宋体" w:hAnsi="宋体" w:eastAsia="宋体" w:cs="宋体"/>
          <w:color w:val="000000"/>
          <w:sz w:val="24"/>
        </w:rPr>
        <w:t>（11）无吸毒、涉“黄”、涉赌事件；</w:t>
      </w:r>
    </w:p>
    <w:p w14:paraId="716C4C6F">
      <w:pPr>
        <w:wordWrap w:val="0"/>
        <w:spacing w:line="360" w:lineRule="exact"/>
        <w:jc w:val="left"/>
      </w:pPr>
      <w:r>
        <w:rPr>
          <w:rFonts w:ascii="宋体" w:hAnsi="宋体" w:eastAsia="宋体" w:cs="宋体"/>
          <w:color w:val="000000"/>
          <w:sz w:val="24"/>
        </w:rPr>
        <w:t>（12）无网络安全责任事故；</w:t>
      </w:r>
    </w:p>
    <w:p w14:paraId="62BD3A07">
      <w:pPr>
        <w:wordWrap w:val="0"/>
        <w:spacing w:line="360" w:lineRule="exact"/>
        <w:jc w:val="left"/>
      </w:pPr>
      <w:r>
        <w:rPr>
          <w:rFonts w:ascii="宋体" w:hAnsi="宋体" w:eastAsia="宋体" w:cs="宋体"/>
          <w:color w:val="000000"/>
          <w:sz w:val="24"/>
        </w:rPr>
        <w:t>（13）无其他安全责任事故等。</w:t>
      </w:r>
    </w:p>
    <w:p w14:paraId="10681A8D">
      <w:pPr>
        <w:wordWrap w:val="0"/>
        <w:spacing w:line="360" w:lineRule="exact"/>
        <w:jc w:val="left"/>
      </w:pPr>
      <w:r>
        <w:rPr>
          <w:rFonts w:ascii="宋体" w:hAnsi="宋体" w:eastAsia="宋体" w:cs="宋体"/>
          <w:color w:val="000000"/>
          <w:sz w:val="24"/>
        </w:rPr>
        <w:t>三、安全生产工作要求</w:t>
      </w:r>
    </w:p>
    <w:p w14:paraId="04CF5E4E">
      <w:pPr>
        <w:wordWrap w:val="0"/>
        <w:spacing w:line="360" w:lineRule="exact"/>
        <w:jc w:val="left"/>
      </w:pPr>
      <w:r>
        <w:rPr>
          <w:rFonts w:ascii="宋体" w:hAnsi="宋体" w:eastAsia="宋体" w:cs="宋体"/>
          <w:color w:val="000000"/>
          <w:sz w:val="24"/>
        </w:rPr>
        <w:t>1、遵守安全生产法律、法规的规定，保证安全生产、依法承担安全生产责任。组织制定并实施本单位的安全生产事故救援预案，及时并如实报告生产安全事故。</w:t>
      </w:r>
    </w:p>
    <w:p w14:paraId="226189F7">
      <w:pPr>
        <w:wordWrap w:val="0"/>
        <w:spacing w:line="360" w:lineRule="exact"/>
        <w:jc w:val="left"/>
      </w:pPr>
      <w:r>
        <w:rPr>
          <w:rFonts w:ascii="宋体" w:hAnsi="宋体" w:eastAsia="宋体" w:cs="宋体"/>
          <w:color w:val="000000"/>
          <w:sz w:val="24"/>
        </w:rPr>
        <w:t>2、应和相关管理人员共同自觉学习，提高安全生产管理工作能力，达到相关规定要求。</w:t>
      </w:r>
    </w:p>
    <w:p w14:paraId="12F681FB">
      <w:pPr>
        <w:wordWrap w:val="0"/>
        <w:spacing w:line="360" w:lineRule="exact"/>
        <w:jc w:val="left"/>
      </w:pPr>
      <w:r>
        <w:rPr>
          <w:rFonts w:ascii="宋体" w:hAnsi="宋体" w:eastAsia="宋体" w:cs="宋体"/>
          <w:color w:val="000000"/>
          <w:sz w:val="24"/>
        </w:rPr>
        <w:t>3、把安全生产实际作为本单位与各管理人员工作和重要考核内容，实施安全工作考核并且奖惩分明原则。</w:t>
      </w:r>
    </w:p>
    <w:p w14:paraId="15E524F8">
      <w:pPr>
        <w:wordWrap w:val="0"/>
        <w:spacing w:line="360" w:lineRule="exact"/>
        <w:jc w:val="left"/>
      </w:pPr>
      <w:r>
        <w:rPr>
          <w:rFonts w:ascii="宋体" w:hAnsi="宋体" w:eastAsia="宋体" w:cs="宋体"/>
          <w:color w:val="000000"/>
          <w:sz w:val="24"/>
        </w:rPr>
        <w:t>4、在工作中把安全生产工作放在重要议事日程，审议安全生产工作规划并进行安全生产规划的具体实施。</w:t>
      </w:r>
    </w:p>
    <w:p w14:paraId="12C80D12">
      <w:pPr>
        <w:wordWrap w:val="0"/>
        <w:spacing w:line="360" w:lineRule="exact"/>
        <w:jc w:val="left"/>
      </w:pPr>
      <w:r>
        <w:rPr>
          <w:rFonts w:ascii="宋体" w:hAnsi="宋体" w:eastAsia="宋体" w:cs="宋体"/>
          <w:color w:val="000000"/>
          <w:sz w:val="24"/>
        </w:rPr>
        <w:t>5、及时了解和掌握安全生产工作运行情况，及时监督落实重大问题和事故隐患解决措施，保证安全生产。</w:t>
      </w:r>
    </w:p>
    <w:p w14:paraId="1FAA3040">
      <w:pPr>
        <w:wordWrap w:val="0"/>
        <w:spacing w:line="360" w:lineRule="exact"/>
        <w:jc w:val="left"/>
      </w:pPr>
      <w:r>
        <w:rPr>
          <w:rFonts w:ascii="宋体" w:hAnsi="宋体" w:eastAsia="宋体" w:cs="宋体"/>
          <w:color w:val="000000"/>
          <w:sz w:val="24"/>
        </w:rPr>
        <w:t>6、做好生产设备、安全装备、消防设施、防护器材和急救器具的检查维护工作，发现问题及时与设备维修人员联系进行维修处理，使其经常保持完好和正常运行；督促教育员工合理使用劳保用品、用具，正确使用灭火器材及更新工作。</w:t>
      </w:r>
    </w:p>
    <w:p w14:paraId="5F09D061">
      <w:pPr>
        <w:wordWrap w:val="0"/>
        <w:spacing w:line="360" w:lineRule="exact"/>
        <w:jc w:val="left"/>
      </w:pPr>
      <w:r>
        <w:rPr>
          <w:rFonts w:ascii="宋体" w:hAnsi="宋体" w:eastAsia="宋体" w:cs="宋体"/>
          <w:color w:val="000000"/>
          <w:sz w:val="24"/>
        </w:rPr>
        <w:t>7、定期进行安全生产管理、检查督促、事故隐患整改情况等方面的汇报，对存在的重大安全问题应进行专题汇报并提出具体解决措施。</w:t>
      </w:r>
    </w:p>
    <w:p w14:paraId="168BFDDF">
      <w:pPr>
        <w:wordWrap w:val="0"/>
        <w:spacing w:line="360" w:lineRule="exact"/>
        <w:jc w:val="left"/>
      </w:pPr>
      <w:r>
        <w:rPr>
          <w:rFonts w:ascii="宋体" w:hAnsi="宋体" w:eastAsia="宋体" w:cs="宋体"/>
          <w:color w:val="000000"/>
          <w:sz w:val="24"/>
        </w:rPr>
        <w:t>8、组织员工进行安全生产教育培训，保证员工具备必要的安全生产知识，熟悉有关的安全规章制度和安全操作规程，掌握本岗位的安全操作技能。未经安全生产教育和培训合格，未获得相应执业资格的从业人员，不得上岗作业。</w:t>
      </w:r>
    </w:p>
    <w:p w14:paraId="13970551">
      <w:pPr>
        <w:wordWrap w:val="0"/>
        <w:spacing w:line="360" w:lineRule="exact"/>
        <w:jc w:val="left"/>
      </w:pPr>
      <w:r>
        <w:rPr>
          <w:rFonts w:ascii="宋体" w:hAnsi="宋体" w:eastAsia="宋体" w:cs="宋体"/>
          <w:color w:val="000000"/>
          <w:sz w:val="24"/>
        </w:rPr>
        <w:t>9、对特种作业人员必须按照国家有关规定经专门的安全作业培训，取得特种作业操作资格证书后，方可上岗作业。</w:t>
      </w:r>
    </w:p>
    <w:p w14:paraId="23B3BBD6">
      <w:pPr>
        <w:wordWrap w:val="0"/>
        <w:spacing w:line="360" w:lineRule="exact"/>
        <w:jc w:val="left"/>
      </w:pPr>
      <w:r>
        <w:rPr>
          <w:rFonts w:ascii="宋体" w:hAnsi="宋体" w:eastAsia="宋体" w:cs="宋体"/>
          <w:color w:val="000000"/>
          <w:sz w:val="24"/>
        </w:rPr>
        <w:t>10、及时进行本范围内建设项目的安全方案审查与实施，保证建设项目与安全设施同步进行。</w:t>
      </w:r>
    </w:p>
    <w:p w14:paraId="4139B830">
      <w:pPr>
        <w:wordWrap w:val="0"/>
        <w:spacing w:line="360" w:lineRule="exact"/>
        <w:jc w:val="left"/>
      </w:pPr>
      <w:r>
        <w:rPr>
          <w:rFonts w:ascii="宋体" w:hAnsi="宋体" w:eastAsia="宋体" w:cs="宋体"/>
          <w:color w:val="000000"/>
          <w:sz w:val="24"/>
        </w:rPr>
        <w:t>11、重大危源应急预案编制，组织预案救灾演练，落实应急救援人员。</w:t>
      </w:r>
    </w:p>
    <w:p w14:paraId="5E5BF329">
      <w:pPr>
        <w:wordWrap w:val="0"/>
        <w:spacing w:line="360" w:lineRule="exact"/>
        <w:jc w:val="left"/>
      </w:pPr>
      <w:r>
        <w:rPr>
          <w:rFonts w:ascii="宋体" w:hAnsi="宋体" w:eastAsia="宋体" w:cs="宋体"/>
          <w:color w:val="000000"/>
          <w:sz w:val="24"/>
        </w:rPr>
        <w:t>12、推广安全生产工作先进经验，积极探索新形势下安全生产工作思路，使安全生产工作更加科学有效。</w:t>
      </w:r>
    </w:p>
    <w:p w14:paraId="088C510D">
      <w:pPr>
        <w:wordWrap w:val="0"/>
        <w:spacing w:line="360" w:lineRule="exact"/>
        <w:jc w:val="left"/>
      </w:pPr>
      <w:r>
        <w:rPr>
          <w:rFonts w:ascii="宋体" w:hAnsi="宋体" w:eastAsia="宋体" w:cs="宋体"/>
          <w:color w:val="000000"/>
          <w:sz w:val="24"/>
        </w:rPr>
        <w:t>四、其他事宜</w:t>
      </w:r>
    </w:p>
    <w:p w14:paraId="0A0E1B72">
      <w:pPr>
        <w:wordWrap w:val="0"/>
        <w:spacing w:line="360" w:lineRule="exact"/>
        <w:jc w:val="left"/>
      </w:pPr>
      <w:r>
        <w:rPr>
          <w:rFonts w:ascii="宋体" w:hAnsi="宋体" w:eastAsia="宋体" w:cs="宋体"/>
          <w:color w:val="000000"/>
          <w:sz w:val="24"/>
        </w:rPr>
        <w:t>1、本责任书每年签订一次；</w:t>
      </w:r>
    </w:p>
    <w:p w14:paraId="5A3F8EF9">
      <w:pPr>
        <w:wordWrap w:val="0"/>
        <w:spacing w:line="360" w:lineRule="exact"/>
        <w:jc w:val="left"/>
      </w:pPr>
      <w:r>
        <w:rPr>
          <w:rFonts w:ascii="宋体" w:hAnsi="宋体" w:eastAsia="宋体" w:cs="宋体"/>
          <w:color w:val="000000"/>
          <w:sz w:val="24"/>
        </w:rPr>
        <w:t>2、各级责任人岗位发生变动情况时，由该岗位继任者自然递补，下一年度由继任者再签订责任书。</w:t>
      </w:r>
    </w:p>
    <w:p w14:paraId="535CC6E4">
      <w:pPr>
        <w:wordWrap w:val="0"/>
        <w:spacing w:line="360" w:lineRule="exact"/>
        <w:jc w:val="left"/>
      </w:pPr>
      <w:r>
        <w:rPr>
          <w:rFonts w:ascii="宋体" w:hAnsi="宋体" w:eastAsia="宋体" w:cs="宋体"/>
          <w:color w:val="000000"/>
          <w:sz w:val="24"/>
        </w:rPr>
        <w:t>3、本责任书一式贰份，后勤基建处、物业公司各执壹份。</w:t>
      </w:r>
    </w:p>
    <w:p w14:paraId="2946E9E7">
      <w:pPr>
        <w:wordWrap w:val="0"/>
        <w:spacing w:line="360" w:lineRule="exact"/>
        <w:jc w:val="left"/>
      </w:pPr>
      <w:r>
        <w:rPr>
          <w:rFonts w:ascii="宋体" w:hAnsi="宋体" w:eastAsia="宋体" w:cs="宋体"/>
          <w:color w:val="000000"/>
          <w:sz w:val="24"/>
        </w:rPr>
        <w:t>后勤基建处（盖章）：                      物业公司（盖章）：</w:t>
      </w:r>
    </w:p>
    <w:p w14:paraId="20880AED">
      <w:pPr>
        <w:wordWrap w:val="0"/>
        <w:spacing w:line="360" w:lineRule="exact"/>
        <w:jc w:val="left"/>
      </w:pPr>
      <w:r>
        <w:rPr>
          <w:rFonts w:ascii="宋体" w:hAnsi="宋体" w:eastAsia="宋体" w:cs="宋体"/>
          <w:color w:val="000000"/>
          <w:sz w:val="24"/>
        </w:rPr>
        <w:t>负责人（签字）：                          物业责任人（签字）：</w:t>
      </w:r>
    </w:p>
    <w:p w14:paraId="1E17EEEE">
      <w:pPr>
        <w:wordWrap w:val="0"/>
        <w:spacing w:line="360" w:lineRule="exact"/>
        <w:jc w:val="left"/>
      </w:pPr>
      <w:r>
        <w:rPr>
          <w:rFonts w:ascii="宋体" w:hAnsi="宋体" w:eastAsia="宋体" w:cs="宋体"/>
          <w:color w:val="000000"/>
          <w:sz w:val="24"/>
        </w:rPr>
        <w:t>年   月   日                                 年 月   日</w:t>
      </w:r>
    </w:p>
    <w:p w14:paraId="1735E938">
      <w:r>
        <w:br w:type="page"/>
      </w:r>
    </w:p>
    <w:p w14:paraId="0A40CB22">
      <w:pPr>
        <w:wordWrap w:val="0"/>
        <w:spacing w:line="360" w:lineRule="exact"/>
        <w:jc w:val="left"/>
      </w:pPr>
      <w:r>
        <w:rPr>
          <w:rFonts w:ascii="宋体" w:hAnsi="宋体" w:eastAsia="宋体" w:cs="宋体"/>
          <w:color w:val="000000"/>
          <w:sz w:val="24"/>
        </w:rPr>
        <w:t>附件13：</w:t>
      </w:r>
    </w:p>
    <w:p w14:paraId="72BD9D42">
      <w:pPr>
        <w:wordWrap w:val="0"/>
        <w:spacing w:line="360" w:lineRule="exact"/>
        <w:ind w:firstLine="241" w:firstLineChars="100"/>
        <w:jc w:val="center"/>
      </w:pPr>
      <w:r>
        <w:rPr>
          <w:rFonts w:ascii="宋体" w:hAnsi="宋体" w:eastAsia="宋体" w:cs="宋体"/>
          <w:b/>
          <w:color w:val="000000"/>
          <w:sz w:val="24"/>
        </w:rPr>
        <w:t> 南京财经大学公共区域环境卫生消毒制度</w:t>
      </w:r>
    </w:p>
    <w:p w14:paraId="6F46D8DF">
      <w:pPr>
        <w:wordWrap w:val="0"/>
        <w:spacing w:line="360" w:lineRule="exact"/>
        <w:ind w:firstLine="241" w:firstLineChars="100"/>
        <w:jc w:val="center"/>
      </w:pPr>
      <w:r>
        <w:rPr>
          <w:rFonts w:ascii="宋体" w:hAnsi="宋体" w:eastAsia="宋体" w:cs="宋体"/>
          <w:b/>
          <w:color w:val="000000"/>
          <w:sz w:val="24"/>
        </w:rPr>
        <w:t> （试行）</w:t>
      </w:r>
    </w:p>
    <w:p w14:paraId="0BFAD26F">
      <w:pPr>
        <w:wordWrap w:val="0"/>
        <w:spacing w:line="360" w:lineRule="exact"/>
        <w:ind w:firstLine="240" w:firstLineChars="100"/>
        <w:jc w:val="left"/>
      </w:pPr>
      <w:r>
        <w:rPr>
          <w:rFonts w:ascii="宋体" w:hAnsi="宋体" w:eastAsia="宋体" w:cs="宋体"/>
          <w:color w:val="000000"/>
          <w:sz w:val="24"/>
        </w:rPr>
        <w:t> 为有效防控新型冠状肺炎病毒在校园扩散和蔓延，积极响应疫情防控的要求，指导物业公司有序地开展防控工作，切实保障校园环境卫生良好，特制定本制度。</w:t>
      </w:r>
    </w:p>
    <w:p w14:paraId="3067A3B3">
      <w:pPr>
        <w:wordWrap w:val="0"/>
        <w:spacing w:line="360" w:lineRule="exact"/>
        <w:ind w:firstLine="240" w:firstLineChars="100"/>
        <w:jc w:val="left"/>
      </w:pPr>
      <w:r>
        <w:rPr>
          <w:rFonts w:ascii="宋体" w:hAnsi="宋体" w:eastAsia="宋体" w:cs="宋体"/>
          <w:color w:val="000000"/>
          <w:sz w:val="24"/>
        </w:rPr>
        <w:t> （一）公共区域的清洁与消毒</w:t>
      </w:r>
    </w:p>
    <w:p w14:paraId="12FFC66C">
      <w:pPr>
        <w:wordWrap w:val="0"/>
        <w:spacing w:line="360" w:lineRule="exact"/>
        <w:ind w:firstLine="240" w:firstLineChars="100"/>
        <w:jc w:val="left"/>
      </w:pPr>
      <w:r>
        <w:rPr>
          <w:rFonts w:ascii="宋体" w:hAnsi="宋体" w:eastAsia="宋体" w:cs="宋体"/>
          <w:color w:val="000000"/>
          <w:sz w:val="24"/>
        </w:rPr>
        <w:t> 1、加强教室、学生公寓、办公室、会议室、活动中心、礼堂等公共区域的清洁和消毒，无人状态下，关闭门窗，教室每天至少清洁和消毒 2次, 用含有效氯500mg/L的消毒剂进行地面湿拖和按20ml/m ³～30 ml/m ³超低容量喷雾消毒，作用60分钟后打开门窗彻底通风。</w:t>
      </w:r>
    </w:p>
    <w:p w14:paraId="796BE024">
      <w:pPr>
        <w:wordWrap w:val="0"/>
        <w:spacing w:line="360" w:lineRule="exact"/>
        <w:ind w:firstLine="240" w:firstLineChars="100"/>
        <w:jc w:val="left"/>
      </w:pPr>
      <w:r>
        <w:rPr>
          <w:rFonts w:ascii="宋体" w:hAnsi="宋体" w:eastAsia="宋体" w:cs="宋体"/>
          <w:color w:val="000000"/>
          <w:sz w:val="24"/>
        </w:rPr>
        <w:t> 2、做好物体表面清洁消毒，对开关按钮、洗手池、水龙头、扶手、门把手、公共课桌椅等接触频次高的物体表面，用含有效氯500mg/L的消毒剂进行喷洒或擦拭，后用清水洗净，也可采用消毒纸巾进行擦拭。电梯间每天至少清洁和消毒4次。</w:t>
      </w:r>
    </w:p>
    <w:p w14:paraId="3A82CD26">
      <w:pPr>
        <w:wordWrap w:val="0"/>
        <w:spacing w:line="360" w:lineRule="exact"/>
        <w:ind w:firstLine="240" w:firstLineChars="100"/>
        <w:jc w:val="left"/>
      </w:pPr>
      <w:r>
        <w:rPr>
          <w:rFonts w:ascii="宋体" w:hAnsi="宋体" w:eastAsia="宋体" w:cs="宋体"/>
          <w:color w:val="000000"/>
          <w:sz w:val="24"/>
        </w:rPr>
        <w:t> 3、尽量减少使用空调的频次，如需使用，应保证空调系统供风安全。</w:t>
      </w:r>
    </w:p>
    <w:p w14:paraId="4704FF40">
      <w:pPr>
        <w:wordWrap w:val="0"/>
        <w:spacing w:line="360" w:lineRule="exact"/>
        <w:ind w:firstLine="240" w:firstLineChars="100"/>
        <w:jc w:val="left"/>
      </w:pPr>
      <w:r>
        <w:rPr>
          <w:rFonts w:ascii="宋体" w:hAnsi="宋体" w:eastAsia="宋体" w:cs="宋体"/>
          <w:color w:val="000000"/>
          <w:sz w:val="24"/>
        </w:rPr>
        <w:t> 4、保持室内空气流通，教室每日至少早、中、晚打开门窗通风3次，每次至少30分钟。</w:t>
      </w:r>
    </w:p>
    <w:p w14:paraId="25C108ED">
      <w:pPr>
        <w:wordWrap w:val="0"/>
        <w:spacing w:line="360" w:lineRule="exact"/>
        <w:ind w:firstLine="240" w:firstLineChars="100"/>
        <w:jc w:val="left"/>
      </w:pPr>
      <w:r>
        <w:rPr>
          <w:rFonts w:ascii="宋体" w:hAnsi="宋体" w:eastAsia="宋体" w:cs="宋体"/>
          <w:color w:val="000000"/>
          <w:sz w:val="24"/>
        </w:rPr>
        <w:t> 5、加强卫生间、洗手池等活动区域的清洁和消毒，洗手池、水龙头、坐便器、蹲坑等用含有效氯500mg/L的消毒剂进行喷洒或擦拭，作用30分钟后，再用清水洗净；保持卫生间空气流通，每隔一小时通风1次，每天至少清洁和消毒4次。</w:t>
      </w:r>
    </w:p>
    <w:p w14:paraId="79803B4B">
      <w:pPr>
        <w:wordWrap w:val="0"/>
        <w:spacing w:line="360" w:lineRule="exact"/>
        <w:ind w:firstLine="240" w:firstLineChars="100"/>
        <w:jc w:val="left"/>
      </w:pPr>
      <w:r>
        <w:rPr>
          <w:rFonts w:ascii="宋体" w:hAnsi="宋体" w:eastAsia="宋体" w:cs="宋体"/>
          <w:color w:val="000000"/>
          <w:sz w:val="24"/>
        </w:rPr>
        <w:t> 6、加强污染物（主要指呕吐物、排泄物、分泌物直接污染地面）的处理。</w:t>
      </w:r>
    </w:p>
    <w:p w14:paraId="476FAC39">
      <w:pPr>
        <w:wordWrap w:val="0"/>
        <w:spacing w:line="360" w:lineRule="exact"/>
        <w:ind w:firstLine="240" w:firstLineChars="100"/>
        <w:jc w:val="left"/>
      </w:pPr>
      <w:r>
        <w:rPr>
          <w:rFonts w:ascii="宋体" w:hAnsi="宋体" w:eastAsia="宋体" w:cs="宋体"/>
          <w:color w:val="000000"/>
          <w:sz w:val="24"/>
        </w:rPr>
        <w:t> 少量污染物可用一次性吸水材料（如纱布。抹布等）沾取10000mg/L的含氯消毒剂（或能达到高水平消毒的消毒湿巾）小心移除。</w:t>
      </w:r>
    </w:p>
    <w:p w14:paraId="222EE9D7">
      <w:pPr>
        <w:wordWrap w:val="0"/>
        <w:spacing w:line="360" w:lineRule="exact"/>
        <w:ind w:firstLine="240" w:firstLineChars="100"/>
        <w:jc w:val="left"/>
      </w:pPr>
      <w:r>
        <w:rPr>
          <w:rFonts w:ascii="宋体" w:hAnsi="宋体" w:eastAsia="宋体" w:cs="宋体"/>
          <w:color w:val="000000"/>
          <w:sz w:val="24"/>
        </w:rPr>
        <w:t> 大量污染物应使用一次性吸水材料（干毛巾）完全覆盖后，用足量的10000mg/L的含氯消毒剂浇在吸水材料上消毒，作用30分钟以上，小心清除干净。再用500mg/L～ 1000mg/L的含氯消毒剂擦（拖）被污染表面及其周围2米地面。</w:t>
      </w:r>
    </w:p>
    <w:p w14:paraId="7CCD9C7E">
      <w:pPr>
        <w:wordWrap w:val="0"/>
        <w:spacing w:line="360" w:lineRule="exact"/>
        <w:ind w:firstLine="240" w:firstLineChars="100"/>
        <w:jc w:val="left"/>
      </w:pPr>
      <w:r>
        <w:rPr>
          <w:rFonts w:ascii="宋体" w:hAnsi="宋体" w:eastAsia="宋体" w:cs="宋体"/>
          <w:color w:val="000000"/>
          <w:sz w:val="24"/>
        </w:rPr>
        <w:t> （二）垃圾箱、桶和垃圾站的清洁与消毒</w:t>
      </w:r>
    </w:p>
    <w:p w14:paraId="76F9813C">
      <w:pPr>
        <w:wordWrap w:val="0"/>
        <w:spacing w:line="360" w:lineRule="exact"/>
        <w:ind w:firstLine="240" w:firstLineChars="100"/>
        <w:jc w:val="left"/>
      </w:pPr>
      <w:r>
        <w:rPr>
          <w:rFonts w:ascii="宋体" w:hAnsi="宋体" w:eastAsia="宋体" w:cs="宋体"/>
          <w:color w:val="000000"/>
          <w:sz w:val="24"/>
        </w:rPr>
        <w:t> 1、及时清理垃圾箱，道路上垃圾桶每天至少清洁和消毒1次。</w:t>
      </w:r>
    </w:p>
    <w:p w14:paraId="5CDFD78D">
      <w:pPr>
        <w:wordWrap w:val="0"/>
        <w:spacing w:line="360" w:lineRule="exact"/>
        <w:ind w:firstLine="240" w:firstLineChars="100"/>
        <w:jc w:val="left"/>
      </w:pPr>
      <w:r>
        <w:rPr>
          <w:rFonts w:ascii="宋体" w:hAnsi="宋体" w:eastAsia="宋体" w:cs="宋体"/>
          <w:color w:val="000000"/>
          <w:sz w:val="24"/>
        </w:rPr>
        <w:t> 2、楼宇内教室、走廊、楼道、等公共区域垃圾箱、桶及时清理，每天至少清洁和消毒2次。</w:t>
      </w:r>
    </w:p>
    <w:p w14:paraId="125D26B3">
      <w:pPr>
        <w:wordWrap w:val="0"/>
        <w:spacing w:line="360" w:lineRule="exact"/>
        <w:ind w:firstLine="240" w:firstLineChars="100"/>
        <w:jc w:val="left"/>
      </w:pPr>
      <w:r>
        <w:rPr>
          <w:rFonts w:ascii="宋体" w:hAnsi="宋体" w:eastAsia="宋体" w:cs="宋体"/>
          <w:color w:val="000000"/>
          <w:sz w:val="24"/>
        </w:rPr>
        <w:t> 3、设立废弃口罩专用垃圾桶，每天至少清洁和消毒1次，清理前用含有效氯500mg/L～1000mg/L的含氯消毒液喷洒或浇洒垃圾至完全湿润，然后扎紧垃圾袋口。每天清理，并将垃圾投放到指定垃圾摆放点。</w:t>
      </w:r>
    </w:p>
    <w:p w14:paraId="1AA258C7">
      <w:pPr>
        <w:wordWrap w:val="0"/>
        <w:spacing w:line="360" w:lineRule="exact"/>
        <w:ind w:firstLine="240" w:firstLineChars="100"/>
        <w:jc w:val="left"/>
      </w:pPr>
      <w:r>
        <w:rPr>
          <w:rFonts w:ascii="宋体" w:hAnsi="宋体" w:eastAsia="宋体" w:cs="宋体"/>
          <w:color w:val="000000"/>
          <w:sz w:val="24"/>
        </w:rPr>
        <w:t> 4、垃圾中转站应配备专人负责维护、清洁和消毒工作，每天至少清洁和消毒2次。</w:t>
      </w:r>
    </w:p>
    <w:p w14:paraId="61348329">
      <w:pPr>
        <w:wordWrap w:val="0"/>
        <w:spacing w:line="360" w:lineRule="exact"/>
        <w:ind w:firstLine="240" w:firstLineChars="100"/>
        <w:jc w:val="left"/>
      </w:pPr>
      <w:r>
        <w:rPr>
          <w:rFonts w:ascii="宋体" w:hAnsi="宋体" w:eastAsia="宋体" w:cs="宋体"/>
          <w:color w:val="000000"/>
          <w:sz w:val="24"/>
        </w:rPr>
        <w:t> 5、垃圾箱、桶、垃圾站应采取以喷雾式消毒方式为主，擦拭式为辅的消毒方式。</w:t>
      </w:r>
    </w:p>
    <w:p w14:paraId="3698B6ED">
      <w:pPr>
        <w:wordWrap w:val="0"/>
        <w:spacing w:line="360" w:lineRule="exact"/>
        <w:ind w:firstLine="240" w:firstLineChars="100"/>
        <w:jc w:val="left"/>
      </w:pPr>
      <w:r>
        <w:rPr>
          <w:rFonts w:ascii="宋体" w:hAnsi="宋体" w:eastAsia="宋体" w:cs="宋体"/>
          <w:color w:val="000000"/>
          <w:sz w:val="24"/>
        </w:rPr>
        <w:t> （三）消毒注意事项</w:t>
      </w:r>
    </w:p>
    <w:p w14:paraId="1BAE85AE">
      <w:pPr>
        <w:wordWrap w:val="0"/>
        <w:spacing w:line="360" w:lineRule="exact"/>
        <w:ind w:firstLine="240" w:firstLineChars="100"/>
        <w:jc w:val="left"/>
      </w:pPr>
      <w:r>
        <w:rPr>
          <w:rFonts w:ascii="宋体" w:hAnsi="宋体" w:eastAsia="宋体" w:cs="宋体"/>
          <w:color w:val="000000"/>
          <w:sz w:val="24"/>
        </w:rPr>
        <w:t> 1、以清洁为主，预防性消毒为辅，每天至少消毒1次，同时避免过度消毒。</w:t>
      </w:r>
    </w:p>
    <w:p w14:paraId="114B270D">
      <w:pPr>
        <w:wordWrap w:val="0"/>
        <w:spacing w:line="360" w:lineRule="exact"/>
        <w:ind w:firstLine="240" w:firstLineChars="100"/>
        <w:jc w:val="left"/>
      </w:pPr>
      <w:r>
        <w:rPr>
          <w:rFonts w:ascii="宋体" w:hAnsi="宋体" w:eastAsia="宋体" w:cs="宋体"/>
          <w:color w:val="000000"/>
          <w:sz w:val="24"/>
        </w:rPr>
        <w:t> 2、含氯消毒剂有腐蚀性和皮肤黏膜刺激性，含氯消毒液要用冷水配制，且临用现配（严格按照产品使用说明中要求的比例配制）；使用乙醇消毒液时应远离火源。配置和使用消毒剂时应佩戴口罩、防护服和手套，专人消毒，避免其他人员触碰。</w:t>
      </w:r>
    </w:p>
    <w:p w14:paraId="0B25D21A">
      <w:pPr>
        <w:wordWrap w:val="0"/>
        <w:spacing w:line="360" w:lineRule="exact"/>
        <w:ind w:firstLine="240" w:firstLineChars="100"/>
        <w:jc w:val="left"/>
      </w:pPr>
      <w:r>
        <w:rPr>
          <w:rFonts w:ascii="宋体" w:hAnsi="宋体" w:eastAsia="宋体" w:cs="宋体"/>
          <w:color w:val="000000"/>
          <w:sz w:val="24"/>
        </w:rPr>
        <w:t> 3、化学消毒剂消毒后，用清水擦拭或冲洗，去除消毒剂残留，降低腐蚀性。消毒后开窗通风 60 分钟。</w:t>
      </w:r>
    </w:p>
    <w:p w14:paraId="44F9E1A6">
      <w:pPr>
        <w:wordWrap w:val="0"/>
        <w:spacing w:line="360" w:lineRule="exact"/>
        <w:ind w:firstLine="240" w:firstLineChars="100"/>
        <w:jc w:val="left"/>
      </w:pPr>
      <w:r>
        <w:rPr>
          <w:rFonts w:ascii="宋体" w:hAnsi="宋体" w:eastAsia="宋体" w:cs="宋体"/>
          <w:color w:val="000000"/>
          <w:sz w:val="24"/>
        </w:rPr>
        <w:t> 4、处理污染物应戴手套与口罩，处理完毕后应沐浴、更换衣服。</w:t>
      </w:r>
    </w:p>
    <w:p w14:paraId="41526B9B">
      <w:pPr>
        <w:wordWrap w:val="0"/>
        <w:spacing w:line="360" w:lineRule="exact"/>
        <w:ind w:firstLine="240" w:firstLineChars="100"/>
        <w:jc w:val="left"/>
      </w:pPr>
      <w:r>
        <w:rPr>
          <w:rFonts w:ascii="宋体" w:hAnsi="宋体" w:eastAsia="宋体" w:cs="宋体"/>
          <w:color w:val="000000"/>
          <w:sz w:val="24"/>
        </w:rPr>
        <w:t> 5、应使用符合国家卫生健康部门管理要求的消毒产品。</w:t>
      </w:r>
    </w:p>
    <w:p w14:paraId="11F6EC08">
      <w:pPr>
        <w:wordWrap w:val="0"/>
        <w:spacing w:line="360" w:lineRule="exact"/>
        <w:ind w:firstLine="240" w:firstLineChars="100"/>
        <w:jc w:val="left"/>
      </w:pPr>
      <w:r>
        <w:rPr>
          <w:rFonts w:ascii="宋体" w:hAnsi="宋体" w:eastAsia="宋体" w:cs="宋体"/>
          <w:color w:val="000000"/>
          <w:sz w:val="24"/>
        </w:rPr>
        <w:t> 6、消毒人员消毒完毕后均应进行详细记录。</w:t>
      </w:r>
    </w:p>
    <w:p w14:paraId="48C9B6C3">
      <w:pPr>
        <w:wordWrap w:val="0"/>
        <w:spacing w:line="360" w:lineRule="exact"/>
        <w:ind w:firstLine="210" w:firstLineChars="100"/>
        <w:jc w:val="left"/>
      </w:pPr>
    </w:p>
    <w:p w14:paraId="7D753818">
      <w:pPr>
        <w:wordWrap w:val="0"/>
        <w:spacing w:line="360" w:lineRule="exact"/>
        <w:ind w:firstLine="240" w:firstLineChars="100"/>
        <w:jc w:val="left"/>
      </w:pPr>
      <w:r>
        <w:rPr>
          <w:rFonts w:ascii="宋体" w:hAnsi="宋体" w:eastAsia="宋体" w:cs="宋体"/>
          <w:color w:val="000000"/>
          <w:sz w:val="24"/>
        </w:rPr>
        <w:t> 备注：本制度中的消毒液浓度标准参照江苏省卫生健康委新型冠状病毒感染的肺炎疫情防控工作指挥部下发的《关于印发新型冠状肺炎疫情防控5项消毒技术规范的通知》苏卫防指{2020}63号文件中的技术规范要求。</w:t>
      </w:r>
    </w:p>
    <w:p w14:paraId="14F5E815">
      <w:pPr>
        <w:wordWrap w:val="0"/>
        <w:spacing w:line="360" w:lineRule="exact"/>
        <w:ind w:firstLine="210" w:firstLineChars="100"/>
        <w:jc w:val="left"/>
      </w:pPr>
    </w:p>
    <w:p w14:paraId="38D52EBE">
      <w:pPr>
        <w:wordWrap w:val="0"/>
        <w:spacing w:line="360" w:lineRule="exact"/>
        <w:ind w:firstLine="240" w:firstLineChars="100"/>
        <w:jc w:val="left"/>
      </w:pPr>
      <w:r>
        <w:rPr>
          <w:rFonts w:ascii="宋体" w:hAnsi="宋体" w:eastAsia="宋体" w:cs="宋体"/>
          <w:color w:val="000000"/>
          <w:sz w:val="24"/>
        </w:rPr>
        <w:t> 附：一、过氧化氢使用方法</w:t>
      </w:r>
    </w:p>
    <w:p w14:paraId="656F02F1">
      <w:pPr>
        <w:wordWrap w:val="0"/>
        <w:spacing w:line="360" w:lineRule="exact"/>
        <w:ind w:firstLine="240" w:firstLineChars="100"/>
        <w:jc w:val="left"/>
      </w:pPr>
      <w:r>
        <w:rPr>
          <w:rFonts w:ascii="宋体" w:hAnsi="宋体" w:eastAsia="宋体" w:cs="宋体"/>
          <w:color w:val="000000"/>
          <w:sz w:val="24"/>
        </w:rPr>
        <w:t> 主要成分: 6.0%过氧化氢</w:t>
      </w:r>
    </w:p>
    <w:p w14:paraId="6ED0C22C">
      <w:pPr>
        <w:wordWrap w:val="0"/>
        <w:spacing w:line="360" w:lineRule="exact"/>
        <w:ind w:firstLine="240" w:firstLineChars="100"/>
        <w:jc w:val="left"/>
      </w:pPr>
      <w:r>
        <w:rPr>
          <w:rFonts w:ascii="宋体" w:hAnsi="宋体" w:eastAsia="宋体" w:cs="宋体"/>
          <w:color w:val="000000"/>
          <w:sz w:val="24"/>
        </w:rPr>
        <w:t> 使用范围: 适用于一般物体表面消毒、空气消毒。</w:t>
      </w:r>
    </w:p>
    <w:p w14:paraId="59B5FE08">
      <w:pPr>
        <w:wordWrap w:val="0"/>
        <w:spacing w:line="360" w:lineRule="exact"/>
        <w:ind w:firstLine="240" w:firstLineChars="100"/>
        <w:jc w:val="left"/>
      </w:pPr>
      <w:r>
        <w:rPr>
          <w:rFonts w:ascii="宋体" w:hAnsi="宋体" w:eastAsia="宋体" w:cs="宋体"/>
          <w:color w:val="000000"/>
          <w:sz w:val="24"/>
        </w:rPr>
        <w:t> 1、 一般物体表面：将6.0%过氧化氢用水稀释至3.0%（1份6%过氧化氢加1份等量水），喷洒或浸泡消毒作用时间30min,然后用清水冲洗去除残留消毒剂；</w:t>
      </w:r>
    </w:p>
    <w:p w14:paraId="35DF500C">
      <w:pPr>
        <w:wordWrap w:val="0"/>
        <w:spacing w:line="360" w:lineRule="exact"/>
        <w:ind w:firstLine="240" w:firstLineChars="100"/>
        <w:jc w:val="left"/>
      </w:pPr>
      <w:r>
        <w:rPr>
          <w:rFonts w:ascii="宋体" w:hAnsi="宋体" w:eastAsia="宋体" w:cs="宋体"/>
          <w:color w:val="000000"/>
          <w:sz w:val="24"/>
        </w:rPr>
        <w:t> 2 、空气消毒：将6.0%过氧化氢用水稀释至3.0%（1份6%过氧化氢加1份等量水），用气溶胶喷雾方法,消毒作用 60min,然后进行通风换气。</w:t>
      </w:r>
    </w:p>
    <w:p w14:paraId="530EBFB7">
      <w:pPr>
        <w:wordWrap w:val="0"/>
        <w:spacing w:line="360" w:lineRule="exact"/>
        <w:ind w:firstLine="240" w:firstLineChars="100"/>
        <w:jc w:val="left"/>
      </w:pPr>
      <w:r>
        <w:rPr>
          <w:rFonts w:ascii="宋体" w:hAnsi="宋体" w:eastAsia="宋体" w:cs="宋体"/>
          <w:color w:val="000000"/>
          <w:sz w:val="24"/>
        </w:rPr>
        <w:t> 注意事项：</w:t>
      </w:r>
    </w:p>
    <w:p w14:paraId="77DDA3C6">
      <w:pPr>
        <w:wordWrap w:val="0"/>
        <w:spacing w:line="360" w:lineRule="exact"/>
        <w:ind w:firstLine="240" w:firstLineChars="100"/>
        <w:jc w:val="left"/>
      </w:pPr>
      <w:r>
        <w:rPr>
          <w:rFonts w:ascii="宋体" w:hAnsi="宋体" w:eastAsia="宋体" w:cs="宋体"/>
          <w:color w:val="000000"/>
          <w:sz w:val="24"/>
        </w:rPr>
        <w:t> 1 、不可口服、不可用于皮肤伤口冲洗消毒；</w:t>
      </w:r>
    </w:p>
    <w:p w14:paraId="0CE0CA09">
      <w:pPr>
        <w:wordWrap w:val="0"/>
        <w:spacing w:line="360" w:lineRule="exact"/>
        <w:ind w:firstLine="240" w:firstLineChars="100"/>
        <w:jc w:val="left"/>
      </w:pPr>
      <w:r>
        <w:rPr>
          <w:rFonts w:ascii="宋体" w:hAnsi="宋体" w:eastAsia="宋体" w:cs="宋体"/>
          <w:color w:val="000000"/>
          <w:sz w:val="24"/>
        </w:rPr>
        <w:t> 2 、对金属有腐蚀作用，对棉织物有褪色作用，慎用；</w:t>
      </w:r>
    </w:p>
    <w:p w14:paraId="26B36C59">
      <w:pPr>
        <w:wordWrap w:val="0"/>
        <w:spacing w:line="360" w:lineRule="exact"/>
        <w:ind w:firstLine="240" w:firstLineChars="100"/>
        <w:jc w:val="left"/>
      </w:pPr>
      <w:r>
        <w:rPr>
          <w:rFonts w:ascii="宋体" w:hAnsi="宋体" w:eastAsia="宋体" w:cs="宋体"/>
          <w:color w:val="000000"/>
          <w:sz w:val="24"/>
        </w:rPr>
        <w:t> 3 、有腐蚀性 ,对眼，黏膜或皮肤有剌激性 ,有灼伤危险;若不慎接触,应用大量水冲洗并及时就医；</w:t>
      </w:r>
    </w:p>
    <w:p w14:paraId="4C506B32">
      <w:pPr>
        <w:wordWrap w:val="0"/>
        <w:spacing w:line="360" w:lineRule="exact"/>
        <w:ind w:firstLine="240" w:firstLineChars="100"/>
        <w:jc w:val="left"/>
      </w:pPr>
      <w:r>
        <w:rPr>
          <w:rFonts w:ascii="宋体" w:hAnsi="宋体" w:eastAsia="宋体" w:cs="宋体"/>
          <w:color w:val="000000"/>
          <w:sz w:val="24"/>
        </w:rPr>
        <w:t> 4 、在实施消毒作业时 ,应佩带个人防护用具；</w:t>
      </w:r>
    </w:p>
    <w:p w14:paraId="442D4756">
      <w:pPr>
        <w:wordWrap w:val="0"/>
        <w:spacing w:line="360" w:lineRule="exact"/>
        <w:ind w:firstLine="240" w:firstLineChars="100"/>
        <w:jc w:val="left"/>
      </w:pPr>
      <w:r>
        <w:rPr>
          <w:rFonts w:ascii="宋体" w:hAnsi="宋体" w:eastAsia="宋体" w:cs="宋体"/>
          <w:color w:val="000000"/>
          <w:sz w:val="24"/>
        </w:rPr>
        <w:t> 5、如出现容器破裂或渗漏现象,应用大量水冲洗,或用沙子、惰性吸收剂吸收残液 ,并采取相应的安全防护措施；</w:t>
      </w:r>
    </w:p>
    <w:p w14:paraId="181696D8">
      <w:pPr>
        <w:wordWrap w:val="0"/>
        <w:spacing w:line="360" w:lineRule="exact"/>
        <w:ind w:firstLine="240" w:firstLineChars="100"/>
        <w:jc w:val="left"/>
      </w:pPr>
      <w:r>
        <w:rPr>
          <w:rFonts w:ascii="宋体" w:hAnsi="宋体" w:eastAsia="宋体" w:cs="宋体"/>
          <w:color w:val="000000"/>
          <w:sz w:val="24"/>
        </w:rPr>
        <w:t> 6 、易燃易爆,遇明火、高热会引起燃烧爆炸;与还原剂接触、遇金属粉末有燃烧爆炸危险。</w:t>
      </w:r>
    </w:p>
    <w:p w14:paraId="35A5A5D3">
      <w:pPr>
        <w:wordWrap w:val="0"/>
        <w:spacing w:line="360" w:lineRule="exact"/>
        <w:ind w:firstLine="240" w:firstLineChars="100"/>
        <w:jc w:val="left"/>
      </w:pPr>
      <w:r>
        <w:rPr>
          <w:rFonts w:ascii="宋体" w:hAnsi="宋体" w:eastAsia="宋体" w:cs="宋体"/>
          <w:color w:val="000000"/>
          <w:sz w:val="24"/>
        </w:rPr>
        <w:t> 储存条件:遮光原容器密闭保存</w:t>
      </w:r>
    </w:p>
    <w:p w14:paraId="2ED762D3">
      <w:r>
        <w:br w:type="page"/>
      </w:r>
    </w:p>
    <w:p w14:paraId="17F703F5">
      <w:pPr>
        <w:wordWrap w:val="0"/>
        <w:spacing w:line="360" w:lineRule="exact"/>
        <w:jc w:val="left"/>
      </w:pPr>
      <w:r>
        <w:rPr>
          <w:rFonts w:ascii="宋体" w:hAnsi="宋体" w:eastAsia="宋体" w:cs="宋体"/>
          <w:color w:val="000000"/>
          <w:sz w:val="24"/>
        </w:rPr>
        <w:t>附件14：</w:t>
      </w:r>
    </w:p>
    <w:p w14:paraId="7A5F9688">
      <w:pPr>
        <w:wordWrap w:val="0"/>
        <w:spacing w:line="360" w:lineRule="exact"/>
        <w:jc w:val="center"/>
      </w:pPr>
      <w:r>
        <w:rPr>
          <w:rFonts w:ascii="宋体" w:hAnsi="宋体" w:eastAsia="宋体" w:cs="宋体"/>
          <w:b/>
          <w:color w:val="000000"/>
          <w:sz w:val="24"/>
        </w:rPr>
        <w:t>南京财经大学校园绿化管理规定</w:t>
      </w:r>
    </w:p>
    <w:p w14:paraId="401ED904">
      <w:pPr>
        <w:wordWrap w:val="0"/>
        <w:spacing w:line="360" w:lineRule="exact"/>
        <w:jc w:val="center"/>
      </w:pPr>
      <w:r>
        <w:rPr>
          <w:rFonts w:ascii="宋体" w:hAnsi="宋体" w:eastAsia="宋体" w:cs="宋体"/>
          <w:color w:val="000000"/>
          <w:sz w:val="24"/>
        </w:rPr>
        <w:t>南财后基字〔2022〕2 号</w:t>
      </w:r>
    </w:p>
    <w:p w14:paraId="7A7840CC">
      <w:pPr>
        <w:wordWrap w:val="0"/>
        <w:spacing w:line="360" w:lineRule="exact"/>
        <w:jc w:val="center"/>
      </w:pPr>
      <w:r>
        <w:rPr>
          <w:rFonts w:ascii="宋体" w:hAnsi="宋体" w:eastAsia="宋体" w:cs="宋体"/>
          <w:b/>
          <w:color w:val="000000"/>
          <w:sz w:val="24"/>
        </w:rPr>
        <w:t>第一章 总则</w:t>
      </w:r>
    </w:p>
    <w:p w14:paraId="725AC3D9">
      <w:pPr>
        <w:wordWrap w:val="0"/>
        <w:spacing w:line="360" w:lineRule="exact"/>
        <w:jc w:val="left"/>
      </w:pPr>
      <w:r>
        <w:rPr>
          <w:rFonts w:ascii="宋体" w:hAnsi="宋体" w:eastAsia="宋体" w:cs="宋体"/>
          <w:color w:val="000000"/>
          <w:sz w:val="24"/>
        </w:rPr>
        <w:t>第一条 为了加强学校绿化管理，改善校园生态环境，建设绿色生态校园，促进师生员工的身心健康，根据国务院《城市绿化条例》、《江苏省城市绿化管理条例》、《南京市城市绿化条例》等有关法律、法规规定，结合学校实际，制定本规定。</w:t>
      </w:r>
    </w:p>
    <w:p w14:paraId="1F1851D9">
      <w:pPr>
        <w:wordWrap w:val="0"/>
        <w:spacing w:line="360" w:lineRule="exact"/>
        <w:jc w:val="left"/>
      </w:pPr>
      <w:r>
        <w:rPr>
          <w:rFonts w:ascii="宋体" w:hAnsi="宋体" w:eastAsia="宋体" w:cs="宋体"/>
          <w:color w:val="000000"/>
          <w:sz w:val="24"/>
        </w:rPr>
        <w:t>第二条 本规定适用于我校校园绿化的规划、建设、保护和管理。</w:t>
      </w:r>
    </w:p>
    <w:p w14:paraId="0308A89C">
      <w:pPr>
        <w:wordWrap w:val="0"/>
        <w:spacing w:line="360" w:lineRule="exact"/>
        <w:jc w:val="left"/>
      </w:pPr>
      <w:r>
        <w:rPr>
          <w:rFonts w:ascii="宋体" w:hAnsi="宋体" w:eastAsia="宋体" w:cs="宋体"/>
          <w:color w:val="000000"/>
          <w:sz w:val="24"/>
        </w:rPr>
        <w:t>第三条 校园园林绿化的基本任务为：根据学校总体规划，建设和管理校园绿化，不断提高校园绿化质量和园林景观水平，发挥绿化的社会效益和生态效益，实现环境育人目标，为师生员工创造良好的工作、学习和生活环境。</w:t>
      </w:r>
    </w:p>
    <w:p w14:paraId="7E3913AD">
      <w:pPr>
        <w:wordWrap w:val="0"/>
        <w:spacing w:line="360" w:lineRule="exact"/>
        <w:jc w:val="left"/>
      </w:pPr>
      <w:r>
        <w:rPr>
          <w:rFonts w:ascii="宋体" w:hAnsi="宋体" w:eastAsia="宋体" w:cs="宋体"/>
          <w:color w:val="000000"/>
          <w:sz w:val="24"/>
        </w:rPr>
        <w:t>第四条 校园绿化应当因地制宜、生态优先、科学规划，注重绿地功能、生态效应和景观要求。</w:t>
      </w:r>
    </w:p>
    <w:p w14:paraId="6EB4DE17">
      <w:pPr>
        <w:wordWrap w:val="0"/>
        <w:spacing w:line="360" w:lineRule="exact"/>
        <w:jc w:val="left"/>
      </w:pPr>
      <w:r>
        <w:rPr>
          <w:rFonts w:ascii="宋体" w:hAnsi="宋体" w:eastAsia="宋体" w:cs="宋体"/>
          <w:color w:val="000000"/>
          <w:sz w:val="24"/>
        </w:rPr>
        <w:t>第五条 学校各部门及师生员工应增强绿化意识，在进行教学、施工、学习和生活等行为时，依法履行绿化义务，自觉维护校园绿化成果及其设施。</w:t>
      </w:r>
    </w:p>
    <w:p w14:paraId="2BB90E12">
      <w:pPr>
        <w:wordWrap w:val="0"/>
        <w:spacing w:line="360" w:lineRule="exact"/>
        <w:jc w:val="left"/>
      </w:pPr>
      <w:r>
        <w:rPr>
          <w:rFonts w:ascii="宋体" w:hAnsi="宋体" w:eastAsia="宋体" w:cs="宋体"/>
          <w:color w:val="000000"/>
          <w:sz w:val="24"/>
        </w:rPr>
        <w:t>第六条 学校园林绿化及其设施应受到保护。任何单位和个人有权对破坏校园绿化和绿化设施的行为进行制止、投诉和举报。</w:t>
      </w:r>
    </w:p>
    <w:p w14:paraId="755D89CC">
      <w:pPr>
        <w:wordWrap w:val="0"/>
        <w:spacing w:line="360" w:lineRule="exact"/>
        <w:jc w:val="center"/>
      </w:pPr>
      <w:r>
        <w:rPr>
          <w:rFonts w:ascii="宋体" w:hAnsi="宋体" w:eastAsia="宋体" w:cs="宋体"/>
          <w:b/>
          <w:color w:val="000000"/>
          <w:sz w:val="24"/>
        </w:rPr>
        <w:t>第二章 规划建设</w:t>
      </w:r>
    </w:p>
    <w:p w14:paraId="207C5F55">
      <w:pPr>
        <w:wordWrap w:val="0"/>
        <w:spacing w:line="360" w:lineRule="exact"/>
        <w:jc w:val="left"/>
      </w:pPr>
      <w:r>
        <w:rPr>
          <w:rFonts w:ascii="宋体" w:hAnsi="宋体" w:eastAsia="宋体" w:cs="宋体"/>
          <w:color w:val="000000"/>
          <w:sz w:val="24"/>
        </w:rPr>
        <w:t>第七条 建设工程项目附属绿化工程，应当与主体工程同时规划、同时设计，其设计方案应当与主体工程设计方案同时报批。</w:t>
      </w:r>
    </w:p>
    <w:p w14:paraId="5E61FC0B">
      <w:pPr>
        <w:wordWrap w:val="0"/>
        <w:spacing w:line="360" w:lineRule="exact"/>
        <w:jc w:val="left"/>
      </w:pPr>
      <w:r>
        <w:rPr>
          <w:rFonts w:ascii="宋体" w:hAnsi="宋体" w:eastAsia="宋体" w:cs="宋体"/>
          <w:color w:val="000000"/>
          <w:sz w:val="24"/>
        </w:rPr>
        <w:t>第八条 校园绿化工程和建设工程项目附属绿化工程应当按照基本建设程序进行建设管理。绿化工程和建设工程项目附属绿化工程的设计、施工、监理，应当符合有关技术标准、规范和信用信息管理规定。</w:t>
      </w:r>
    </w:p>
    <w:p w14:paraId="700F2CBA">
      <w:pPr>
        <w:wordWrap w:val="0"/>
        <w:spacing w:line="360" w:lineRule="exact"/>
        <w:jc w:val="left"/>
      </w:pPr>
      <w:r>
        <w:rPr>
          <w:rFonts w:ascii="宋体" w:hAnsi="宋体" w:eastAsia="宋体" w:cs="宋体"/>
          <w:color w:val="000000"/>
          <w:sz w:val="24"/>
        </w:rPr>
        <w:t>第九条 建设工程项目附属绿化工程设计方案，按照基本建设程序审批时，应当有绿化行政主管部门参加审查。</w:t>
      </w:r>
    </w:p>
    <w:p w14:paraId="1133C9A5">
      <w:pPr>
        <w:wordWrap w:val="0"/>
        <w:spacing w:line="360" w:lineRule="exact"/>
        <w:jc w:val="left"/>
      </w:pPr>
      <w:r>
        <w:rPr>
          <w:rFonts w:ascii="宋体" w:hAnsi="宋体" w:eastAsia="宋体" w:cs="宋体"/>
          <w:color w:val="000000"/>
          <w:sz w:val="24"/>
        </w:rPr>
        <w:t>第十条 建设工程项目附属绿化工程应当与主体工程统一安排施工。</w:t>
      </w:r>
    </w:p>
    <w:p w14:paraId="0ACB6BFA">
      <w:pPr>
        <w:wordWrap w:val="0"/>
        <w:spacing w:line="360" w:lineRule="exact"/>
        <w:jc w:val="left"/>
      </w:pPr>
      <w:r>
        <w:rPr>
          <w:rFonts w:ascii="宋体" w:hAnsi="宋体" w:eastAsia="宋体" w:cs="宋体"/>
          <w:color w:val="000000"/>
          <w:sz w:val="24"/>
        </w:rPr>
        <w:t>第十一条 建设工程项目附属绿化工程建设费用纳入建设工程项目总预算。</w:t>
      </w:r>
    </w:p>
    <w:p w14:paraId="38FA0FAA">
      <w:pPr>
        <w:wordWrap w:val="0"/>
        <w:spacing w:line="360" w:lineRule="exact"/>
        <w:jc w:val="left"/>
      </w:pPr>
      <w:r>
        <w:rPr>
          <w:rFonts w:ascii="宋体" w:hAnsi="宋体" w:eastAsia="宋体" w:cs="宋体"/>
          <w:color w:val="000000"/>
          <w:sz w:val="24"/>
        </w:rPr>
        <w:t>第十二条 校园绿化工程和建设工程项目附属绿化工程竣工后，建设单位应当依法组织验收，并将绿化工程的竣工验收资料报送绿化行政主管部门备案。</w:t>
      </w:r>
    </w:p>
    <w:p w14:paraId="6C37CF49">
      <w:pPr>
        <w:wordWrap w:val="0"/>
        <w:spacing w:line="360" w:lineRule="exact"/>
        <w:jc w:val="center"/>
      </w:pPr>
      <w:r>
        <w:rPr>
          <w:rFonts w:ascii="宋体" w:hAnsi="宋体" w:eastAsia="宋体" w:cs="宋体"/>
          <w:b/>
          <w:color w:val="000000"/>
          <w:sz w:val="24"/>
        </w:rPr>
        <w:t>第三章 保护管理</w:t>
      </w:r>
    </w:p>
    <w:p w14:paraId="34181E41">
      <w:pPr>
        <w:wordWrap w:val="0"/>
        <w:spacing w:line="360" w:lineRule="exact"/>
        <w:jc w:val="left"/>
      </w:pPr>
      <w:r>
        <w:rPr>
          <w:rFonts w:ascii="宋体" w:hAnsi="宋体" w:eastAsia="宋体" w:cs="宋体"/>
          <w:color w:val="000000"/>
          <w:sz w:val="24"/>
        </w:rPr>
        <w:t>第十三条 学校通过公开招标方式确定绿化养护企业实施专业化养护管理。</w:t>
      </w:r>
    </w:p>
    <w:p w14:paraId="1C4D6B79">
      <w:pPr>
        <w:wordWrap w:val="0"/>
        <w:spacing w:line="360" w:lineRule="exact"/>
        <w:jc w:val="left"/>
      </w:pPr>
      <w:r>
        <w:rPr>
          <w:rFonts w:ascii="宋体" w:hAnsi="宋体" w:eastAsia="宋体" w:cs="宋体"/>
          <w:color w:val="000000"/>
          <w:sz w:val="24"/>
        </w:rPr>
        <w:t>第十四条 后勤基建处代表学校负责校园绿化工作，对绿化养护企业的管理养护工作进行监督管理。绿化养护企业负责校园绿地、绿植和景观等日常管理和养护。</w:t>
      </w:r>
    </w:p>
    <w:p w14:paraId="6120BBD9">
      <w:pPr>
        <w:wordWrap w:val="0"/>
        <w:spacing w:line="360" w:lineRule="exact"/>
        <w:jc w:val="left"/>
      </w:pPr>
      <w:r>
        <w:rPr>
          <w:rFonts w:ascii="宋体" w:hAnsi="宋体" w:eastAsia="宋体" w:cs="宋体"/>
          <w:color w:val="000000"/>
          <w:sz w:val="24"/>
        </w:rPr>
        <w:t>第十五条 已规划为园林绿化用地的土地，不得擅自改变用地性质。</w:t>
      </w:r>
    </w:p>
    <w:p w14:paraId="3FD36B31">
      <w:pPr>
        <w:wordWrap w:val="0"/>
        <w:spacing w:line="360" w:lineRule="exact"/>
        <w:jc w:val="left"/>
      </w:pPr>
      <w:r>
        <w:rPr>
          <w:rFonts w:ascii="宋体" w:hAnsi="宋体" w:eastAsia="宋体" w:cs="宋体"/>
          <w:color w:val="000000"/>
          <w:sz w:val="24"/>
        </w:rPr>
        <w:t>第十六条 任何单位和个人不得擅自占用学校园林绿地或修剪、移植、砍伐学校树木。</w:t>
      </w:r>
    </w:p>
    <w:p w14:paraId="2CC41E34">
      <w:pPr>
        <w:wordWrap w:val="0"/>
        <w:spacing w:line="360" w:lineRule="exact"/>
        <w:jc w:val="left"/>
      </w:pPr>
      <w:r>
        <w:rPr>
          <w:rFonts w:ascii="宋体" w:hAnsi="宋体" w:eastAsia="宋体" w:cs="宋体"/>
          <w:color w:val="000000"/>
          <w:sz w:val="24"/>
        </w:rPr>
        <w:t>第十七条 因建设需要修剪、移植、砍伐学校树木和临时占用学校园林绿地，必须有绿地绿植恢复方案，并向后勤基建处办理备案审批手续，填写《南京财经大学校校园绿地工程施工备案表》（见附件）。</w:t>
      </w:r>
    </w:p>
    <w:p w14:paraId="7AC77DD7">
      <w:pPr>
        <w:wordWrap w:val="0"/>
        <w:spacing w:line="360" w:lineRule="exact"/>
        <w:jc w:val="left"/>
      </w:pPr>
      <w:r>
        <w:rPr>
          <w:rFonts w:ascii="宋体" w:hAnsi="宋体" w:eastAsia="宋体" w:cs="宋体"/>
          <w:color w:val="000000"/>
          <w:sz w:val="24"/>
        </w:rPr>
        <w:t>（一）项目主管方必须在得到备案许可以后，方可安排施工队伍进场，备案表留存后勤基建处。</w:t>
      </w:r>
    </w:p>
    <w:p w14:paraId="52338FD9">
      <w:pPr>
        <w:wordWrap w:val="0"/>
        <w:spacing w:line="360" w:lineRule="exact"/>
        <w:jc w:val="left"/>
      </w:pPr>
      <w:r>
        <w:rPr>
          <w:rFonts w:ascii="宋体" w:hAnsi="宋体" w:eastAsia="宋体" w:cs="宋体"/>
          <w:color w:val="000000"/>
          <w:sz w:val="24"/>
        </w:rPr>
        <w:t>（二）项目主管方应加强施工方人员管理及安全教育，做好</w:t>
      </w:r>
    </w:p>
    <w:p w14:paraId="1F2263A8">
      <w:pPr>
        <w:wordWrap w:val="0"/>
        <w:spacing w:line="360" w:lineRule="exact"/>
        <w:jc w:val="left"/>
      </w:pPr>
      <w:r>
        <w:rPr>
          <w:rFonts w:ascii="宋体" w:hAnsi="宋体" w:eastAsia="宋体" w:cs="宋体"/>
          <w:color w:val="000000"/>
          <w:sz w:val="24"/>
        </w:rPr>
        <w:t>绿地内设施设备保护，文明施工。</w:t>
      </w:r>
    </w:p>
    <w:p w14:paraId="0555E61F">
      <w:pPr>
        <w:wordWrap w:val="0"/>
        <w:spacing w:line="360" w:lineRule="exact"/>
        <w:jc w:val="left"/>
      </w:pPr>
      <w:r>
        <w:rPr>
          <w:rFonts w:ascii="宋体" w:hAnsi="宋体" w:eastAsia="宋体" w:cs="宋体"/>
          <w:color w:val="000000"/>
          <w:sz w:val="24"/>
        </w:rPr>
        <w:t>（三）施工人员在施工区域内应采取有效的环境保护措施，</w:t>
      </w:r>
    </w:p>
    <w:p w14:paraId="4B69EEAE">
      <w:pPr>
        <w:wordWrap w:val="0"/>
        <w:spacing w:line="360" w:lineRule="exact"/>
        <w:jc w:val="left"/>
      </w:pPr>
      <w:r>
        <w:rPr>
          <w:rFonts w:ascii="宋体" w:hAnsi="宋体" w:eastAsia="宋体" w:cs="宋体"/>
          <w:color w:val="000000"/>
          <w:sz w:val="24"/>
        </w:rPr>
        <w:t>降低对校园环境产生的不良影响，施工完成后，应按照方案将绿地绿植等恢复原样。</w:t>
      </w:r>
    </w:p>
    <w:p w14:paraId="39F664A0">
      <w:pPr>
        <w:wordWrap w:val="0"/>
        <w:spacing w:line="360" w:lineRule="exact"/>
        <w:jc w:val="left"/>
      </w:pPr>
      <w:r>
        <w:rPr>
          <w:rFonts w:ascii="宋体" w:hAnsi="宋体" w:eastAsia="宋体" w:cs="宋体"/>
          <w:color w:val="000000"/>
          <w:sz w:val="24"/>
        </w:rPr>
        <w:t>（四）施工所产生的垃圾必须袋装化处理，由施工方负责清</w:t>
      </w:r>
    </w:p>
    <w:p w14:paraId="3C7F18AE">
      <w:pPr>
        <w:wordWrap w:val="0"/>
        <w:spacing w:line="360" w:lineRule="exact"/>
        <w:jc w:val="left"/>
      </w:pPr>
      <w:r>
        <w:rPr>
          <w:rFonts w:ascii="宋体" w:hAnsi="宋体" w:eastAsia="宋体" w:cs="宋体"/>
          <w:color w:val="000000"/>
          <w:sz w:val="24"/>
        </w:rPr>
        <w:t>运出校园。绿化养护企业依据施工量预收取校园环境保证金</w:t>
      </w:r>
    </w:p>
    <w:p w14:paraId="72E29AC8">
      <w:pPr>
        <w:wordWrap w:val="0"/>
        <w:spacing w:line="360" w:lineRule="exact"/>
        <w:jc w:val="left"/>
      </w:pPr>
      <w:r>
        <w:rPr>
          <w:rFonts w:ascii="宋体" w:hAnsi="宋体" w:eastAsia="宋体" w:cs="宋体"/>
          <w:color w:val="000000"/>
          <w:sz w:val="24"/>
        </w:rPr>
        <w:t>（2000 元至 5000 元不等），施工结束后，绿化养护企业对施工</w:t>
      </w:r>
    </w:p>
    <w:p w14:paraId="7A58E71C">
      <w:pPr>
        <w:wordWrap w:val="0"/>
        <w:spacing w:line="360" w:lineRule="exact"/>
        <w:jc w:val="left"/>
      </w:pPr>
      <w:r>
        <w:rPr>
          <w:rFonts w:ascii="宋体" w:hAnsi="宋体" w:eastAsia="宋体" w:cs="宋体"/>
          <w:color w:val="000000"/>
          <w:sz w:val="24"/>
        </w:rPr>
        <w:t>现场验收合格后退还校园环境保证金。</w:t>
      </w:r>
    </w:p>
    <w:p w14:paraId="3FA71223">
      <w:pPr>
        <w:wordWrap w:val="0"/>
        <w:spacing w:line="360" w:lineRule="exact"/>
        <w:jc w:val="left"/>
      </w:pPr>
      <w:r>
        <w:rPr>
          <w:rFonts w:ascii="宋体" w:hAnsi="宋体" w:eastAsia="宋体" w:cs="宋体"/>
          <w:color w:val="000000"/>
          <w:sz w:val="24"/>
        </w:rPr>
        <w:t>（五）项目主管方在验收时应通知后勤基建处参与验收，若</w:t>
      </w:r>
    </w:p>
    <w:p w14:paraId="076F9106">
      <w:pPr>
        <w:wordWrap w:val="0"/>
        <w:spacing w:line="360" w:lineRule="exact"/>
        <w:jc w:val="left"/>
      </w:pPr>
      <w:r>
        <w:rPr>
          <w:rFonts w:ascii="宋体" w:hAnsi="宋体" w:eastAsia="宋体" w:cs="宋体"/>
          <w:color w:val="000000"/>
          <w:sz w:val="24"/>
        </w:rPr>
        <w:t>校园绿化环境遭受破坏未按照方案恢复，验收不予通过。</w:t>
      </w:r>
    </w:p>
    <w:p w14:paraId="5E1B5185">
      <w:pPr>
        <w:wordWrap w:val="0"/>
        <w:spacing w:line="360" w:lineRule="exact"/>
        <w:jc w:val="left"/>
      </w:pPr>
      <w:r>
        <w:rPr>
          <w:rFonts w:ascii="宋体" w:hAnsi="宋体" w:eastAsia="宋体" w:cs="宋体"/>
          <w:color w:val="000000"/>
          <w:sz w:val="24"/>
        </w:rPr>
        <w:t>第十八条 禁止任何单位和个人擅自占用学校公共绿地，不得在公共绿地内擅自设置经营性设施和项目。</w:t>
      </w:r>
    </w:p>
    <w:p w14:paraId="591339F3">
      <w:pPr>
        <w:wordWrap w:val="0"/>
        <w:spacing w:line="360" w:lineRule="exact"/>
        <w:jc w:val="left"/>
      </w:pPr>
      <w:r>
        <w:rPr>
          <w:rFonts w:ascii="宋体" w:hAnsi="宋体" w:eastAsia="宋体" w:cs="宋体"/>
          <w:color w:val="000000"/>
          <w:sz w:val="24"/>
        </w:rPr>
        <w:t>第十九条 严禁毁损、砍伐和擅自修剪、移植校园名树、稀有树木、古树、具有历史价值和纪念意义的树木。</w:t>
      </w:r>
    </w:p>
    <w:p w14:paraId="51A308ED">
      <w:pPr>
        <w:wordWrap w:val="0"/>
        <w:spacing w:line="360" w:lineRule="exact"/>
        <w:jc w:val="left"/>
      </w:pPr>
      <w:r>
        <w:rPr>
          <w:rFonts w:ascii="宋体" w:hAnsi="宋体" w:eastAsia="宋体" w:cs="宋体"/>
          <w:color w:val="000000"/>
          <w:sz w:val="24"/>
        </w:rPr>
        <w:t>第二十条 捐赠园林小品、树木或种植纪念树，事先应与学校捐赠主管部门和后勤基建处会商，共同确定安装或种植位置，树种和规格应符合学校园林绿化规划要求，后勤基建处可以协助安装或种植，并与受捐部门共同做好后期养护管理工作。</w:t>
      </w:r>
    </w:p>
    <w:p w14:paraId="769A4A48">
      <w:pPr>
        <w:wordWrap w:val="0"/>
        <w:spacing w:line="360" w:lineRule="exact"/>
        <w:jc w:val="left"/>
      </w:pPr>
      <w:r>
        <w:rPr>
          <w:rFonts w:ascii="宋体" w:hAnsi="宋体" w:eastAsia="宋体" w:cs="宋体"/>
          <w:color w:val="000000"/>
          <w:sz w:val="24"/>
        </w:rPr>
        <w:t>第二十一条 禁止下列损害校园绿化行为：</w:t>
      </w:r>
    </w:p>
    <w:p w14:paraId="1820925C">
      <w:pPr>
        <w:wordWrap w:val="0"/>
        <w:spacing w:line="360" w:lineRule="exact"/>
        <w:jc w:val="left"/>
      </w:pPr>
      <w:r>
        <w:rPr>
          <w:rFonts w:ascii="宋体" w:hAnsi="宋体" w:eastAsia="宋体" w:cs="宋体"/>
          <w:color w:val="000000"/>
          <w:sz w:val="24"/>
        </w:rPr>
        <w:t>（一）在树木上刻划、钉钉，缠绕绳索，架设电线电缆或者照明设施；</w:t>
      </w:r>
    </w:p>
    <w:p w14:paraId="349BA3F9">
      <w:pPr>
        <w:wordWrap w:val="0"/>
        <w:spacing w:line="360" w:lineRule="exact"/>
        <w:jc w:val="left"/>
      </w:pPr>
      <w:r>
        <w:rPr>
          <w:rFonts w:ascii="宋体" w:hAnsi="宋体" w:eastAsia="宋体" w:cs="宋体"/>
          <w:color w:val="000000"/>
          <w:sz w:val="24"/>
        </w:rPr>
        <w:t>（二）擅自采摘花果、采收种条、采挖中草药或者种苗；</w:t>
      </w:r>
    </w:p>
    <w:p w14:paraId="51EE450C">
      <w:pPr>
        <w:wordWrap w:val="0"/>
        <w:spacing w:line="360" w:lineRule="exact"/>
        <w:jc w:val="left"/>
      </w:pPr>
      <w:r>
        <w:rPr>
          <w:rFonts w:ascii="宋体" w:hAnsi="宋体" w:eastAsia="宋体" w:cs="宋体"/>
          <w:color w:val="000000"/>
          <w:sz w:val="24"/>
        </w:rPr>
        <w:t>（三）损毁草坪、花坛或者绿篱；</w:t>
      </w:r>
    </w:p>
    <w:p w14:paraId="3CDBC30A">
      <w:pPr>
        <w:wordWrap w:val="0"/>
        <w:spacing w:line="360" w:lineRule="exact"/>
        <w:jc w:val="left"/>
      </w:pPr>
      <w:r>
        <w:rPr>
          <w:rFonts w:ascii="宋体" w:hAnsi="宋体" w:eastAsia="宋体" w:cs="宋体"/>
          <w:color w:val="000000"/>
          <w:sz w:val="24"/>
        </w:rPr>
        <w:t>（四）挖掘、损毁花木；</w:t>
      </w:r>
    </w:p>
    <w:p w14:paraId="55D61CC4">
      <w:pPr>
        <w:wordWrap w:val="0"/>
        <w:spacing w:line="360" w:lineRule="exact"/>
        <w:jc w:val="left"/>
      </w:pPr>
      <w:r>
        <w:rPr>
          <w:rFonts w:ascii="宋体" w:hAnsi="宋体" w:eastAsia="宋体" w:cs="宋体"/>
          <w:color w:val="000000"/>
          <w:sz w:val="24"/>
        </w:rPr>
        <w:t>（五）擅自在绿地内取土，搭建建（构）筑物，围圈树木，</w:t>
      </w:r>
    </w:p>
    <w:p w14:paraId="121A65A5">
      <w:pPr>
        <w:wordWrap w:val="0"/>
        <w:spacing w:line="360" w:lineRule="exact"/>
        <w:jc w:val="left"/>
      </w:pPr>
      <w:r>
        <w:rPr>
          <w:rFonts w:ascii="宋体" w:hAnsi="宋体" w:eastAsia="宋体" w:cs="宋体"/>
          <w:color w:val="000000"/>
          <w:sz w:val="24"/>
        </w:rPr>
        <w:t>设置广告牌；</w:t>
      </w:r>
    </w:p>
    <w:p w14:paraId="19BA27A3">
      <w:pPr>
        <w:wordWrap w:val="0"/>
        <w:spacing w:line="360" w:lineRule="exact"/>
        <w:jc w:val="left"/>
      </w:pPr>
      <w:r>
        <w:rPr>
          <w:rFonts w:ascii="宋体" w:hAnsi="宋体" w:eastAsia="宋体" w:cs="宋体"/>
          <w:color w:val="000000"/>
          <w:sz w:val="24"/>
        </w:rPr>
        <w:t>（六）在距离树干一点五米范围内埋设影响树木生长的排水、</w:t>
      </w:r>
    </w:p>
    <w:p w14:paraId="158F50A4">
      <w:pPr>
        <w:wordWrap w:val="0"/>
        <w:spacing w:line="360" w:lineRule="exact"/>
        <w:jc w:val="left"/>
      </w:pPr>
      <w:r>
        <w:rPr>
          <w:rFonts w:ascii="宋体" w:hAnsi="宋体" w:eastAsia="宋体" w:cs="宋体"/>
          <w:color w:val="000000"/>
          <w:sz w:val="24"/>
        </w:rPr>
        <w:t>供水、供气、电缆等各种管线或者挖掘坑道；</w:t>
      </w:r>
    </w:p>
    <w:p w14:paraId="36154E70">
      <w:pPr>
        <w:wordWrap w:val="0"/>
        <w:spacing w:line="360" w:lineRule="exact"/>
        <w:jc w:val="left"/>
      </w:pPr>
      <w:r>
        <w:rPr>
          <w:rFonts w:ascii="宋体" w:hAnsi="宋体" w:eastAsia="宋体" w:cs="宋体"/>
          <w:color w:val="000000"/>
          <w:sz w:val="24"/>
        </w:rPr>
        <w:t>（七）在花坛、绿地内堆放杂物，倾倒垃圾或者其他影响植</w:t>
      </w:r>
    </w:p>
    <w:p w14:paraId="6A6EF4A1">
      <w:pPr>
        <w:wordWrap w:val="0"/>
        <w:spacing w:line="360" w:lineRule="exact"/>
        <w:jc w:val="left"/>
      </w:pPr>
      <w:r>
        <w:rPr>
          <w:rFonts w:ascii="宋体" w:hAnsi="宋体" w:eastAsia="宋体" w:cs="宋体"/>
          <w:color w:val="000000"/>
          <w:sz w:val="24"/>
        </w:rPr>
        <w:t>物生长的有毒有害物质；</w:t>
      </w:r>
    </w:p>
    <w:p w14:paraId="3DABAB71">
      <w:pPr>
        <w:wordWrap w:val="0"/>
        <w:spacing w:line="360" w:lineRule="exact"/>
        <w:jc w:val="left"/>
      </w:pPr>
      <w:r>
        <w:rPr>
          <w:rFonts w:ascii="宋体" w:hAnsi="宋体" w:eastAsia="宋体" w:cs="宋体"/>
          <w:color w:val="000000"/>
          <w:sz w:val="24"/>
        </w:rPr>
        <w:t>（八）损坏绿化设施；</w:t>
      </w:r>
    </w:p>
    <w:p w14:paraId="7DDCD78D">
      <w:pPr>
        <w:wordWrap w:val="0"/>
        <w:spacing w:line="360" w:lineRule="exact"/>
        <w:jc w:val="left"/>
      </w:pPr>
      <w:r>
        <w:rPr>
          <w:rFonts w:ascii="宋体" w:hAnsi="宋体" w:eastAsia="宋体" w:cs="宋体"/>
          <w:color w:val="000000"/>
          <w:sz w:val="24"/>
        </w:rPr>
        <w:t>（九）损坏校园绿地的地形、地貌；</w:t>
      </w:r>
    </w:p>
    <w:p w14:paraId="1C4643B2">
      <w:pPr>
        <w:wordWrap w:val="0"/>
        <w:spacing w:line="360" w:lineRule="exact"/>
        <w:jc w:val="left"/>
      </w:pPr>
      <w:r>
        <w:rPr>
          <w:rFonts w:ascii="宋体" w:hAnsi="宋体" w:eastAsia="宋体" w:cs="宋体"/>
          <w:color w:val="000000"/>
          <w:sz w:val="24"/>
        </w:rPr>
        <w:t>（十）其他损害校园绿化的行为。</w:t>
      </w:r>
    </w:p>
    <w:p w14:paraId="4E9FC6B9">
      <w:pPr>
        <w:wordWrap w:val="0"/>
        <w:spacing w:line="360" w:lineRule="exact"/>
        <w:jc w:val="center"/>
      </w:pPr>
      <w:r>
        <w:rPr>
          <w:rFonts w:ascii="宋体" w:hAnsi="宋体" w:eastAsia="宋体" w:cs="宋体"/>
          <w:b/>
          <w:color w:val="000000"/>
          <w:sz w:val="24"/>
        </w:rPr>
        <w:t>第四章 绿化养护</w:t>
      </w:r>
    </w:p>
    <w:p w14:paraId="629796D9">
      <w:pPr>
        <w:wordWrap w:val="0"/>
        <w:spacing w:line="360" w:lineRule="exact"/>
        <w:jc w:val="left"/>
      </w:pPr>
      <w:r>
        <w:rPr>
          <w:rFonts w:ascii="宋体" w:hAnsi="宋体" w:eastAsia="宋体" w:cs="宋体"/>
          <w:color w:val="000000"/>
          <w:sz w:val="24"/>
        </w:rPr>
        <w:t>第二十二条 绿化养护企业负责对花草树木进行除草、松土、施肥、浇水、病虫防治、修剪、补植等各项工作，使花木草坪生</w:t>
      </w:r>
    </w:p>
    <w:p w14:paraId="6C82F565">
      <w:pPr>
        <w:wordWrap w:val="0"/>
        <w:spacing w:line="360" w:lineRule="exact"/>
        <w:jc w:val="left"/>
      </w:pPr>
      <w:r>
        <w:rPr>
          <w:rFonts w:ascii="宋体" w:hAnsi="宋体" w:eastAsia="宋体" w:cs="宋体"/>
          <w:color w:val="000000"/>
          <w:sz w:val="24"/>
        </w:rPr>
        <w:t>长健壮、整齐美观。</w:t>
      </w:r>
    </w:p>
    <w:p w14:paraId="770D197A">
      <w:pPr>
        <w:wordWrap w:val="0"/>
        <w:spacing w:line="360" w:lineRule="exact"/>
        <w:jc w:val="left"/>
      </w:pPr>
      <w:r>
        <w:rPr>
          <w:rFonts w:ascii="宋体" w:hAnsi="宋体" w:eastAsia="宋体" w:cs="宋体"/>
          <w:color w:val="000000"/>
          <w:sz w:val="24"/>
        </w:rPr>
        <w:t>第二十三条 绿化养护企业负责园林铺地、景观小品、喷泉水池等园林硬质景观的日常保洁和维护，保持良好的景观效果和使用功能。</w:t>
      </w:r>
    </w:p>
    <w:p w14:paraId="4C974BD7">
      <w:pPr>
        <w:wordWrap w:val="0"/>
        <w:spacing w:line="360" w:lineRule="exact"/>
        <w:jc w:val="left"/>
      </w:pPr>
      <w:r>
        <w:rPr>
          <w:rFonts w:ascii="宋体" w:hAnsi="宋体" w:eastAsia="宋体" w:cs="宋体"/>
          <w:color w:val="000000"/>
          <w:sz w:val="24"/>
        </w:rPr>
        <w:t>第二十四条 绿化养护企业负责校园景观水池和生态水系的日常清理和维护，确保水质清澈、无污染、水面无漂浮物，维持湿地动植物的生态平衡，保持良好的景观效果。</w:t>
      </w:r>
    </w:p>
    <w:p w14:paraId="63454DF2">
      <w:pPr>
        <w:wordWrap w:val="0"/>
        <w:spacing w:line="360" w:lineRule="exact"/>
        <w:jc w:val="center"/>
      </w:pPr>
      <w:r>
        <w:rPr>
          <w:rFonts w:ascii="宋体" w:hAnsi="宋体" w:eastAsia="宋体" w:cs="宋体"/>
          <w:b/>
          <w:color w:val="000000"/>
          <w:sz w:val="24"/>
        </w:rPr>
        <w:t>第五章 附则</w:t>
      </w:r>
    </w:p>
    <w:p w14:paraId="74CC2AC2">
      <w:pPr>
        <w:wordWrap w:val="0"/>
        <w:spacing w:line="360" w:lineRule="exact"/>
        <w:jc w:val="left"/>
      </w:pPr>
      <w:r>
        <w:rPr>
          <w:rFonts w:ascii="宋体" w:hAnsi="宋体" w:eastAsia="宋体" w:cs="宋体"/>
          <w:color w:val="000000"/>
          <w:sz w:val="24"/>
        </w:rPr>
        <w:t>第二十五条 本规定由后勤基建处负责解释。</w:t>
      </w:r>
    </w:p>
    <w:p w14:paraId="57913941">
      <w:pPr>
        <w:wordWrap w:val="0"/>
        <w:spacing w:line="360" w:lineRule="exact"/>
        <w:jc w:val="left"/>
      </w:pPr>
      <w:r>
        <w:rPr>
          <w:rFonts w:ascii="宋体" w:hAnsi="宋体" w:eastAsia="宋体" w:cs="宋体"/>
          <w:color w:val="000000"/>
          <w:sz w:val="24"/>
        </w:rPr>
        <w:t>第二十六条 本办法自发布之日起实施。原《校园绿化养护</w:t>
      </w:r>
    </w:p>
    <w:p w14:paraId="794E584A">
      <w:pPr>
        <w:wordWrap w:val="0"/>
        <w:spacing w:line="360" w:lineRule="exact"/>
        <w:jc w:val="left"/>
      </w:pPr>
      <w:r>
        <w:rPr>
          <w:rFonts w:ascii="宋体" w:hAnsi="宋体" w:eastAsia="宋体" w:cs="宋体"/>
          <w:color w:val="000000"/>
          <w:sz w:val="24"/>
        </w:rPr>
        <w:t>工作管理制度》（南财后字〔2017〕23 号）同时废止。</w:t>
      </w:r>
    </w:p>
    <w:p w14:paraId="4D9DFB61">
      <w:pPr>
        <w:wordWrap w:val="0"/>
        <w:spacing w:line="360" w:lineRule="exact"/>
        <w:jc w:val="left"/>
      </w:pPr>
      <w:r>
        <w:rPr>
          <w:rFonts w:ascii="宋体" w:hAnsi="宋体" w:eastAsia="宋体" w:cs="宋体"/>
          <w:color w:val="000000"/>
          <w:sz w:val="24"/>
        </w:rPr>
        <w:t>附件：南京财经大学校园绿地工程施工备案表</w:t>
      </w:r>
    </w:p>
    <w:p w14:paraId="40C192AD">
      <w:pPr>
        <w:wordWrap w:val="0"/>
        <w:spacing w:line="360" w:lineRule="exact"/>
        <w:jc w:val="left"/>
      </w:pPr>
      <w:r>
        <w:rPr>
          <w:rFonts w:ascii="宋体" w:hAnsi="宋体" w:eastAsia="宋体" w:cs="宋体"/>
          <w:color w:val="000000"/>
          <w:sz w:val="24"/>
        </w:rPr>
        <w:t>后勤基建处</w:t>
      </w:r>
    </w:p>
    <w:p w14:paraId="5D24D9E7">
      <w:pPr>
        <w:wordWrap w:val="0"/>
        <w:spacing w:line="360" w:lineRule="exact"/>
        <w:jc w:val="left"/>
      </w:pPr>
      <w:r>
        <w:rPr>
          <w:rFonts w:ascii="宋体" w:hAnsi="宋体" w:eastAsia="宋体" w:cs="宋体"/>
          <w:color w:val="000000"/>
          <w:sz w:val="24"/>
        </w:rPr>
        <w:t>2022 年 6 月 9 日</w:t>
      </w:r>
    </w:p>
    <w:p w14:paraId="69C851B3">
      <w:pPr>
        <w:wordWrap w:val="0"/>
        <w:spacing w:line="360" w:lineRule="exact"/>
        <w:ind w:firstLine="210" w:firstLineChars="100"/>
        <w:jc w:val="left"/>
      </w:pPr>
    </w:p>
    <w:p w14:paraId="44F3379D">
      <w:r>
        <w:br w:type="page"/>
      </w:r>
    </w:p>
    <w:p w14:paraId="41A957FA">
      <w:pPr>
        <w:wordWrap w:val="0"/>
        <w:spacing w:line="360" w:lineRule="exact"/>
        <w:jc w:val="center"/>
      </w:pPr>
      <w:r>
        <w:rPr>
          <w:rFonts w:ascii="宋体" w:hAnsi="宋体" w:eastAsia="宋体" w:cs="宋体"/>
          <w:b/>
          <w:color w:val="000000"/>
          <w:sz w:val="24"/>
        </w:rPr>
        <w:t>南京财经大学校园绿地工程施工备案表</w:t>
      </w:r>
    </w:p>
    <w:tbl>
      <w:tblPr>
        <w:tblStyle w:val="5"/>
        <w:tblW w:w="8760" w:type="dxa"/>
        <w:jc w:val="center"/>
        <w:tblBorders>
          <w:top w:val="none" w:color="auto" w:sz="0" w:space="0"/>
          <w:left w:val="none" w:color="auto" w:sz="0" w:space="0"/>
          <w:bottom w:val="none" w:color="auto" w:sz="0" w:space="0"/>
          <w:right w:val="none" w:color="auto" w:sz="0" w:space="0"/>
          <w:insideH w:val="single" w:color="auto" w:sz="0" w:space="0"/>
          <w:insideV w:val="single" w:color="auto" w:sz="0" w:space="0"/>
        </w:tblBorders>
        <w:tblLayout w:type="autofit"/>
        <w:tblCellMar>
          <w:top w:w="0" w:type="dxa"/>
          <w:left w:w="10" w:type="dxa"/>
          <w:bottom w:w="0" w:type="dxa"/>
          <w:right w:w="10" w:type="dxa"/>
        </w:tblCellMar>
      </w:tblPr>
      <w:tblGrid>
        <w:gridCol w:w="690"/>
        <w:gridCol w:w="3465"/>
        <w:gridCol w:w="1440"/>
        <w:gridCol w:w="3165"/>
      </w:tblGrid>
      <w:tr w14:paraId="7C62BC6E">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690" w:type="dxa"/>
            <w:tcBorders>
              <w:top w:val="single" w:color="000000" w:sz="6" w:space="0"/>
              <w:left w:val="single" w:color="000000" w:sz="6" w:space="0"/>
              <w:bottom w:val="single" w:color="000000" w:sz="6" w:space="0"/>
              <w:right w:val="single" w:color="000000" w:sz="6" w:space="0"/>
            </w:tcBorders>
            <w:vAlign w:val="center"/>
          </w:tcPr>
          <w:p w14:paraId="18A0F8C6">
            <w:pPr>
              <w:wordWrap w:val="0"/>
              <w:spacing w:line="315" w:lineRule="exact"/>
              <w:jc w:val="center"/>
            </w:pPr>
            <w:r>
              <w:rPr>
                <w:rFonts w:ascii="宋体" w:hAnsi="宋体" w:eastAsia="宋体" w:cs="宋体"/>
                <w:color w:val="000000"/>
              </w:rPr>
              <w:t>申请部门</w:t>
            </w:r>
          </w:p>
        </w:tc>
        <w:tc>
          <w:tcPr>
            <w:tcW w:w="8070" w:type="dxa"/>
            <w:gridSpan w:val="3"/>
            <w:tcBorders>
              <w:top w:val="single" w:color="000000" w:sz="6" w:space="0"/>
              <w:left w:val="nil"/>
              <w:bottom w:val="single" w:color="000000" w:sz="6" w:space="0"/>
              <w:right w:val="single" w:color="000000" w:sz="6" w:space="0"/>
            </w:tcBorders>
            <w:vAlign w:val="center"/>
          </w:tcPr>
          <w:p w14:paraId="72748D6E">
            <w:pPr>
              <w:wordWrap w:val="0"/>
              <w:spacing w:line="315" w:lineRule="exact"/>
              <w:ind w:firstLine="210" w:firstLineChars="100"/>
              <w:jc w:val="left"/>
            </w:pPr>
          </w:p>
        </w:tc>
      </w:tr>
      <w:tr w14:paraId="6B2ED908">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690" w:type="dxa"/>
            <w:tcBorders>
              <w:top w:val="nil"/>
              <w:left w:val="single" w:color="000000" w:sz="6" w:space="0"/>
              <w:bottom w:val="single" w:color="000000" w:sz="6" w:space="0"/>
              <w:right w:val="single" w:color="000000" w:sz="6" w:space="0"/>
            </w:tcBorders>
            <w:vAlign w:val="center"/>
          </w:tcPr>
          <w:p w14:paraId="72E3B162">
            <w:pPr>
              <w:wordWrap w:val="0"/>
              <w:spacing w:line="315" w:lineRule="exact"/>
              <w:jc w:val="center"/>
            </w:pPr>
            <w:r>
              <w:rPr>
                <w:rFonts w:ascii="宋体" w:hAnsi="宋体" w:eastAsia="宋体" w:cs="宋体"/>
                <w:color w:val="000000"/>
              </w:rPr>
              <w:t>项目概况</w:t>
            </w:r>
          </w:p>
        </w:tc>
        <w:tc>
          <w:tcPr>
            <w:tcW w:w="8070" w:type="dxa"/>
            <w:gridSpan w:val="3"/>
            <w:tcBorders>
              <w:top w:val="nil"/>
              <w:left w:val="nil"/>
              <w:bottom w:val="single" w:color="000000" w:sz="6" w:space="0"/>
              <w:right w:val="single" w:color="000000" w:sz="6" w:space="0"/>
            </w:tcBorders>
            <w:vAlign w:val="center"/>
          </w:tcPr>
          <w:p w14:paraId="2418EC52">
            <w:pPr>
              <w:wordWrap w:val="0"/>
              <w:spacing w:line="315" w:lineRule="exact"/>
              <w:ind w:firstLine="210" w:firstLineChars="100"/>
              <w:jc w:val="left"/>
            </w:pPr>
          </w:p>
        </w:tc>
      </w:tr>
      <w:tr w14:paraId="76214395">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690" w:type="dxa"/>
            <w:tcBorders>
              <w:top w:val="nil"/>
              <w:left w:val="single" w:color="000000" w:sz="6" w:space="0"/>
              <w:bottom w:val="single" w:color="000000" w:sz="6" w:space="0"/>
              <w:right w:val="single" w:color="000000" w:sz="6" w:space="0"/>
            </w:tcBorders>
            <w:vAlign w:val="center"/>
          </w:tcPr>
          <w:p w14:paraId="7F49008A">
            <w:pPr>
              <w:wordWrap w:val="0"/>
              <w:spacing w:line="315" w:lineRule="exact"/>
              <w:jc w:val="center"/>
            </w:pPr>
            <w:r>
              <w:rPr>
                <w:rFonts w:ascii="宋体" w:hAnsi="宋体" w:eastAsia="宋体" w:cs="宋体"/>
                <w:color w:val="000000"/>
              </w:rPr>
              <w:t>项目负责人</w:t>
            </w:r>
          </w:p>
        </w:tc>
        <w:tc>
          <w:tcPr>
            <w:tcW w:w="3465" w:type="dxa"/>
            <w:tcBorders>
              <w:top w:val="nil"/>
              <w:left w:val="nil"/>
              <w:bottom w:val="single" w:color="000000" w:sz="6" w:space="0"/>
              <w:right w:val="single" w:color="000000" w:sz="6" w:space="0"/>
            </w:tcBorders>
            <w:vAlign w:val="center"/>
          </w:tcPr>
          <w:p w14:paraId="2EA6990F">
            <w:pPr>
              <w:wordWrap w:val="0"/>
              <w:spacing w:line="315" w:lineRule="exact"/>
              <w:ind w:firstLine="210" w:firstLineChars="100"/>
              <w:jc w:val="left"/>
            </w:pPr>
          </w:p>
        </w:tc>
        <w:tc>
          <w:tcPr>
            <w:tcW w:w="1440" w:type="dxa"/>
            <w:tcBorders>
              <w:top w:val="nil"/>
              <w:left w:val="nil"/>
              <w:bottom w:val="single" w:color="000000" w:sz="6" w:space="0"/>
              <w:right w:val="single" w:color="000000" w:sz="6" w:space="0"/>
            </w:tcBorders>
            <w:vAlign w:val="center"/>
          </w:tcPr>
          <w:p w14:paraId="484A8FB8">
            <w:pPr>
              <w:wordWrap w:val="0"/>
              <w:spacing w:line="315" w:lineRule="exact"/>
              <w:jc w:val="center"/>
            </w:pPr>
            <w:r>
              <w:rPr>
                <w:rFonts w:ascii="宋体" w:hAnsi="宋体" w:eastAsia="宋体" w:cs="宋体"/>
                <w:color w:val="000000"/>
              </w:rPr>
              <w:t>电话</w:t>
            </w:r>
          </w:p>
        </w:tc>
        <w:tc>
          <w:tcPr>
            <w:tcW w:w="3165" w:type="dxa"/>
            <w:tcBorders>
              <w:top w:val="nil"/>
              <w:left w:val="nil"/>
              <w:bottom w:val="single" w:color="000000" w:sz="6" w:space="0"/>
              <w:right w:val="single" w:color="000000" w:sz="6" w:space="0"/>
            </w:tcBorders>
            <w:vAlign w:val="center"/>
          </w:tcPr>
          <w:p w14:paraId="6F785351">
            <w:pPr>
              <w:wordWrap w:val="0"/>
              <w:spacing w:line="315" w:lineRule="exact"/>
              <w:ind w:firstLine="210" w:firstLineChars="100"/>
              <w:jc w:val="left"/>
            </w:pPr>
          </w:p>
        </w:tc>
      </w:tr>
      <w:tr w14:paraId="6E184F85">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690" w:type="dxa"/>
            <w:tcBorders>
              <w:top w:val="nil"/>
              <w:left w:val="single" w:color="000000" w:sz="6" w:space="0"/>
              <w:bottom w:val="single" w:color="000000" w:sz="6" w:space="0"/>
              <w:right w:val="single" w:color="000000" w:sz="6" w:space="0"/>
            </w:tcBorders>
            <w:vAlign w:val="center"/>
          </w:tcPr>
          <w:p w14:paraId="752AA064">
            <w:pPr>
              <w:wordWrap w:val="0"/>
              <w:spacing w:line="315" w:lineRule="exact"/>
              <w:jc w:val="center"/>
            </w:pPr>
            <w:r>
              <w:rPr>
                <w:rFonts w:ascii="宋体" w:hAnsi="宋体" w:eastAsia="宋体" w:cs="宋体"/>
                <w:color w:val="000000"/>
              </w:rPr>
              <w:t>申请部门领导</w:t>
            </w:r>
          </w:p>
        </w:tc>
        <w:tc>
          <w:tcPr>
            <w:tcW w:w="8070" w:type="dxa"/>
            <w:gridSpan w:val="3"/>
            <w:tcBorders>
              <w:top w:val="nil"/>
              <w:left w:val="nil"/>
              <w:bottom w:val="single" w:color="000000" w:sz="6" w:space="0"/>
              <w:right w:val="single" w:color="000000" w:sz="6" w:space="0"/>
            </w:tcBorders>
            <w:vAlign w:val="bottom"/>
          </w:tcPr>
          <w:p w14:paraId="7F580081">
            <w:pPr>
              <w:wordWrap w:val="0"/>
              <w:spacing w:line="315" w:lineRule="exact"/>
              <w:ind w:firstLine="210" w:firstLineChars="100"/>
              <w:jc w:val="left"/>
            </w:pPr>
            <w:r>
              <w:rPr>
                <w:rFonts w:ascii="宋体" w:hAnsi="宋体" w:eastAsia="宋体" w:cs="宋体"/>
                <w:color w:val="000000"/>
              </w:rPr>
              <w:t> （签字盖章）         年 月 日</w:t>
            </w:r>
          </w:p>
        </w:tc>
      </w:tr>
      <w:tr w14:paraId="625947B0">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690" w:type="dxa"/>
            <w:tcBorders>
              <w:top w:val="nil"/>
              <w:left w:val="single" w:color="000000" w:sz="6" w:space="0"/>
              <w:bottom w:val="single" w:color="000000" w:sz="6" w:space="0"/>
              <w:right w:val="single" w:color="000000" w:sz="6" w:space="0"/>
            </w:tcBorders>
            <w:vAlign w:val="center"/>
          </w:tcPr>
          <w:p w14:paraId="35AF887E">
            <w:pPr>
              <w:wordWrap w:val="0"/>
              <w:spacing w:line="315" w:lineRule="exact"/>
              <w:jc w:val="center"/>
            </w:pPr>
            <w:r>
              <w:rPr>
                <w:rFonts w:ascii="宋体" w:hAnsi="宋体" w:eastAsia="宋体" w:cs="宋体"/>
                <w:color w:val="000000"/>
              </w:rPr>
              <w:t>后勤基建处</w:t>
            </w:r>
          </w:p>
        </w:tc>
        <w:tc>
          <w:tcPr>
            <w:tcW w:w="8070" w:type="dxa"/>
            <w:gridSpan w:val="3"/>
            <w:tcBorders>
              <w:top w:val="nil"/>
              <w:left w:val="nil"/>
              <w:bottom w:val="single" w:color="000000" w:sz="6" w:space="0"/>
              <w:right w:val="single" w:color="000000" w:sz="6" w:space="0"/>
            </w:tcBorders>
            <w:vAlign w:val="bottom"/>
          </w:tcPr>
          <w:p w14:paraId="2A142842">
            <w:pPr>
              <w:wordWrap w:val="0"/>
              <w:spacing w:line="315" w:lineRule="exact"/>
              <w:ind w:firstLine="210" w:firstLineChars="100"/>
              <w:jc w:val="left"/>
            </w:pPr>
            <w:r>
              <w:rPr>
                <w:rFonts w:ascii="宋体" w:hAnsi="宋体" w:eastAsia="宋体" w:cs="宋体"/>
                <w:color w:val="000000"/>
              </w:rPr>
              <w:t> （签字盖章）         年 月 日</w:t>
            </w:r>
          </w:p>
        </w:tc>
      </w:tr>
      <w:tr w14:paraId="2DD649A1">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690" w:type="dxa"/>
            <w:tcBorders>
              <w:top w:val="nil"/>
              <w:left w:val="single" w:color="000000" w:sz="6" w:space="0"/>
              <w:bottom w:val="single" w:color="000000" w:sz="6" w:space="0"/>
              <w:right w:val="single" w:color="000000" w:sz="6" w:space="0"/>
            </w:tcBorders>
            <w:vAlign w:val="center"/>
          </w:tcPr>
          <w:p w14:paraId="1620115E">
            <w:pPr>
              <w:wordWrap w:val="0"/>
              <w:spacing w:line="315" w:lineRule="exact"/>
              <w:jc w:val="center"/>
            </w:pPr>
            <w:r>
              <w:rPr>
                <w:rFonts w:ascii="宋体" w:hAnsi="宋体" w:eastAsia="宋体" w:cs="宋体"/>
                <w:color w:val="000000"/>
              </w:rPr>
              <w:t>备注</w:t>
            </w:r>
          </w:p>
        </w:tc>
        <w:tc>
          <w:tcPr>
            <w:tcW w:w="8070" w:type="dxa"/>
            <w:gridSpan w:val="3"/>
            <w:tcBorders>
              <w:top w:val="nil"/>
              <w:left w:val="nil"/>
              <w:bottom w:val="single" w:color="000000" w:sz="6" w:space="0"/>
              <w:right w:val="single" w:color="000000" w:sz="6" w:space="0"/>
            </w:tcBorders>
            <w:vAlign w:val="center"/>
          </w:tcPr>
          <w:p w14:paraId="6747023C">
            <w:pPr>
              <w:wordWrap w:val="0"/>
              <w:spacing w:line="315" w:lineRule="exact"/>
              <w:ind w:firstLine="210" w:firstLineChars="100"/>
              <w:jc w:val="left"/>
            </w:pPr>
            <w:r>
              <w:rPr>
                <w:rFonts w:ascii="宋体" w:hAnsi="宋体" w:eastAsia="宋体" w:cs="宋体"/>
                <w:color w:val="000000"/>
              </w:rPr>
              <w:t> 1、项目概况应简要介绍项目情况，施工单位及负责人、施工地点、起止时间和施工内容等信息，以及该项目对绿地绿植的破坏情况和恢复方案等情况，并附详细恢复方案。</w:t>
            </w:r>
          </w:p>
          <w:p w14:paraId="2A2DB5C1">
            <w:pPr>
              <w:wordWrap w:val="0"/>
              <w:spacing w:line="315" w:lineRule="exact"/>
              <w:ind w:firstLine="210" w:firstLineChars="100"/>
              <w:jc w:val="left"/>
            </w:pPr>
            <w:r>
              <w:rPr>
                <w:rFonts w:ascii="宋体" w:hAnsi="宋体" w:eastAsia="宋体" w:cs="宋体"/>
                <w:color w:val="000000"/>
              </w:rPr>
              <w:t> 2、绿地施工必须在得到备案许可以后，方可进行，备案表一式两份，原件留存后勤基建处物业管理科。</w:t>
            </w:r>
          </w:p>
          <w:p w14:paraId="36A26D8D">
            <w:pPr>
              <w:wordWrap w:val="0"/>
              <w:spacing w:line="315" w:lineRule="exact"/>
              <w:ind w:firstLine="210" w:firstLineChars="100"/>
              <w:jc w:val="left"/>
            </w:pPr>
            <w:r>
              <w:rPr>
                <w:rFonts w:ascii="宋体" w:hAnsi="宋体" w:eastAsia="宋体" w:cs="宋体"/>
                <w:color w:val="000000"/>
              </w:rPr>
              <w:t> 3、项目主管方应要求施工方加强人员管理及安全教育，做好绿地内设施设备保护，文明施工，降低对校园环境产生不良影响，施工完成后，现场恢复原样。</w:t>
            </w:r>
          </w:p>
          <w:p w14:paraId="10519C28">
            <w:pPr>
              <w:wordWrap w:val="0"/>
              <w:spacing w:line="315" w:lineRule="exact"/>
              <w:ind w:firstLine="210" w:firstLineChars="100"/>
              <w:jc w:val="left"/>
            </w:pPr>
            <w:r>
              <w:rPr>
                <w:rFonts w:ascii="宋体" w:hAnsi="宋体" w:eastAsia="宋体" w:cs="宋体"/>
                <w:color w:val="000000"/>
              </w:rPr>
              <w:t> 4、施工所产生的建筑垃圾按规范摆放在指定地点，由施工方负责清运出校园，做到工完场清。绿化养护公司依据施工量预收取垃圾清运保证金（2000元至5000元不等），施工结束后，绿化养护公司对施工现场验收合格后退还垃圾清运保证金。</w:t>
            </w:r>
          </w:p>
          <w:p w14:paraId="25E06D85">
            <w:pPr>
              <w:wordWrap w:val="0"/>
              <w:spacing w:line="315" w:lineRule="exact"/>
              <w:ind w:firstLine="210" w:firstLineChars="100"/>
              <w:jc w:val="left"/>
            </w:pPr>
            <w:r>
              <w:rPr>
                <w:rFonts w:ascii="宋体" w:hAnsi="宋体" w:eastAsia="宋体" w:cs="宋体"/>
                <w:color w:val="000000"/>
              </w:rPr>
              <w:t> 5、项目验收时应通知后勤基建处参与验收绿地绿植恢复情况，若校园绿化环境遭受破坏未按照方案恢复，验收不予通过。</w:t>
            </w:r>
          </w:p>
        </w:tc>
      </w:tr>
    </w:tbl>
    <w:p w14:paraId="10D375D1">
      <w:r>
        <w:br w:type="page"/>
      </w:r>
    </w:p>
    <w:p w14:paraId="1B5B7B9D">
      <w:pPr>
        <w:wordWrap w:val="0"/>
        <w:spacing w:line="360" w:lineRule="exact"/>
        <w:jc w:val="left"/>
      </w:pPr>
      <w:r>
        <w:rPr>
          <w:rFonts w:ascii="宋体" w:hAnsi="宋体" w:eastAsia="宋体" w:cs="宋体"/>
          <w:color w:val="000000"/>
          <w:sz w:val="24"/>
        </w:rPr>
        <w:t>附件15：</w:t>
      </w:r>
    </w:p>
    <w:tbl>
      <w:tblPr>
        <w:tblStyle w:val="5"/>
        <w:tblW w:w="9315" w:type="dxa"/>
        <w:jc w:val="center"/>
        <w:tblBorders>
          <w:top w:val="none" w:color="auto" w:sz="0" w:space="0"/>
          <w:left w:val="none" w:color="auto" w:sz="0" w:space="0"/>
          <w:bottom w:val="none" w:color="auto" w:sz="0" w:space="0"/>
          <w:right w:val="none" w:color="auto" w:sz="0" w:space="0"/>
          <w:insideH w:val="single" w:color="auto" w:sz="0" w:space="0"/>
          <w:insideV w:val="single" w:color="auto" w:sz="0" w:space="0"/>
        </w:tblBorders>
        <w:tblLayout w:type="autofit"/>
        <w:tblCellMar>
          <w:top w:w="0" w:type="dxa"/>
          <w:left w:w="10" w:type="dxa"/>
          <w:bottom w:w="0" w:type="dxa"/>
          <w:right w:w="10" w:type="dxa"/>
        </w:tblCellMar>
      </w:tblPr>
      <w:tblGrid>
        <w:gridCol w:w="930"/>
        <w:gridCol w:w="7545"/>
        <w:gridCol w:w="420"/>
        <w:gridCol w:w="420"/>
      </w:tblGrid>
      <w:tr w14:paraId="25288E7E">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9315" w:type="dxa"/>
            <w:gridSpan w:val="4"/>
            <w:tcBorders>
              <w:top w:val="nil"/>
              <w:left w:val="nil"/>
              <w:bottom w:val="single" w:color="000000" w:sz="6" w:space="0"/>
              <w:right w:val="nil"/>
            </w:tcBorders>
            <w:shd w:val="clear" w:color="auto" w:fill="FFFFFF"/>
            <w:vAlign w:val="center"/>
          </w:tcPr>
          <w:p w14:paraId="1FA201B7">
            <w:pPr>
              <w:wordWrap w:val="0"/>
              <w:spacing w:line="315" w:lineRule="exact"/>
              <w:jc w:val="center"/>
            </w:pPr>
            <w:r>
              <w:rPr>
                <w:rFonts w:ascii="宋体" w:hAnsi="宋体" w:eastAsia="宋体" w:cs="宋体"/>
                <w:color w:val="000000"/>
              </w:rPr>
              <w:t>南京财经大学绿化管理养护考核表（C）</w:t>
            </w:r>
          </w:p>
        </w:tc>
      </w:tr>
      <w:tr w14:paraId="509AB7ED">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930" w:type="dxa"/>
            <w:tcBorders>
              <w:top w:val="nil"/>
              <w:left w:val="single" w:color="000000" w:sz="6" w:space="0"/>
              <w:bottom w:val="single" w:color="000000" w:sz="6" w:space="0"/>
              <w:right w:val="single" w:color="000000" w:sz="6" w:space="0"/>
            </w:tcBorders>
            <w:shd w:val="clear" w:color="auto" w:fill="FFFFFF"/>
            <w:vAlign w:val="center"/>
          </w:tcPr>
          <w:p w14:paraId="1FEF366A">
            <w:pPr>
              <w:wordWrap w:val="0"/>
              <w:spacing w:line="315" w:lineRule="exact"/>
              <w:jc w:val="center"/>
            </w:pPr>
            <w:r>
              <w:rPr>
                <w:rFonts w:ascii="宋体" w:hAnsi="宋体" w:eastAsia="宋体" w:cs="宋体"/>
                <w:color w:val="000000"/>
              </w:rPr>
              <w:t>项目</w:t>
            </w:r>
          </w:p>
        </w:tc>
        <w:tc>
          <w:tcPr>
            <w:tcW w:w="7545" w:type="dxa"/>
            <w:tcBorders>
              <w:top w:val="nil"/>
              <w:left w:val="nil"/>
              <w:bottom w:val="single" w:color="000000" w:sz="6" w:space="0"/>
              <w:right w:val="single" w:color="000000" w:sz="6" w:space="0"/>
            </w:tcBorders>
            <w:shd w:val="clear" w:color="auto" w:fill="FFFFFF"/>
            <w:vAlign w:val="center"/>
          </w:tcPr>
          <w:p w14:paraId="370754A7">
            <w:pPr>
              <w:wordWrap w:val="0"/>
              <w:spacing w:line="315" w:lineRule="exact"/>
              <w:jc w:val="center"/>
            </w:pPr>
            <w:r>
              <w:rPr>
                <w:rFonts w:ascii="宋体" w:hAnsi="宋体" w:eastAsia="宋体" w:cs="宋体"/>
                <w:color w:val="000000"/>
              </w:rPr>
              <w:t>考核内容</w:t>
            </w:r>
          </w:p>
        </w:tc>
        <w:tc>
          <w:tcPr>
            <w:tcW w:w="420" w:type="dxa"/>
            <w:tcBorders>
              <w:top w:val="nil"/>
              <w:left w:val="nil"/>
              <w:bottom w:val="single" w:color="000000" w:sz="6" w:space="0"/>
              <w:right w:val="single" w:color="000000" w:sz="6" w:space="0"/>
            </w:tcBorders>
            <w:shd w:val="clear" w:color="auto" w:fill="FFFFFF"/>
            <w:vAlign w:val="center"/>
          </w:tcPr>
          <w:p w14:paraId="2F4763D5">
            <w:pPr>
              <w:wordWrap w:val="0"/>
              <w:spacing w:line="315" w:lineRule="exact"/>
              <w:jc w:val="center"/>
            </w:pPr>
            <w:r>
              <w:rPr>
                <w:rFonts w:ascii="宋体" w:hAnsi="宋体" w:eastAsia="宋体" w:cs="宋体"/>
                <w:color w:val="000000"/>
              </w:rPr>
              <w:t>分值</w:t>
            </w:r>
          </w:p>
        </w:tc>
        <w:tc>
          <w:tcPr>
            <w:tcW w:w="420" w:type="dxa"/>
            <w:tcBorders>
              <w:top w:val="nil"/>
              <w:left w:val="nil"/>
              <w:bottom w:val="single" w:color="000000" w:sz="6" w:space="0"/>
              <w:right w:val="single" w:color="000000" w:sz="6" w:space="0"/>
            </w:tcBorders>
            <w:shd w:val="clear" w:color="auto" w:fill="FFFFFF"/>
            <w:vAlign w:val="center"/>
          </w:tcPr>
          <w:p w14:paraId="60CDC210">
            <w:pPr>
              <w:wordWrap w:val="0"/>
              <w:spacing w:line="315" w:lineRule="exact"/>
              <w:jc w:val="center"/>
            </w:pPr>
            <w:r>
              <w:rPr>
                <w:rFonts w:ascii="宋体" w:hAnsi="宋体" w:eastAsia="宋体" w:cs="宋体"/>
                <w:color w:val="000000"/>
              </w:rPr>
              <w:t>得分</w:t>
            </w:r>
          </w:p>
        </w:tc>
      </w:tr>
      <w:tr w14:paraId="3AAC9601">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930" w:type="dxa"/>
            <w:vMerge w:val="restart"/>
            <w:tcBorders>
              <w:top w:val="nil"/>
              <w:left w:val="single" w:color="000000" w:sz="6" w:space="0"/>
              <w:bottom w:val="single" w:color="000000" w:sz="6" w:space="0"/>
              <w:right w:val="single" w:color="000000" w:sz="6" w:space="0"/>
            </w:tcBorders>
            <w:shd w:val="clear" w:color="auto" w:fill="FFFFFF"/>
            <w:vAlign w:val="center"/>
          </w:tcPr>
          <w:p w14:paraId="5A8EF050">
            <w:pPr>
              <w:wordWrap w:val="0"/>
              <w:spacing w:line="315" w:lineRule="exact"/>
              <w:jc w:val="center"/>
            </w:pPr>
            <w:r>
              <w:rPr>
                <w:rFonts w:ascii="宋体" w:hAnsi="宋体" w:eastAsia="宋体" w:cs="宋体"/>
                <w:color w:val="000000"/>
              </w:rPr>
              <w:t>基础</w:t>
            </w:r>
          </w:p>
          <w:p w14:paraId="38A61883">
            <w:pPr>
              <w:wordWrap w:val="0"/>
              <w:spacing w:line="315" w:lineRule="exact"/>
              <w:jc w:val="center"/>
            </w:pPr>
            <w:r>
              <w:rPr>
                <w:rFonts w:ascii="宋体" w:hAnsi="宋体" w:eastAsia="宋体" w:cs="宋体"/>
                <w:color w:val="000000"/>
              </w:rPr>
              <w:t>管理</w:t>
            </w:r>
          </w:p>
        </w:tc>
        <w:tc>
          <w:tcPr>
            <w:tcW w:w="7545" w:type="dxa"/>
            <w:tcBorders>
              <w:top w:val="nil"/>
              <w:left w:val="nil"/>
              <w:bottom w:val="single" w:color="000000" w:sz="6" w:space="0"/>
              <w:right w:val="single" w:color="000000" w:sz="6" w:space="0"/>
            </w:tcBorders>
            <w:shd w:val="clear" w:color="auto" w:fill="FFFFFF"/>
            <w:vAlign w:val="center"/>
          </w:tcPr>
          <w:p w14:paraId="57071F32">
            <w:pPr>
              <w:wordWrap w:val="0"/>
              <w:spacing w:line="315" w:lineRule="exact"/>
              <w:jc w:val="left"/>
            </w:pPr>
            <w:r>
              <w:rPr>
                <w:rFonts w:ascii="宋体" w:hAnsi="宋体" w:eastAsia="宋体" w:cs="宋体"/>
                <w:color w:val="000000"/>
              </w:rPr>
              <w:t>1、有绿地绿植详细资料（包括：名称、数量、规格、位置等）；</w:t>
            </w:r>
          </w:p>
        </w:tc>
        <w:tc>
          <w:tcPr>
            <w:tcW w:w="420" w:type="dxa"/>
            <w:vMerge w:val="restart"/>
            <w:tcBorders>
              <w:top w:val="nil"/>
              <w:left w:val="nil"/>
              <w:bottom w:val="single" w:color="000000" w:sz="6" w:space="0"/>
              <w:right w:val="single" w:color="000000" w:sz="6" w:space="0"/>
            </w:tcBorders>
            <w:shd w:val="clear" w:color="auto" w:fill="FFFFFF"/>
            <w:vAlign w:val="center"/>
          </w:tcPr>
          <w:p w14:paraId="4744B78D">
            <w:pPr>
              <w:wordWrap w:val="0"/>
              <w:spacing w:line="315" w:lineRule="exact"/>
              <w:jc w:val="center"/>
            </w:pPr>
            <w:r>
              <w:rPr>
                <w:rFonts w:ascii="宋体" w:hAnsi="宋体" w:eastAsia="宋体" w:cs="宋体"/>
                <w:color w:val="000000"/>
              </w:rPr>
              <w:t>10</w:t>
            </w:r>
          </w:p>
        </w:tc>
        <w:tc>
          <w:tcPr>
            <w:tcW w:w="420" w:type="dxa"/>
            <w:vMerge w:val="restart"/>
            <w:tcBorders>
              <w:top w:val="nil"/>
              <w:left w:val="nil"/>
              <w:bottom w:val="single" w:color="000000" w:sz="6" w:space="0"/>
              <w:right w:val="single" w:color="000000" w:sz="6" w:space="0"/>
            </w:tcBorders>
            <w:shd w:val="clear" w:color="auto" w:fill="FFFFFF"/>
            <w:vAlign w:val="center"/>
          </w:tcPr>
          <w:p w14:paraId="324275C3">
            <w:pPr>
              <w:wordWrap w:val="0"/>
              <w:spacing w:line="315" w:lineRule="exact"/>
              <w:ind w:firstLine="210" w:firstLineChars="100"/>
              <w:jc w:val="center"/>
            </w:pPr>
          </w:p>
        </w:tc>
      </w:tr>
      <w:tr w14:paraId="3E3A8F31">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930" w:type="dxa"/>
            <w:vMerge w:val="continue"/>
            <w:tcBorders>
              <w:top w:val="nil"/>
              <w:left w:val="single" w:color="000000" w:sz="6" w:space="0"/>
              <w:bottom w:val="single" w:color="000000" w:sz="6" w:space="0"/>
              <w:right w:val="single" w:color="000000" w:sz="6" w:space="0"/>
            </w:tcBorders>
          </w:tcPr>
          <w:p w14:paraId="0A0367E1"/>
        </w:tc>
        <w:tc>
          <w:tcPr>
            <w:tcW w:w="7545" w:type="dxa"/>
            <w:tcBorders>
              <w:top w:val="nil"/>
              <w:left w:val="nil"/>
              <w:bottom w:val="single" w:color="000000" w:sz="6" w:space="0"/>
              <w:right w:val="single" w:color="000000" w:sz="6" w:space="0"/>
            </w:tcBorders>
            <w:shd w:val="clear" w:color="auto" w:fill="FFFFFF"/>
            <w:vAlign w:val="center"/>
          </w:tcPr>
          <w:p w14:paraId="3FB4C91A">
            <w:pPr>
              <w:wordWrap w:val="0"/>
              <w:spacing w:line="315" w:lineRule="exact"/>
              <w:jc w:val="left"/>
            </w:pPr>
            <w:r>
              <w:rPr>
                <w:rFonts w:ascii="宋体" w:hAnsi="宋体" w:eastAsia="宋体" w:cs="宋体"/>
                <w:color w:val="000000"/>
              </w:rPr>
              <w:t>2、有详细的养护计划(包括：月计划、周计划、巡查记录等）；</w:t>
            </w:r>
          </w:p>
        </w:tc>
        <w:tc>
          <w:tcPr>
            <w:tcW w:w="420" w:type="dxa"/>
            <w:vMerge w:val="continue"/>
            <w:tcBorders>
              <w:top w:val="nil"/>
              <w:left w:val="nil"/>
              <w:bottom w:val="single" w:color="000000" w:sz="6" w:space="0"/>
              <w:right w:val="single" w:color="000000" w:sz="6" w:space="0"/>
            </w:tcBorders>
          </w:tcPr>
          <w:p w14:paraId="1593C44A"/>
        </w:tc>
        <w:tc>
          <w:tcPr>
            <w:tcW w:w="420" w:type="dxa"/>
            <w:vMerge w:val="continue"/>
            <w:tcBorders>
              <w:top w:val="nil"/>
              <w:left w:val="nil"/>
              <w:bottom w:val="single" w:color="000000" w:sz="6" w:space="0"/>
              <w:right w:val="single" w:color="000000" w:sz="6" w:space="0"/>
            </w:tcBorders>
          </w:tcPr>
          <w:p w14:paraId="60DDF631"/>
        </w:tc>
      </w:tr>
      <w:tr w14:paraId="0E21CE66">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930" w:type="dxa"/>
            <w:vMerge w:val="continue"/>
            <w:tcBorders>
              <w:top w:val="nil"/>
              <w:left w:val="single" w:color="000000" w:sz="6" w:space="0"/>
              <w:bottom w:val="single" w:color="000000" w:sz="6" w:space="0"/>
              <w:right w:val="single" w:color="000000" w:sz="6" w:space="0"/>
            </w:tcBorders>
          </w:tcPr>
          <w:p w14:paraId="67941906"/>
        </w:tc>
        <w:tc>
          <w:tcPr>
            <w:tcW w:w="7545" w:type="dxa"/>
            <w:tcBorders>
              <w:top w:val="nil"/>
              <w:left w:val="nil"/>
              <w:bottom w:val="single" w:color="000000" w:sz="6" w:space="0"/>
              <w:right w:val="single" w:color="000000" w:sz="6" w:space="0"/>
            </w:tcBorders>
            <w:shd w:val="clear" w:color="auto" w:fill="FFFFFF"/>
            <w:vAlign w:val="center"/>
          </w:tcPr>
          <w:p w14:paraId="3790ED4C">
            <w:pPr>
              <w:wordWrap w:val="0"/>
              <w:spacing w:line="315" w:lineRule="exact"/>
              <w:jc w:val="left"/>
            </w:pPr>
            <w:r>
              <w:rPr>
                <w:rFonts w:ascii="宋体" w:hAnsi="宋体" w:eastAsia="宋体" w:cs="宋体"/>
                <w:color w:val="000000"/>
              </w:rPr>
              <w:t>3、重要操作有记录（包括：喷药、大规模治虫、施肥、修剪、除草等）；</w:t>
            </w:r>
          </w:p>
        </w:tc>
        <w:tc>
          <w:tcPr>
            <w:tcW w:w="420" w:type="dxa"/>
            <w:vMerge w:val="continue"/>
            <w:tcBorders>
              <w:top w:val="nil"/>
              <w:left w:val="nil"/>
              <w:bottom w:val="single" w:color="000000" w:sz="6" w:space="0"/>
              <w:right w:val="single" w:color="000000" w:sz="6" w:space="0"/>
            </w:tcBorders>
          </w:tcPr>
          <w:p w14:paraId="4DEC4896"/>
        </w:tc>
        <w:tc>
          <w:tcPr>
            <w:tcW w:w="420" w:type="dxa"/>
            <w:vMerge w:val="continue"/>
            <w:tcBorders>
              <w:top w:val="nil"/>
              <w:left w:val="nil"/>
              <w:bottom w:val="single" w:color="000000" w:sz="6" w:space="0"/>
              <w:right w:val="single" w:color="000000" w:sz="6" w:space="0"/>
            </w:tcBorders>
          </w:tcPr>
          <w:p w14:paraId="7CA9835F"/>
        </w:tc>
      </w:tr>
      <w:tr w14:paraId="38771A27">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930" w:type="dxa"/>
            <w:vMerge w:val="restart"/>
            <w:tcBorders>
              <w:top w:val="nil"/>
              <w:left w:val="single" w:color="000000" w:sz="6" w:space="0"/>
              <w:bottom w:val="single" w:color="000000" w:sz="6" w:space="0"/>
              <w:right w:val="single" w:color="000000" w:sz="6" w:space="0"/>
            </w:tcBorders>
            <w:shd w:val="clear" w:color="auto" w:fill="FFFFFF"/>
            <w:vAlign w:val="center"/>
          </w:tcPr>
          <w:p w14:paraId="41F7CE56">
            <w:pPr>
              <w:wordWrap w:val="0"/>
              <w:spacing w:line="315" w:lineRule="exact"/>
              <w:jc w:val="center"/>
            </w:pPr>
            <w:r>
              <w:rPr>
                <w:rFonts w:ascii="宋体" w:hAnsi="宋体" w:eastAsia="宋体" w:cs="宋体"/>
                <w:color w:val="000000"/>
              </w:rPr>
              <w:t>绿地</w:t>
            </w:r>
          </w:p>
          <w:p w14:paraId="5AB38452">
            <w:pPr>
              <w:wordWrap w:val="0"/>
              <w:spacing w:line="315" w:lineRule="exact"/>
              <w:jc w:val="center"/>
            </w:pPr>
            <w:r>
              <w:rPr>
                <w:rFonts w:ascii="宋体" w:hAnsi="宋体" w:eastAsia="宋体" w:cs="宋体"/>
                <w:color w:val="000000"/>
              </w:rPr>
              <w:t>保洁</w:t>
            </w:r>
          </w:p>
        </w:tc>
        <w:tc>
          <w:tcPr>
            <w:tcW w:w="7545" w:type="dxa"/>
            <w:tcBorders>
              <w:top w:val="nil"/>
              <w:left w:val="nil"/>
              <w:bottom w:val="single" w:color="000000" w:sz="6" w:space="0"/>
              <w:right w:val="single" w:color="000000" w:sz="6" w:space="0"/>
            </w:tcBorders>
            <w:shd w:val="clear" w:color="auto" w:fill="FFFFFF"/>
            <w:vAlign w:val="center"/>
          </w:tcPr>
          <w:p w14:paraId="33E817C7">
            <w:pPr>
              <w:wordWrap w:val="0"/>
              <w:spacing w:line="315" w:lineRule="exact"/>
              <w:jc w:val="left"/>
            </w:pPr>
            <w:r>
              <w:rPr>
                <w:rFonts w:ascii="宋体" w:hAnsi="宋体" w:eastAsia="宋体" w:cs="宋体"/>
                <w:color w:val="000000"/>
              </w:rPr>
              <w:t>1、绿化区域内生活垃圾保洁（包括：白色垃圾、漂浮物、烟头等垃圾）；</w:t>
            </w:r>
          </w:p>
        </w:tc>
        <w:tc>
          <w:tcPr>
            <w:tcW w:w="420" w:type="dxa"/>
            <w:vMerge w:val="restart"/>
            <w:tcBorders>
              <w:top w:val="nil"/>
              <w:left w:val="nil"/>
              <w:bottom w:val="single" w:color="000000" w:sz="6" w:space="0"/>
              <w:right w:val="single" w:color="000000" w:sz="6" w:space="0"/>
            </w:tcBorders>
            <w:shd w:val="clear" w:color="auto" w:fill="FFFFFF"/>
            <w:vAlign w:val="center"/>
          </w:tcPr>
          <w:p w14:paraId="69E50CE6">
            <w:pPr>
              <w:wordWrap w:val="0"/>
              <w:spacing w:line="315" w:lineRule="exact"/>
              <w:jc w:val="center"/>
            </w:pPr>
            <w:r>
              <w:rPr>
                <w:rFonts w:ascii="宋体" w:hAnsi="宋体" w:eastAsia="宋体" w:cs="宋体"/>
                <w:color w:val="000000"/>
              </w:rPr>
              <w:t>10</w:t>
            </w:r>
          </w:p>
        </w:tc>
        <w:tc>
          <w:tcPr>
            <w:tcW w:w="420" w:type="dxa"/>
            <w:vMerge w:val="restart"/>
            <w:tcBorders>
              <w:top w:val="nil"/>
              <w:left w:val="nil"/>
              <w:bottom w:val="single" w:color="000000" w:sz="6" w:space="0"/>
              <w:right w:val="single" w:color="000000" w:sz="6" w:space="0"/>
            </w:tcBorders>
            <w:shd w:val="clear" w:color="auto" w:fill="FFFFFF"/>
            <w:vAlign w:val="center"/>
          </w:tcPr>
          <w:p w14:paraId="132CCB12">
            <w:pPr>
              <w:wordWrap w:val="0"/>
              <w:spacing w:line="315" w:lineRule="exact"/>
              <w:ind w:firstLine="210" w:firstLineChars="100"/>
              <w:jc w:val="center"/>
            </w:pPr>
          </w:p>
        </w:tc>
      </w:tr>
      <w:tr w14:paraId="4DA44446">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930" w:type="dxa"/>
            <w:vMerge w:val="continue"/>
            <w:tcBorders>
              <w:top w:val="nil"/>
              <w:left w:val="single" w:color="000000" w:sz="6" w:space="0"/>
              <w:bottom w:val="single" w:color="000000" w:sz="6" w:space="0"/>
              <w:right w:val="single" w:color="000000" w:sz="6" w:space="0"/>
            </w:tcBorders>
          </w:tcPr>
          <w:p w14:paraId="4C330EE0"/>
        </w:tc>
        <w:tc>
          <w:tcPr>
            <w:tcW w:w="7545" w:type="dxa"/>
            <w:tcBorders>
              <w:top w:val="nil"/>
              <w:left w:val="nil"/>
              <w:bottom w:val="single" w:color="000000" w:sz="6" w:space="0"/>
              <w:right w:val="single" w:color="000000" w:sz="6" w:space="0"/>
            </w:tcBorders>
            <w:shd w:val="clear" w:color="auto" w:fill="FFFFFF"/>
            <w:vAlign w:val="center"/>
          </w:tcPr>
          <w:p w14:paraId="5DCE96DE">
            <w:pPr>
              <w:wordWrap w:val="0"/>
              <w:spacing w:line="315" w:lineRule="exact"/>
              <w:jc w:val="left"/>
            </w:pPr>
            <w:r>
              <w:rPr>
                <w:rFonts w:ascii="宋体" w:hAnsi="宋体" w:eastAsia="宋体" w:cs="宋体"/>
                <w:color w:val="000000"/>
              </w:rPr>
              <w:t>2、绿化垃圾保洁（包括：枯枝落叶、修剪完的碎屑树枝、除草后的枯草等)；</w:t>
            </w:r>
          </w:p>
        </w:tc>
        <w:tc>
          <w:tcPr>
            <w:tcW w:w="420" w:type="dxa"/>
            <w:vMerge w:val="continue"/>
            <w:tcBorders>
              <w:top w:val="nil"/>
              <w:left w:val="nil"/>
              <w:bottom w:val="single" w:color="000000" w:sz="6" w:space="0"/>
              <w:right w:val="single" w:color="000000" w:sz="6" w:space="0"/>
            </w:tcBorders>
          </w:tcPr>
          <w:p w14:paraId="597EA747"/>
        </w:tc>
        <w:tc>
          <w:tcPr>
            <w:tcW w:w="420" w:type="dxa"/>
            <w:vMerge w:val="continue"/>
            <w:tcBorders>
              <w:top w:val="nil"/>
              <w:left w:val="nil"/>
              <w:bottom w:val="single" w:color="000000" w:sz="6" w:space="0"/>
              <w:right w:val="single" w:color="000000" w:sz="6" w:space="0"/>
            </w:tcBorders>
          </w:tcPr>
          <w:p w14:paraId="6AE42675"/>
        </w:tc>
      </w:tr>
      <w:tr w14:paraId="468FB31B">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930" w:type="dxa"/>
            <w:vMerge w:val="continue"/>
            <w:tcBorders>
              <w:top w:val="nil"/>
              <w:left w:val="single" w:color="000000" w:sz="6" w:space="0"/>
              <w:bottom w:val="single" w:color="000000" w:sz="6" w:space="0"/>
              <w:right w:val="single" w:color="000000" w:sz="6" w:space="0"/>
            </w:tcBorders>
          </w:tcPr>
          <w:p w14:paraId="31DC0F51"/>
        </w:tc>
        <w:tc>
          <w:tcPr>
            <w:tcW w:w="7545" w:type="dxa"/>
            <w:tcBorders>
              <w:top w:val="nil"/>
              <w:left w:val="nil"/>
              <w:bottom w:val="single" w:color="000000" w:sz="6" w:space="0"/>
              <w:right w:val="single" w:color="000000" w:sz="6" w:space="0"/>
            </w:tcBorders>
            <w:shd w:val="clear" w:color="auto" w:fill="FFFFFF"/>
            <w:vAlign w:val="center"/>
          </w:tcPr>
          <w:p w14:paraId="624460C1">
            <w:pPr>
              <w:wordWrap w:val="0"/>
              <w:spacing w:line="315" w:lineRule="exact"/>
              <w:jc w:val="left"/>
            </w:pPr>
            <w:r>
              <w:rPr>
                <w:rFonts w:ascii="宋体" w:hAnsi="宋体" w:eastAsia="宋体" w:cs="宋体"/>
                <w:color w:val="000000"/>
              </w:rPr>
              <w:t>3、垃圾及时清理，并按要求打包运送至学校指定地点；</w:t>
            </w:r>
          </w:p>
        </w:tc>
        <w:tc>
          <w:tcPr>
            <w:tcW w:w="420" w:type="dxa"/>
            <w:vMerge w:val="continue"/>
            <w:tcBorders>
              <w:top w:val="nil"/>
              <w:left w:val="nil"/>
              <w:bottom w:val="single" w:color="000000" w:sz="6" w:space="0"/>
              <w:right w:val="single" w:color="000000" w:sz="6" w:space="0"/>
            </w:tcBorders>
          </w:tcPr>
          <w:p w14:paraId="7440AD24"/>
        </w:tc>
        <w:tc>
          <w:tcPr>
            <w:tcW w:w="420" w:type="dxa"/>
            <w:vMerge w:val="continue"/>
            <w:tcBorders>
              <w:top w:val="nil"/>
              <w:left w:val="nil"/>
              <w:bottom w:val="single" w:color="000000" w:sz="6" w:space="0"/>
              <w:right w:val="single" w:color="000000" w:sz="6" w:space="0"/>
            </w:tcBorders>
          </w:tcPr>
          <w:p w14:paraId="703F46E5"/>
        </w:tc>
      </w:tr>
      <w:tr w14:paraId="1339A865">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930" w:type="dxa"/>
            <w:vMerge w:val="restart"/>
            <w:tcBorders>
              <w:top w:val="nil"/>
              <w:left w:val="single" w:color="000000" w:sz="6" w:space="0"/>
              <w:bottom w:val="single" w:color="000000" w:sz="6" w:space="0"/>
              <w:right w:val="single" w:color="000000" w:sz="6" w:space="0"/>
            </w:tcBorders>
            <w:shd w:val="clear" w:color="auto" w:fill="FFFFFF"/>
            <w:vAlign w:val="center"/>
          </w:tcPr>
          <w:p w14:paraId="11D6ECA7">
            <w:pPr>
              <w:wordWrap w:val="0"/>
              <w:spacing w:line="315" w:lineRule="exact"/>
              <w:jc w:val="center"/>
            </w:pPr>
            <w:r>
              <w:rPr>
                <w:rFonts w:ascii="宋体" w:hAnsi="宋体" w:eastAsia="宋体" w:cs="宋体"/>
                <w:color w:val="000000"/>
              </w:rPr>
              <w:t>绿地</w:t>
            </w:r>
          </w:p>
          <w:p w14:paraId="7D416DF9">
            <w:pPr>
              <w:wordWrap w:val="0"/>
              <w:spacing w:line="315" w:lineRule="exact"/>
              <w:jc w:val="center"/>
            </w:pPr>
            <w:r>
              <w:rPr>
                <w:rFonts w:ascii="宋体" w:hAnsi="宋体" w:eastAsia="宋体" w:cs="宋体"/>
                <w:color w:val="000000"/>
              </w:rPr>
              <w:t>绿植</w:t>
            </w:r>
          </w:p>
          <w:p w14:paraId="5224E936">
            <w:pPr>
              <w:wordWrap w:val="0"/>
              <w:spacing w:line="315" w:lineRule="exact"/>
              <w:jc w:val="center"/>
            </w:pPr>
            <w:r>
              <w:rPr>
                <w:rFonts w:ascii="宋体" w:hAnsi="宋体" w:eastAsia="宋体" w:cs="宋体"/>
                <w:color w:val="000000"/>
              </w:rPr>
              <w:t>景观</w:t>
            </w:r>
          </w:p>
          <w:p w14:paraId="6D138AEA">
            <w:pPr>
              <w:wordWrap w:val="0"/>
              <w:spacing w:line="315" w:lineRule="exact"/>
              <w:jc w:val="center"/>
            </w:pPr>
            <w:r>
              <w:rPr>
                <w:rFonts w:ascii="宋体" w:hAnsi="宋体" w:eastAsia="宋体" w:cs="宋体"/>
                <w:color w:val="000000"/>
              </w:rPr>
              <w:t>保护</w:t>
            </w:r>
          </w:p>
        </w:tc>
        <w:tc>
          <w:tcPr>
            <w:tcW w:w="7545" w:type="dxa"/>
            <w:tcBorders>
              <w:top w:val="nil"/>
              <w:left w:val="nil"/>
              <w:bottom w:val="single" w:color="000000" w:sz="6" w:space="0"/>
              <w:right w:val="single" w:color="000000" w:sz="6" w:space="0"/>
            </w:tcBorders>
            <w:shd w:val="clear" w:color="auto" w:fill="FFFFFF"/>
            <w:vAlign w:val="center"/>
          </w:tcPr>
          <w:p w14:paraId="21C52C18">
            <w:pPr>
              <w:wordWrap w:val="0"/>
              <w:spacing w:line="315" w:lineRule="exact"/>
              <w:jc w:val="left"/>
            </w:pPr>
            <w:r>
              <w:rPr>
                <w:rFonts w:ascii="宋体" w:hAnsi="宋体" w:eastAsia="宋体" w:cs="宋体"/>
                <w:color w:val="000000"/>
              </w:rPr>
              <w:t>1、保护绿地绿植和景观不被人为破坏（包括：违规砍伐树木、随意挖掘破坏草坪、种菜、放养家禽宠物等恶意破坏行为）；</w:t>
            </w:r>
          </w:p>
        </w:tc>
        <w:tc>
          <w:tcPr>
            <w:tcW w:w="420" w:type="dxa"/>
            <w:vMerge w:val="restart"/>
            <w:tcBorders>
              <w:top w:val="nil"/>
              <w:left w:val="nil"/>
              <w:bottom w:val="single" w:color="000000" w:sz="6" w:space="0"/>
              <w:right w:val="single" w:color="000000" w:sz="6" w:space="0"/>
            </w:tcBorders>
            <w:shd w:val="clear" w:color="auto" w:fill="FFFFFF"/>
            <w:vAlign w:val="center"/>
          </w:tcPr>
          <w:p w14:paraId="24395C94">
            <w:pPr>
              <w:wordWrap w:val="0"/>
              <w:spacing w:line="315" w:lineRule="exact"/>
              <w:jc w:val="center"/>
            </w:pPr>
            <w:r>
              <w:rPr>
                <w:rFonts w:ascii="宋体" w:hAnsi="宋体" w:eastAsia="宋体" w:cs="宋体"/>
                <w:color w:val="000000"/>
              </w:rPr>
              <w:t>10</w:t>
            </w:r>
          </w:p>
        </w:tc>
        <w:tc>
          <w:tcPr>
            <w:tcW w:w="420" w:type="dxa"/>
            <w:vMerge w:val="restart"/>
            <w:tcBorders>
              <w:top w:val="nil"/>
              <w:left w:val="nil"/>
              <w:bottom w:val="single" w:color="000000" w:sz="6" w:space="0"/>
              <w:right w:val="single" w:color="000000" w:sz="6" w:space="0"/>
            </w:tcBorders>
            <w:shd w:val="clear" w:color="auto" w:fill="FFFFFF"/>
            <w:vAlign w:val="center"/>
          </w:tcPr>
          <w:p w14:paraId="47A154A9">
            <w:pPr>
              <w:wordWrap w:val="0"/>
              <w:spacing w:line="315" w:lineRule="exact"/>
              <w:ind w:firstLine="210" w:firstLineChars="100"/>
              <w:jc w:val="center"/>
            </w:pPr>
          </w:p>
        </w:tc>
      </w:tr>
      <w:tr w14:paraId="5B924297">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930" w:type="dxa"/>
            <w:vMerge w:val="continue"/>
            <w:tcBorders>
              <w:top w:val="nil"/>
              <w:left w:val="single" w:color="000000" w:sz="6" w:space="0"/>
              <w:bottom w:val="single" w:color="000000" w:sz="6" w:space="0"/>
              <w:right w:val="single" w:color="000000" w:sz="6" w:space="0"/>
            </w:tcBorders>
          </w:tcPr>
          <w:p w14:paraId="25FDEBBB"/>
        </w:tc>
        <w:tc>
          <w:tcPr>
            <w:tcW w:w="7545" w:type="dxa"/>
            <w:tcBorders>
              <w:top w:val="nil"/>
              <w:left w:val="nil"/>
              <w:bottom w:val="single" w:color="000000" w:sz="6" w:space="0"/>
              <w:right w:val="single" w:color="000000" w:sz="6" w:space="0"/>
            </w:tcBorders>
            <w:shd w:val="clear" w:color="auto" w:fill="FFFFFF"/>
            <w:vAlign w:val="center"/>
          </w:tcPr>
          <w:p w14:paraId="194931E3">
            <w:pPr>
              <w:wordWrap w:val="0"/>
              <w:spacing w:line="315" w:lineRule="exact"/>
              <w:jc w:val="left"/>
            </w:pPr>
            <w:r>
              <w:rPr>
                <w:rFonts w:ascii="宋体" w:hAnsi="宋体" w:eastAsia="宋体" w:cs="宋体"/>
                <w:color w:val="000000"/>
              </w:rPr>
              <w:t>2、保护绿地绿植和景观不被不文明行为破坏（包括：停放车辆、放置物品、堆放建筑垃圾、绿篱草坪上覆盖物品、树枝树梢上钉挂物和晾晒物等）；</w:t>
            </w:r>
          </w:p>
        </w:tc>
        <w:tc>
          <w:tcPr>
            <w:tcW w:w="420" w:type="dxa"/>
            <w:vMerge w:val="continue"/>
            <w:tcBorders>
              <w:top w:val="nil"/>
              <w:left w:val="nil"/>
              <w:bottom w:val="single" w:color="000000" w:sz="6" w:space="0"/>
              <w:right w:val="single" w:color="000000" w:sz="6" w:space="0"/>
            </w:tcBorders>
          </w:tcPr>
          <w:p w14:paraId="280B99D9"/>
        </w:tc>
        <w:tc>
          <w:tcPr>
            <w:tcW w:w="420" w:type="dxa"/>
            <w:vMerge w:val="continue"/>
            <w:tcBorders>
              <w:top w:val="nil"/>
              <w:left w:val="nil"/>
              <w:bottom w:val="single" w:color="000000" w:sz="6" w:space="0"/>
              <w:right w:val="single" w:color="000000" w:sz="6" w:space="0"/>
            </w:tcBorders>
          </w:tcPr>
          <w:p w14:paraId="6019DF24"/>
        </w:tc>
      </w:tr>
      <w:tr w14:paraId="107DE9B9">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930" w:type="dxa"/>
            <w:vMerge w:val="restart"/>
            <w:tcBorders>
              <w:top w:val="nil"/>
              <w:left w:val="single" w:color="000000" w:sz="6" w:space="0"/>
              <w:bottom w:val="single" w:color="000000" w:sz="6" w:space="0"/>
              <w:right w:val="single" w:color="000000" w:sz="6" w:space="0"/>
            </w:tcBorders>
            <w:shd w:val="clear" w:color="auto" w:fill="FFFFFF"/>
            <w:vAlign w:val="center"/>
          </w:tcPr>
          <w:p w14:paraId="151184E2">
            <w:pPr>
              <w:wordWrap w:val="0"/>
              <w:spacing w:line="315" w:lineRule="exact"/>
              <w:jc w:val="center"/>
            </w:pPr>
            <w:r>
              <w:rPr>
                <w:rFonts w:ascii="宋体" w:hAnsi="宋体" w:eastAsia="宋体" w:cs="宋体"/>
                <w:color w:val="000000"/>
              </w:rPr>
              <w:t>修剪</w:t>
            </w:r>
          </w:p>
        </w:tc>
        <w:tc>
          <w:tcPr>
            <w:tcW w:w="7545" w:type="dxa"/>
            <w:tcBorders>
              <w:top w:val="nil"/>
              <w:left w:val="nil"/>
              <w:bottom w:val="single" w:color="000000" w:sz="6" w:space="0"/>
              <w:right w:val="single" w:color="000000" w:sz="6" w:space="0"/>
            </w:tcBorders>
            <w:shd w:val="clear" w:color="auto" w:fill="FFFFFF"/>
            <w:vAlign w:val="center"/>
          </w:tcPr>
          <w:p w14:paraId="5C238666">
            <w:pPr>
              <w:wordWrap w:val="0"/>
              <w:spacing w:line="315" w:lineRule="exact"/>
              <w:jc w:val="left"/>
            </w:pPr>
            <w:r>
              <w:rPr>
                <w:rFonts w:ascii="宋体" w:hAnsi="宋体" w:eastAsia="宋体" w:cs="宋体"/>
                <w:color w:val="000000"/>
              </w:rPr>
              <w:t>1、乔木生长正常，定期修剪、清理枯枝；</w:t>
            </w:r>
          </w:p>
        </w:tc>
        <w:tc>
          <w:tcPr>
            <w:tcW w:w="420" w:type="dxa"/>
            <w:vMerge w:val="restart"/>
            <w:tcBorders>
              <w:top w:val="nil"/>
              <w:left w:val="nil"/>
              <w:bottom w:val="single" w:color="000000" w:sz="6" w:space="0"/>
              <w:right w:val="single" w:color="000000" w:sz="6" w:space="0"/>
            </w:tcBorders>
            <w:shd w:val="clear" w:color="auto" w:fill="FFFFFF"/>
            <w:vAlign w:val="center"/>
          </w:tcPr>
          <w:p w14:paraId="59E7EF03">
            <w:pPr>
              <w:wordWrap w:val="0"/>
              <w:spacing w:line="315" w:lineRule="exact"/>
              <w:jc w:val="center"/>
            </w:pPr>
            <w:r>
              <w:rPr>
                <w:rFonts w:ascii="宋体" w:hAnsi="宋体" w:eastAsia="宋体" w:cs="宋体"/>
                <w:color w:val="000000"/>
              </w:rPr>
              <w:t>15</w:t>
            </w:r>
          </w:p>
        </w:tc>
        <w:tc>
          <w:tcPr>
            <w:tcW w:w="420" w:type="dxa"/>
            <w:vMerge w:val="restart"/>
            <w:tcBorders>
              <w:top w:val="nil"/>
              <w:left w:val="nil"/>
              <w:bottom w:val="single" w:color="000000" w:sz="6" w:space="0"/>
              <w:right w:val="single" w:color="000000" w:sz="6" w:space="0"/>
            </w:tcBorders>
            <w:shd w:val="clear" w:color="auto" w:fill="FFFFFF"/>
            <w:vAlign w:val="center"/>
          </w:tcPr>
          <w:p w14:paraId="31C93EE0">
            <w:pPr>
              <w:wordWrap w:val="0"/>
              <w:spacing w:line="315" w:lineRule="exact"/>
              <w:ind w:firstLine="210" w:firstLineChars="100"/>
              <w:jc w:val="center"/>
            </w:pPr>
          </w:p>
        </w:tc>
      </w:tr>
      <w:tr w14:paraId="41888647">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930" w:type="dxa"/>
            <w:vMerge w:val="continue"/>
            <w:tcBorders>
              <w:top w:val="nil"/>
              <w:left w:val="single" w:color="000000" w:sz="6" w:space="0"/>
              <w:bottom w:val="single" w:color="000000" w:sz="6" w:space="0"/>
              <w:right w:val="single" w:color="000000" w:sz="6" w:space="0"/>
            </w:tcBorders>
          </w:tcPr>
          <w:p w14:paraId="497C2996"/>
        </w:tc>
        <w:tc>
          <w:tcPr>
            <w:tcW w:w="7545" w:type="dxa"/>
            <w:tcBorders>
              <w:top w:val="nil"/>
              <w:left w:val="nil"/>
              <w:bottom w:val="single" w:color="000000" w:sz="6" w:space="0"/>
              <w:right w:val="single" w:color="000000" w:sz="6" w:space="0"/>
            </w:tcBorders>
            <w:shd w:val="clear" w:color="auto" w:fill="FFFFFF"/>
            <w:vAlign w:val="center"/>
          </w:tcPr>
          <w:p w14:paraId="3B542EFE">
            <w:pPr>
              <w:wordWrap w:val="0"/>
              <w:spacing w:line="315" w:lineRule="exact"/>
              <w:jc w:val="left"/>
            </w:pPr>
            <w:r>
              <w:rPr>
                <w:rFonts w:ascii="宋体" w:hAnsi="宋体" w:eastAsia="宋体" w:cs="宋体"/>
                <w:color w:val="000000"/>
              </w:rPr>
              <w:t>2、花灌木生长正常，及时整形修剪；</w:t>
            </w:r>
          </w:p>
        </w:tc>
        <w:tc>
          <w:tcPr>
            <w:tcW w:w="420" w:type="dxa"/>
            <w:vMerge w:val="continue"/>
            <w:tcBorders>
              <w:top w:val="nil"/>
              <w:left w:val="nil"/>
              <w:bottom w:val="single" w:color="000000" w:sz="6" w:space="0"/>
              <w:right w:val="single" w:color="000000" w:sz="6" w:space="0"/>
            </w:tcBorders>
          </w:tcPr>
          <w:p w14:paraId="279B9566"/>
        </w:tc>
        <w:tc>
          <w:tcPr>
            <w:tcW w:w="420" w:type="dxa"/>
            <w:vMerge w:val="continue"/>
            <w:tcBorders>
              <w:top w:val="nil"/>
              <w:left w:val="nil"/>
              <w:bottom w:val="single" w:color="000000" w:sz="6" w:space="0"/>
              <w:right w:val="single" w:color="000000" w:sz="6" w:space="0"/>
            </w:tcBorders>
          </w:tcPr>
          <w:p w14:paraId="16BF3CB4"/>
        </w:tc>
      </w:tr>
      <w:tr w14:paraId="65DBAAC7">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930" w:type="dxa"/>
            <w:vMerge w:val="continue"/>
            <w:tcBorders>
              <w:top w:val="nil"/>
              <w:left w:val="single" w:color="000000" w:sz="6" w:space="0"/>
              <w:bottom w:val="single" w:color="000000" w:sz="6" w:space="0"/>
              <w:right w:val="single" w:color="000000" w:sz="6" w:space="0"/>
            </w:tcBorders>
          </w:tcPr>
          <w:p w14:paraId="2D94372C"/>
        </w:tc>
        <w:tc>
          <w:tcPr>
            <w:tcW w:w="7545" w:type="dxa"/>
            <w:tcBorders>
              <w:top w:val="nil"/>
              <w:left w:val="nil"/>
              <w:bottom w:val="single" w:color="000000" w:sz="6" w:space="0"/>
              <w:right w:val="single" w:color="000000" w:sz="6" w:space="0"/>
            </w:tcBorders>
            <w:shd w:val="clear" w:color="auto" w:fill="FFFFFF"/>
            <w:vAlign w:val="center"/>
          </w:tcPr>
          <w:p w14:paraId="2A15639C">
            <w:pPr>
              <w:wordWrap w:val="0"/>
              <w:spacing w:line="315" w:lineRule="exact"/>
              <w:jc w:val="left"/>
            </w:pPr>
            <w:r>
              <w:rPr>
                <w:rFonts w:ascii="宋体" w:hAnsi="宋体" w:eastAsia="宋体" w:cs="宋体"/>
                <w:color w:val="000000"/>
              </w:rPr>
              <w:t>3、绿篱、球类、色块植物生长正常，及时修剪，效果整齐、美观；</w:t>
            </w:r>
          </w:p>
        </w:tc>
        <w:tc>
          <w:tcPr>
            <w:tcW w:w="420" w:type="dxa"/>
            <w:vMerge w:val="continue"/>
            <w:tcBorders>
              <w:top w:val="nil"/>
              <w:left w:val="nil"/>
              <w:bottom w:val="single" w:color="000000" w:sz="6" w:space="0"/>
              <w:right w:val="single" w:color="000000" w:sz="6" w:space="0"/>
            </w:tcBorders>
          </w:tcPr>
          <w:p w14:paraId="119B1C3C"/>
        </w:tc>
        <w:tc>
          <w:tcPr>
            <w:tcW w:w="420" w:type="dxa"/>
            <w:vMerge w:val="continue"/>
            <w:tcBorders>
              <w:top w:val="nil"/>
              <w:left w:val="nil"/>
              <w:bottom w:val="single" w:color="000000" w:sz="6" w:space="0"/>
              <w:right w:val="single" w:color="000000" w:sz="6" w:space="0"/>
            </w:tcBorders>
          </w:tcPr>
          <w:p w14:paraId="0696E4FE"/>
        </w:tc>
      </w:tr>
      <w:tr w14:paraId="270ED3FE">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930" w:type="dxa"/>
            <w:vMerge w:val="continue"/>
            <w:tcBorders>
              <w:top w:val="nil"/>
              <w:left w:val="single" w:color="000000" w:sz="6" w:space="0"/>
              <w:bottom w:val="single" w:color="000000" w:sz="6" w:space="0"/>
              <w:right w:val="single" w:color="000000" w:sz="6" w:space="0"/>
            </w:tcBorders>
          </w:tcPr>
          <w:p w14:paraId="37339193"/>
        </w:tc>
        <w:tc>
          <w:tcPr>
            <w:tcW w:w="7545" w:type="dxa"/>
            <w:tcBorders>
              <w:top w:val="nil"/>
              <w:left w:val="nil"/>
              <w:bottom w:val="single" w:color="000000" w:sz="6" w:space="0"/>
              <w:right w:val="single" w:color="000000" w:sz="6" w:space="0"/>
            </w:tcBorders>
            <w:shd w:val="clear" w:color="auto" w:fill="FFFFFF"/>
            <w:vAlign w:val="center"/>
          </w:tcPr>
          <w:p w14:paraId="506482DA">
            <w:pPr>
              <w:wordWrap w:val="0"/>
              <w:spacing w:line="315" w:lineRule="exact"/>
              <w:jc w:val="left"/>
            </w:pPr>
            <w:r>
              <w:rPr>
                <w:rFonts w:ascii="宋体" w:hAnsi="宋体" w:eastAsia="宋体" w:cs="宋体"/>
                <w:color w:val="000000"/>
              </w:rPr>
              <w:t>4、绿地草坪生长正常，及时修剪、拔除杂草；</w:t>
            </w:r>
          </w:p>
        </w:tc>
        <w:tc>
          <w:tcPr>
            <w:tcW w:w="420" w:type="dxa"/>
            <w:vMerge w:val="continue"/>
            <w:tcBorders>
              <w:top w:val="nil"/>
              <w:left w:val="nil"/>
              <w:bottom w:val="single" w:color="000000" w:sz="6" w:space="0"/>
              <w:right w:val="single" w:color="000000" w:sz="6" w:space="0"/>
            </w:tcBorders>
          </w:tcPr>
          <w:p w14:paraId="3AFCC5DA"/>
        </w:tc>
        <w:tc>
          <w:tcPr>
            <w:tcW w:w="420" w:type="dxa"/>
            <w:vMerge w:val="continue"/>
            <w:tcBorders>
              <w:top w:val="nil"/>
              <w:left w:val="nil"/>
              <w:bottom w:val="single" w:color="000000" w:sz="6" w:space="0"/>
              <w:right w:val="single" w:color="000000" w:sz="6" w:space="0"/>
            </w:tcBorders>
          </w:tcPr>
          <w:p w14:paraId="0E3F222D"/>
        </w:tc>
      </w:tr>
      <w:tr w14:paraId="303EEC14">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930" w:type="dxa"/>
            <w:vMerge w:val="continue"/>
            <w:tcBorders>
              <w:top w:val="nil"/>
              <w:left w:val="single" w:color="000000" w:sz="6" w:space="0"/>
              <w:bottom w:val="single" w:color="000000" w:sz="6" w:space="0"/>
              <w:right w:val="single" w:color="000000" w:sz="6" w:space="0"/>
            </w:tcBorders>
          </w:tcPr>
          <w:p w14:paraId="7EE78139"/>
        </w:tc>
        <w:tc>
          <w:tcPr>
            <w:tcW w:w="7545" w:type="dxa"/>
            <w:tcBorders>
              <w:top w:val="nil"/>
              <w:left w:val="nil"/>
              <w:bottom w:val="single" w:color="000000" w:sz="6" w:space="0"/>
              <w:right w:val="single" w:color="000000" w:sz="6" w:space="0"/>
            </w:tcBorders>
            <w:shd w:val="clear" w:color="auto" w:fill="FFFFFF"/>
            <w:vAlign w:val="center"/>
          </w:tcPr>
          <w:p w14:paraId="125572A1">
            <w:pPr>
              <w:wordWrap w:val="0"/>
              <w:spacing w:line="315" w:lineRule="exact"/>
              <w:jc w:val="left"/>
            </w:pPr>
            <w:r>
              <w:rPr>
                <w:rFonts w:ascii="宋体" w:hAnsi="宋体" w:eastAsia="宋体" w:cs="宋体"/>
                <w:color w:val="000000"/>
              </w:rPr>
              <w:t>5、及时清理杂树、杂藤；</w:t>
            </w:r>
          </w:p>
        </w:tc>
        <w:tc>
          <w:tcPr>
            <w:tcW w:w="420" w:type="dxa"/>
            <w:vMerge w:val="continue"/>
            <w:tcBorders>
              <w:top w:val="nil"/>
              <w:left w:val="nil"/>
              <w:bottom w:val="single" w:color="000000" w:sz="6" w:space="0"/>
              <w:right w:val="single" w:color="000000" w:sz="6" w:space="0"/>
            </w:tcBorders>
          </w:tcPr>
          <w:p w14:paraId="731B34F8"/>
        </w:tc>
        <w:tc>
          <w:tcPr>
            <w:tcW w:w="420" w:type="dxa"/>
            <w:vMerge w:val="continue"/>
            <w:tcBorders>
              <w:top w:val="nil"/>
              <w:left w:val="nil"/>
              <w:bottom w:val="single" w:color="000000" w:sz="6" w:space="0"/>
              <w:right w:val="single" w:color="000000" w:sz="6" w:space="0"/>
            </w:tcBorders>
          </w:tcPr>
          <w:p w14:paraId="75CC0DEB"/>
        </w:tc>
      </w:tr>
      <w:tr w14:paraId="1BF0D0B9">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PrEx>
        <w:trPr>
          <w:trHeight w:val="300" w:hRule="atLeast"/>
          <w:jc w:val="center"/>
        </w:trPr>
        <w:tc>
          <w:tcPr>
            <w:tcW w:w="930" w:type="dxa"/>
            <w:vMerge w:val="restart"/>
            <w:tcBorders>
              <w:top w:val="nil"/>
              <w:left w:val="single" w:color="000000" w:sz="6" w:space="0"/>
              <w:bottom w:val="single" w:color="000000" w:sz="6" w:space="0"/>
              <w:right w:val="single" w:color="000000" w:sz="6" w:space="0"/>
            </w:tcBorders>
            <w:shd w:val="clear" w:color="auto" w:fill="FFFFFF"/>
            <w:vAlign w:val="center"/>
          </w:tcPr>
          <w:p w14:paraId="78F390E8">
            <w:pPr>
              <w:wordWrap w:val="0"/>
              <w:spacing w:line="315" w:lineRule="exact"/>
              <w:jc w:val="center"/>
            </w:pPr>
            <w:r>
              <w:rPr>
                <w:rFonts w:ascii="宋体" w:hAnsi="宋体" w:eastAsia="宋体" w:cs="宋体"/>
                <w:color w:val="000000"/>
              </w:rPr>
              <w:t>施肥</w:t>
            </w:r>
          </w:p>
          <w:p w14:paraId="330B05B9">
            <w:pPr>
              <w:wordWrap w:val="0"/>
              <w:spacing w:line="315" w:lineRule="exact"/>
              <w:jc w:val="center"/>
            </w:pPr>
            <w:r>
              <w:rPr>
                <w:rFonts w:ascii="宋体" w:hAnsi="宋体" w:eastAsia="宋体" w:cs="宋体"/>
                <w:color w:val="000000"/>
              </w:rPr>
              <w:t>及病虫害防治</w:t>
            </w:r>
          </w:p>
        </w:tc>
        <w:tc>
          <w:tcPr>
            <w:tcW w:w="7545" w:type="dxa"/>
            <w:tcBorders>
              <w:top w:val="nil"/>
              <w:left w:val="nil"/>
              <w:bottom w:val="single" w:color="000000" w:sz="6" w:space="0"/>
              <w:right w:val="single" w:color="000000" w:sz="6" w:space="0"/>
            </w:tcBorders>
            <w:shd w:val="clear" w:color="auto" w:fill="FFFFFF"/>
            <w:vAlign w:val="center"/>
          </w:tcPr>
          <w:p w14:paraId="48E76458">
            <w:pPr>
              <w:wordWrap w:val="0"/>
              <w:spacing w:line="315" w:lineRule="exact"/>
              <w:jc w:val="left"/>
            </w:pPr>
            <w:r>
              <w:rPr>
                <w:rFonts w:ascii="宋体" w:hAnsi="宋体" w:eastAsia="宋体" w:cs="宋体"/>
                <w:color w:val="000000"/>
              </w:rPr>
              <w:t>1、春夏季各施1次复合肥或碳铵；</w:t>
            </w:r>
          </w:p>
        </w:tc>
        <w:tc>
          <w:tcPr>
            <w:tcW w:w="420" w:type="dxa"/>
            <w:vMerge w:val="restart"/>
            <w:tcBorders>
              <w:top w:val="nil"/>
              <w:left w:val="nil"/>
              <w:bottom w:val="single" w:color="000000" w:sz="6" w:space="0"/>
              <w:right w:val="single" w:color="000000" w:sz="6" w:space="0"/>
            </w:tcBorders>
            <w:shd w:val="clear" w:color="auto" w:fill="FFFFFF"/>
            <w:vAlign w:val="center"/>
          </w:tcPr>
          <w:p w14:paraId="70017183">
            <w:pPr>
              <w:wordWrap w:val="0"/>
              <w:spacing w:line="315" w:lineRule="exact"/>
              <w:jc w:val="center"/>
            </w:pPr>
            <w:r>
              <w:rPr>
                <w:rFonts w:ascii="宋体" w:hAnsi="宋体" w:eastAsia="宋体" w:cs="宋体"/>
                <w:color w:val="000000"/>
              </w:rPr>
              <w:t>15</w:t>
            </w:r>
          </w:p>
        </w:tc>
        <w:tc>
          <w:tcPr>
            <w:tcW w:w="420" w:type="dxa"/>
            <w:vMerge w:val="restart"/>
            <w:tcBorders>
              <w:top w:val="nil"/>
              <w:left w:val="nil"/>
              <w:bottom w:val="single" w:color="000000" w:sz="6" w:space="0"/>
              <w:right w:val="single" w:color="000000" w:sz="6" w:space="0"/>
            </w:tcBorders>
            <w:shd w:val="clear" w:color="auto" w:fill="FFFFFF"/>
            <w:vAlign w:val="center"/>
          </w:tcPr>
          <w:p w14:paraId="026C9DDD">
            <w:pPr>
              <w:wordWrap w:val="0"/>
              <w:spacing w:line="315" w:lineRule="exact"/>
              <w:ind w:firstLine="210" w:firstLineChars="100"/>
              <w:jc w:val="center"/>
            </w:pPr>
          </w:p>
        </w:tc>
      </w:tr>
      <w:tr w14:paraId="603CA488">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930" w:type="dxa"/>
            <w:vMerge w:val="continue"/>
            <w:tcBorders>
              <w:top w:val="nil"/>
              <w:left w:val="single" w:color="000000" w:sz="6" w:space="0"/>
              <w:bottom w:val="single" w:color="000000" w:sz="6" w:space="0"/>
              <w:right w:val="single" w:color="000000" w:sz="6" w:space="0"/>
            </w:tcBorders>
          </w:tcPr>
          <w:p w14:paraId="00840DD9"/>
        </w:tc>
        <w:tc>
          <w:tcPr>
            <w:tcW w:w="7545" w:type="dxa"/>
            <w:tcBorders>
              <w:top w:val="nil"/>
              <w:left w:val="nil"/>
              <w:bottom w:val="single" w:color="000000" w:sz="6" w:space="0"/>
              <w:right w:val="single" w:color="000000" w:sz="6" w:space="0"/>
            </w:tcBorders>
            <w:shd w:val="clear" w:color="auto" w:fill="FFFFFF"/>
            <w:vAlign w:val="center"/>
          </w:tcPr>
          <w:p w14:paraId="6513F0A2">
            <w:pPr>
              <w:wordWrap w:val="0"/>
              <w:spacing w:line="315" w:lineRule="exact"/>
              <w:jc w:val="left"/>
            </w:pPr>
            <w:r>
              <w:rPr>
                <w:rFonts w:ascii="宋体" w:hAnsi="宋体" w:eastAsia="宋体" w:cs="宋体"/>
                <w:color w:val="000000"/>
              </w:rPr>
              <w:t>2、预防病虫害；树木刷白；</w:t>
            </w:r>
          </w:p>
        </w:tc>
        <w:tc>
          <w:tcPr>
            <w:tcW w:w="420" w:type="dxa"/>
            <w:vMerge w:val="continue"/>
            <w:tcBorders>
              <w:top w:val="nil"/>
              <w:left w:val="nil"/>
              <w:bottom w:val="single" w:color="000000" w:sz="6" w:space="0"/>
              <w:right w:val="single" w:color="000000" w:sz="6" w:space="0"/>
            </w:tcBorders>
          </w:tcPr>
          <w:p w14:paraId="49035689"/>
        </w:tc>
        <w:tc>
          <w:tcPr>
            <w:tcW w:w="420" w:type="dxa"/>
            <w:vMerge w:val="continue"/>
            <w:tcBorders>
              <w:top w:val="nil"/>
              <w:left w:val="nil"/>
              <w:bottom w:val="single" w:color="000000" w:sz="6" w:space="0"/>
              <w:right w:val="single" w:color="000000" w:sz="6" w:space="0"/>
            </w:tcBorders>
          </w:tcPr>
          <w:p w14:paraId="201BA95A"/>
        </w:tc>
      </w:tr>
      <w:tr w14:paraId="7CC9F28E">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930" w:type="dxa"/>
            <w:vMerge w:val="continue"/>
            <w:tcBorders>
              <w:top w:val="nil"/>
              <w:left w:val="single" w:color="000000" w:sz="6" w:space="0"/>
              <w:bottom w:val="single" w:color="000000" w:sz="6" w:space="0"/>
              <w:right w:val="single" w:color="000000" w:sz="6" w:space="0"/>
            </w:tcBorders>
          </w:tcPr>
          <w:p w14:paraId="1180D026"/>
        </w:tc>
        <w:tc>
          <w:tcPr>
            <w:tcW w:w="7545" w:type="dxa"/>
            <w:tcBorders>
              <w:top w:val="nil"/>
              <w:left w:val="nil"/>
              <w:bottom w:val="single" w:color="000000" w:sz="6" w:space="0"/>
              <w:right w:val="single" w:color="000000" w:sz="6" w:space="0"/>
            </w:tcBorders>
            <w:shd w:val="clear" w:color="auto" w:fill="FFFFFF"/>
            <w:vAlign w:val="center"/>
          </w:tcPr>
          <w:p w14:paraId="15BDF402">
            <w:pPr>
              <w:wordWrap w:val="0"/>
              <w:spacing w:line="315" w:lineRule="exact"/>
              <w:jc w:val="left"/>
            </w:pPr>
            <w:r>
              <w:rPr>
                <w:rFonts w:ascii="宋体" w:hAnsi="宋体" w:eastAsia="宋体" w:cs="宋体"/>
                <w:color w:val="000000"/>
              </w:rPr>
              <w:t>3、发生病虫害及时治理，措施得当，效果明显；</w:t>
            </w:r>
          </w:p>
        </w:tc>
        <w:tc>
          <w:tcPr>
            <w:tcW w:w="420" w:type="dxa"/>
            <w:vMerge w:val="continue"/>
            <w:tcBorders>
              <w:top w:val="nil"/>
              <w:left w:val="nil"/>
              <w:bottom w:val="single" w:color="000000" w:sz="6" w:space="0"/>
              <w:right w:val="single" w:color="000000" w:sz="6" w:space="0"/>
            </w:tcBorders>
          </w:tcPr>
          <w:p w14:paraId="3346BF07"/>
        </w:tc>
        <w:tc>
          <w:tcPr>
            <w:tcW w:w="420" w:type="dxa"/>
            <w:vMerge w:val="continue"/>
            <w:tcBorders>
              <w:top w:val="nil"/>
              <w:left w:val="nil"/>
              <w:bottom w:val="single" w:color="000000" w:sz="6" w:space="0"/>
              <w:right w:val="single" w:color="000000" w:sz="6" w:space="0"/>
            </w:tcBorders>
          </w:tcPr>
          <w:p w14:paraId="3C1B4244"/>
        </w:tc>
      </w:tr>
      <w:tr w14:paraId="47EC248C">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930" w:type="dxa"/>
            <w:vMerge w:val="continue"/>
            <w:tcBorders>
              <w:top w:val="nil"/>
              <w:left w:val="single" w:color="000000" w:sz="6" w:space="0"/>
              <w:bottom w:val="single" w:color="000000" w:sz="6" w:space="0"/>
              <w:right w:val="single" w:color="000000" w:sz="6" w:space="0"/>
            </w:tcBorders>
          </w:tcPr>
          <w:p w14:paraId="6A6B3934"/>
        </w:tc>
        <w:tc>
          <w:tcPr>
            <w:tcW w:w="7545" w:type="dxa"/>
            <w:tcBorders>
              <w:top w:val="nil"/>
              <w:left w:val="nil"/>
              <w:bottom w:val="single" w:color="000000" w:sz="6" w:space="0"/>
              <w:right w:val="single" w:color="000000" w:sz="6" w:space="0"/>
            </w:tcBorders>
            <w:shd w:val="clear" w:color="auto" w:fill="FFFFFF"/>
            <w:vAlign w:val="center"/>
          </w:tcPr>
          <w:p w14:paraId="2E7E7767">
            <w:pPr>
              <w:wordWrap w:val="0"/>
              <w:spacing w:line="315" w:lineRule="exact"/>
              <w:jc w:val="left"/>
            </w:pPr>
            <w:r>
              <w:rPr>
                <w:rFonts w:ascii="宋体" w:hAnsi="宋体" w:eastAsia="宋体" w:cs="宋体"/>
                <w:color w:val="000000"/>
              </w:rPr>
              <w:t>4、农药、工具等管理到位，无安全事故；</w:t>
            </w:r>
          </w:p>
        </w:tc>
        <w:tc>
          <w:tcPr>
            <w:tcW w:w="420" w:type="dxa"/>
            <w:vMerge w:val="continue"/>
            <w:tcBorders>
              <w:top w:val="nil"/>
              <w:left w:val="nil"/>
              <w:bottom w:val="single" w:color="000000" w:sz="6" w:space="0"/>
              <w:right w:val="single" w:color="000000" w:sz="6" w:space="0"/>
            </w:tcBorders>
          </w:tcPr>
          <w:p w14:paraId="44B77964"/>
        </w:tc>
        <w:tc>
          <w:tcPr>
            <w:tcW w:w="420" w:type="dxa"/>
            <w:vMerge w:val="continue"/>
            <w:tcBorders>
              <w:top w:val="nil"/>
              <w:left w:val="nil"/>
              <w:bottom w:val="single" w:color="000000" w:sz="6" w:space="0"/>
              <w:right w:val="single" w:color="000000" w:sz="6" w:space="0"/>
            </w:tcBorders>
          </w:tcPr>
          <w:p w14:paraId="4DB8DC66"/>
        </w:tc>
      </w:tr>
      <w:tr w14:paraId="4DED72F8">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930" w:type="dxa"/>
            <w:vMerge w:val="restart"/>
            <w:tcBorders>
              <w:top w:val="nil"/>
              <w:left w:val="single" w:color="000000" w:sz="6" w:space="0"/>
              <w:bottom w:val="single" w:color="000000" w:sz="6" w:space="0"/>
              <w:right w:val="single" w:color="000000" w:sz="6" w:space="0"/>
            </w:tcBorders>
            <w:shd w:val="clear" w:color="auto" w:fill="FFFFFF"/>
            <w:vAlign w:val="center"/>
          </w:tcPr>
          <w:p w14:paraId="4942F37D">
            <w:pPr>
              <w:wordWrap w:val="0"/>
              <w:spacing w:line="315" w:lineRule="exact"/>
              <w:jc w:val="center"/>
            </w:pPr>
            <w:r>
              <w:rPr>
                <w:rFonts w:ascii="宋体" w:hAnsi="宋体" w:eastAsia="宋体" w:cs="宋体"/>
                <w:color w:val="000000"/>
              </w:rPr>
              <w:t>浇水</w:t>
            </w:r>
          </w:p>
        </w:tc>
        <w:tc>
          <w:tcPr>
            <w:tcW w:w="7545" w:type="dxa"/>
            <w:tcBorders>
              <w:top w:val="nil"/>
              <w:left w:val="nil"/>
              <w:bottom w:val="single" w:color="000000" w:sz="6" w:space="0"/>
              <w:right w:val="single" w:color="000000" w:sz="6" w:space="0"/>
            </w:tcBorders>
            <w:shd w:val="clear" w:color="auto" w:fill="FFFFFF"/>
            <w:vAlign w:val="center"/>
          </w:tcPr>
          <w:p w14:paraId="2883DA14">
            <w:pPr>
              <w:wordWrap w:val="0"/>
              <w:spacing w:line="315" w:lineRule="exact"/>
              <w:jc w:val="left"/>
            </w:pPr>
            <w:r>
              <w:rPr>
                <w:rFonts w:ascii="宋体" w:hAnsi="宋体" w:eastAsia="宋体" w:cs="宋体"/>
                <w:color w:val="000000"/>
              </w:rPr>
              <w:t>1、新栽花草树木及时浇水；</w:t>
            </w:r>
          </w:p>
        </w:tc>
        <w:tc>
          <w:tcPr>
            <w:tcW w:w="420" w:type="dxa"/>
            <w:vMerge w:val="restart"/>
            <w:tcBorders>
              <w:top w:val="nil"/>
              <w:left w:val="nil"/>
              <w:bottom w:val="single" w:color="000000" w:sz="6" w:space="0"/>
              <w:right w:val="single" w:color="000000" w:sz="6" w:space="0"/>
            </w:tcBorders>
            <w:shd w:val="clear" w:color="auto" w:fill="FFFFFF"/>
            <w:vAlign w:val="center"/>
          </w:tcPr>
          <w:p w14:paraId="6551F8AC">
            <w:pPr>
              <w:wordWrap w:val="0"/>
              <w:spacing w:line="315" w:lineRule="exact"/>
              <w:jc w:val="center"/>
            </w:pPr>
            <w:r>
              <w:rPr>
                <w:rFonts w:ascii="宋体" w:hAnsi="宋体" w:eastAsia="宋体" w:cs="宋体"/>
                <w:color w:val="000000"/>
              </w:rPr>
              <w:t>10</w:t>
            </w:r>
          </w:p>
        </w:tc>
        <w:tc>
          <w:tcPr>
            <w:tcW w:w="420" w:type="dxa"/>
            <w:vMerge w:val="restart"/>
            <w:tcBorders>
              <w:top w:val="nil"/>
              <w:left w:val="nil"/>
              <w:bottom w:val="single" w:color="000000" w:sz="6" w:space="0"/>
              <w:right w:val="single" w:color="000000" w:sz="6" w:space="0"/>
            </w:tcBorders>
            <w:shd w:val="clear" w:color="auto" w:fill="FFFFFF"/>
            <w:vAlign w:val="center"/>
          </w:tcPr>
          <w:p w14:paraId="14BDBC4C">
            <w:pPr>
              <w:wordWrap w:val="0"/>
              <w:spacing w:line="315" w:lineRule="exact"/>
              <w:ind w:firstLine="210" w:firstLineChars="100"/>
              <w:jc w:val="center"/>
            </w:pPr>
          </w:p>
        </w:tc>
      </w:tr>
      <w:tr w14:paraId="3A88408A">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930" w:type="dxa"/>
            <w:vMerge w:val="continue"/>
            <w:tcBorders>
              <w:top w:val="nil"/>
              <w:left w:val="single" w:color="000000" w:sz="6" w:space="0"/>
              <w:bottom w:val="single" w:color="000000" w:sz="6" w:space="0"/>
              <w:right w:val="single" w:color="000000" w:sz="6" w:space="0"/>
            </w:tcBorders>
          </w:tcPr>
          <w:p w14:paraId="29607940"/>
        </w:tc>
        <w:tc>
          <w:tcPr>
            <w:tcW w:w="7545" w:type="dxa"/>
            <w:tcBorders>
              <w:top w:val="nil"/>
              <w:left w:val="nil"/>
              <w:bottom w:val="single" w:color="000000" w:sz="6" w:space="0"/>
              <w:right w:val="single" w:color="000000" w:sz="6" w:space="0"/>
            </w:tcBorders>
            <w:shd w:val="clear" w:color="auto" w:fill="FFFFFF"/>
            <w:vAlign w:val="center"/>
          </w:tcPr>
          <w:p w14:paraId="751847F7">
            <w:pPr>
              <w:wordWrap w:val="0"/>
              <w:spacing w:line="315" w:lineRule="exact"/>
              <w:jc w:val="left"/>
            </w:pPr>
            <w:r>
              <w:rPr>
                <w:rFonts w:ascii="宋体" w:hAnsi="宋体" w:eastAsia="宋体" w:cs="宋体"/>
                <w:color w:val="000000"/>
              </w:rPr>
              <w:t>2、遇气候干旱所有花草树木及时浇水抗旱；</w:t>
            </w:r>
          </w:p>
        </w:tc>
        <w:tc>
          <w:tcPr>
            <w:tcW w:w="420" w:type="dxa"/>
            <w:vMerge w:val="continue"/>
            <w:tcBorders>
              <w:top w:val="nil"/>
              <w:left w:val="nil"/>
              <w:bottom w:val="single" w:color="000000" w:sz="6" w:space="0"/>
              <w:right w:val="single" w:color="000000" w:sz="6" w:space="0"/>
            </w:tcBorders>
          </w:tcPr>
          <w:p w14:paraId="3F8DC604"/>
        </w:tc>
        <w:tc>
          <w:tcPr>
            <w:tcW w:w="420" w:type="dxa"/>
            <w:vMerge w:val="continue"/>
            <w:tcBorders>
              <w:top w:val="nil"/>
              <w:left w:val="nil"/>
              <w:bottom w:val="single" w:color="000000" w:sz="6" w:space="0"/>
              <w:right w:val="single" w:color="000000" w:sz="6" w:space="0"/>
            </w:tcBorders>
          </w:tcPr>
          <w:p w14:paraId="3CF267E3"/>
        </w:tc>
      </w:tr>
      <w:tr w14:paraId="0C933ACE">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930" w:type="dxa"/>
            <w:vMerge w:val="restart"/>
            <w:tcBorders>
              <w:top w:val="nil"/>
              <w:left w:val="single" w:color="000000" w:sz="6" w:space="0"/>
              <w:bottom w:val="single" w:color="000000" w:sz="6" w:space="0"/>
              <w:right w:val="single" w:color="000000" w:sz="6" w:space="0"/>
            </w:tcBorders>
            <w:shd w:val="clear" w:color="auto" w:fill="FFFFFF"/>
            <w:vAlign w:val="center"/>
          </w:tcPr>
          <w:p w14:paraId="1820B624">
            <w:pPr>
              <w:wordWrap w:val="0"/>
              <w:spacing w:line="315" w:lineRule="exact"/>
              <w:jc w:val="center"/>
            </w:pPr>
            <w:r>
              <w:rPr>
                <w:rFonts w:ascii="宋体" w:hAnsi="宋体" w:eastAsia="宋体" w:cs="宋体"/>
                <w:color w:val="000000"/>
              </w:rPr>
              <w:t>自然</w:t>
            </w:r>
          </w:p>
          <w:p w14:paraId="39F84BE9">
            <w:pPr>
              <w:wordWrap w:val="0"/>
              <w:spacing w:line="315" w:lineRule="exact"/>
              <w:jc w:val="center"/>
            </w:pPr>
            <w:r>
              <w:rPr>
                <w:rFonts w:ascii="宋体" w:hAnsi="宋体" w:eastAsia="宋体" w:cs="宋体"/>
                <w:color w:val="000000"/>
              </w:rPr>
              <w:t>灾害</w:t>
            </w:r>
          </w:p>
          <w:p w14:paraId="0584F267">
            <w:pPr>
              <w:wordWrap w:val="0"/>
              <w:spacing w:line="315" w:lineRule="exact"/>
              <w:jc w:val="center"/>
            </w:pPr>
            <w:r>
              <w:rPr>
                <w:rFonts w:ascii="宋体" w:hAnsi="宋体" w:eastAsia="宋体" w:cs="宋体"/>
                <w:color w:val="000000"/>
              </w:rPr>
              <w:t>防护</w:t>
            </w:r>
          </w:p>
        </w:tc>
        <w:tc>
          <w:tcPr>
            <w:tcW w:w="7545" w:type="dxa"/>
            <w:tcBorders>
              <w:top w:val="nil"/>
              <w:left w:val="nil"/>
              <w:bottom w:val="single" w:color="000000" w:sz="6" w:space="0"/>
              <w:right w:val="single" w:color="000000" w:sz="6" w:space="0"/>
            </w:tcBorders>
            <w:shd w:val="clear" w:color="auto" w:fill="FFFFFF"/>
            <w:vAlign w:val="center"/>
          </w:tcPr>
          <w:p w14:paraId="58541B34">
            <w:pPr>
              <w:wordWrap w:val="0"/>
              <w:spacing w:line="315" w:lineRule="exact"/>
              <w:jc w:val="left"/>
            </w:pPr>
            <w:r>
              <w:rPr>
                <w:rFonts w:ascii="宋体" w:hAnsi="宋体" w:eastAsia="宋体" w:cs="宋体"/>
                <w:color w:val="000000"/>
              </w:rPr>
              <w:t>1、台风暴雨天气前主动巡查，加固倾斜树木，台风暴雨后及时排涝，清理修剪断枝，扶正倒伏树木，消除安全隐患；</w:t>
            </w:r>
          </w:p>
        </w:tc>
        <w:tc>
          <w:tcPr>
            <w:tcW w:w="420" w:type="dxa"/>
            <w:vMerge w:val="restart"/>
            <w:tcBorders>
              <w:top w:val="nil"/>
              <w:left w:val="nil"/>
              <w:bottom w:val="single" w:color="000000" w:sz="6" w:space="0"/>
              <w:right w:val="single" w:color="000000" w:sz="6" w:space="0"/>
            </w:tcBorders>
            <w:shd w:val="clear" w:color="auto" w:fill="FFFFFF"/>
            <w:vAlign w:val="center"/>
          </w:tcPr>
          <w:p w14:paraId="2DA4862A">
            <w:pPr>
              <w:wordWrap w:val="0"/>
              <w:spacing w:line="315" w:lineRule="exact"/>
              <w:jc w:val="center"/>
            </w:pPr>
            <w:r>
              <w:rPr>
                <w:rFonts w:ascii="宋体" w:hAnsi="宋体" w:eastAsia="宋体" w:cs="宋体"/>
                <w:color w:val="000000"/>
              </w:rPr>
              <w:t>10</w:t>
            </w:r>
          </w:p>
        </w:tc>
        <w:tc>
          <w:tcPr>
            <w:tcW w:w="420" w:type="dxa"/>
            <w:vMerge w:val="restart"/>
            <w:tcBorders>
              <w:top w:val="nil"/>
              <w:left w:val="nil"/>
              <w:bottom w:val="single" w:color="000000" w:sz="6" w:space="0"/>
              <w:right w:val="single" w:color="000000" w:sz="6" w:space="0"/>
            </w:tcBorders>
            <w:shd w:val="clear" w:color="auto" w:fill="FFFFFF"/>
            <w:vAlign w:val="center"/>
          </w:tcPr>
          <w:p w14:paraId="1BBBBECB">
            <w:pPr>
              <w:wordWrap w:val="0"/>
              <w:spacing w:line="315" w:lineRule="exact"/>
              <w:ind w:firstLine="210" w:firstLineChars="100"/>
              <w:jc w:val="center"/>
            </w:pPr>
          </w:p>
        </w:tc>
      </w:tr>
      <w:tr w14:paraId="49B48BD4">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930" w:type="dxa"/>
            <w:vMerge w:val="continue"/>
            <w:tcBorders>
              <w:top w:val="nil"/>
              <w:left w:val="single" w:color="000000" w:sz="6" w:space="0"/>
              <w:bottom w:val="single" w:color="000000" w:sz="6" w:space="0"/>
              <w:right w:val="single" w:color="000000" w:sz="6" w:space="0"/>
            </w:tcBorders>
          </w:tcPr>
          <w:p w14:paraId="0743A823"/>
        </w:tc>
        <w:tc>
          <w:tcPr>
            <w:tcW w:w="7545" w:type="dxa"/>
            <w:tcBorders>
              <w:top w:val="nil"/>
              <w:left w:val="nil"/>
              <w:bottom w:val="single" w:color="000000" w:sz="6" w:space="0"/>
              <w:right w:val="single" w:color="000000" w:sz="6" w:space="0"/>
            </w:tcBorders>
            <w:shd w:val="clear" w:color="auto" w:fill="FFFFFF"/>
            <w:vAlign w:val="center"/>
          </w:tcPr>
          <w:p w14:paraId="4995FC23">
            <w:pPr>
              <w:wordWrap w:val="0"/>
              <w:spacing w:line="315" w:lineRule="exact"/>
              <w:jc w:val="left"/>
            </w:pPr>
            <w:r>
              <w:rPr>
                <w:rFonts w:ascii="宋体" w:hAnsi="宋体" w:eastAsia="宋体" w:cs="宋体"/>
                <w:color w:val="000000"/>
              </w:rPr>
              <w:t>2、严寒天气及时对不耐寒植物采取保护措施；</w:t>
            </w:r>
          </w:p>
        </w:tc>
        <w:tc>
          <w:tcPr>
            <w:tcW w:w="420" w:type="dxa"/>
            <w:vMerge w:val="continue"/>
            <w:tcBorders>
              <w:top w:val="nil"/>
              <w:left w:val="nil"/>
              <w:bottom w:val="single" w:color="000000" w:sz="6" w:space="0"/>
              <w:right w:val="single" w:color="000000" w:sz="6" w:space="0"/>
            </w:tcBorders>
          </w:tcPr>
          <w:p w14:paraId="19F6B81D"/>
        </w:tc>
        <w:tc>
          <w:tcPr>
            <w:tcW w:w="420" w:type="dxa"/>
            <w:vMerge w:val="continue"/>
            <w:tcBorders>
              <w:top w:val="nil"/>
              <w:left w:val="nil"/>
              <w:bottom w:val="single" w:color="000000" w:sz="6" w:space="0"/>
              <w:right w:val="single" w:color="000000" w:sz="6" w:space="0"/>
            </w:tcBorders>
          </w:tcPr>
          <w:p w14:paraId="2901EB81"/>
        </w:tc>
      </w:tr>
      <w:tr w14:paraId="23F1ABDB">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930" w:type="dxa"/>
            <w:vMerge w:val="continue"/>
            <w:tcBorders>
              <w:top w:val="nil"/>
              <w:left w:val="single" w:color="000000" w:sz="6" w:space="0"/>
              <w:bottom w:val="single" w:color="000000" w:sz="6" w:space="0"/>
              <w:right w:val="single" w:color="000000" w:sz="6" w:space="0"/>
            </w:tcBorders>
          </w:tcPr>
          <w:p w14:paraId="2E65274C"/>
        </w:tc>
        <w:tc>
          <w:tcPr>
            <w:tcW w:w="7545" w:type="dxa"/>
            <w:tcBorders>
              <w:top w:val="nil"/>
              <w:left w:val="nil"/>
              <w:bottom w:val="single" w:color="000000" w:sz="6" w:space="0"/>
              <w:right w:val="single" w:color="000000" w:sz="6" w:space="0"/>
            </w:tcBorders>
            <w:shd w:val="clear" w:color="auto" w:fill="FFFFFF"/>
            <w:vAlign w:val="center"/>
          </w:tcPr>
          <w:p w14:paraId="79A15BEF">
            <w:pPr>
              <w:wordWrap w:val="0"/>
              <w:spacing w:line="315" w:lineRule="exact"/>
              <w:jc w:val="left"/>
            </w:pPr>
            <w:r>
              <w:rPr>
                <w:rFonts w:ascii="宋体" w:hAnsi="宋体" w:eastAsia="宋体" w:cs="宋体"/>
                <w:color w:val="000000"/>
              </w:rPr>
              <w:t>3、暴雪天气及时清除树木及球类上的积雪，断枝及时清理；</w:t>
            </w:r>
          </w:p>
        </w:tc>
        <w:tc>
          <w:tcPr>
            <w:tcW w:w="420" w:type="dxa"/>
            <w:vMerge w:val="continue"/>
            <w:tcBorders>
              <w:top w:val="nil"/>
              <w:left w:val="nil"/>
              <w:bottom w:val="single" w:color="000000" w:sz="6" w:space="0"/>
              <w:right w:val="single" w:color="000000" w:sz="6" w:space="0"/>
            </w:tcBorders>
          </w:tcPr>
          <w:p w14:paraId="3E50CB0C"/>
        </w:tc>
        <w:tc>
          <w:tcPr>
            <w:tcW w:w="420" w:type="dxa"/>
            <w:vMerge w:val="continue"/>
            <w:tcBorders>
              <w:top w:val="nil"/>
              <w:left w:val="nil"/>
              <w:bottom w:val="single" w:color="000000" w:sz="6" w:space="0"/>
              <w:right w:val="single" w:color="000000" w:sz="6" w:space="0"/>
            </w:tcBorders>
          </w:tcPr>
          <w:p w14:paraId="3C8A6280"/>
        </w:tc>
      </w:tr>
      <w:tr w14:paraId="386E710E">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930" w:type="dxa"/>
            <w:vMerge w:val="restart"/>
            <w:tcBorders>
              <w:top w:val="nil"/>
              <w:left w:val="single" w:color="000000" w:sz="6" w:space="0"/>
              <w:bottom w:val="single" w:color="000000" w:sz="6" w:space="0"/>
              <w:right w:val="single" w:color="000000" w:sz="6" w:space="0"/>
            </w:tcBorders>
            <w:shd w:val="clear" w:color="auto" w:fill="FFFFFF"/>
            <w:vAlign w:val="center"/>
          </w:tcPr>
          <w:p w14:paraId="095AC4DB">
            <w:pPr>
              <w:wordWrap w:val="0"/>
              <w:spacing w:line="315" w:lineRule="exact"/>
              <w:jc w:val="center"/>
            </w:pPr>
            <w:r>
              <w:rPr>
                <w:rFonts w:ascii="宋体" w:hAnsi="宋体" w:eastAsia="宋体" w:cs="宋体"/>
                <w:color w:val="000000"/>
              </w:rPr>
              <w:t>安全</w:t>
            </w:r>
          </w:p>
          <w:p w14:paraId="7A3EC64B">
            <w:pPr>
              <w:wordWrap w:val="0"/>
              <w:spacing w:line="315" w:lineRule="exact"/>
              <w:jc w:val="center"/>
            </w:pPr>
            <w:r>
              <w:rPr>
                <w:rFonts w:ascii="宋体" w:hAnsi="宋体" w:eastAsia="宋体" w:cs="宋体"/>
                <w:color w:val="000000"/>
              </w:rPr>
              <w:t>隐患</w:t>
            </w:r>
          </w:p>
          <w:p w14:paraId="554A290D">
            <w:pPr>
              <w:wordWrap w:val="0"/>
              <w:spacing w:line="315" w:lineRule="exact"/>
              <w:jc w:val="center"/>
            </w:pPr>
            <w:r>
              <w:rPr>
                <w:rFonts w:ascii="宋体" w:hAnsi="宋体" w:eastAsia="宋体" w:cs="宋体"/>
                <w:color w:val="000000"/>
              </w:rPr>
              <w:t>排查</w:t>
            </w:r>
          </w:p>
        </w:tc>
        <w:tc>
          <w:tcPr>
            <w:tcW w:w="7545" w:type="dxa"/>
            <w:tcBorders>
              <w:top w:val="nil"/>
              <w:left w:val="nil"/>
              <w:bottom w:val="single" w:color="000000" w:sz="6" w:space="0"/>
              <w:right w:val="single" w:color="000000" w:sz="6" w:space="0"/>
            </w:tcBorders>
            <w:shd w:val="clear" w:color="auto" w:fill="FFFFFF"/>
            <w:vAlign w:val="center"/>
          </w:tcPr>
          <w:p w14:paraId="1915B0AA">
            <w:pPr>
              <w:wordWrap w:val="0"/>
              <w:spacing w:line="315" w:lineRule="exact"/>
              <w:jc w:val="left"/>
            </w:pPr>
            <w:r>
              <w:rPr>
                <w:rFonts w:ascii="宋体" w:hAnsi="宋体" w:eastAsia="宋体" w:cs="宋体"/>
                <w:color w:val="000000"/>
              </w:rPr>
              <w:t>1、发现树木倾斜及时扶正支撑；</w:t>
            </w:r>
          </w:p>
        </w:tc>
        <w:tc>
          <w:tcPr>
            <w:tcW w:w="420" w:type="dxa"/>
            <w:vMerge w:val="restart"/>
            <w:tcBorders>
              <w:top w:val="nil"/>
              <w:left w:val="nil"/>
              <w:bottom w:val="single" w:color="000000" w:sz="6" w:space="0"/>
              <w:right w:val="single" w:color="000000" w:sz="6" w:space="0"/>
            </w:tcBorders>
            <w:shd w:val="clear" w:color="auto" w:fill="FFFFFF"/>
            <w:vAlign w:val="center"/>
          </w:tcPr>
          <w:p w14:paraId="70273489">
            <w:pPr>
              <w:wordWrap w:val="0"/>
              <w:spacing w:line="315" w:lineRule="exact"/>
              <w:jc w:val="center"/>
            </w:pPr>
            <w:r>
              <w:rPr>
                <w:rFonts w:ascii="宋体" w:hAnsi="宋体" w:eastAsia="宋体" w:cs="宋体"/>
                <w:color w:val="000000"/>
              </w:rPr>
              <w:t>10</w:t>
            </w:r>
          </w:p>
        </w:tc>
        <w:tc>
          <w:tcPr>
            <w:tcW w:w="420" w:type="dxa"/>
            <w:vMerge w:val="restart"/>
            <w:tcBorders>
              <w:top w:val="nil"/>
              <w:left w:val="nil"/>
              <w:bottom w:val="single" w:color="000000" w:sz="6" w:space="0"/>
              <w:right w:val="single" w:color="000000" w:sz="6" w:space="0"/>
            </w:tcBorders>
            <w:shd w:val="clear" w:color="auto" w:fill="FFFFFF"/>
            <w:vAlign w:val="center"/>
          </w:tcPr>
          <w:p w14:paraId="2B175040">
            <w:pPr>
              <w:wordWrap w:val="0"/>
              <w:spacing w:line="315" w:lineRule="exact"/>
              <w:ind w:firstLine="210" w:firstLineChars="100"/>
              <w:jc w:val="center"/>
            </w:pPr>
          </w:p>
        </w:tc>
      </w:tr>
      <w:tr w14:paraId="3FE2D75C">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930" w:type="dxa"/>
            <w:vMerge w:val="continue"/>
            <w:tcBorders>
              <w:top w:val="nil"/>
              <w:left w:val="single" w:color="000000" w:sz="6" w:space="0"/>
              <w:bottom w:val="single" w:color="000000" w:sz="6" w:space="0"/>
              <w:right w:val="single" w:color="000000" w:sz="6" w:space="0"/>
            </w:tcBorders>
          </w:tcPr>
          <w:p w14:paraId="7FF3FCB3"/>
        </w:tc>
        <w:tc>
          <w:tcPr>
            <w:tcW w:w="7545" w:type="dxa"/>
            <w:tcBorders>
              <w:top w:val="nil"/>
              <w:left w:val="nil"/>
              <w:bottom w:val="single" w:color="000000" w:sz="6" w:space="0"/>
              <w:right w:val="single" w:color="000000" w:sz="6" w:space="0"/>
            </w:tcBorders>
            <w:shd w:val="clear" w:color="auto" w:fill="FFFFFF"/>
            <w:vAlign w:val="center"/>
          </w:tcPr>
          <w:p w14:paraId="4E325E54">
            <w:pPr>
              <w:wordWrap w:val="0"/>
              <w:spacing w:line="315" w:lineRule="exact"/>
              <w:jc w:val="left"/>
            </w:pPr>
            <w:r>
              <w:rPr>
                <w:rFonts w:ascii="宋体" w:hAnsi="宋体" w:eastAsia="宋体" w:cs="宋体"/>
                <w:color w:val="000000"/>
              </w:rPr>
              <w:t>2、发现危树及时报批、砍伐；</w:t>
            </w:r>
          </w:p>
        </w:tc>
        <w:tc>
          <w:tcPr>
            <w:tcW w:w="420" w:type="dxa"/>
            <w:vMerge w:val="continue"/>
            <w:tcBorders>
              <w:top w:val="nil"/>
              <w:left w:val="nil"/>
              <w:bottom w:val="single" w:color="000000" w:sz="6" w:space="0"/>
              <w:right w:val="single" w:color="000000" w:sz="6" w:space="0"/>
            </w:tcBorders>
          </w:tcPr>
          <w:p w14:paraId="7D59ADBB"/>
        </w:tc>
        <w:tc>
          <w:tcPr>
            <w:tcW w:w="420" w:type="dxa"/>
            <w:vMerge w:val="continue"/>
            <w:tcBorders>
              <w:top w:val="nil"/>
              <w:left w:val="nil"/>
              <w:bottom w:val="single" w:color="000000" w:sz="6" w:space="0"/>
              <w:right w:val="single" w:color="000000" w:sz="6" w:space="0"/>
            </w:tcBorders>
          </w:tcPr>
          <w:p w14:paraId="746ACA61"/>
        </w:tc>
      </w:tr>
      <w:tr w14:paraId="774768B6">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930" w:type="dxa"/>
            <w:vMerge w:val="continue"/>
            <w:tcBorders>
              <w:top w:val="nil"/>
              <w:left w:val="single" w:color="000000" w:sz="6" w:space="0"/>
              <w:bottom w:val="single" w:color="000000" w:sz="6" w:space="0"/>
              <w:right w:val="single" w:color="000000" w:sz="6" w:space="0"/>
            </w:tcBorders>
          </w:tcPr>
          <w:p w14:paraId="7C6CC274"/>
        </w:tc>
        <w:tc>
          <w:tcPr>
            <w:tcW w:w="7545" w:type="dxa"/>
            <w:tcBorders>
              <w:top w:val="nil"/>
              <w:left w:val="nil"/>
              <w:bottom w:val="single" w:color="000000" w:sz="6" w:space="0"/>
              <w:right w:val="single" w:color="000000" w:sz="6" w:space="0"/>
            </w:tcBorders>
            <w:shd w:val="clear" w:color="auto" w:fill="FFFFFF"/>
            <w:vAlign w:val="center"/>
          </w:tcPr>
          <w:p w14:paraId="736CDAC4">
            <w:pPr>
              <w:wordWrap w:val="0"/>
              <w:spacing w:line="315" w:lineRule="exact"/>
              <w:jc w:val="left"/>
            </w:pPr>
            <w:r>
              <w:rPr>
                <w:rFonts w:ascii="宋体" w:hAnsi="宋体" w:eastAsia="宋体" w:cs="宋体"/>
                <w:color w:val="000000"/>
              </w:rPr>
              <w:t>3、加强巡视，确保绿化景观安全无隐患；</w:t>
            </w:r>
          </w:p>
        </w:tc>
        <w:tc>
          <w:tcPr>
            <w:tcW w:w="420" w:type="dxa"/>
            <w:vMerge w:val="continue"/>
            <w:tcBorders>
              <w:top w:val="nil"/>
              <w:left w:val="nil"/>
              <w:bottom w:val="single" w:color="000000" w:sz="6" w:space="0"/>
              <w:right w:val="single" w:color="000000" w:sz="6" w:space="0"/>
            </w:tcBorders>
          </w:tcPr>
          <w:p w14:paraId="32119082"/>
        </w:tc>
        <w:tc>
          <w:tcPr>
            <w:tcW w:w="420" w:type="dxa"/>
            <w:vMerge w:val="continue"/>
            <w:tcBorders>
              <w:top w:val="nil"/>
              <w:left w:val="nil"/>
              <w:bottom w:val="single" w:color="000000" w:sz="6" w:space="0"/>
              <w:right w:val="single" w:color="000000" w:sz="6" w:space="0"/>
            </w:tcBorders>
          </w:tcPr>
          <w:p w14:paraId="66E19614"/>
        </w:tc>
      </w:tr>
      <w:tr w14:paraId="36E5284B">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930" w:type="dxa"/>
            <w:tcBorders>
              <w:top w:val="nil"/>
              <w:left w:val="single" w:color="000000" w:sz="6" w:space="0"/>
              <w:bottom w:val="single" w:color="000000" w:sz="6" w:space="0"/>
              <w:right w:val="single" w:color="000000" w:sz="6" w:space="0"/>
            </w:tcBorders>
            <w:shd w:val="clear" w:color="auto" w:fill="FFFFFF"/>
            <w:vAlign w:val="center"/>
          </w:tcPr>
          <w:p w14:paraId="0988FA18">
            <w:pPr>
              <w:wordWrap w:val="0"/>
              <w:spacing w:line="315" w:lineRule="exact"/>
              <w:jc w:val="center"/>
            </w:pPr>
            <w:r>
              <w:rPr>
                <w:rFonts w:ascii="宋体" w:hAnsi="宋体" w:eastAsia="宋体" w:cs="宋体"/>
                <w:color w:val="000000"/>
              </w:rPr>
              <w:t>遵守绿化管理规定</w:t>
            </w:r>
          </w:p>
        </w:tc>
        <w:tc>
          <w:tcPr>
            <w:tcW w:w="7545" w:type="dxa"/>
            <w:tcBorders>
              <w:top w:val="nil"/>
              <w:left w:val="nil"/>
              <w:bottom w:val="single" w:color="000000" w:sz="6" w:space="0"/>
              <w:right w:val="single" w:color="000000" w:sz="6" w:space="0"/>
            </w:tcBorders>
            <w:shd w:val="clear" w:color="auto" w:fill="FFFFFF"/>
            <w:vAlign w:val="center"/>
          </w:tcPr>
          <w:p w14:paraId="66EF1474">
            <w:pPr>
              <w:wordWrap w:val="0"/>
              <w:spacing w:line="315" w:lineRule="exact"/>
              <w:jc w:val="left"/>
            </w:pPr>
            <w:r>
              <w:rPr>
                <w:rFonts w:ascii="宋体" w:hAnsi="宋体" w:eastAsia="宋体" w:cs="宋体"/>
                <w:color w:val="000000"/>
              </w:rPr>
              <w:t>1、遵守《南京财经大学校园绿化管理规定》；</w:t>
            </w:r>
          </w:p>
        </w:tc>
        <w:tc>
          <w:tcPr>
            <w:tcW w:w="420" w:type="dxa"/>
            <w:tcBorders>
              <w:top w:val="nil"/>
              <w:left w:val="nil"/>
              <w:bottom w:val="single" w:color="000000" w:sz="6" w:space="0"/>
              <w:right w:val="single" w:color="000000" w:sz="6" w:space="0"/>
            </w:tcBorders>
            <w:shd w:val="clear" w:color="auto" w:fill="FFFFFF"/>
            <w:vAlign w:val="center"/>
          </w:tcPr>
          <w:p w14:paraId="7CF086A5">
            <w:pPr>
              <w:wordWrap w:val="0"/>
              <w:spacing w:line="315" w:lineRule="exact"/>
              <w:jc w:val="center"/>
            </w:pPr>
            <w:r>
              <w:rPr>
                <w:rFonts w:ascii="宋体" w:hAnsi="宋体" w:eastAsia="宋体" w:cs="宋体"/>
                <w:color w:val="000000"/>
              </w:rPr>
              <w:t>10</w:t>
            </w:r>
          </w:p>
        </w:tc>
        <w:tc>
          <w:tcPr>
            <w:tcW w:w="420" w:type="dxa"/>
            <w:tcBorders>
              <w:top w:val="nil"/>
              <w:left w:val="nil"/>
              <w:bottom w:val="single" w:color="000000" w:sz="6" w:space="0"/>
              <w:right w:val="single" w:color="000000" w:sz="6" w:space="0"/>
            </w:tcBorders>
            <w:shd w:val="clear" w:color="auto" w:fill="FFFFFF"/>
            <w:vAlign w:val="center"/>
          </w:tcPr>
          <w:p w14:paraId="326A6659">
            <w:pPr>
              <w:wordWrap w:val="0"/>
              <w:spacing w:line="315" w:lineRule="exact"/>
              <w:ind w:firstLine="210" w:firstLineChars="100"/>
              <w:jc w:val="center"/>
            </w:pPr>
          </w:p>
        </w:tc>
      </w:tr>
      <w:tr w14:paraId="6282830E">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930" w:type="dxa"/>
            <w:tcBorders>
              <w:top w:val="nil"/>
              <w:left w:val="single" w:color="000000" w:sz="6" w:space="0"/>
              <w:bottom w:val="single" w:color="000000" w:sz="6" w:space="0"/>
              <w:right w:val="single" w:color="000000" w:sz="6" w:space="0"/>
            </w:tcBorders>
            <w:shd w:val="clear" w:color="auto" w:fill="FFFFFF"/>
            <w:vAlign w:val="center"/>
          </w:tcPr>
          <w:p w14:paraId="1047956C">
            <w:pPr>
              <w:wordWrap w:val="0"/>
              <w:spacing w:line="315" w:lineRule="exact"/>
              <w:jc w:val="center"/>
            </w:pPr>
            <w:r>
              <w:rPr>
                <w:rFonts w:ascii="宋体" w:hAnsi="宋体" w:eastAsia="宋体" w:cs="宋体"/>
                <w:color w:val="000000"/>
              </w:rPr>
              <w:t>总分</w:t>
            </w:r>
          </w:p>
        </w:tc>
        <w:tc>
          <w:tcPr>
            <w:tcW w:w="7545" w:type="dxa"/>
            <w:tcBorders>
              <w:top w:val="nil"/>
              <w:left w:val="nil"/>
              <w:bottom w:val="single" w:color="000000" w:sz="6" w:space="0"/>
              <w:right w:val="single" w:color="000000" w:sz="6" w:space="0"/>
            </w:tcBorders>
            <w:shd w:val="clear" w:color="auto" w:fill="FFFFFF"/>
            <w:vAlign w:val="center"/>
          </w:tcPr>
          <w:p w14:paraId="253C1159">
            <w:pPr>
              <w:wordWrap w:val="0"/>
              <w:spacing w:line="315" w:lineRule="exact"/>
              <w:ind w:firstLine="210" w:firstLineChars="100"/>
              <w:jc w:val="left"/>
            </w:pPr>
          </w:p>
        </w:tc>
        <w:tc>
          <w:tcPr>
            <w:tcW w:w="420" w:type="dxa"/>
            <w:tcBorders>
              <w:top w:val="nil"/>
              <w:left w:val="nil"/>
              <w:bottom w:val="single" w:color="000000" w:sz="6" w:space="0"/>
              <w:right w:val="single" w:color="000000" w:sz="6" w:space="0"/>
            </w:tcBorders>
            <w:shd w:val="clear" w:color="auto" w:fill="FFFFFF"/>
            <w:vAlign w:val="center"/>
          </w:tcPr>
          <w:p w14:paraId="0C725741">
            <w:pPr>
              <w:wordWrap w:val="0"/>
              <w:spacing w:line="315" w:lineRule="exact"/>
              <w:jc w:val="center"/>
            </w:pPr>
            <w:r>
              <w:rPr>
                <w:rFonts w:ascii="宋体" w:hAnsi="宋体" w:eastAsia="宋体" w:cs="宋体"/>
                <w:color w:val="000000"/>
              </w:rPr>
              <w:t>100</w:t>
            </w:r>
          </w:p>
        </w:tc>
        <w:tc>
          <w:tcPr>
            <w:tcW w:w="420" w:type="dxa"/>
            <w:tcBorders>
              <w:top w:val="nil"/>
              <w:left w:val="nil"/>
              <w:bottom w:val="single" w:color="000000" w:sz="6" w:space="0"/>
              <w:right w:val="single" w:color="000000" w:sz="6" w:space="0"/>
            </w:tcBorders>
            <w:shd w:val="clear" w:color="auto" w:fill="FFFFFF"/>
            <w:vAlign w:val="center"/>
          </w:tcPr>
          <w:p w14:paraId="198A1CE0">
            <w:pPr>
              <w:wordWrap w:val="0"/>
              <w:spacing w:line="315" w:lineRule="exact"/>
              <w:ind w:firstLine="210" w:firstLineChars="100"/>
              <w:jc w:val="center"/>
            </w:pPr>
          </w:p>
        </w:tc>
      </w:tr>
    </w:tbl>
    <w:p w14:paraId="43EAAD71">
      <w:pPr>
        <w:wordWrap w:val="0"/>
        <w:spacing w:line="360" w:lineRule="exact"/>
        <w:ind w:firstLine="210" w:firstLineChars="100"/>
        <w:jc w:val="left"/>
      </w:pPr>
    </w:p>
    <w:p w14:paraId="1D0C9D79">
      <w:r>
        <w:br w:type="page"/>
      </w:r>
    </w:p>
    <w:p w14:paraId="0801E122">
      <w:pPr>
        <w:wordWrap w:val="0"/>
        <w:spacing w:line="360" w:lineRule="exact"/>
        <w:jc w:val="left"/>
      </w:pPr>
      <w:r>
        <w:rPr>
          <w:rFonts w:ascii="宋体" w:hAnsi="宋体" w:eastAsia="宋体" w:cs="宋体"/>
          <w:color w:val="000000"/>
          <w:sz w:val="24"/>
        </w:rPr>
        <w:t>附件16：</w:t>
      </w:r>
    </w:p>
    <w:p w14:paraId="4B269557">
      <w:pPr>
        <w:wordWrap w:val="0"/>
        <w:spacing w:line="360" w:lineRule="exact"/>
        <w:jc w:val="center"/>
      </w:pPr>
      <w:r>
        <w:rPr>
          <w:rFonts w:ascii="宋体" w:hAnsi="宋体" w:eastAsia="宋体" w:cs="宋体"/>
          <w:color w:val="000000"/>
          <w:sz w:val="24"/>
        </w:rPr>
        <w:t>南京财经大学生活垃圾管理制度</w:t>
      </w:r>
    </w:p>
    <w:p w14:paraId="223C0918">
      <w:pPr>
        <w:wordWrap w:val="0"/>
        <w:spacing w:line="360" w:lineRule="exact"/>
        <w:ind w:firstLine="240" w:firstLineChars="100"/>
        <w:jc w:val="center"/>
      </w:pPr>
      <w:r>
        <w:rPr>
          <w:rFonts w:ascii="宋体" w:hAnsi="宋体" w:eastAsia="宋体" w:cs="宋体"/>
          <w:color w:val="000000"/>
          <w:sz w:val="24"/>
        </w:rPr>
        <w:t> （试行）</w:t>
      </w:r>
    </w:p>
    <w:p w14:paraId="74359311">
      <w:pPr>
        <w:wordWrap w:val="0"/>
        <w:spacing w:line="360" w:lineRule="exact"/>
        <w:ind w:firstLine="240" w:firstLineChars="100"/>
        <w:jc w:val="left"/>
      </w:pPr>
      <w:r>
        <w:rPr>
          <w:rFonts w:ascii="宋体" w:hAnsi="宋体" w:eastAsia="宋体" w:cs="宋体"/>
          <w:color w:val="000000"/>
          <w:sz w:val="24"/>
        </w:rPr>
        <w:t> 为确保校园环境清洁卫生，培养全校师生员工的环境保护意识，建设文明绿色校园，根据《南京市生活垃圾管理条例》推进生活垃圾分类工作相关规定，特制定本制度。</w:t>
      </w:r>
    </w:p>
    <w:p w14:paraId="4657D99A">
      <w:pPr>
        <w:wordWrap w:val="0"/>
        <w:spacing w:line="360" w:lineRule="exact"/>
        <w:ind w:firstLine="240" w:firstLineChars="100"/>
        <w:jc w:val="left"/>
      </w:pPr>
      <w:r>
        <w:rPr>
          <w:rFonts w:ascii="宋体" w:hAnsi="宋体" w:eastAsia="宋体" w:cs="宋体"/>
          <w:color w:val="000000"/>
          <w:sz w:val="24"/>
        </w:rPr>
        <w:t> 一、垃圾投放规范</w:t>
      </w:r>
    </w:p>
    <w:p w14:paraId="3343CE79">
      <w:pPr>
        <w:wordWrap w:val="0"/>
        <w:spacing w:line="360" w:lineRule="exact"/>
        <w:ind w:firstLine="240" w:firstLineChars="100"/>
        <w:jc w:val="left"/>
      </w:pPr>
      <w:r>
        <w:rPr>
          <w:rFonts w:ascii="宋体" w:hAnsi="宋体" w:eastAsia="宋体" w:cs="宋体"/>
          <w:color w:val="000000"/>
          <w:sz w:val="24"/>
        </w:rPr>
        <w:t> 1．每天上午十点和下午三点，安排两次集中投放垃圾，垃圾清运公司及时将垃圾清运出校区。各物业公司、餐饮公司、学生公寓、资产经营公司所属门面房等单位，在此时间点安排定点投放和集中清理生活垃圾至校区垃圾站。</w:t>
      </w:r>
    </w:p>
    <w:p w14:paraId="4B54D684">
      <w:pPr>
        <w:wordWrap w:val="0"/>
        <w:spacing w:line="360" w:lineRule="exact"/>
        <w:ind w:firstLine="240" w:firstLineChars="100"/>
        <w:jc w:val="left"/>
      </w:pPr>
      <w:r>
        <w:rPr>
          <w:rFonts w:ascii="宋体" w:hAnsi="宋体" w:eastAsia="宋体" w:cs="宋体"/>
          <w:color w:val="000000"/>
          <w:sz w:val="24"/>
        </w:rPr>
        <w:t> 2．生活垃圾需袋装化放入垃圾站，袋装垃圾不能满溢，有序摆放。便于垃圾清运公司集中清理垃圾。</w:t>
      </w:r>
    </w:p>
    <w:p w14:paraId="10B668A3">
      <w:pPr>
        <w:wordWrap w:val="0"/>
        <w:spacing w:line="360" w:lineRule="exact"/>
        <w:ind w:firstLine="240" w:firstLineChars="100"/>
        <w:jc w:val="left"/>
      </w:pPr>
      <w:r>
        <w:rPr>
          <w:rFonts w:ascii="宋体" w:hAnsi="宋体" w:eastAsia="宋体" w:cs="宋体"/>
          <w:color w:val="000000"/>
          <w:sz w:val="24"/>
        </w:rPr>
        <w:t> 二、垃圾分类规范</w:t>
      </w:r>
    </w:p>
    <w:p w14:paraId="40D8F128">
      <w:pPr>
        <w:wordWrap w:val="0"/>
        <w:spacing w:line="360" w:lineRule="exact"/>
        <w:ind w:firstLine="240" w:firstLineChars="100"/>
        <w:jc w:val="left"/>
      </w:pPr>
      <w:r>
        <w:rPr>
          <w:rFonts w:ascii="宋体" w:hAnsi="宋体" w:eastAsia="宋体" w:cs="宋体"/>
          <w:color w:val="000000"/>
          <w:sz w:val="24"/>
        </w:rPr>
        <w:t> 1．严禁厨余垃圾、建筑垃圾等其他非生活类垃圾进入生活垃圾站。</w:t>
      </w:r>
    </w:p>
    <w:p w14:paraId="5DA8715B">
      <w:pPr>
        <w:wordWrap w:val="0"/>
        <w:spacing w:line="360" w:lineRule="exact"/>
        <w:ind w:firstLine="240" w:firstLineChars="100"/>
        <w:jc w:val="left"/>
      </w:pPr>
      <w:r>
        <w:rPr>
          <w:rFonts w:ascii="宋体" w:hAnsi="宋体" w:eastAsia="宋体" w:cs="宋体"/>
          <w:color w:val="000000"/>
          <w:sz w:val="24"/>
        </w:rPr>
        <w:t> 2．实验室垃圾、医疗废弃物、灯管等有害垃圾禁止放入生活垃圾站。</w:t>
      </w:r>
    </w:p>
    <w:p w14:paraId="2211AA7E">
      <w:pPr>
        <w:wordWrap w:val="0"/>
        <w:spacing w:line="360" w:lineRule="exact"/>
        <w:ind w:firstLine="240" w:firstLineChars="100"/>
        <w:jc w:val="left"/>
      </w:pPr>
      <w:r>
        <w:rPr>
          <w:rFonts w:ascii="宋体" w:hAnsi="宋体" w:eastAsia="宋体" w:cs="宋体"/>
          <w:color w:val="000000"/>
          <w:sz w:val="24"/>
        </w:rPr>
        <w:t> 3．污染纸张、一次性餐盒、饮料杯等垃圾需集中袋装化无渗漏，放入垃圾桶。</w:t>
      </w:r>
    </w:p>
    <w:p w14:paraId="1AC675F9">
      <w:pPr>
        <w:wordWrap w:val="0"/>
        <w:spacing w:line="360" w:lineRule="exact"/>
        <w:ind w:firstLine="240" w:firstLineChars="100"/>
        <w:jc w:val="left"/>
      </w:pPr>
      <w:r>
        <w:rPr>
          <w:rFonts w:ascii="宋体" w:hAnsi="宋体" w:eastAsia="宋体" w:cs="宋体"/>
          <w:color w:val="000000"/>
          <w:sz w:val="24"/>
        </w:rPr>
        <w:t> 三、垃圾清理消毒规范</w:t>
      </w:r>
    </w:p>
    <w:p w14:paraId="4AA88EE6">
      <w:pPr>
        <w:wordWrap w:val="0"/>
        <w:spacing w:line="360" w:lineRule="exact"/>
        <w:ind w:firstLine="240" w:firstLineChars="100"/>
        <w:jc w:val="left"/>
      </w:pPr>
      <w:r>
        <w:rPr>
          <w:rFonts w:ascii="宋体" w:hAnsi="宋体" w:eastAsia="宋体" w:cs="宋体"/>
          <w:color w:val="000000"/>
          <w:sz w:val="24"/>
        </w:rPr>
        <w:t> 1.公共区域生活垃圾桶每天定时清理，每天至少清洁消杀一次。</w:t>
      </w:r>
    </w:p>
    <w:p w14:paraId="3F7EE54C">
      <w:pPr>
        <w:wordWrap w:val="0"/>
        <w:spacing w:line="360" w:lineRule="exact"/>
        <w:ind w:firstLine="240" w:firstLineChars="100"/>
        <w:jc w:val="left"/>
      </w:pPr>
      <w:r>
        <w:rPr>
          <w:rFonts w:ascii="宋体" w:hAnsi="宋体" w:eastAsia="宋体" w:cs="宋体"/>
          <w:color w:val="000000"/>
          <w:sz w:val="24"/>
        </w:rPr>
        <w:t> 2.生活垃圾站安排专人维护，每天定时清理垃圾站，每天清洁消杀二次，用含有效氯500mg/L～1000mg/L的含氯消毒液喷洒垃圾站地面，并及时冲洗，保持垃圾站环境卫生良好。</w:t>
      </w:r>
    </w:p>
    <w:p w14:paraId="022F62FD">
      <w:pPr>
        <w:wordWrap w:val="0"/>
        <w:spacing w:line="360" w:lineRule="exact"/>
        <w:ind w:firstLine="240" w:firstLineChars="100"/>
        <w:jc w:val="left"/>
      </w:pPr>
      <w:r>
        <w:rPr>
          <w:rFonts w:ascii="宋体" w:hAnsi="宋体" w:eastAsia="宋体" w:cs="宋体"/>
          <w:color w:val="000000"/>
          <w:sz w:val="24"/>
        </w:rPr>
        <w:t> 四、监督检查和处罚措施</w:t>
      </w:r>
    </w:p>
    <w:p w14:paraId="6EF5373C">
      <w:pPr>
        <w:wordWrap w:val="0"/>
        <w:spacing w:line="360" w:lineRule="exact"/>
        <w:ind w:firstLine="240" w:firstLineChars="100"/>
        <w:jc w:val="left"/>
      </w:pPr>
      <w:r>
        <w:rPr>
          <w:rFonts w:ascii="宋体" w:hAnsi="宋体" w:eastAsia="宋体" w:cs="宋体"/>
          <w:color w:val="000000"/>
          <w:sz w:val="24"/>
        </w:rPr>
        <w:t> 1．物业服务中心对生活垃圾站进行不定时检查和监督，发现不按规定投放垃圾等问题影响校园环境的情况，及时与相关外协单位的管理部门沟通，必要时联合相关管理部门一起对外协单位处罚。</w:t>
      </w:r>
    </w:p>
    <w:p w14:paraId="5054E2E6">
      <w:pPr>
        <w:wordWrap w:val="0"/>
        <w:spacing w:line="360" w:lineRule="exact"/>
        <w:ind w:firstLine="240" w:firstLineChars="100"/>
        <w:jc w:val="left"/>
      </w:pPr>
      <w:r>
        <w:rPr>
          <w:rFonts w:ascii="宋体" w:hAnsi="宋体" w:eastAsia="宋体" w:cs="宋体"/>
          <w:color w:val="000000"/>
          <w:sz w:val="24"/>
        </w:rPr>
        <w:t> 2．要求物业公司建立健全生活垃圾站管理台账，记录垃圾站清洁消杀频次、时间等数据信息。</w:t>
      </w:r>
    </w:p>
    <w:p w14:paraId="639163E6">
      <w:pPr>
        <w:wordWrap w:val="0"/>
        <w:spacing w:line="360" w:lineRule="exact"/>
        <w:ind w:firstLine="240" w:firstLineChars="100"/>
        <w:jc w:val="left"/>
      </w:pPr>
      <w:r>
        <w:rPr>
          <w:rFonts w:ascii="宋体" w:hAnsi="宋体" w:eastAsia="宋体" w:cs="宋体"/>
          <w:color w:val="000000"/>
          <w:sz w:val="24"/>
        </w:rPr>
        <w:t> 五．其它注意事项</w:t>
      </w:r>
    </w:p>
    <w:p w14:paraId="5BB2604B">
      <w:pPr>
        <w:wordWrap w:val="0"/>
        <w:spacing w:line="360" w:lineRule="exact"/>
        <w:ind w:firstLine="240" w:firstLineChars="100"/>
        <w:jc w:val="left"/>
      </w:pPr>
      <w:r>
        <w:rPr>
          <w:rFonts w:ascii="宋体" w:hAnsi="宋体" w:eastAsia="宋体" w:cs="宋体"/>
          <w:color w:val="000000"/>
          <w:sz w:val="24"/>
        </w:rPr>
        <w:t> 1．严禁闲杂人员在生活垃圾站捡拾废弃垃圾，翻破垃圾袋，引起垃圾泄漏，污染垃圾站环境。</w:t>
      </w:r>
    </w:p>
    <w:p w14:paraId="6525131B">
      <w:pPr>
        <w:wordWrap w:val="0"/>
        <w:spacing w:line="360" w:lineRule="exact"/>
        <w:ind w:firstLine="240" w:firstLineChars="100"/>
        <w:jc w:val="left"/>
      </w:pPr>
      <w:r>
        <w:rPr>
          <w:rFonts w:ascii="宋体" w:hAnsi="宋体" w:eastAsia="宋体" w:cs="宋体"/>
          <w:color w:val="000000"/>
          <w:sz w:val="24"/>
        </w:rPr>
        <w:t> 2．任何人不得擅自焚烧垃圾，不得私自处理生活垃圾，不得私自堆放生活垃圾。情节较轻的，给予批评教育；情节严重且造成一定影响的，给予该单位向学校有关部门通报曝光处理，并追究相关人员责任。</w:t>
      </w:r>
    </w:p>
    <w:p w14:paraId="5A5AE84B">
      <w:pPr>
        <w:wordWrap w:val="0"/>
        <w:spacing w:line="360" w:lineRule="exact"/>
        <w:ind w:firstLine="240" w:firstLineChars="100"/>
        <w:jc w:val="left"/>
      </w:pPr>
      <w:r>
        <w:rPr>
          <w:rFonts w:ascii="宋体" w:hAnsi="宋体" w:eastAsia="宋体" w:cs="宋体"/>
          <w:color w:val="000000"/>
          <w:sz w:val="24"/>
        </w:rPr>
        <w:t> 3．疫情期间，为有效遏制新型冠状病毒感染的肺炎疫情在学校的扩散和蔓延，各物业单位应根据实际情况，加强生活垃圾的清运频次和消毒工作，避免有害污染物的传播和蔓延。</w:t>
      </w:r>
    </w:p>
    <w:p w14:paraId="6C8E7E41">
      <w:pPr>
        <w:wordWrap w:val="0"/>
        <w:spacing w:line="360" w:lineRule="exact"/>
        <w:ind w:firstLine="240" w:firstLineChars="100"/>
        <w:jc w:val="left"/>
      </w:pPr>
      <w:r>
        <w:rPr>
          <w:rFonts w:ascii="宋体" w:hAnsi="宋体" w:eastAsia="宋体" w:cs="宋体"/>
          <w:color w:val="000000"/>
          <w:sz w:val="24"/>
        </w:rPr>
        <w:t> 4．各外协单位应提高疫情防患的意识和责任感，落实和强化生活垃圾处理制度。</w:t>
      </w:r>
    </w:p>
    <w:p w14:paraId="318E6ADE">
      <w:pPr>
        <w:wordWrap w:val="0"/>
        <w:spacing w:line="360" w:lineRule="exact"/>
        <w:ind w:firstLine="210" w:firstLineChars="100"/>
        <w:jc w:val="left"/>
      </w:pPr>
    </w:p>
    <w:p w14:paraId="3FA685D0">
      <w:pPr>
        <w:wordWrap w:val="0"/>
        <w:spacing w:line="360" w:lineRule="exact"/>
        <w:ind w:firstLine="240" w:firstLineChars="100"/>
        <w:jc w:val="left"/>
      </w:pPr>
      <w:r>
        <w:rPr>
          <w:rFonts w:ascii="宋体" w:hAnsi="宋体" w:eastAsia="宋体" w:cs="宋体"/>
          <w:color w:val="000000"/>
          <w:sz w:val="24"/>
        </w:rPr>
        <w:t>                   </w:t>
      </w:r>
    </w:p>
    <w:p w14:paraId="72685B1F">
      <w:r>
        <w:br w:type="page"/>
      </w:r>
    </w:p>
    <w:p w14:paraId="287C96F2">
      <w:pPr>
        <w:wordWrap w:val="0"/>
        <w:spacing w:line="360" w:lineRule="exact"/>
        <w:jc w:val="left"/>
      </w:pPr>
      <w:r>
        <w:rPr>
          <w:rFonts w:ascii="宋体" w:hAnsi="宋体" w:eastAsia="宋体" w:cs="宋体"/>
          <w:color w:val="000000"/>
          <w:sz w:val="24"/>
        </w:rPr>
        <w:t>附件17：</w:t>
      </w:r>
    </w:p>
    <w:p w14:paraId="4EB77DEE">
      <w:pPr>
        <w:wordWrap w:val="0"/>
        <w:spacing w:line="360" w:lineRule="exact"/>
        <w:ind w:firstLine="240" w:firstLineChars="100"/>
        <w:jc w:val="center"/>
      </w:pPr>
      <w:r>
        <w:rPr>
          <w:rFonts w:ascii="宋体" w:hAnsi="宋体" w:eastAsia="宋体" w:cs="宋体"/>
          <w:color w:val="000000"/>
          <w:sz w:val="24"/>
        </w:rPr>
        <w:t> 南京财经大学垃圾收集点管理规范</w:t>
      </w:r>
    </w:p>
    <w:p w14:paraId="70670041">
      <w:pPr>
        <w:wordWrap w:val="0"/>
        <w:spacing w:line="360" w:lineRule="exact"/>
        <w:ind w:firstLine="240" w:firstLineChars="100"/>
        <w:jc w:val="center"/>
      </w:pPr>
      <w:r>
        <w:rPr>
          <w:rFonts w:ascii="宋体" w:hAnsi="宋体" w:eastAsia="宋体" w:cs="宋体"/>
          <w:color w:val="000000"/>
          <w:sz w:val="24"/>
        </w:rPr>
        <w:t> （试行）</w:t>
      </w:r>
    </w:p>
    <w:p w14:paraId="3A81B3ED">
      <w:pPr>
        <w:wordWrap w:val="0"/>
        <w:spacing w:line="360" w:lineRule="exact"/>
        <w:ind w:firstLine="240" w:firstLineChars="100"/>
        <w:jc w:val="left"/>
      </w:pPr>
      <w:r>
        <w:rPr>
          <w:rFonts w:ascii="宋体" w:hAnsi="宋体" w:eastAsia="宋体" w:cs="宋体"/>
          <w:color w:val="000000"/>
          <w:sz w:val="24"/>
        </w:rPr>
        <w:t> 为有效推进校园垃圾分类管理工作，强化垃圾分类投放管理规范，营造干净整洁的校园环境，根据《南京市生活垃圾管理条例》推进生活垃圾分类工作相关规定，制定本规范。</w:t>
      </w:r>
    </w:p>
    <w:p w14:paraId="1CE05DBF">
      <w:pPr>
        <w:wordWrap w:val="0"/>
        <w:spacing w:line="360" w:lineRule="exact"/>
        <w:ind w:firstLine="240" w:firstLineChars="100"/>
        <w:jc w:val="left"/>
      </w:pPr>
      <w:r>
        <w:rPr>
          <w:rFonts w:ascii="宋体" w:hAnsi="宋体" w:eastAsia="宋体" w:cs="宋体"/>
          <w:color w:val="000000"/>
          <w:sz w:val="24"/>
        </w:rPr>
        <w:t> 一、生活垃圾分类主要分为以下四类：</w:t>
      </w:r>
    </w:p>
    <w:p w14:paraId="66792946">
      <w:pPr>
        <w:wordWrap w:val="0"/>
        <w:spacing w:line="360" w:lineRule="exact"/>
        <w:ind w:firstLine="240" w:firstLineChars="100"/>
        <w:jc w:val="left"/>
      </w:pPr>
      <w:r>
        <w:rPr>
          <w:rFonts w:ascii="宋体" w:hAnsi="宋体" w:eastAsia="宋体" w:cs="宋体"/>
          <w:color w:val="000000"/>
          <w:sz w:val="24"/>
        </w:rPr>
        <w:t> 1、可回收物：主要包括废纸、塑料、玻璃、金属和布料五大类。</w:t>
      </w:r>
    </w:p>
    <w:p w14:paraId="513147CF">
      <w:pPr>
        <w:wordWrap w:val="0"/>
        <w:spacing w:line="360" w:lineRule="exact"/>
        <w:ind w:firstLine="240" w:firstLineChars="100"/>
        <w:jc w:val="left"/>
      </w:pPr>
      <w:r>
        <w:rPr>
          <w:rFonts w:ascii="宋体" w:hAnsi="宋体" w:eastAsia="宋体" w:cs="宋体"/>
          <w:color w:val="000000"/>
          <w:sz w:val="24"/>
        </w:rPr>
        <w:t> 2、有害垃圾：包括电池、荧光灯管、灯泡、水银温度计、油漆桶、部分家电、过期药品及其容器、过期化妆品等。</w:t>
      </w:r>
    </w:p>
    <w:p w14:paraId="6A9CA0D2">
      <w:pPr>
        <w:wordWrap w:val="0"/>
        <w:spacing w:line="360" w:lineRule="exact"/>
        <w:ind w:firstLine="240" w:firstLineChars="100"/>
        <w:jc w:val="left"/>
      </w:pPr>
      <w:r>
        <w:rPr>
          <w:rFonts w:ascii="宋体" w:hAnsi="宋体" w:eastAsia="宋体" w:cs="宋体"/>
          <w:color w:val="000000"/>
          <w:sz w:val="24"/>
        </w:rPr>
        <w:t> 3、厨余垃圾：包括剩菜剩饭、骨头、菜根菜叶、果皮等食品类废物。</w:t>
      </w:r>
    </w:p>
    <w:p w14:paraId="15D28337">
      <w:pPr>
        <w:wordWrap w:val="0"/>
        <w:spacing w:line="360" w:lineRule="exact"/>
        <w:ind w:firstLine="240" w:firstLineChars="100"/>
        <w:jc w:val="left"/>
      </w:pPr>
      <w:r>
        <w:rPr>
          <w:rFonts w:ascii="宋体" w:hAnsi="宋体" w:eastAsia="宋体" w:cs="宋体"/>
          <w:color w:val="000000"/>
          <w:sz w:val="24"/>
        </w:rPr>
        <w:t> 4、其他垃圾：除上述几类垃圾之外的卫生间用纸、污损纸张、污损塑料、一次性餐具、破碎陶瓷制品等难以回收的废弃物。</w:t>
      </w:r>
    </w:p>
    <w:p w14:paraId="4800902C">
      <w:pPr>
        <w:wordWrap w:val="0"/>
        <w:spacing w:line="360" w:lineRule="exact"/>
        <w:ind w:firstLine="240" w:firstLineChars="100"/>
        <w:jc w:val="left"/>
      </w:pPr>
      <w:r>
        <w:rPr>
          <w:rFonts w:ascii="宋体" w:hAnsi="宋体" w:eastAsia="宋体" w:cs="宋体"/>
          <w:color w:val="000000"/>
          <w:sz w:val="24"/>
        </w:rPr>
        <w:t> 二、垃圾投放时间：每天上午十点前，下午四点前，各物业公司、餐饮公司、学生公寓、资产经营公司所属门面房等单位，每天统一安排垃圾的投放工作，定点投放和清理生活垃圾。</w:t>
      </w:r>
    </w:p>
    <w:p w14:paraId="58A7D4DB">
      <w:pPr>
        <w:wordWrap w:val="0"/>
        <w:spacing w:line="360" w:lineRule="exact"/>
        <w:ind w:firstLine="240" w:firstLineChars="100"/>
        <w:jc w:val="left"/>
      </w:pPr>
      <w:r>
        <w:rPr>
          <w:rFonts w:ascii="宋体" w:hAnsi="宋体" w:eastAsia="宋体" w:cs="宋体"/>
          <w:color w:val="000000"/>
          <w:sz w:val="24"/>
        </w:rPr>
        <w:t> 三、垃圾投放要求：生活垃圾必须袋装化进站，提前做好分类，不得混投混放，不能满溢，有序摆放，便于垃圾清运公司集中清理垃圾。</w:t>
      </w:r>
    </w:p>
    <w:p w14:paraId="399DAC7A">
      <w:pPr>
        <w:wordWrap w:val="0"/>
        <w:spacing w:line="360" w:lineRule="exact"/>
        <w:ind w:firstLine="240" w:firstLineChars="100"/>
        <w:jc w:val="left"/>
      </w:pPr>
      <w:r>
        <w:rPr>
          <w:rFonts w:ascii="宋体" w:hAnsi="宋体" w:eastAsia="宋体" w:cs="宋体"/>
          <w:color w:val="000000"/>
          <w:sz w:val="24"/>
        </w:rPr>
        <w:t> 四、其它要求：有害垃圾投放至有害垃圾桶；厨余垃圾放入餐饮服务中心指定厨余垃圾收集点；不在上述生活垃圾之内的垃圾（如建筑施工等垃圾）投放至北苑建筑垃圾站。</w:t>
      </w:r>
    </w:p>
    <w:p w14:paraId="70EE92C4">
      <w:r>
        <w:br w:type="page"/>
      </w:r>
    </w:p>
    <w:p w14:paraId="0B81703A">
      <w:pPr>
        <w:wordWrap w:val="0"/>
        <w:spacing w:line="360" w:lineRule="exact"/>
        <w:jc w:val="left"/>
      </w:pPr>
      <w:r>
        <w:rPr>
          <w:rFonts w:ascii="宋体" w:hAnsi="宋体" w:eastAsia="宋体" w:cs="宋体"/>
          <w:color w:val="000000"/>
          <w:sz w:val="24"/>
        </w:rPr>
        <w:t>附件18：</w:t>
      </w:r>
    </w:p>
    <w:p w14:paraId="7FBB20D5">
      <w:pPr>
        <w:wordWrap w:val="0"/>
        <w:spacing w:line="360" w:lineRule="exact"/>
        <w:ind w:firstLine="241" w:firstLineChars="100"/>
        <w:jc w:val="center"/>
      </w:pPr>
      <w:r>
        <w:rPr>
          <w:rFonts w:ascii="宋体" w:hAnsi="宋体" w:eastAsia="宋体" w:cs="宋体"/>
          <w:b/>
          <w:color w:val="000000"/>
          <w:sz w:val="24"/>
        </w:rPr>
        <w:t> 物业管理科安全管理办法</w:t>
      </w:r>
      <w:r>
        <w:rPr>
          <w:rFonts w:ascii="宋体" w:hAnsi="宋体" w:eastAsia="宋体" w:cs="宋体"/>
          <w:color w:val="000000"/>
          <w:sz w:val="24"/>
        </w:rPr>
        <w:t>（试行）</w:t>
      </w:r>
    </w:p>
    <w:p w14:paraId="48E77B52">
      <w:pPr>
        <w:wordWrap w:val="0"/>
        <w:spacing w:line="360" w:lineRule="exact"/>
        <w:ind w:firstLine="240" w:firstLineChars="100"/>
        <w:jc w:val="left"/>
      </w:pPr>
      <w:r>
        <w:rPr>
          <w:rFonts w:ascii="宋体" w:hAnsi="宋体" w:eastAsia="宋体" w:cs="宋体"/>
          <w:color w:val="000000"/>
          <w:sz w:val="24"/>
        </w:rPr>
        <w:t> 一、为维护安全稳定的校园环境，保障学校正常的教学和生活秩序，排除校园安全隐患，加强物业安全管理工作，根据《南京财经大学物业管理暂行办法》（2019）和相关规定，结合学校实际，特制定本办法。</w:t>
      </w:r>
    </w:p>
    <w:p w14:paraId="7372E103">
      <w:pPr>
        <w:wordWrap w:val="0"/>
        <w:spacing w:line="360" w:lineRule="exact"/>
        <w:ind w:firstLine="240" w:firstLineChars="100"/>
        <w:jc w:val="left"/>
      </w:pPr>
      <w:r>
        <w:rPr>
          <w:rFonts w:ascii="宋体" w:hAnsi="宋体" w:eastAsia="宋体" w:cs="宋体"/>
          <w:color w:val="000000"/>
          <w:sz w:val="24"/>
        </w:rPr>
        <w:t> 二、物业管理科在后勤基建处的领导下，对物业管理企业的安全管理工作行使监督管理职责。</w:t>
      </w:r>
    </w:p>
    <w:p w14:paraId="192F2355">
      <w:pPr>
        <w:wordWrap w:val="0"/>
        <w:spacing w:line="360" w:lineRule="exact"/>
        <w:ind w:firstLine="240" w:firstLineChars="100"/>
        <w:jc w:val="left"/>
      </w:pPr>
      <w:r>
        <w:rPr>
          <w:rFonts w:ascii="宋体" w:hAnsi="宋体" w:eastAsia="宋体" w:cs="宋体"/>
          <w:color w:val="000000"/>
          <w:sz w:val="24"/>
        </w:rPr>
        <w:t> 1、物业管理科对物业管理企业的日常安全管理工作进行监督、指导。</w:t>
      </w:r>
    </w:p>
    <w:p w14:paraId="406B3571">
      <w:pPr>
        <w:wordWrap w:val="0"/>
        <w:spacing w:line="360" w:lineRule="exact"/>
        <w:ind w:firstLine="240" w:firstLineChars="100"/>
        <w:jc w:val="left"/>
      </w:pPr>
      <w:r>
        <w:rPr>
          <w:rFonts w:ascii="宋体" w:hAnsi="宋体" w:eastAsia="宋体" w:cs="宋体"/>
          <w:color w:val="000000"/>
          <w:sz w:val="24"/>
        </w:rPr>
        <w:t> 2、物业管理科组织每月对物业管理企业安全管理工作进行巡查，并向主管部门通报巡查情况，巡查和整改情况纳入季度考核。</w:t>
      </w:r>
    </w:p>
    <w:p w14:paraId="6BEE076A">
      <w:pPr>
        <w:wordWrap w:val="0"/>
        <w:spacing w:line="360" w:lineRule="exact"/>
        <w:ind w:firstLine="240" w:firstLineChars="100"/>
        <w:jc w:val="left"/>
      </w:pPr>
      <w:r>
        <w:rPr>
          <w:rFonts w:ascii="宋体" w:hAnsi="宋体" w:eastAsia="宋体" w:cs="宋体"/>
          <w:color w:val="000000"/>
          <w:sz w:val="24"/>
        </w:rPr>
        <w:t> 三、物业管理企业根据招投标文件和合同要求，履行物业安全管理职责，承担相应责任。</w:t>
      </w:r>
    </w:p>
    <w:p w14:paraId="259F65C5">
      <w:pPr>
        <w:wordWrap w:val="0"/>
        <w:spacing w:line="360" w:lineRule="exact"/>
        <w:ind w:firstLine="240" w:firstLineChars="100"/>
        <w:jc w:val="left"/>
      </w:pPr>
      <w:r>
        <w:rPr>
          <w:rFonts w:ascii="宋体" w:hAnsi="宋体" w:eastAsia="宋体" w:cs="宋体"/>
          <w:color w:val="000000"/>
          <w:sz w:val="24"/>
        </w:rPr>
        <w:t> 1、物业管理企业根据招投标文件和合同要求，结合实际，制定安全管理系列制度，包括但不限于：安全巡查制度、重点安全场所资料、安全隐患排查制度、应急工作预案等。</w:t>
      </w:r>
    </w:p>
    <w:p w14:paraId="6F0FFE92">
      <w:pPr>
        <w:wordWrap w:val="0"/>
        <w:spacing w:line="360" w:lineRule="exact"/>
        <w:ind w:firstLine="240" w:firstLineChars="100"/>
        <w:jc w:val="left"/>
      </w:pPr>
      <w:r>
        <w:rPr>
          <w:rFonts w:ascii="宋体" w:hAnsi="宋体" w:eastAsia="宋体" w:cs="宋体"/>
          <w:color w:val="000000"/>
          <w:sz w:val="24"/>
        </w:rPr>
        <w:t> 2、物业管理企业根据招投标文件和合同要求，对包括但不限于水、电、消防、设施设备等方面履行安全管理职责，并承担责任。</w:t>
      </w:r>
    </w:p>
    <w:p w14:paraId="53A6163B">
      <w:pPr>
        <w:wordWrap w:val="0"/>
        <w:spacing w:line="360" w:lineRule="exact"/>
        <w:ind w:firstLine="240" w:firstLineChars="100"/>
        <w:jc w:val="left"/>
      </w:pPr>
      <w:r>
        <w:rPr>
          <w:rFonts w:ascii="宋体" w:hAnsi="宋体" w:eastAsia="宋体" w:cs="宋体"/>
          <w:color w:val="000000"/>
          <w:sz w:val="24"/>
        </w:rPr>
        <w:t> 3、物业管理企业安排专人负责安全管理工作。</w:t>
      </w:r>
    </w:p>
    <w:p w14:paraId="25AFC48E">
      <w:pPr>
        <w:wordWrap w:val="0"/>
        <w:spacing w:line="360" w:lineRule="exact"/>
        <w:ind w:firstLine="240" w:firstLineChars="100"/>
        <w:jc w:val="left"/>
      </w:pPr>
      <w:r>
        <w:rPr>
          <w:rFonts w:ascii="宋体" w:hAnsi="宋体" w:eastAsia="宋体" w:cs="宋体"/>
          <w:color w:val="000000"/>
          <w:sz w:val="24"/>
        </w:rPr>
        <w:t> 4、物业管理企业应对所有员工进行安全培训。</w:t>
      </w:r>
    </w:p>
    <w:p w14:paraId="63143D5F">
      <w:pPr>
        <w:wordWrap w:val="0"/>
        <w:spacing w:line="360" w:lineRule="exact"/>
        <w:ind w:firstLine="240" w:firstLineChars="100"/>
        <w:jc w:val="left"/>
      </w:pPr>
      <w:r>
        <w:rPr>
          <w:rFonts w:ascii="宋体" w:hAnsi="宋体" w:eastAsia="宋体" w:cs="宋体"/>
          <w:color w:val="000000"/>
          <w:sz w:val="24"/>
        </w:rPr>
        <w:t> 5、物业管理企业与学校签订《南京财经大学安全目标管理责任书》。</w:t>
      </w:r>
    </w:p>
    <w:p w14:paraId="1A8351C9">
      <w:pPr>
        <w:wordWrap w:val="0"/>
        <w:spacing w:line="360" w:lineRule="exact"/>
        <w:ind w:firstLine="240" w:firstLineChars="100"/>
        <w:jc w:val="left"/>
      </w:pPr>
      <w:r>
        <w:rPr>
          <w:rFonts w:ascii="宋体" w:hAnsi="宋体" w:eastAsia="宋体" w:cs="宋体"/>
          <w:color w:val="000000"/>
          <w:sz w:val="24"/>
        </w:rPr>
        <w:t> 6、物业管理企业每月向主管部门提交安全隐患排查表。</w:t>
      </w:r>
    </w:p>
    <w:p w14:paraId="3AE5518E">
      <w:pPr>
        <w:wordWrap w:val="0"/>
        <w:spacing w:line="360" w:lineRule="exact"/>
        <w:ind w:firstLine="240" w:firstLineChars="100"/>
        <w:jc w:val="left"/>
      </w:pPr>
      <w:r>
        <w:rPr>
          <w:rFonts w:ascii="宋体" w:hAnsi="宋体" w:eastAsia="宋体" w:cs="宋体"/>
          <w:color w:val="000000"/>
          <w:sz w:val="24"/>
        </w:rPr>
        <w:t> 7、物业管理企业每月书面向主管部门和物业管理科汇报安全管理工作。</w:t>
      </w:r>
    </w:p>
    <w:p w14:paraId="0A767DA5">
      <w:pPr>
        <w:wordWrap w:val="0"/>
        <w:spacing w:line="360" w:lineRule="exact"/>
        <w:ind w:firstLine="240" w:firstLineChars="100"/>
        <w:jc w:val="left"/>
      </w:pPr>
      <w:r>
        <w:rPr>
          <w:rFonts w:ascii="宋体" w:hAnsi="宋体" w:eastAsia="宋体" w:cs="宋体"/>
          <w:color w:val="000000"/>
          <w:sz w:val="24"/>
        </w:rPr>
        <w:t>                后勤基建处物业管理科</w:t>
      </w:r>
    </w:p>
    <w:p w14:paraId="7EBEDA3C">
      <w:pPr>
        <w:wordWrap w:val="0"/>
        <w:spacing w:line="360" w:lineRule="exact"/>
        <w:ind w:firstLine="240" w:firstLineChars="100"/>
        <w:jc w:val="left"/>
      </w:pPr>
      <w:r>
        <w:rPr>
          <w:rFonts w:ascii="宋体" w:hAnsi="宋体" w:eastAsia="宋体" w:cs="宋体"/>
          <w:color w:val="000000"/>
          <w:sz w:val="24"/>
        </w:rPr>
        <w:t>                 2022年5月31日</w:t>
      </w:r>
    </w:p>
    <w:p w14:paraId="7AC731F2">
      <w:pPr>
        <w:wordWrap w:val="0"/>
        <w:spacing w:line="360" w:lineRule="exact"/>
        <w:ind w:firstLine="210" w:firstLineChars="100"/>
        <w:jc w:val="left"/>
      </w:pPr>
    </w:p>
    <w:p w14:paraId="46D3FE62">
      <w:pPr>
        <w:wordWrap w:val="0"/>
        <w:spacing w:line="360" w:lineRule="exact"/>
        <w:jc w:val="left"/>
      </w:pPr>
      <w:r>
        <w:rPr>
          <w:rFonts w:ascii="宋体" w:hAnsi="宋体" w:eastAsia="宋体" w:cs="宋体"/>
          <w:color w:val="000000"/>
          <w:sz w:val="24"/>
        </w:rPr>
        <w:t>附件19：</w:t>
      </w:r>
    </w:p>
    <w:p w14:paraId="4DD2DDFA">
      <w:pPr>
        <w:wordWrap w:val="0"/>
        <w:spacing w:line="360" w:lineRule="exact"/>
        <w:jc w:val="center"/>
      </w:pPr>
      <w:r>
        <w:rPr>
          <w:rFonts w:ascii="宋体" w:hAnsi="宋体" w:eastAsia="宋体" w:cs="宋体"/>
          <w:b/>
          <w:color w:val="000000"/>
          <w:sz w:val="24"/>
        </w:rPr>
        <w:t>南京财经大学楼宇内工程施工物业备案制度</w:t>
      </w:r>
    </w:p>
    <w:p w14:paraId="2D9A9AA3">
      <w:pPr>
        <w:wordWrap w:val="0"/>
        <w:spacing w:line="360" w:lineRule="exact"/>
        <w:jc w:val="center"/>
      </w:pPr>
      <w:r>
        <w:rPr>
          <w:rFonts w:ascii="宋体" w:hAnsi="宋体" w:eastAsia="宋体" w:cs="宋体"/>
          <w:color w:val="000000"/>
          <w:sz w:val="24"/>
        </w:rPr>
        <w:t>南财后字[2020]4号</w:t>
      </w:r>
    </w:p>
    <w:p w14:paraId="1F2B1863">
      <w:pPr>
        <w:wordWrap w:val="0"/>
        <w:spacing w:line="360" w:lineRule="exact"/>
        <w:ind w:firstLine="240" w:firstLineChars="100"/>
        <w:jc w:val="left"/>
      </w:pPr>
      <w:r>
        <w:rPr>
          <w:rFonts w:ascii="宋体" w:hAnsi="宋体" w:eastAsia="宋体" w:cs="宋体"/>
          <w:color w:val="000000"/>
          <w:sz w:val="24"/>
        </w:rPr>
        <w:t> 为了保障校园安全，维护校园物业管理秩序，完善楼宇内施工管理规范，提升物业管理水平，特制定本制度。</w:t>
      </w:r>
    </w:p>
    <w:p w14:paraId="53535825">
      <w:pPr>
        <w:wordWrap w:val="0"/>
        <w:spacing w:line="360" w:lineRule="exact"/>
        <w:ind w:firstLine="240" w:firstLineChars="100"/>
        <w:jc w:val="left"/>
      </w:pPr>
      <w:r>
        <w:rPr>
          <w:rFonts w:ascii="宋体" w:hAnsi="宋体" w:eastAsia="宋体" w:cs="宋体"/>
          <w:color w:val="000000"/>
          <w:sz w:val="24"/>
        </w:rPr>
        <w:t> 第一条 校园内物业管理范围所有楼宇内的施工，项目主管方必须在物业备案许可后，凭《南京财经大学工程施工物业备案表》方可安排施工队伍进场，并将备案表张贴于施工区域。（表格在后勤基建处网站自行下载）</w:t>
      </w:r>
    </w:p>
    <w:p w14:paraId="3F69568A">
      <w:pPr>
        <w:wordWrap w:val="0"/>
        <w:spacing w:line="360" w:lineRule="exact"/>
        <w:ind w:firstLine="240" w:firstLineChars="100"/>
        <w:jc w:val="left"/>
      </w:pPr>
      <w:r>
        <w:rPr>
          <w:rFonts w:ascii="宋体" w:hAnsi="宋体" w:eastAsia="宋体" w:cs="宋体"/>
          <w:color w:val="000000"/>
          <w:sz w:val="24"/>
        </w:rPr>
        <w:t> 第二条 施工项目涉及水电线路改造或增加用电设备、负荷等项目，需附能源管理科《南京财经大学新增用电设备用电安全检查及安装可行性分析申请表》。（表格在后勤基建处网站自行下载）</w:t>
      </w:r>
    </w:p>
    <w:p w14:paraId="4729B078">
      <w:pPr>
        <w:wordWrap w:val="0"/>
        <w:spacing w:line="360" w:lineRule="exact"/>
        <w:ind w:firstLine="240" w:firstLineChars="100"/>
        <w:jc w:val="left"/>
      </w:pPr>
      <w:r>
        <w:rPr>
          <w:rFonts w:ascii="宋体" w:hAnsi="宋体" w:eastAsia="宋体" w:cs="宋体"/>
          <w:color w:val="000000"/>
          <w:sz w:val="24"/>
        </w:rPr>
        <w:t> 第三条 在教学楼、图书馆、体育馆等场所施工，项目主管方应和教务处、图书馆、体育馆等相关管理部门联系沟通，确认可以施工时间，避免因施工影响正常的教学秩序和学习环境。</w:t>
      </w:r>
    </w:p>
    <w:p w14:paraId="2563B83F">
      <w:pPr>
        <w:wordWrap w:val="0"/>
        <w:spacing w:line="360" w:lineRule="exact"/>
        <w:ind w:firstLine="240" w:firstLineChars="100"/>
        <w:jc w:val="left"/>
      </w:pPr>
      <w:r>
        <w:rPr>
          <w:rFonts w:ascii="宋体" w:hAnsi="宋体" w:eastAsia="宋体" w:cs="宋体"/>
          <w:color w:val="000000"/>
          <w:sz w:val="24"/>
        </w:rPr>
        <w:t> 第四条 项目主管方应要求施工人员在施工区域内应服从物业管理，并严格遵守学校各项管理规定；加强施工人员管理和教育，做好楼宇内设施设备保护，除必要的施工内容条件外，不得破坏原有的设施设备；应做好文明施工和安全施工，防止人为事故的发生。</w:t>
      </w:r>
    </w:p>
    <w:p w14:paraId="7DA01BC1">
      <w:pPr>
        <w:wordWrap w:val="0"/>
        <w:spacing w:line="360" w:lineRule="exact"/>
        <w:ind w:firstLine="240" w:firstLineChars="100"/>
        <w:jc w:val="left"/>
      </w:pPr>
      <w:r>
        <w:rPr>
          <w:rFonts w:ascii="宋体" w:hAnsi="宋体" w:eastAsia="宋体" w:cs="宋体"/>
          <w:color w:val="000000"/>
          <w:sz w:val="24"/>
        </w:rPr>
        <w:t> 第五条 施工现场应采取有效的环境保护措施，降低对周围环境产生的不良影响，施工完成后，现场恢复原样。</w:t>
      </w:r>
    </w:p>
    <w:p w14:paraId="0255B746">
      <w:pPr>
        <w:wordWrap w:val="0"/>
        <w:spacing w:line="360" w:lineRule="exact"/>
        <w:ind w:firstLine="240" w:firstLineChars="100"/>
        <w:jc w:val="left"/>
      </w:pPr>
      <w:r>
        <w:rPr>
          <w:rFonts w:ascii="宋体" w:hAnsi="宋体" w:eastAsia="宋体" w:cs="宋体"/>
          <w:color w:val="000000"/>
          <w:sz w:val="24"/>
        </w:rPr>
        <w:t> 第六条 施工完成后，应向能源管理科及物业提供水电路管线改造布置图等资料。</w:t>
      </w:r>
    </w:p>
    <w:p w14:paraId="2D64AB28">
      <w:pPr>
        <w:wordWrap w:val="0"/>
        <w:spacing w:line="360" w:lineRule="exact"/>
        <w:jc w:val="left"/>
      </w:pPr>
      <w:r>
        <w:rPr>
          <w:rFonts w:ascii="宋体" w:hAnsi="宋体" w:eastAsia="宋体" w:cs="宋体"/>
          <w:color w:val="000000"/>
          <w:sz w:val="24"/>
        </w:rPr>
        <w:t>第七条 施工所产生的垃圾必须袋装化处理，并摆放在指定地点，由施工方负责清运出校园。物业公司依据施工量预收取垃圾清运保证金（小型施工2000元、大型施工5000元）施工结束后，物业公司对环境现场验收合格后退还垃圾清运保证金。</w:t>
      </w:r>
    </w:p>
    <w:p w14:paraId="0A06F641">
      <w:pPr>
        <w:wordWrap w:val="0"/>
        <w:spacing w:line="360" w:lineRule="exact"/>
        <w:jc w:val="left"/>
      </w:pPr>
      <w:r>
        <w:rPr>
          <w:rFonts w:ascii="宋体" w:hAnsi="宋体" w:eastAsia="宋体" w:cs="宋体"/>
          <w:color w:val="000000"/>
          <w:sz w:val="24"/>
        </w:rPr>
        <w:t>附件：南京财经大学楼宇内工程施工物业备案表</w:t>
      </w:r>
    </w:p>
    <w:p w14:paraId="4821C220">
      <w:pPr>
        <w:wordWrap w:val="0"/>
        <w:spacing w:line="360" w:lineRule="exact"/>
        <w:jc w:val="right"/>
      </w:pPr>
      <w:r>
        <w:rPr>
          <w:rFonts w:ascii="宋体" w:hAnsi="宋体" w:eastAsia="宋体" w:cs="宋体"/>
          <w:color w:val="000000"/>
          <w:sz w:val="24"/>
        </w:rPr>
        <w:t>后勤保障处 后勤服务中心</w:t>
      </w:r>
    </w:p>
    <w:p w14:paraId="52212D66">
      <w:pPr>
        <w:wordWrap w:val="0"/>
        <w:spacing w:line="360" w:lineRule="exact"/>
        <w:jc w:val="right"/>
      </w:pPr>
      <w:r>
        <w:rPr>
          <w:rFonts w:ascii="宋体" w:hAnsi="宋体" w:eastAsia="宋体" w:cs="宋体"/>
          <w:color w:val="000000"/>
          <w:sz w:val="24"/>
        </w:rPr>
        <w:t>2020年5月14日</w:t>
      </w:r>
    </w:p>
    <w:p w14:paraId="5DD791D9">
      <w:pPr>
        <w:wordWrap w:val="0"/>
        <w:spacing w:line="360" w:lineRule="exact"/>
        <w:ind w:firstLine="241" w:firstLineChars="100"/>
        <w:jc w:val="center"/>
      </w:pPr>
      <w:r>
        <w:rPr>
          <w:rFonts w:ascii="宋体" w:hAnsi="宋体" w:eastAsia="宋体" w:cs="宋体"/>
          <w:b/>
          <w:color w:val="000000"/>
          <w:sz w:val="24"/>
        </w:rPr>
        <w:t> 南京财经大学楼宇内工程施工物业备案表</w:t>
      </w:r>
    </w:p>
    <w:tbl>
      <w:tblPr>
        <w:tblStyle w:val="5"/>
        <w:tblW w:w="9075" w:type="dxa"/>
        <w:jc w:val="center"/>
        <w:tblBorders>
          <w:top w:val="none" w:color="auto" w:sz="0" w:space="0"/>
          <w:left w:val="none" w:color="auto" w:sz="0" w:space="0"/>
          <w:bottom w:val="none" w:color="auto" w:sz="0" w:space="0"/>
          <w:right w:val="none" w:color="auto" w:sz="0" w:space="0"/>
          <w:insideH w:val="single" w:color="auto" w:sz="0" w:space="0"/>
          <w:insideV w:val="single" w:color="auto" w:sz="0" w:space="0"/>
        </w:tblBorders>
        <w:tblLayout w:type="autofit"/>
        <w:tblCellMar>
          <w:top w:w="0" w:type="dxa"/>
          <w:left w:w="10" w:type="dxa"/>
          <w:bottom w:w="0" w:type="dxa"/>
          <w:right w:w="10" w:type="dxa"/>
        </w:tblCellMar>
      </w:tblPr>
      <w:tblGrid>
        <w:gridCol w:w="2040"/>
        <w:gridCol w:w="2955"/>
        <w:gridCol w:w="1230"/>
        <w:gridCol w:w="2850"/>
      </w:tblGrid>
      <w:tr w14:paraId="24445A7C">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204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32030BF9">
            <w:pPr>
              <w:wordWrap w:val="0"/>
              <w:spacing w:line="315" w:lineRule="exact"/>
              <w:jc w:val="center"/>
            </w:pPr>
            <w:r>
              <w:rPr>
                <w:rFonts w:ascii="宋体" w:hAnsi="宋体" w:eastAsia="宋体" w:cs="宋体"/>
                <w:color w:val="000000"/>
              </w:rPr>
              <w:t>申请单位</w:t>
            </w:r>
          </w:p>
        </w:tc>
        <w:tc>
          <w:tcPr>
            <w:tcW w:w="7035" w:type="dxa"/>
            <w:gridSpan w:val="3"/>
            <w:tcBorders>
              <w:top w:val="single" w:color="000000" w:sz="6" w:space="0"/>
              <w:left w:val="nil"/>
              <w:bottom w:val="single" w:color="000000" w:sz="6" w:space="0"/>
              <w:right w:val="single" w:color="000000" w:sz="6" w:space="0"/>
            </w:tcBorders>
            <w:shd w:val="clear" w:color="auto" w:fill="FFFFFF"/>
            <w:vAlign w:val="center"/>
          </w:tcPr>
          <w:p w14:paraId="39EF16A4">
            <w:pPr>
              <w:wordWrap w:val="0"/>
              <w:spacing w:line="315" w:lineRule="exact"/>
              <w:ind w:firstLine="210" w:firstLineChars="100"/>
              <w:jc w:val="center"/>
            </w:pPr>
            <w:r>
              <w:rPr>
                <w:rFonts w:ascii="宋体" w:hAnsi="宋体" w:eastAsia="宋体" w:cs="宋体"/>
                <w:color w:val="000000"/>
              </w:rPr>
              <w:t>       （部门印章）</w:t>
            </w:r>
          </w:p>
        </w:tc>
      </w:tr>
      <w:tr w14:paraId="23411EF1">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2040" w:type="dxa"/>
            <w:tcBorders>
              <w:top w:val="nil"/>
              <w:left w:val="single" w:color="000000" w:sz="6" w:space="0"/>
              <w:bottom w:val="single" w:color="000000" w:sz="6" w:space="0"/>
              <w:right w:val="single" w:color="000000" w:sz="6" w:space="0"/>
            </w:tcBorders>
            <w:shd w:val="clear" w:color="auto" w:fill="FFFFFF"/>
            <w:vAlign w:val="center"/>
          </w:tcPr>
          <w:p w14:paraId="6D5016C5">
            <w:pPr>
              <w:wordWrap w:val="0"/>
              <w:spacing w:line="315" w:lineRule="exact"/>
              <w:jc w:val="center"/>
            </w:pPr>
            <w:r>
              <w:rPr>
                <w:rFonts w:ascii="宋体" w:hAnsi="宋体" w:eastAsia="宋体" w:cs="宋体"/>
                <w:color w:val="000000"/>
              </w:rPr>
              <w:t>项目概况</w:t>
            </w:r>
          </w:p>
        </w:tc>
        <w:tc>
          <w:tcPr>
            <w:tcW w:w="7035" w:type="dxa"/>
            <w:gridSpan w:val="3"/>
            <w:tcBorders>
              <w:top w:val="nil"/>
              <w:left w:val="nil"/>
              <w:bottom w:val="single" w:color="000000" w:sz="6" w:space="0"/>
              <w:right w:val="single" w:color="000000" w:sz="6" w:space="0"/>
            </w:tcBorders>
            <w:shd w:val="clear" w:color="auto" w:fill="FFFFFF"/>
            <w:vAlign w:val="center"/>
          </w:tcPr>
          <w:p w14:paraId="34866799">
            <w:pPr>
              <w:wordWrap w:val="0"/>
              <w:spacing w:line="315" w:lineRule="exact"/>
              <w:ind w:firstLine="210" w:firstLineChars="100"/>
              <w:jc w:val="center"/>
            </w:pPr>
          </w:p>
        </w:tc>
      </w:tr>
      <w:tr w14:paraId="3B5A22FE">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2040" w:type="dxa"/>
            <w:tcBorders>
              <w:top w:val="nil"/>
              <w:left w:val="single" w:color="000000" w:sz="6" w:space="0"/>
              <w:bottom w:val="single" w:color="000000" w:sz="6" w:space="0"/>
              <w:right w:val="single" w:color="000000" w:sz="6" w:space="0"/>
            </w:tcBorders>
            <w:shd w:val="clear" w:color="auto" w:fill="FFFFFF"/>
            <w:vAlign w:val="center"/>
          </w:tcPr>
          <w:p w14:paraId="144CCC89">
            <w:pPr>
              <w:wordWrap w:val="0"/>
              <w:spacing w:line="315" w:lineRule="exact"/>
              <w:jc w:val="center"/>
            </w:pPr>
            <w:r>
              <w:rPr>
                <w:rFonts w:ascii="宋体" w:hAnsi="宋体" w:eastAsia="宋体" w:cs="宋体"/>
                <w:color w:val="000000"/>
              </w:rPr>
              <w:t>施工地点</w:t>
            </w:r>
          </w:p>
        </w:tc>
        <w:tc>
          <w:tcPr>
            <w:tcW w:w="7035" w:type="dxa"/>
            <w:gridSpan w:val="3"/>
            <w:tcBorders>
              <w:top w:val="nil"/>
              <w:left w:val="nil"/>
              <w:bottom w:val="single" w:color="000000" w:sz="6" w:space="0"/>
              <w:right w:val="single" w:color="000000" w:sz="6" w:space="0"/>
            </w:tcBorders>
            <w:shd w:val="clear" w:color="auto" w:fill="FFFFFF"/>
            <w:vAlign w:val="center"/>
          </w:tcPr>
          <w:p w14:paraId="614F5419">
            <w:pPr>
              <w:wordWrap w:val="0"/>
              <w:spacing w:line="315" w:lineRule="exact"/>
              <w:ind w:firstLine="210" w:firstLineChars="100"/>
              <w:jc w:val="center"/>
            </w:pPr>
          </w:p>
        </w:tc>
      </w:tr>
      <w:tr w14:paraId="22ED0443">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2040" w:type="dxa"/>
            <w:tcBorders>
              <w:top w:val="nil"/>
              <w:left w:val="single" w:color="000000" w:sz="6" w:space="0"/>
              <w:bottom w:val="single" w:color="000000" w:sz="6" w:space="0"/>
              <w:right w:val="single" w:color="000000" w:sz="6" w:space="0"/>
            </w:tcBorders>
            <w:shd w:val="clear" w:color="auto" w:fill="FFFFFF"/>
            <w:vAlign w:val="center"/>
          </w:tcPr>
          <w:p w14:paraId="0BFD30EF">
            <w:pPr>
              <w:wordWrap w:val="0"/>
              <w:spacing w:line="315" w:lineRule="exact"/>
              <w:jc w:val="center"/>
            </w:pPr>
            <w:r>
              <w:rPr>
                <w:rFonts w:ascii="宋体" w:hAnsi="宋体" w:eastAsia="宋体" w:cs="宋体"/>
                <w:color w:val="000000"/>
              </w:rPr>
              <w:t>施工时间</w:t>
            </w:r>
          </w:p>
        </w:tc>
        <w:tc>
          <w:tcPr>
            <w:tcW w:w="7035" w:type="dxa"/>
            <w:gridSpan w:val="3"/>
            <w:tcBorders>
              <w:top w:val="nil"/>
              <w:left w:val="nil"/>
              <w:bottom w:val="single" w:color="000000" w:sz="6" w:space="0"/>
              <w:right w:val="single" w:color="000000" w:sz="6" w:space="0"/>
            </w:tcBorders>
            <w:shd w:val="clear" w:color="auto" w:fill="FFFFFF"/>
            <w:vAlign w:val="center"/>
          </w:tcPr>
          <w:p w14:paraId="0B4AFF51">
            <w:pPr>
              <w:wordWrap w:val="0"/>
              <w:spacing w:line="315" w:lineRule="exact"/>
              <w:jc w:val="center"/>
            </w:pPr>
            <w:r>
              <w:rPr>
                <w:rFonts w:ascii="宋体" w:hAnsi="宋体" w:eastAsia="宋体" w:cs="宋体"/>
                <w:color w:val="000000"/>
                <w:u w:val="single"/>
              </w:rPr>
              <w:t xml:space="preserve">  202 </w:t>
            </w:r>
            <w:r>
              <w:rPr>
                <w:rFonts w:ascii="宋体" w:hAnsi="宋体" w:eastAsia="宋体" w:cs="宋体"/>
                <w:color w:val="000000"/>
              </w:rPr>
              <w:t>年 月 日至</w:t>
            </w:r>
            <w:r>
              <w:rPr>
                <w:rFonts w:ascii="宋体" w:hAnsi="宋体" w:eastAsia="宋体" w:cs="宋体"/>
                <w:color w:val="000000"/>
                <w:u w:val="single"/>
              </w:rPr>
              <w:t xml:space="preserve">202 </w:t>
            </w:r>
            <w:r>
              <w:rPr>
                <w:rFonts w:ascii="宋体" w:hAnsi="宋体" w:eastAsia="宋体" w:cs="宋体"/>
                <w:color w:val="000000"/>
              </w:rPr>
              <w:t>年 月 日</w:t>
            </w:r>
          </w:p>
          <w:p w14:paraId="57318CA2">
            <w:pPr>
              <w:wordWrap w:val="0"/>
              <w:spacing w:line="315" w:lineRule="exact"/>
              <w:ind w:firstLine="210" w:firstLineChars="100"/>
              <w:jc w:val="center"/>
            </w:pPr>
            <w:r>
              <w:rPr>
                <w:rFonts w:ascii="宋体" w:hAnsi="宋体" w:eastAsia="宋体" w:cs="宋体"/>
                <w:color w:val="000000"/>
              </w:rPr>
              <w:t>   工期 天</w:t>
            </w:r>
          </w:p>
        </w:tc>
      </w:tr>
      <w:tr w14:paraId="093717B1">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2040" w:type="dxa"/>
            <w:tcBorders>
              <w:top w:val="nil"/>
              <w:left w:val="single" w:color="000000" w:sz="6" w:space="0"/>
              <w:bottom w:val="single" w:color="000000" w:sz="6" w:space="0"/>
              <w:right w:val="single" w:color="000000" w:sz="6" w:space="0"/>
            </w:tcBorders>
            <w:shd w:val="clear" w:color="auto" w:fill="FFFFFF"/>
            <w:vAlign w:val="center"/>
          </w:tcPr>
          <w:p w14:paraId="79C936E8">
            <w:pPr>
              <w:wordWrap w:val="0"/>
              <w:spacing w:line="315" w:lineRule="exact"/>
              <w:jc w:val="center"/>
            </w:pPr>
            <w:r>
              <w:rPr>
                <w:rFonts w:ascii="宋体" w:hAnsi="宋体" w:eastAsia="宋体" w:cs="宋体"/>
                <w:color w:val="000000"/>
              </w:rPr>
              <w:t>施工单位</w:t>
            </w:r>
          </w:p>
        </w:tc>
        <w:tc>
          <w:tcPr>
            <w:tcW w:w="7035" w:type="dxa"/>
            <w:gridSpan w:val="3"/>
            <w:tcBorders>
              <w:top w:val="nil"/>
              <w:left w:val="nil"/>
              <w:bottom w:val="single" w:color="000000" w:sz="6" w:space="0"/>
              <w:right w:val="single" w:color="000000" w:sz="6" w:space="0"/>
            </w:tcBorders>
            <w:shd w:val="clear" w:color="auto" w:fill="FFFFFF"/>
            <w:vAlign w:val="center"/>
          </w:tcPr>
          <w:p w14:paraId="374C67CE">
            <w:pPr>
              <w:wordWrap w:val="0"/>
              <w:spacing w:line="315" w:lineRule="exact"/>
              <w:ind w:firstLine="210" w:firstLineChars="100"/>
              <w:jc w:val="center"/>
            </w:pPr>
          </w:p>
        </w:tc>
      </w:tr>
      <w:tr w14:paraId="50473722">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2040" w:type="dxa"/>
            <w:tcBorders>
              <w:top w:val="nil"/>
              <w:left w:val="single" w:color="000000" w:sz="6" w:space="0"/>
              <w:bottom w:val="single" w:color="000000" w:sz="6" w:space="0"/>
              <w:right w:val="single" w:color="000000" w:sz="6" w:space="0"/>
            </w:tcBorders>
            <w:shd w:val="clear" w:color="auto" w:fill="FFFFFF"/>
            <w:vAlign w:val="center"/>
          </w:tcPr>
          <w:p w14:paraId="21948A37">
            <w:pPr>
              <w:wordWrap w:val="0"/>
              <w:spacing w:line="315" w:lineRule="exact"/>
              <w:jc w:val="center"/>
            </w:pPr>
            <w:r>
              <w:rPr>
                <w:rFonts w:ascii="宋体" w:hAnsi="宋体" w:eastAsia="宋体" w:cs="宋体"/>
                <w:color w:val="000000"/>
              </w:rPr>
              <w:t>施工单位负责人</w:t>
            </w:r>
          </w:p>
        </w:tc>
        <w:tc>
          <w:tcPr>
            <w:tcW w:w="2955" w:type="dxa"/>
            <w:tcBorders>
              <w:top w:val="nil"/>
              <w:left w:val="nil"/>
              <w:bottom w:val="single" w:color="000000" w:sz="6" w:space="0"/>
              <w:right w:val="single" w:color="000000" w:sz="6" w:space="0"/>
            </w:tcBorders>
            <w:shd w:val="clear" w:color="auto" w:fill="FFFFFF"/>
            <w:vAlign w:val="center"/>
          </w:tcPr>
          <w:p w14:paraId="5A871A33">
            <w:pPr>
              <w:wordWrap w:val="0"/>
              <w:spacing w:line="315" w:lineRule="exact"/>
              <w:ind w:firstLine="210" w:firstLineChars="100"/>
              <w:jc w:val="center"/>
            </w:pPr>
          </w:p>
        </w:tc>
        <w:tc>
          <w:tcPr>
            <w:tcW w:w="1230" w:type="dxa"/>
            <w:tcBorders>
              <w:top w:val="nil"/>
              <w:left w:val="nil"/>
              <w:bottom w:val="single" w:color="000000" w:sz="6" w:space="0"/>
              <w:right w:val="single" w:color="000000" w:sz="6" w:space="0"/>
            </w:tcBorders>
            <w:shd w:val="clear" w:color="auto" w:fill="FFFFFF"/>
            <w:vAlign w:val="center"/>
          </w:tcPr>
          <w:p w14:paraId="0C04F58A">
            <w:pPr>
              <w:wordWrap w:val="0"/>
              <w:spacing w:line="315" w:lineRule="exact"/>
              <w:ind w:firstLine="210" w:firstLineChars="100"/>
              <w:jc w:val="left"/>
            </w:pPr>
            <w:r>
              <w:rPr>
                <w:rFonts w:ascii="宋体" w:hAnsi="宋体" w:eastAsia="宋体" w:cs="宋体"/>
                <w:color w:val="000000"/>
              </w:rPr>
              <w:t>电话</w:t>
            </w:r>
          </w:p>
        </w:tc>
        <w:tc>
          <w:tcPr>
            <w:tcW w:w="2850" w:type="dxa"/>
            <w:tcBorders>
              <w:top w:val="nil"/>
              <w:left w:val="nil"/>
              <w:bottom w:val="single" w:color="000000" w:sz="6" w:space="0"/>
              <w:right w:val="single" w:color="000000" w:sz="6" w:space="0"/>
            </w:tcBorders>
            <w:shd w:val="clear" w:color="auto" w:fill="FFFFFF"/>
            <w:vAlign w:val="center"/>
          </w:tcPr>
          <w:p w14:paraId="354C6EE6">
            <w:pPr>
              <w:wordWrap w:val="0"/>
              <w:spacing w:line="315" w:lineRule="exact"/>
              <w:ind w:firstLine="210" w:firstLineChars="100"/>
              <w:jc w:val="center"/>
            </w:pPr>
          </w:p>
        </w:tc>
      </w:tr>
      <w:tr w14:paraId="54BE82CF">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2040" w:type="dxa"/>
            <w:tcBorders>
              <w:top w:val="nil"/>
              <w:left w:val="single" w:color="000000" w:sz="6" w:space="0"/>
              <w:bottom w:val="single" w:color="000000" w:sz="6" w:space="0"/>
              <w:right w:val="single" w:color="000000" w:sz="6" w:space="0"/>
            </w:tcBorders>
            <w:shd w:val="clear" w:color="auto" w:fill="FFFFFF"/>
            <w:vAlign w:val="center"/>
          </w:tcPr>
          <w:p w14:paraId="571AFB6D">
            <w:pPr>
              <w:wordWrap w:val="0"/>
              <w:spacing w:line="315" w:lineRule="exact"/>
              <w:jc w:val="center"/>
            </w:pPr>
            <w:r>
              <w:rPr>
                <w:rFonts w:ascii="宋体" w:hAnsi="宋体" w:eastAsia="宋体" w:cs="宋体"/>
                <w:color w:val="000000"/>
              </w:rPr>
              <w:t>主管部门联系人</w:t>
            </w:r>
          </w:p>
        </w:tc>
        <w:tc>
          <w:tcPr>
            <w:tcW w:w="2955" w:type="dxa"/>
            <w:tcBorders>
              <w:top w:val="nil"/>
              <w:left w:val="nil"/>
              <w:bottom w:val="single" w:color="000000" w:sz="6" w:space="0"/>
              <w:right w:val="single" w:color="000000" w:sz="6" w:space="0"/>
            </w:tcBorders>
            <w:shd w:val="clear" w:color="auto" w:fill="FFFFFF"/>
            <w:vAlign w:val="center"/>
          </w:tcPr>
          <w:p w14:paraId="412C69E7">
            <w:pPr>
              <w:wordWrap w:val="0"/>
              <w:spacing w:line="315" w:lineRule="exact"/>
              <w:ind w:firstLine="210" w:firstLineChars="100"/>
              <w:jc w:val="center"/>
            </w:pPr>
          </w:p>
        </w:tc>
        <w:tc>
          <w:tcPr>
            <w:tcW w:w="1230" w:type="dxa"/>
            <w:tcBorders>
              <w:top w:val="nil"/>
              <w:left w:val="nil"/>
              <w:bottom w:val="single" w:color="000000" w:sz="6" w:space="0"/>
              <w:right w:val="single" w:color="000000" w:sz="6" w:space="0"/>
            </w:tcBorders>
            <w:shd w:val="clear" w:color="auto" w:fill="FFFFFF"/>
            <w:vAlign w:val="center"/>
          </w:tcPr>
          <w:p w14:paraId="5FE78C92">
            <w:pPr>
              <w:wordWrap w:val="0"/>
              <w:spacing w:line="315" w:lineRule="exact"/>
              <w:ind w:firstLine="210" w:firstLineChars="100"/>
              <w:jc w:val="left"/>
            </w:pPr>
            <w:r>
              <w:rPr>
                <w:rFonts w:ascii="宋体" w:hAnsi="宋体" w:eastAsia="宋体" w:cs="宋体"/>
                <w:color w:val="000000"/>
              </w:rPr>
              <w:t>电话</w:t>
            </w:r>
          </w:p>
        </w:tc>
        <w:tc>
          <w:tcPr>
            <w:tcW w:w="2850" w:type="dxa"/>
            <w:tcBorders>
              <w:top w:val="nil"/>
              <w:left w:val="nil"/>
              <w:bottom w:val="single" w:color="000000" w:sz="6" w:space="0"/>
              <w:right w:val="single" w:color="000000" w:sz="6" w:space="0"/>
            </w:tcBorders>
            <w:shd w:val="clear" w:color="auto" w:fill="FFFFFF"/>
            <w:vAlign w:val="center"/>
          </w:tcPr>
          <w:p w14:paraId="5108AC15">
            <w:pPr>
              <w:wordWrap w:val="0"/>
              <w:spacing w:line="315" w:lineRule="exact"/>
              <w:ind w:firstLine="210" w:firstLineChars="100"/>
              <w:jc w:val="center"/>
            </w:pPr>
          </w:p>
        </w:tc>
      </w:tr>
      <w:tr w14:paraId="757A18D0">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2040" w:type="dxa"/>
            <w:tcBorders>
              <w:top w:val="nil"/>
              <w:left w:val="single" w:color="000000" w:sz="6" w:space="0"/>
              <w:bottom w:val="single" w:color="000000" w:sz="6" w:space="0"/>
              <w:right w:val="single" w:color="000000" w:sz="6" w:space="0"/>
            </w:tcBorders>
            <w:shd w:val="clear" w:color="auto" w:fill="FFFFFF"/>
            <w:vAlign w:val="center"/>
          </w:tcPr>
          <w:p w14:paraId="2BAD2F98">
            <w:pPr>
              <w:wordWrap w:val="0"/>
              <w:spacing w:line="315" w:lineRule="exact"/>
              <w:jc w:val="center"/>
            </w:pPr>
            <w:r>
              <w:rPr>
                <w:rFonts w:ascii="宋体" w:hAnsi="宋体" w:eastAsia="宋体" w:cs="宋体"/>
                <w:color w:val="000000"/>
              </w:rPr>
              <w:t>申请单位领导</w:t>
            </w:r>
          </w:p>
        </w:tc>
        <w:tc>
          <w:tcPr>
            <w:tcW w:w="7035" w:type="dxa"/>
            <w:gridSpan w:val="3"/>
            <w:tcBorders>
              <w:top w:val="nil"/>
              <w:left w:val="nil"/>
              <w:bottom w:val="single" w:color="000000" w:sz="6" w:space="0"/>
              <w:right w:val="single" w:color="000000" w:sz="6" w:space="0"/>
            </w:tcBorders>
            <w:shd w:val="clear" w:color="auto" w:fill="FFFFFF"/>
            <w:vAlign w:val="center"/>
          </w:tcPr>
          <w:p w14:paraId="2E079F61">
            <w:pPr>
              <w:wordWrap w:val="0"/>
              <w:spacing w:line="315" w:lineRule="exact"/>
              <w:ind w:firstLine="210" w:firstLineChars="100"/>
              <w:jc w:val="center"/>
            </w:pPr>
          </w:p>
        </w:tc>
      </w:tr>
      <w:tr w14:paraId="095CFC3C">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2040" w:type="dxa"/>
            <w:tcBorders>
              <w:top w:val="nil"/>
              <w:left w:val="single" w:color="000000" w:sz="6" w:space="0"/>
              <w:bottom w:val="single" w:color="000000" w:sz="6" w:space="0"/>
              <w:right w:val="single" w:color="000000" w:sz="6" w:space="0"/>
            </w:tcBorders>
            <w:shd w:val="clear" w:color="auto" w:fill="FFFFFF"/>
            <w:vAlign w:val="center"/>
          </w:tcPr>
          <w:p w14:paraId="6816D5D3">
            <w:pPr>
              <w:wordWrap w:val="0"/>
              <w:spacing w:line="315" w:lineRule="exact"/>
              <w:jc w:val="center"/>
            </w:pPr>
            <w:r>
              <w:rPr>
                <w:rFonts w:ascii="宋体" w:hAnsi="宋体" w:eastAsia="宋体" w:cs="宋体"/>
                <w:color w:val="000000"/>
              </w:rPr>
              <w:t>备注</w:t>
            </w:r>
          </w:p>
        </w:tc>
        <w:tc>
          <w:tcPr>
            <w:tcW w:w="7035" w:type="dxa"/>
            <w:gridSpan w:val="3"/>
            <w:tcBorders>
              <w:top w:val="nil"/>
              <w:left w:val="nil"/>
              <w:bottom w:val="single" w:color="000000" w:sz="6" w:space="0"/>
              <w:right w:val="single" w:color="000000" w:sz="6" w:space="0"/>
            </w:tcBorders>
            <w:shd w:val="clear" w:color="auto" w:fill="FFFFFF"/>
            <w:vAlign w:val="center"/>
          </w:tcPr>
          <w:p w14:paraId="4F160001">
            <w:pPr>
              <w:wordWrap w:val="0"/>
              <w:spacing w:line="315" w:lineRule="exact"/>
              <w:ind w:firstLine="210" w:firstLineChars="100"/>
              <w:jc w:val="left"/>
            </w:pPr>
            <w:r>
              <w:rPr>
                <w:rFonts w:ascii="宋体" w:hAnsi="宋体" w:eastAsia="宋体" w:cs="宋体"/>
                <w:color w:val="000000"/>
              </w:rPr>
              <w:t> 1.所有楼宇内施工，必须先经过物业备案，方可进场施工。</w:t>
            </w:r>
          </w:p>
          <w:p w14:paraId="1A0B05F9">
            <w:pPr>
              <w:wordWrap w:val="0"/>
              <w:spacing w:line="315" w:lineRule="exact"/>
              <w:ind w:firstLine="210" w:firstLineChars="100"/>
              <w:jc w:val="left"/>
            </w:pPr>
            <w:r>
              <w:rPr>
                <w:rFonts w:ascii="宋体" w:hAnsi="宋体" w:eastAsia="宋体" w:cs="宋体"/>
                <w:color w:val="000000"/>
              </w:rPr>
              <w:t> 2.施工涉及到水电线路改造或增加用电设备、负荷等需附能源管理科《南京财经大学新增用电设备用电安全检查及安装可行性分析申请表》。</w:t>
            </w:r>
          </w:p>
          <w:p w14:paraId="33F0F29B">
            <w:pPr>
              <w:wordWrap w:val="0"/>
              <w:spacing w:line="315" w:lineRule="exact"/>
              <w:ind w:firstLine="210" w:firstLineChars="100"/>
              <w:jc w:val="left"/>
            </w:pPr>
            <w:r>
              <w:rPr>
                <w:rFonts w:ascii="宋体" w:hAnsi="宋体" w:eastAsia="宋体" w:cs="宋体"/>
                <w:color w:val="000000"/>
              </w:rPr>
              <w:t> 3.施工方需对施工现场做有效的安全及环境防护措施，除必要的施工内容条件外，不得破坏原有的设施设备。</w:t>
            </w:r>
          </w:p>
          <w:p w14:paraId="3D97F349">
            <w:pPr>
              <w:wordWrap w:val="0"/>
              <w:spacing w:line="315" w:lineRule="exact"/>
              <w:ind w:firstLine="210" w:firstLineChars="100"/>
              <w:jc w:val="left"/>
            </w:pPr>
            <w:r>
              <w:rPr>
                <w:rFonts w:ascii="宋体" w:hAnsi="宋体" w:eastAsia="宋体" w:cs="宋体"/>
                <w:color w:val="000000"/>
              </w:rPr>
              <w:t> 4.所产生的施工垃圾由施工方在工程结束时清运出校园，进场前根据施工可能产生的垃圾量需向物业交纳垃圾清运保证金（2000元-5000元），施工结束后，物业对环境验收合格后退还垃圾清运保证金。</w:t>
            </w:r>
          </w:p>
        </w:tc>
      </w:tr>
    </w:tbl>
    <w:p w14:paraId="4F452C90">
      <w:pPr>
        <w:wordWrap w:val="0"/>
        <w:spacing w:line="360" w:lineRule="exact"/>
        <w:ind w:firstLine="210" w:firstLineChars="100"/>
        <w:jc w:val="left"/>
      </w:pPr>
    </w:p>
    <w:p w14:paraId="2BCB74F1">
      <w:pPr>
        <w:wordWrap w:val="0"/>
        <w:spacing w:line="360" w:lineRule="exact"/>
        <w:ind w:firstLine="210" w:firstLineChars="100"/>
        <w:jc w:val="left"/>
      </w:pPr>
    </w:p>
    <w:p w14:paraId="37521938">
      <w:pPr>
        <w:wordWrap w:val="0"/>
        <w:spacing w:line="360" w:lineRule="exact"/>
        <w:ind w:firstLine="210" w:firstLineChars="100"/>
        <w:jc w:val="left"/>
      </w:pPr>
    </w:p>
    <w:p w14:paraId="639E40C0">
      <w:pPr>
        <w:wordWrap w:val="0"/>
        <w:spacing w:line="360" w:lineRule="exact"/>
        <w:jc w:val="left"/>
      </w:pPr>
      <w:r>
        <w:rPr>
          <w:rFonts w:ascii="宋体" w:hAnsi="宋体" w:eastAsia="宋体" w:cs="宋体"/>
          <w:color w:val="000000"/>
          <w:sz w:val="24"/>
        </w:rPr>
        <w:t>附件20：</w:t>
      </w:r>
    </w:p>
    <w:p w14:paraId="4926E38F">
      <w:pPr>
        <w:wordWrap w:val="0"/>
        <w:spacing w:line="360" w:lineRule="exact"/>
        <w:ind w:firstLine="210" w:firstLineChars="100"/>
        <w:jc w:val="left"/>
      </w:pPr>
    </w:p>
    <w:p w14:paraId="73F4CEAC">
      <w:pPr>
        <w:wordWrap w:val="0"/>
        <w:spacing w:line="360" w:lineRule="exact"/>
        <w:jc w:val="center"/>
      </w:pPr>
      <w:r>
        <w:rPr>
          <w:rFonts w:ascii="宋体" w:hAnsi="宋体" w:eastAsia="宋体" w:cs="宋体"/>
          <w:b/>
          <w:color w:val="000000"/>
          <w:sz w:val="24"/>
        </w:rPr>
        <w:t>南京财经大学用电安全巡查管理办法（试行）</w:t>
      </w:r>
    </w:p>
    <w:p w14:paraId="11A981A4">
      <w:pPr>
        <w:wordWrap w:val="0"/>
        <w:spacing w:line="360" w:lineRule="exact"/>
        <w:jc w:val="center"/>
      </w:pPr>
      <w:r>
        <w:rPr>
          <w:rFonts w:ascii="宋体" w:hAnsi="宋体" w:eastAsia="宋体" w:cs="宋体"/>
          <w:color w:val="000000"/>
          <w:sz w:val="24"/>
        </w:rPr>
        <w:t>南财大后字〔2020〕1 号</w:t>
      </w:r>
    </w:p>
    <w:p w14:paraId="2EDF2C72">
      <w:pPr>
        <w:wordWrap w:val="0"/>
        <w:spacing w:line="360" w:lineRule="exact"/>
        <w:jc w:val="center"/>
      </w:pPr>
      <w:r>
        <w:rPr>
          <w:rFonts w:ascii="宋体" w:hAnsi="宋体" w:eastAsia="宋体" w:cs="宋体"/>
          <w:b/>
          <w:color w:val="000000"/>
          <w:sz w:val="24"/>
        </w:rPr>
        <w:t>第一章 总则</w:t>
      </w:r>
    </w:p>
    <w:p w14:paraId="42B8F046">
      <w:pPr>
        <w:wordWrap w:val="0"/>
        <w:spacing w:line="360" w:lineRule="exact"/>
        <w:jc w:val="left"/>
      </w:pPr>
      <w:r>
        <w:rPr>
          <w:rFonts w:ascii="宋体" w:hAnsi="宋体" w:eastAsia="宋体" w:cs="宋体"/>
          <w:color w:val="000000"/>
          <w:sz w:val="24"/>
        </w:rPr>
        <w:t>第一条 为保证学校用电设施设备正常使用，及时发现解决存在的安全隐患，进一步推进精细化管理，落实工作责任，切实保障用电安全，根据《中华人民共和国安全生产法》《江苏省安全生产条例》等法律、行政法规，结合学校实际，制定本办法。</w:t>
      </w:r>
    </w:p>
    <w:p w14:paraId="4BE6859F">
      <w:pPr>
        <w:wordWrap w:val="0"/>
        <w:spacing w:line="360" w:lineRule="exact"/>
        <w:jc w:val="left"/>
      </w:pPr>
      <w:r>
        <w:rPr>
          <w:rFonts w:ascii="宋体" w:hAnsi="宋体" w:eastAsia="宋体" w:cs="宋体"/>
          <w:color w:val="000000"/>
          <w:sz w:val="24"/>
        </w:rPr>
        <w:t>第二条 校内各用电单位的用电安全巡查及其相关监督管理适用本办法。</w:t>
      </w:r>
    </w:p>
    <w:p w14:paraId="65A0F695">
      <w:pPr>
        <w:wordWrap w:val="0"/>
        <w:spacing w:line="360" w:lineRule="exact"/>
        <w:jc w:val="left"/>
      </w:pPr>
      <w:r>
        <w:rPr>
          <w:rFonts w:ascii="宋体" w:hAnsi="宋体" w:eastAsia="宋体" w:cs="宋体"/>
          <w:color w:val="000000"/>
          <w:sz w:val="24"/>
        </w:rPr>
        <w:t>第三条 用电安全巡查工作应当坚持安全第一、预防为主、综合治理的方针，按照管教学、管科研、管服务必须同时管用电安全和谁主管、谁负责的原则，落实各单位的主体责任，加大监管力度，确保用电安全。</w:t>
      </w:r>
    </w:p>
    <w:p w14:paraId="6B209974">
      <w:pPr>
        <w:wordWrap w:val="0"/>
        <w:spacing w:line="360" w:lineRule="exact"/>
        <w:jc w:val="left"/>
      </w:pPr>
      <w:r>
        <w:rPr>
          <w:rFonts w:ascii="宋体" w:hAnsi="宋体" w:eastAsia="宋体" w:cs="宋体"/>
          <w:color w:val="000000"/>
          <w:sz w:val="24"/>
        </w:rPr>
        <w:t>第四条 各用电单位是用电安全巡查的责任主体，必须遵守本办法和有关安全生产法律、法规，落实用电安全巡查责任，健全用电安全巡查保障措施，确保用电安全。各单位的主要负责人对本单位的用电安全巡查工作全面负责，其他责任人在各自业务范围内履行用电安全巡查工作职责。</w:t>
      </w:r>
    </w:p>
    <w:p w14:paraId="5CABE37C">
      <w:pPr>
        <w:wordWrap w:val="0"/>
        <w:spacing w:line="360" w:lineRule="exact"/>
        <w:jc w:val="left"/>
      </w:pPr>
      <w:r>
        <w:rPr>
          <w:rFonts w:ascii="宋体" w:hAnsi="宋体" w:eastAsia="宋体" w:cs="宋体"/>
          <w:color w:val="000000"/>
          <w:sz w:val="24"/>
        </w:rPr>
        <w:t>第五条 学校基建后勤工作领导小组对用电安全巡查工作统一领导，确定有关单位的用电安全管理职责，对有关单位用电安全巡查工作开展情况进行监督检查，听取用电安全巡查工作情况汇报，研究部署用电安全巡查工作的重大事项。</w:t>
      </w:r>
    </w:p>
    <w:p w14:paraId="4942FF10">
      <w:pPr>
        <w:wordWrap w:val="0"/>
        <w:spacing w:line="360" w:lineRule="exact"/>
        <w:jc w:val="left"/>
      </w:pPr>
      <w:r>
        <w:rPr>
          <w:rFonts w:ascii="宋体" w:hAnsi="宋体" w:eastAsia="宋体" w:cs="宋体"/>
          <w:color w:val="000000"/>
          <w:sz w:val="24"/>
        </w:rPr>
        <w:t>后勤保障处按照职责，落实一级配电房及公共区域用电安全日常巡查工作，对各单位用电安全巡查工作的开展进行指导，提出保障安全用电的建议，督促纠正违规用电行为、整改事故隐患，向学校基建后勤工作领导小组汇报用电安全巡查工作开展情况。</w:t>
      </w:r>
    </w:p>
    <w:p w14:paraId="2A3FDBAF">
      <w:pPr>
        <w:wordWrap w:val="0"/>
        <w:spacing w:line="360" w:lineRule="exact"/>
        <w:jc w:val="left"/>
      </w:pPr>
      <w:r>
        <w:rPr>
          <w:rFonts w:ascii="宋体" w:hAnsi="宋体" w:eastAsia="宋体" w:cs="宋体"/>
          <w:color w:val="000000"/>
          <w:sz w:val="24"/>
        </w:rPr>
        <w:t>各单位按照职责，落实相关区域的用电安全巡查责任，制定用电安全巡查工作计划，指定专人进行用电安全巡查。</w:t>
      </w:r>
    </w:p>
    <w:p w14:paraId="6EDB9E5D">
      <w:pPr>
        <w:wordWrap w:val="0"/>
        <w:spacing w:line="360" w:lineRule="exact"/>
        <w:jc w:val="left"/>
      </w:pPr>
      <w:r>
        <w:rPr>
          <w:rFonts w:ascii="宋体" w:hAnsi="宋体" w:eastAsia="宋体" w:cs="宋体"/>
          <w:color w:val="000000"/>
          <w:sz w:val="24"/>
        </w:rPr>
        <w:t>第六条 各单位应加强对本单位人员安全用电知识的宣传教育，增强安全用电意识，提高防范用电安全事故的能力。</w:t>
      </w:r>
    </w:p>
    <w:p w14:paraId="7A575529">
      <w:pPr>
        <w:wordWrap w:val="0"/>
        <w:spacing w:line="360" w:lineRule="exact"/>
        <w:jc w:val="center"/>
      </w:pPr>
      <w:r>
        <w:rPr>
          <w:rFonts w:ascii="宋体" w:hAnsi="宋体" w:eastAsia="宋体" w:cs="宋体"/>
          <w:b/>
          <w:color w:val="000000"/>
          <w:sz w:val="24"/>
        </w:rPr>
        <w:t>第二章 用电安全巡查职责</w:t>
      </w:r>
    </w:p>
    <w:p w14:paraId="036AFE02">
      <w:pPr>
        <w:wordWrap w:val="0"/>
        <w:spacing w:line="360" w:lineRule="exact"/>
        <w:jc w:val="left"/>
      </w:pPr>
      <w:r>
        <w:rPr>
          <w:rFonts w:ascii="宋体" w:hAnsi="宋体" w:eastAsia="宋体" w:cs="宋体"/>
          <w:color w:val="000000"/>
          <w:sz w:val="24"/>
        </w:rPr>
        <w:t>第七条 后勤保障处职责</w:t>
      </w:r>
    </w:p>
    <w:p w14:paraId="3A9F4CCC">
      <w:pPr>
        <w:wordWrap w:val="0"/>
        <w:spacing w:line="360" w:lineRule="exact"/>
        <w:jc w:val="left"/>
      </w:pPr>
      <w:r>
        <w:rPr>
          <w:rFonts w:ascii="宋体" w:hAnsi="宋体" w:eastAsia="宋体" w:cs="宋体"/>
          <w:color w:val="000000"/>
          <w:sz w:val="24"/>
        </w:rPr>
        <w:t>（一）负责学校一级配电房、水泵房及部分公共区域用电安全日常巡查工作。本办法所称一级配电房是指：仙林校区中心配电房及 14 个分配电房；福建路校区综合楼配电房、十五亩地配电房。本办法所称部分公共区域巡查工作由后勤保障处依据实际需求指定执行。</w:t>
      </w:r>
    </w:p>
    <w:p w14:paraId="0C51FF2F">
      <w:pPr>
        <w:wordWrap w:val="0"/>
        <w:spacing w:line="360" w:lineRule="exact"/>
        <w:jc w:val="left"/>
      </w:pPr>
      <w:r>
        <w:rPr>
          <w:rFonts w:ascii="宋体" w:hAnsi="宋体" w:eastAsia="宋体" w:cs="宋体"/>
          <w:color w:val="000000"/>
          <w:sz w:val="24"/>
        </w:rPr>
        <w:t>（二）负责对各单位用电安全巡查工作的开展进行指导、检查、提出保障安全用电的建议，督促纠正违规用电行为，整改事故隐患，并向学校基建后勤工作领导小组汇报用电安全巡查工作开展情况。</w:t>
      </w:r>
    </w:p>
    <w:p w14:paraId="40B77615">
      <w:pPr>
        <w:wordWrap w:val="0"/>
        <w:spacing w:line="360" w:lineRule="exact"/>
        <w:jc w:val="left"/>
      </w:pPr>
      <w:r>
        <w:rPr>
          <w:rFonts w:ascii="宋体" w:hAnsi="宋体" w:eastAsia="宋体" w:cs="宋体"/>
          <w:color w:val="000000"/>
          <w:sz w:val="24"/>
        </w:rPr>
        <w:t>第八条 各部门（学院）职责</w:t>
      </w:r>
    </w:p>
    <w:p w14:paraId="5939CC75">
      <w:pPr>
        <w:wordWrap w:val="0"/>
        <w:spacing w:line="360" w:lineRule="exact"/>
        <w:jc w:val="left"/>
      </w:pPr>
      <w:r>
        <w:rPr>
          <w:rFonts w:ascii="宋体" w:hAnsi="宋体" w:eastAsia="宋体" w:cs="宋体"/>
          <w:color w:val="000000"/>
          <w:sz w:val="24"/>
        </w:rPr>
        <w:t>各部门（学院）要切实落实部门安全管理主体责任及岗位安全责任，自查日常工作使用的办公室、实验室等区域的用电设备设施，认真细致地查找安全隐患，做好安全防范工作，确保用电规范、安全。</w:t>
      </w:r>
    </w:p>
    <w:p w14:paraId="196593A0">
      <w:pPr>
        <w:wordWrap w:val="0"/>
        <w:spacing w:line="360" w:lineRule="exact"/>
        <w:jc w:val="left"/>
      </w:pPr>
      <w:r>
        <w:rPr>
          <w:rFonts w:ascii="宋体" w:hAnsi="宋体" w:eastAsia="宋体" w:cs="宋体"/>
          <w:color w:val="000000"/>
          <w:sz w:val="24"/>
        </w:rPr>
        <w:t>第九条 各物业公司、餐饮公司职责</w:t>
      </w:r>
    </w:p>
    <w:p w14:paraId="68DD22E9">
      <w:pPr>
        <w:wordWrap w:val="0"/>
        <w:spacing w:line="360" w:lineRule="exact"/>
        <w:jc w:val="left"/>
      </w:pPr>
      <w:r>
        <w:rPr>
          <w:rFonts w:ascii="宋体" w:hAnsi="宋体" w:eastAsia="宋体" w:cs="宋体"/>
          <w:color w:val="000000"/>
          <w:sz w:val="24"/>
        </w:rPr>
        <w:t>各物业公司、餐饮公司必须严格落实管理范围内楼宇安全巡查责任，并树立“安全第一”的思想，切实保证设备的安全运行，避免用电安全事故出现。</w:t>
      </w:r>
    </w:p>
    <w:p w14:paraId="069130EB">
      <w:pPr>
        <w:wordWrap w:val="0"/>
        <w:spacing w:line="360" w:lineRule="exact"/>
        <w:jc w:val="left"/>
      </w:pPr>
      <w:r>
        <w:rPr>
          <w:rFonts w:ascii="宋体" w:hAnsi="宋体" w:eastAsia="宋体" w:cs="宋体"/>
          <w:color w:val="000000"/>
          <w:sz w:val="24"/>
        </w:rPr>
        <w:t>（一）负责各管理范围内楼宇、公共设施、楼层配电间、配电箱、开关盒、照明、插座等用电设备巡查。</w:t>
      </w:r>
    </w:p>
    <w:p w14:paraId="0B0E6CE8">
      <w:pPr>
        <w:wordWrap w:val="0"/>
        <w:spacing w:line="360" w:lineRule="exact"/>
        <w:jc w:val="left"/>
      </w:pPr>
      <w:r>
        <w:rPr>
          <w:rFonts w:ascii="宋体" w:hAnsi="宋体" w:eastAsia="宋体" w:cs="宋体"/>
          <w:color w:val="000000"/>
          <w:sz w:val="24"/>
        </w:rPr>
        <w:t>（二）负责相关管理范围内学生宿舍、临工宿舍、教师公寓内配电箱、开关盒、照明、插座等用电设备巡查。</w:t>
      </w:r>
    </w:p>
    <w:p w14:paraId="4374C956">
      <w:pPr>
        <w:wordWrap w:val="0"/>
        <w:spacing w:line="360" w:lineRule="exact"/>
        <w:jc w:val="left"/>
      </w:pPr>
      <w:r>
        <w:rPr>
          <w:rFonts w:ascii="宋体" w:hAnsi="宋体" w:eastAsia="宋体" w:cs="宋体"/>
          <w:color w:val="000000"/>
          <w:sz w:val="24"/>
        </w:rPr>
        <w:t>（三）负责相关管理范围内各餐厅、堂口内配电箱、开关盒、照明、插座等用电设备巡查。</w:t>
      </w:r>
    </w:p>
    <w:p w14:paraId="725CC5E6">
      <w:pPr>
        <w:wordWrap w:val="0"/>
        <w:spacing w:line="360" w:lineRule="exact"/>
        <w:jc w:val="left"/>
      </w:pPr>
      <w:r>
        <w:rPr>
          <w:rFonts w:ascii="宋体" w:hAnsi="宋体" w:eastAsia="宋体" w:cs="宋体"/>
          <w:color w:val="000000"/>
          <w:sz w:val="24"/>
        </w:rPr>
        <w:t>第十条 门面房经营户职责</w:t>
      </w:r>
    </w:p>
    <w:p w14:paraId="6C210AB4">
      <w:pPr>
        <w:wordWrap w:val="0"/>
        <w:spacing w:line="360" w:lineRule="exact"/>
        <w:jc w:val="left"/>
      </w:pPr>
      <w:r>
        <w:rPr>
          <w:rFonts w:ascii="宋体" w:hAnsi="宋体" w:eastAsia="宋体" w:cs="宋体"/>
          <w:color w:val="000000"/>
          <w:sz w:val="24"/>
        </w:rPr>
        <w:t>主管单位要切实明确各门面房经营户为用电安全第一责任人，对营业范围内的门面房区域承担用电安全责任。</w:t>
      </w:r>
    </w:p>
    <w:p w14:paraId="4AA488DC">
      <w:pPr>
        <w:wordWrap w:val="0"/>
        <w:spacing w:line="360" w:lineRule="exact"/>
        <w:jc w:val="left"/>
      </w:pPr>
      <w:r>
        <w:rPr>
          <w:rFonts w:ascii="宋体" w:hAnsi="宋体" w:eastAsia="宋体" w:cs="宋体"/>
          <w:color w:val="000000"/>
          <w:sz w:val="24"/>
        </w:rPr>
        <w:t>（一）各门面房经营户承诺在工作及经营活动中，认真履行用电安全职责，切实做好本责任区内的用电安全工作。</w:t>
      </w:r>
    </w:p>
    <w:p w14:paraId="2523484D">
      <w:pPr>
        <w:wordWrap w:val="0"/>
        <w:spacing w:line="360" w:lineRule="exact"/>
        <w:jc w:val="left"/>
      </w:pPr>
      <w:r>
        <w:rPr>
          <w:rFonts w:ascii="宋体" w:hAnsi="宋体" w:eastAsia="宋体" w:cs="宋体"/>
          <w:color w:val="000000"/>
          <w:sz w:val="24"/>
        </w:rPr>
        <w:t>（二）各门面房经营户有义务积极配合、支持学校相关部门组织的安全检查工作，并根据检查结果积极整改到位。</w:t>
      </w:r>
    </w:p>
    <w:p w14:paraId="5599666C">
      <w:pPr>
        <w:wordWrap w:val="0"/>
        <w:spacing w:line="360" w:lineRule="exact"/>
        <w:jc w:val="center"/>
      </w:pPr>
      <w:r>
        <w:rPr>
          <w:rFonts w:ascii="宋体" w:hAnsi="宋体" w:eastAsia="宋体" w:cs="宋体"/>
          <w:b/>
          <w:color w:val="000000"/>
          <w:sz w:val="24"/>
        </w:rPr>
        <w:t>第三章 用电安全巡查要求</w:t>
      </w:r>
    </w:p>
    <w:p w14:paraId="78FB1CC4">
      <w:pPr>
        <w:wordWrap w:val="0"/>
        <w:spacing w:line="360" w:lineRule="exact"/>
        <w:jc w:val="left"/>
      </w:pPr>
      <w:r>
        <w:rPr>
          <w:rFonts w:ascii="宋体" w:hAnsi="宋体" w:eastAsia="宋体" w:cs="宋体"/>
          <w:color w:val="000000"/>
          <w:sz w:val="24"/>
        </w:rPr>
        <w:t>第十一条 后勤保障处巡查要求</w:t>
      </w:r>
    </w:p>
    <w:p w14:paraId="548B7BBF">
      <w:pPr>
        <w:wordWrap w:val="0"/>
        <w:spacing w:line="360" w:lineRule="exact"/>
        <w:jc w:val="left"/>
      </w:pPr>
      <w:r>
        <w:rPr>
          <w:rFonts w:ascii="宋体" w:hAnsi="宋体" w:eastAsia="宋体" w:cs="宋体"/>
          <w:color w:val="000000"/>
          <w:sz w:val="24"/>
        </w:rPr>
        <w:t>（一）一级配电房、水泵房巡查要求</w:t>
      </w:r>
    </w:p>
    <w:p w14:paraId="061721A3">
      <w:pPr>
        <w:wordWrap w:val="0"/>
        <w:spacing w:line="360" w:lineRule="exact"/>
        <w:jc w:val="left"/>
      </w:pPr>
      <w:r>
        <w:rPr>
          <w:rFonts w:ascii="宋体" w:hAnsi="宋体" w:eastAsia="宋体" w:cs="宋体"/>
          <w:color w:val="000000"/>
          <w:sz w:val="24"/>
        </w:rPr>
        <w:t>1.一级配电房、水泵房巡查工作由两校区配电房值班人员执行。值班人员必须认真检查各配电房、水泵房设备运行情况，对异常状态做到及时发现、认真分析、正确处理，做好记录并及时汇报，确保师生教学、办公、生活的供电、供水正常。</w:t>
      </w:r>
    </w:p>
    <w:p w14:paraId="40721620">
      <w:pPr>
        <w:wordWrap w:val="0"/>
        <w:spacing w:line="360" w:lineRule="exact"/>
        <w:jc w:val="left"/>
      </w:pPr>
      <w:r>
        <w:rPr>
          <w:rFonts w:ascii="宋体" w:hAnsi="宋体" w:eastAsia="宋体" w:cs="宋体"/>
          <w:color w:val="000000"/>
          <w:sz w:val="24"/>
        </w:rPr>
        <w:t>2.巡查频次为每日两次，如遇设备缺陷、极端天气、大型活动等特殊情况时，根据要求增加巡查次数。</w:t>
      </w:r>
    </w:p>
    <w:p w14:paraId="73C78E08">
      <w:pPr>
        <w:wordWrap w:val="0"/>
        <w:spacing w:line="360" w:lineRule="exact"/>
        <w:jc w:val="left"/>
      </w:pPr>
      <w:r>
        <w:rPr>
          <w:rFonts w:ascii="宋体" w:hAnsi="宋体" w:eastAsia="宋体" w:cs="宋体"/>
          <w:color w:val="000000"/>
          <w:sz w:val="24"/>
        </w:rPr>
        <w:t>3.中心变电所以及各分配电房均配有值班记录本，巡查人员完成巡查任务后，需在值班记录本上签字确认。</w:t>
      </w:r>
    </w:p>
    <w:p w14:paraId="49A0C2E4">
      <w:pPr>
        <w:wordWrap w:val="0"/>
        <w:spacing w:line="360" w:lineRule="exact"/>
        <w:jc w:val="left"/>
      </w:pPr>
      <w:r>
        <w:rPr>
          <w:rFonts w:ascii="宋体" w:hAnsi="宋体" w:eastAsia="宋体" w:cs="宋体"/>
          <w:color w:val="000000"/>
          <w:sz w:val="24"/>
        </w:rPr>
        <w:t>（二）部分公共区域巡查要求</w:t>
      </w:r>
    </w:p>
    <w:p w14:paraId="37617394">
      <w:pPr>
        <w:wordWrap w:val="0"/>
        <w:spacing w:line="360" w:lineRule="exact"/>
        <w:jc w:val="left"/>
      </w:pPr>
      <w:r>
        <w:rPr>
          <w:rFonts w:ascii="宋体" w:hAnsi="宋体" w:eastAsia="宋体" w:cs="宋体"/>
          <w:color w:val="000000"/>
          <w:sz w:val="24"/>
        </w:rPr>
        <w:t>后勤保障处配备专业技术人员进行部分公共区域的用电安全巡查工作。</w:t>
      </w:r>
    </w:p>
    <w:p w14:paraId="309BCAEF">
      <w:pPr>
        <w:wordWrap w:val="0"/>
        <w:spacing w:line="360" w:lineRule="exact"/>
        <w:jc w:val="left"/>
      </w:pPr>
      <w:r>
        <w:rPr>
          <w:rFonts w:ascii="宋体" w:hAnsi="宋体" w:eastAsia="宋体" w:cs="宋体"/>
          <w:color w:val="000000"/>
          <w:sz w:val="24"/>
        </w:rPr>
        <w:t>1.用电安全巡查员巡查时应佩戴并出示证件，向被检查单位相关工作人员介绍巡查目的、工作内容，并请支持配合巡查工作。</w:t>
      </w:r>
    </w:p>
    <w:p w14:paraId="63C50851">
      <w:pPr>
        <w:wordWrap w:val="0"/>
        <w:spacing w:line="360" w:lineRule="exact"/>
        <w:jc w:val="left"/>
      </w:pPr>
      <w:r>
        <w:rPr>
          <w:rFonts w:ascii="宋体" w:hAnsi="宋体" w:eastAsia="宋体" w:cs="宋体"/>
          <w:color w:val="000000"/>
          <w:sz w:val="24"/>
        </w:rPr>
        <w:t>2.巡查时需注意规范操作，注意安全，防止发生安全事故。</w:t>
      </w:r>
    </w:p>
    <w:p w14:paraId="18DCEEEF">
      <w:pPr>
        <w:wordWrap w:val="0"/>
        <w:spacing w:line="360" w:lineRule="exact"/>
        <w:jc w:val="left"/>
      </w:pPr>
      <w:r>
        <w:rPr>
          <w:rFonts w:ascii="宋体" w:hAnsi="宋体" w:eastAsia="宋体" w:cs="宋体"/>
          <w:color w:val="000000"/>
          <w:sz w:val="24"/>
        </w:rPr>
        <w:t>3.巡查时须按照检查内容逐项排查，逐条记录存在隐患，必要时对隐患部位拍照存档。</w:t>
      </w:r>
    </w:p>
    <w:p w14:paraId="6EC702B0">
      <w:pPr>
        <w:wordWrap w:val="0"/>
        <w:spacing w:line="360" w:lineRule="exact"/>
        <w:jc w:val="left"/>
      </w:pPr>
      <w:r>
        <w:rPr>
          <w:rFonts w:ascii="宋体" w:hAnsi="宋体" w:eastAsia="宋体" w:cs="宋体"/>
          <w:color w:val="000000"/>
          <w:sz w:val="24"/>
        </w:rPr>
        <w:t>4.巡查地点、时间、频次由后勤保障处依据实际需求指定执行。</w:t>
      </w:r>
    </w:p>
    <w:p w14:paraId="63BF1F28">
      <w:pPr>
        <w:wordWrap w:val="0"/>
        <w:spacing w:line="360" w:lineRule="exact"/>
        <w:jc w:val="left"/>
      </w:pPr>
      <w:r>
        <w:rPr>
          <w:rFonts w:ascii="宋体" w:hAnsi="宋体" w:eastAsia="宋体" w:cs="宋体"/>
          <w:color w:val="000000"/>
          <w:sz w:val="24"/>
        </w:rPr>
        <w:t>第十二条 各部门（学院）巡查要求</w:t>
      </w:r>
    </w:p>
    <w:p w14:paraId="361B403C">
      <w:pPr>
        <w:wordWrap w:val="0"/>
        <w:spacing w:line="360" w:lineRule="exact"/>
        <w:jc w:val="left"/>
      </w:pPr>
      <w:r>
        <w:rPr>
          <w:rFonts w:ascii="宋体" w:hAnsi="宋体" w:eastAsia="宋体" w:cs="宋体"/>
          <w:color w:val="000000"/>
          <w:sz w:val="24"/>
        </w:rPr>
        <w:t>（一）巡查重点</w:t>
      </w:r>
    </w:p>
    <w:p w14:paraId="4E7C1D8E">
      <w:pPr>
        <w:wordWrap w:val="0"/>
        <w:spacing w:line="360" w:lineRule="exact"/>
        <w:jc w:val="left"/>
      </w:pPr>
      <w:r>
        <w:rPr>
          <w:rFonts w:ascii="宋体" w:hAnsi="宋体" w:eastAsia="宋体" w:cs="宋体"/>
          <w:color w:val="000000"/>
          <w:sz w:val="24"/>
        </w:rPr>
        <w:t>1.办公室、实验室等室内部位切实做到人离灯关，用电设备（空调、电脑、复印机、打印机等）使用完毕后及时关闭电源。</w:t>
      </w:r>
    </w:p>
    <w:p w14:paraId="0A86AFAC">
      <w:pPr>
        <w:wordWrap w:val="0"/>
        <w:spacing w:line="360" w:lineRule="exact"/>
        <w:jc w:val="left"/>
      </w:pPr>
      <w:r>
        <w:rPr>
          <w:rFonts w:ascii="宋体" w:hAnsi="宋体" w:eastAsia="宋体" w:cs="宋体"/>
          <w:color w:val="000000"/>
          <w:sz w:val="24"/>
        </w:rPr>
        <w:t>2.插座处有无烧焦烧糊痕迹。</w:t>
      </w:r>
    </w:p>
    <w:p w14:paraId="6C0E2037">
      <w:pPr>
        <w:wordWrap w:val="0"/>
        <w:spacing w:line="360" w:lineRule="exact"/>
        <w:jc w:val="left"/>
      </w:pPr>
      <w:r>
        <w:rPr>
          <w:rFonts w:ascii="宋体" w:hAnsi="宋体" w:eastAsia="宋体" w:cs="宋体"/>
          <w:color w:val="000000"/>
          <w:sz w:val="24"/>
        </w:rPr>
        <w:t>3.线路有无老化、裸露、破皮现象。</w:t>
      </w:r>
    </w:p>
    <w:p w14:paraId="74F6C9CD">
      <w:pPr>
        <w:wordWrap w:val="0"/>
        <w:spacing w:line="360" w:lineRule="exact"/>
        <w:jc w:val="left"/>
      </w:pPr>
      <w:r>
        <w:rPr>
          <w:rFonts w:ascii="宋体" w:hAnsi="宋体" w:eastAsia="宋体" w:cs="宋体"/>
          <w:color w:val="000000"/>
          <w:sz w:val="24"/>
        </w:rPr>
        <w:t>4.有无私拉乱接电线或排插，尤其是空调等大功率电器未按要求使用专用插座，利用插排接线的情况。</w:t>
      </w:r>
    </w:p>
    <w:p w14:paraId="3AA8A600">
      <w:pPr>
        <w:wordWrap w:val="0"/>
        <w:spacing w:line="360" w:lineRule="exact"/>
        <w:jc w:val="left"/>
      </w:pPr>
      <w:r>
        <w:rPr>
          <w:rFonts w:ascii="宋体" w:hAnsi="宋体" w:eastAsia="宋体" w:cs="宋体"/>
          <w:color w:val="000000"/>
          <w:sz w:val="24"/>
        </w:rPr>
        <w:t>5.有无使用“三无”产品、不合格产品、劣质产品和自制的用电设备。</w:t>
      </w:r>
    </w:p>
    <w:p w14:paraId="72F51075">
      <w:pPr>
        <w:wordWrap w:val="0"/>
        <w:spacing w:line="360" w:lineRule="exact"/>
        <w:jc w:val="left"/>
      </w:pPr>
      <w:r>
        <w:rPr>
          <w:rFonts w:ascii="宋体" w:hAnsi="宋体" w:eastAsia="宋体" w:cs="宋体"/>
          <w:color w:val="000000"/>
          <w:sz w:val="24"/>
        </w:rPr>
        <w:t>（二）巡查频次</w:t>
      </w:r>
    </w:p>
    <w:p w14:paraId="3E855D21">
      <w:pPr>
        <w:wordWrap w:val="0"/>
        <w:spacing w:line="360" w:lineRule="exact"/>
        <w:jc w:val="left"/>
      </w:pPr>
      <w:r>
        <w:rPr>
          <w:rFonts w:ascii="宋体" w:hAnsi="宋体" w:eastAsia="宋体" w:cs="宋体"/>
          <w:color w:val="000000"/>
          <w:sz w:val="24"/>
        </w:rPr>
        <w:t>各部门（学院）老师应当坚持不定时、不定期自查，对工作区域内的安全隐患做到及时发现、及时上报、及时解决，杜绝安全事故发生。</w:t>
      </w:r>
    </w:p>
    <w:p w14:paraId="1D5281F3">
      <w:pPr>
        <w:wordWrap w:val="0"/>
        <w:spacing w:line="360" w:lineRule="exact"/>
        <w:jc w:val="left"/>
      </w:pPr>
      <w:r>
        <w:rPr>
          <w:rFonts w:ascii="宋体" w:hAnsi="宋体" w:eastAsia="宋体" w:cs="宋体"/>
          <w:color w:val="000000"/>
          <w:sz w:val="24"/>
        </w:rPr>
        <w:t>第十三条 各物业公司、餐饮公司巡查要求</w:t>
      </w:r>
    </w:p>
    <w:p w14:paraId="014FFB48">
      <w:pPr>
        <w:wordWrap w:val="0"/>
        <w:spacing w:line="360" w:lineRule="exact"/>
        <w:jc w:val="left"/>
      </w:pPr>
      <w:r>
        <w:rPr>
          <w:rFonts w:ascii="宋体" w:hAnsi="宋体" w:eastAsia="宋体" w:cs="宋体"/>
          <w:color w:val="000000"/>
          <w:sz w:val="24"/>
        </w:rPr>
        <w:t>各物业公司、餐饮公司应配备有用电专业技术人员，坚持常态巡查。</w:t>
      </w:r>
    </w:p>
    <w:p w14:paraId="7467AEE1">
      <w:pPr>
        <w:wordWrap w:val="0"/>
        <w:spacing w:line="360" w:lineRule="exact"/>
        <w:jc w:val="left"/>
      </w:pPr>
      <w:r>
        <w:rPr>
          <w:rFonts w:ascii="宋体" w:hAnsi="宋体" w:eastAsia="宋体" w:cs="宋体"/>
          <w:color w:val="000000"/>
          <w:sz w:val="24"/>
        </w:rPr>
        <w:t>（一）巡查重点</w:t>
      </w:r>
    </w:p>
    <w:p w14:paraId="48ACD0A5">
      <w:pPr>
        <w:wordWrap w:val="0"/>
        <w:spacing w:line="360" w:lineRule="exact"/>
        <w:jc w:val="left"/>
      </w:pPr>
      <w:r>
        <w:rPr>
          <w:rFonts w:ascii="宋体" w:hAnsi="宋体" w:eastAsia="宋体" w:cs="宋体"/>
          <w:color w:val="000000"/>
          <w:sz w:val="24"/>
        </w:rPr>
        <w:t>管理范围内的楼宇，学生宿舍、餐厅、堂口内公共设施、配电间、配电箱、开关盒、照明、插座等用电设备巡查。</w:t>
      </w:r>
    </w:p>
    <w:p w14:paraId="28CD2654">
      <w:pPr>
        <w:wordWrap w:val="0"/>
        <w:spacing w:line="360" w:lineRule="exact"/>
        <w:jc w:val="left"/>
      </w:pPr>
      <w:r>
        <w:rPr>
          <w:rFonts w:ascii="宋体" w:hAnsi="宋体" w:eastAsia="宋体" w:cs="宋体"/>
          <w:color w:val="000000"/>
          <w:sz w:val="24"/>
        </w:rPr>
        <w:t>（二）巡查频次</w:t>
      </w:r>
    </w:p>
    <w:p w14:paraId="61443CEE">
      <w:pPr>
        <w:wordWrap w:val="0"/>
        <w:spacing w:line="360" w:lineRule="exact"/>
        <w:jc w:val="left"/>
      </w:pPr>
      <w:r>
        <w:rPr>
          <w:rFonts w:ascii="宋体" w:hAnsi="宋体" w:eastAsia="宋体" w:cs="宋体"/>
          <w:color w:val="000000"/>
          <w:sz w:val="24"/>
        </w:rPr>
        <w:t>一般区域每半月巡查一次。行政楼、大学生活动中心、体育馆、食工楼等重点区域每周巡查一次。</w:t>
      </w:r>
    </w:p>
    <w:p w14:paraId="11E25D31">
      <w:pPr>
        <w:wordWrap w:val="0"/>
        <w:spacing w:line="360" w:lineRule="exact"/>
        <w:jc w:val="left"/>
      </w:pPr>
      <w:r>
        <w:rPr>
          <w:rFonts w:ascii="宋体" w:hAnsi="宋体" w:eastAsia="宋体" w:cs="宋体"/>
          <w:color w:val="000000"/>
          <w:sz w:val="24"/>
        </w:rPr>
        <w:t>（三）巡查人员要求</w:t>
      </w:r>
    </w:p>
    <w:p w14:paraId="341DD567">
      <w:pPr>
        <w:wordWrap w:val="0"/>
        <w:spacing w:line="360" w:lineRule="exact"/>
        <w:jc w:val="left"/>
      </w:pPr>
      <w:r>
        <w:rPr>
          <w:rFonts w:ascii="宋体" w:hAnsi="宋体" w:eastAsia="宋体" w:cs="宋体"/>
          <w:color w:val="000000"/>
          <w:sz w:val="24"/>
        </w:rPr>
        <w:t>1.巡查员应掌握有关专业技术，熟悉安全方面有关规定。</w:t>
      </w:r>
    </w:p>
    <w:p w14:paraId="77909786">
      <w:pPr>
        <w:wordWrap w:val="0"/>
        <w:spacing w:line="360" w:lineRule="exact"/>
        <w:jc w:val="left"/>
      </w:pPr>
      <w:r>
        <w:rPr>
          <w:rFonts w:ascii="宋体" w:hAnsi="宋体" w:eastAsia="宋体" w:cs="宋体"/>
          <w:color w:val="000000"/>
          <w:sz w:val="24"/>
        </w:rPr>
        <w:t>2.巡查时需配备常用的工具，如验电笔、万用表、螺丝刀、绝缘手套等。</w:t>
      </w:r>
    </w:p>
    <w:p w14:paraId="0111D7FC">
      <w:pPr>
        <w:wordWrap w:val="0"/>
        <w:spacing w:line="360" w:lineRule="exact"/>
        <w:jc w:val="left"/>
      </w:pPr>
      <w:r>
        <w:rPr>
          <w:rFonts w:ascii="宋体" w:hAnsi="宋体" w:eastAsia="宋体" w:cs="宋体"/>
          <w:color w:val="000000"/>
          <w:sz w:val="24"/>
        </w:rPr>
        <w:t>3.巡查需触及带电设备金属外壳、构架前要先验电，防止漏电造成触电事故。</w:t>
      </w:r>
    </w:p>
    <w:p w14:paraId="24978C08">
      <w:pPr>
        <w:wordWrap w:val="0"/>
        <w:spacing w:line="360" w:lineRule="exact"/>
        <w:jc w:val="left"/>
      </w:pPr>
      <w:r>
        <w:rPr>
          <w:rFonts w:ascii="宋体" w:hAnsi="宋体" w:eastAsia="宋体" w:cs="宋体"/>
          <w:color w:val="000000"/>
          <w:sz w:val="24"/>
        </w:rPr>
        <w:t>4.巡查时各楼宇配电间内需进行打扫，保持室内环境整洁。</w:t>
      </w:r>
    </w:p>
    <w:p w14:paraId="64E3CC32">
      <w:pPr>
        <w:wordWrap w:val="0"/>
        <w:spacing w:line="360" w:lineRule="exact"/>
        <w:jc w:val="left"/>
      </w:pPr>
      <w:r>
        <w:rPr>
          <w:rFonts w:ascii="宋体" w:hAnsi="宋体" w:eastAsia="宋体" w:cs="宋体"/>
          <w:color w:val="000000"/>
          <w:sz w:val="24"/>
        </w:rPr>
        <w:t>第十四条 门面房经营户巡查要求</w:t>
      </w:r>
    </w:p>
    <w:p w14:paraId="121D95D6">
      <w:pPr>
        <w:wordWrap w:val="0"/>
        <w:spacing w:line="360" w:lineRule="exact"/>
        <w:jc w:val="left"/>
      </w:pPr>
      <w:r>
        <w:rPr>
          <w:rFonts w:ascii="宋体" w:hAnsi="宋体" w:eastAsia="宋体" w:cs="宋体"/>
          <w:color w:val="000000"/>
          <w:sz w:val="24"/>
        </w:rPr>
        <w:t>（一）巡查重点</w:t>
      </w:r>
    </w:p>
    <w:p w14:paraId="1409F1AF">
      <w:pPr>
        <w:wordWrap w:val="0"/>
        <w:spacing w:line="360" w:lineRule="exact"/>
        <w:jc w:val="left"/>
      </w:pPr>
      <w:r>
        <w:rPr>
          <w:rFonts w:ascii="宋体" w:hAnsi="宋体" w:eastAsia="宋体" w:cs="宋体"/>
          <w:color w:val="000000"/>
          <w:sz w:val="24"/>
        </w:rPr>
        <w:t>1.经营使用区域的内部电路结构是否完好，是否存在私拉乱接、超负荷使用大功率电器设备的情况。</w:t>
      </w:r>
    </w:p>
    <w:p w14:paraId="5C89903A">
      <w:pPr>
        <w:wordWrap w:val="0"/>
        <w:spacing w:line="360" w:lineRule="exact"/>
        <w:jc w:val="left"/>
      </w:pPr>
      <w:r>
        <w:rPr>
          <w:rFonts w:ascii="宋体" w:hAnsi="宋体" w:eastAsia="宋体" w:cs="宋体"/>
          <w:color w:val="000000"/>
          <w:sz w:val="24"/>
        </w:rPr>
        <w:t>2.自查经营使用区域内的配电箱、开关盒、照明、插座等用电设备。</w:t>
      </w:r>
    </w:p>
    <w:p w14:paraId="246EF01E">
      <w:pPr>
        <w:wordWrap w:val="0"/>
        <w:spacing w:line="360" w:lineRule="exact"/>
        <w:jc w:val="left"/>
      </w:pPr>
      <w:r>
        <w:rPr>
          <w:rFonts w:ascii="宋体" w:hAnsi="宋体" w:eastAsia="宋体" w:cs="宋体"/>
          <w:color w:val="000000"/>
          <w:sz w:val="24"/>
        </w:rPr>
        <w:t>（二）巡查频次</w:t>
      </w:r>
    </w:p>
    <w:p w14:paraId="4EFE69B7">
      <w:pPr>
        <w:wordWrap w:val="0"/>
        <w:spacing w:line="360" w:lineRule="exact"/>
        <w:jc w:val="left"/>
      </w:pPr>
      <w:r>
        <w:rPr>
          <w:rFonts w:ascii="宋体" w:hAnsi="宋体" w:eastAsia="宋体" w:cs="宋体"/>
          <w:color w:val="000000"/>
          <w:sz w:val="24"/>
        </w:rPr>
        <w:t>各门面房经营户应当坚持不定时、不定期自查，对经营使用区域内的安全隐患做到及时发现、及时解决，杜绝安全事故发生。</w:t>
      </w:r>
    </w:p>
    <w:p w14:paraId="112A81E0">
      <w:pPr>
        <w:wordWrap w:val="0"/>
        <w:spacing w:line="360" w:lineRule="exact"/>
        <w:jc w:val="left"/>
      </w:pPr>
      <w:r>
        <w:rPr>
          <w:rFonts w:ascii="宋体" w:hAnsi="宋体" w:eastAsia="宋体" w:cs="宋体"/>
          <w:color w:val="000000"/>
          <w:sz w:val="24"/>
        </w:rPr>
        <w:t>第十五条 巡查记录及隐患处置</w:t>
      </w:r>
    </w:p>
    <w:p w14:paraId="26C53389">
      <w:pPr>
        <w:wordWrap w:val="0"/>
        <w:spacing w:line="360" w:lineRule="exact"/>
        <w:jc w:val="left"/>
      </w:pPr>
      <w:r>
        <w:rPr>
          <w:rFonts w:ascii="宋体" w:hAnsi="宋体" w:eastAsia="宋体" w:cs="宋体"/>
          <w:color w:val="000000"/>
          <w:sz w:val="24"/>
        </w:rPr>
        <w:t>（一）巡查人员在巡查时应按要求如实填写《南京财经大学用电安全巡查表》（详见附件 1），认真记录隐患，必要时对隐患部位拍照并汇总存档。</w:t>
      </w:r>
    </w:p>
    <w:p w14:paraId="7656DB58">
      <w:pPr>
        <w:wordWrap w:val="0"/>
        <w:spacing w:line="360" w:lineRule="exact"/>
        <w:jc w:val="left"/>
      </w:pPr>
      <w:r>
        <w:rPr>
          <w:rFonts w:ascii="宋体" w:hAnsi="宋体" w:eastAsia="宋体" w:cs="宋体"/>
          <w:color w:val="000000"/>
          <w:sz w:val="24"/>
        </w:rPr>
        <w:t>（二）巡查人员在巡查时发现问题应当及时记录，并依据职责分类解决问题。</w:t>
      </w:r>
    </w:p>
    <w:p w14:paraId="7D29B13B">
      <w:pPr>
        <w:wordWrap w:val="0"/>
        <w:spacing w:line="360" w:lineRule="exact"/>
        <w:jc w:val="left"/>
      </w:pPr>
      <w:r>
        <w:rPr>
          <w:rFonts w:ascii="宋体" w:hAnsi="宋体" w:eastAsia="宋体" w:cs="宋体"/>
          <w:color w:val="000000"/>
          <w:sz w:val="24"/>
        </w:rPr>
        <w:t>1.巡查时发现的一般性问题，应及时核实情况，在物业、餐饮管理范围内的，及时处置，排除隐患；超出管理范围的，及时上报主管部门并按照程序处理解决。</w:t>
      </w:r>
    </w:p>
    <w:p w14:paraId="438124C9">
      <w:pPr>
        <w:wordWrap w:val="0"/>
        <w:spacing w:line="360" w:lineRule="exact"/>
        <w:jc w:val="left"/>
      </w:pPr>
      <w:r>
        <w:rPr>
          <w:rFonts w:ascii="宋体" w:hAnsi="宋体" w:eastAsia="宋体" w:cs="宋体"/>
          <w:color w:val="000000"/>
          <w:sz w:val="24"/>
        </w:rPr>
        <w:t>2.巡查时发现的属紧急安全隐患的，在具备紧急处理条件的情况下，先行处理将危险性降至最低；不具备先行处理条件的，应立即上报主管部门，针对现场情况做相应处置。</w:t>
      </w:r>
    </w:p>
    <w:p w14:paraId="4C6D12B4">
      <w:pPr>
        <w:wordWrap w:val="0"/>
        <w:spacing w:line="360" w:lineRule="exact"/>
        <w:jc w:val="left"/>
      </w:pPr>
      <w:r>
        <w:rPr>
          <w:rFonts w:ascii="宋体" w:hAnsi="宋体" w:eastAsia="宋体" w:cs="宋体"/>
          <w:color w:val="000000"/>
          <w:sz w:val="24"/>
        </w:rPr>
        <w:t>3.巡查时遇特殊设备故障或影响正常运行的，巡查人员应及时通知相关建设单位予以处理，同时做好报修记录及复查工作。</w:t>
      </w:r>
    </w:p>
    <w:p w14:paraId="0F735B82">
      <w:pPr>
        <w:wordWrap w:val="0"/>
        <w:spacing w:line="360" w:lineRule="exact"/>
        <w:jc w:val="center"/>
      </w:pPr>
      <w:r>
        <w:rPr>
          <w:rFonts w:ascii="宋体" w:hAnsi="宋体" w:eastAsia="宋体" w:cs="宋体"/>
          <w:b/>
          <w:color w:val="000000"/>
          <w:sz w:val="24"/>
        </w:rPr>
        <w:t>第四章 监督与检查</w:t>
      </w:r>
    </w:p>
    <w:p w14:paraId="578A5514">
      <w:pPr>
        <w:wordWrap w:val="0"/>
        <w:spacing w:line="360" w:lineRule="exact"/>
        <w:jc w:val="left"/>
      </w:pPr>
      <w:r>
        <w:rPr>
          <w:rFonts w:ascii="宋体" w:hAnsi="宋体" w:eastAsia="宋体" w:cs="宋体"/>
          <w:color w:val="000000"/>
          <w:sz w:val="24"/>
        </w:rPr>
        <w:t>第十六条 后勤保障处设置用电安全巡查员，对校内相关区域开展用电安全巡查，协助并指导各区域的用电安全巡查，及时发现并排除安全隐患。</w:t>
      </w:r>
    </w:p>
    <w:p w14:paraId="70EECBB6">
      <w:pPr>
        <w:wordWrap w:val="0"/>
        <w:spacing w:line="360" w:lineRule="exact"/>
        <w:jc w:val="left"/>
      </w:pPr>
      <w:r>
        <w:rPr>
          <w:rFonts w:ascii="宋体" w:hAnsi="宋体" w:eastAsia="宋体" w:cs="宋体"/>
          <w:color w:val="000000"/>
          <w:sz w:val="24"/>
        </w:rPr>
        <w:t>第十七条 后勤保障处设置用电安全巡查工作小组，加强校内各区域用电安全管理，提高事故隐患排查、整改能力。</w:t>
      </w:r>
    </w:p>
    <w:p w14:paraId="1409F118">
      <w:pPr>
        <w:wordWrap w:val="0"/>
        <w:spacing w:line="360" w:lineRule="exact"/>
        <w:jc w:val="left"/>
      </w:pPr>
      <w:r>
        <w:rPr>
          <w:rFonts w:ascii="宋体" w:hAnsi="宋体" w:eastAsia="宋体" w:cs="宋体"/>
          <w:color w:val="000000"/>
          <w:sz w:val="24"/>
        </w:rPr>
        <w:t>工作小组会定期对校内各用电区域进行抽查，对各区域用电安全巡查工作的落实情况进行监督，对发现的问题督促整改，尽最大可能杜绝各类安全事故的发生。</w:t>
      </w:r>
    </w:p>
    <w:p w14:paraId="5C72CF74">
      <w:pPr>
        <w:wordWrap w:val="0"/>
        <w:spacing w:line="360" w:lineRule="exact"/>
        <w:jc w:val="left"/>
      </w:pPr>
      <w:r>
        <w:rPr>
          <w:rFonts w:ascii="宋体" w:hAnsi="宋体" w:eastAsia="宋体" w:cs="宋体"/>
          <w:color w:val="000000"/>
          <w:sz w:val="24"/>
        </w:rPr>
        <w:t>第十八条 用电安全巡查工作小组将根据用电安全巡查隐患排查情况，结合校园节能监管平台监测数据，对隐患排查及整改落实情况进行不定期通报。</w:t>
      </w:r>
    </w:p>
    <w:p w14:paraId="3B8D75A6">
      <w:pPr>
        <w:wordWrap w:val="0"/>
        <w:spacing w:line="360" w:lineRule="exact"/>
        <w:jc w:val="center"/>
      </w:pPr>
      <w:r>
        <w:rPr>
          <w:rFonts w:ascii="宋体" w:hAnsi="宋体" w:eastAsia="宋体" w:cs="宋体"/>
          <w:b/>
          <w:color w:val="000000"/>
          <w:sz w:val="24"/>
        </w:rPr>
        <w:t>第五章 责任和责任追究</w:t>
      </w:r>
    </w:p>
    <w:p w14:paraId="3CE73959">
      <w:pPr>
        <w:wordWrap w:val="0"/>
        <w:spacing w:line="360" w:lineRule="exact"/>
        <w:jc w:val="left"/>
      </w:pPr>
      <w:r>
        <w:rPr>
          <w:rFonts w:ascii="宋体" w:hAnsi="宋体" w:eastAsia="宋体" w:cs="宋体"/>
          <w:color w:val="000000"/>
          <w:sz w:val="24"/>
        </w:rPr>
        <w:t>第十九条 各单位应明确用电安全巡查责任人和联系人，填写《南京财经大学用电安全巡查责任人及联系人备案表》（详见附件 2），报后勤保障处备案。</w:t>
      </w:r>
    </w:p>
    <w:p w14:paraId="0D8FCF38">
      <w:pPr>
        <w:wordWrap w:val="0"/>
        <w:spacing w:line="360" w:lineRule="exact"/>
        <w:jc w:val="left"/>
      </w:pPr>
      <w:r>
        <w:rPr>
          <w:rFonts w:ascii="宋体" w:hAnsi="宋体" w:eastAsia="宋体" w:cs="宋体"/>
          <w:color w:val="000000"/>
          <w:sz w:val="24"/>
        </w:rPr>
        <w:t>第二十条 各单位应落实好相关责任区域的用电安全巡查工作，并做好问题的跟踪处理。针对因用电安全导致事故的部门或学院，视情节轻重，依据相关规定给予处理，情节严重的须在学校信息门户进行通报，严格责任追究。</w:t>
      </w:r>
    </w:p>
    <w:p w14:paraId="610D608C">
      <w:pPr>
        <w:wordWrap w:val="0"/>
        <w:spacing w:line="360" w:lineRule="exact"/>
        <w:jc w:val="left"/>
      </w:pPr>
      <w:r>
        <w:rPr>
          <w:rFonts w:ascii="宋体" w:hAnsi="宋体" w:eastAsia="宋体" w:cs="宋体"/>
          <w:color w:val="000000"/>
          <w:sz w:val="24"/>
        </w:rPr>
        <w:t>第二十一条 对各责任区域具体负责巡查工作的人员，如因工作不力，造成后果的，视情节轻重，依据相关规定给予处理。</w:t>
      </w:r>
    </w:p>
    <w:p w14:paraId="593DC675">
      <w:pPr>
        <w:wordWrap w:val="0"/>
        <w:spacing w:line="360" w:lineRule="exact"/>
        <w:jc w:val="center"/>
      </w:pPr>
      <w:r>
        <w:rPr>
          <w:rFonts w:ascii="宋体" w:hAnsi="宋体" w:eastAsia="宋体" w:cs="宋体"/>
          <w:b/>
          <w:color w:val="000000"/>
          <w:sz w:val="24"/>
        </w:rPr>
        <w:t>第六章 附则</w:t>
      </w:r>
    </w:p>
    <w:p w14:paraId="31F34A0D">
      <w:pPr>
        <w:wordWrap w:val="0"/>
        <w:spacing w:line="360" w:lineRule="exact"/>
        <w:jc w:val="left"/>
      </w:pPr>
      <w:r>
        <w:rPr>
          <w:rFonts w:ascii="宋体" w:hAnsi="宋体" w:eastAsia="宋体" w:cs="宋体"/>
          <w:color w:val="000000"/>
          <w:sz w:val="24"/>
        </w:rPr>
        <w:t>第二十二条 本办法自公布之日起施行。</w:t>
      </w:r>
    </w:p>
    <w:p w14:paraId="5D6C9C81">
      <w:pPr>
        <w:wordWrap w:val="0"/>
        <w:spacing w:line="360" w:lineRule="exact"/>
        <w:jc w:val="left"/>
      </w:pPr>
      <w:r>
        <w:rPr>
          <w:rFonts w:ascii="宋体" w:hAnsi="宋体" w:eastAsia="宋体" w:cs="宋体"/>
          <w:color w:val="000000"/>
          <w:sz w:val="24"/>
        </w:rPr>
        <w:t>第二十三条 本办法由后勤保障处负责解释。</w:t>
      </w:r>
    </w:p>
    <w:p w14:paraId="2ABCDB27">
      <w:pPr>
        <w:wordWrap w:val="0"/>
        <w:spacing w:line="360" w:lineRule="exact"/>
        <w:jc w:val="left"/>
      </w:pPr>
      <w:r>
        <w:rPr>
          <w:rFonts w:ascii="宋体" w:hAnsi="宋体" w:eastAsia="宋体" w:cs="宋体"/>
          <w:color w:val="000000"/>
          <w:sz w:val="24"/>
        </w:rPr>
        <w:t>附件：1.《南京财经大学用电安全巡查表》</w:t>
      </w:r>
    </w:p>
    <w:p w14:paraId="2A303C4A">
      <w:pPr>
        <w:wordWrap w:val="0"/>
        <w:spacing w:line="360" w:lineRule="exact"/>
        <w:ind w:firstLine="240" w:firstLineChars="100"/>
        <w:jc w:val="left"/>
      </w:pPr>
      <w:r>
        <w:rPr>
          <w:rFonts w:ascii="宋体" w:hAnsi="宋体" w:eastAsia="宋体" w:cs="宋体"/>
          <w:color w:val="000000"/>
          <w:sz w:val="24"/>
        </w:rPr>
        <w:t>2.《南京财经大学用电安全巡查责任人及联系人备案表》</w:t>
      </w:r>
    </w:p>
    <w:p w14:paraId="1785A38C">
      <w:pPr>
        <w:wordWrap w:val="0"/>
        <w:spacing w:line="360" w:lineRule="exact"/>
        <w:ind w:firstLine="210" w:firstLineChars="100"/>
        <w:jc w:val="left"/>
      </w:pPr>
    </w:p>
    <w:p w14:paraId="7CE00254">
      <w:pPr>
        <w:wordWrap w:val="0"/>
        <w:spacing w:line="360" w:lineRule="exact"/>
        <w:jc w:val="right"/>
      </w:pPr>
      <w:r>
        <w:rPr>
          <w:rFonts w:ascii="宋体" w:hAnsi="宋体" w:eastAsia="宋体" w:cs="宋体"/>
          <w:color w:val="000000"/>
          <w:sz w:val="24"/>
        </w:rPr>
        <w:t>2020 年 6 月 23 日</w:t>
      </w:r>
    </w:p>
    <w:p w14:paraId="38C653DE">
      <w:pPr>
        <w:wordWrap w:val="0"/>
        <w:spacing w:line="360" w:lineRule="exact"/>
        <w:ind w:firstLine="210" w:firstLineChars="100"/>
        <w:jc w:val="left"/>
      </w:pPr>
    </w:p>
    <w:p w14:paraId="2B8C2F29">
      <w:pPr>
        <w:wordWrap w:val="0"/>
        <w:spacing w:line="360" w:lineRule="exact"/>
        <w:ind w:firstLine="210" w:firstLineChars="100"/>
        <w:jc w:val="left"/>
      </w:pPr>
    </w:p>
    <w:tbl>
      <w:tblPr>
        <w:tblStyle w:val="5"/>
        <w:tblW w:w="9600" w:type="dxa"/>
        <w:jc w:val="center"/>
        <w:tblBorders>
          <w:top w:val="none" w:color="auto" w:sz="0" w:space="0"/>
          <w:left w:val="none" w:color="auto" w:sz="0" w:space="0"/>
          <w:bottom w:val="none" w:color="auto" w:sz="0" w:space="0"/>
          <w:right w:val="none" w:color="auto" w:sz="0" w:space="0"/>
          <w:insideH w:val="single" w:color="auto" w:sz="0" w:space="0"/>
          <w:insideV w:val="single" w:color="auto" w:sz="0" w:space="0"/>
        </w:tblBorders>
        <w:tblLayout w:type="autofit"/>
        <w:tblCellMar>
          <w:top w:w="0" w:type="dxa"/>
          <w:left w:w="10" w:type="dxa"/>
          <w:bottom w:w="0" w:type="dxa"/>
          <w:right w:w="10" w:type="dxa"/>
        </w:tblCellMar>
      </w:tblPr>
      <w:tblGrid>
        <w:gridCol w:w="823"/>
        <w:gridCol w:w="1310"/>
        <w:gridCol w:w="3246"/>
        <w:gridCol w:w="899"/>
        <w:gridCol w:w="1417"/>
        <w:gridCol w:w="1112"/>
        <w:gridCol w:w="793"/>
      </w:tblGrid>
      <w:tr w14:paraId="0190219B">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9450" w:type="dxa"/>
            <w:gridSpan w:val="7"/>
            <w:tcBorders>
              <w:top w:val="nil"/>
              <w:left w:val="nil"/>
              <w:bottom w:val="nil"/>
              <w:right w:val="nil"/>
            </w:tcBorders>
            <w:vAlign w:val="center"/>
          </w:tcPr>
          <w:p w14:paraId="3BFA049F">
            <w:pPr>
              <w:wordWrap w:val="0"/>
              <w:spacing w:line="315" w:lineRule="exact"/>
              <w:jc w:val="center"/>
            </w:pPr>
            <w:r>
              <w:rPr>
                <w:rFonts w:ascii="宋体" w:hAnsi="宋体" w:eastAsia="宋体" w:cs="宋体"/>
                <w:color w:val="000000"/>
              </w:rPr>
              <w:t>南京财经大学日常用电安全巡查表（配电箱）</w:t>
            </w:r>
          </w:p>
        </w:tc>
      </w:tr>
      <w:tr w14:paraId="058B1C85">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810" w:type="dxa"/>
            <w:tcBorders>
              <w:top w:val="nil"/>
              <w:left w:val="nil"/>
              <w:bottom w:val="single" w:color="000000" w:sz="6" w:space="0"/>
              <w:right w:val="nil"/>
            </w:tcBorders>
            <w:vAlign w:val="center"/>
          </w:tcPr>
          <w:p w14:paraId="1165E29F">
            <w:pPr>
              <w:wordWrap w:val="0"/>
              <w:spacing w:line="315" w:lineRule="exact"/>
              <w:ind w:firstLine="210" w:firstLineChars="100"/>
              <w:jc w:val="center"/>
            </w:pPr>
          </w:p>
        </w:tc>
        <w:tc>
          <w:tcPr>
            <w:tcW w:w="1290" w:type="dxa"/>
            <w:tcBorders>
              <w:top w:val="nil"/>
              <w:left w:val="nil"/>
              <w:bottom w:val="single" w:color="000000" w:sz="6" w:space="0"/>
              <w:right w:val="nil"/>
            </w:tcBorders>
            <w:vAlign w:val="center"/>
          </w:tcPr>
          <w:p w14:paraId="0CB3A0CB">
            <w:pPr>
              <w:wordWrap w:val="0"/>
              <w:spacing w:line="315" w:lineRule="exact"/>
              <w:jc w:val="center"/>
            </w:pPr>
            <w:r>
              <w:rPr>
                <w:rFonts w:ascii="宋体" w:hAnsi="宋体" w:eastAsia="宋体" w:cs="宋体"/>
                <w:color w:val="000000"/>
              </w:rPr>
              <w:t>检查建筑：</w:t>
            </w:r>
          </w:p>
        </w:tc>
        <w:tc>
          <w:tcPr>
            <w:tcW w:w="3195" w:type="dxa"/>
            <w:tcBorders>
              <w:top w:val="nil"/>
              <w:left w:val="nil"/>
              <w:bottom w:val="single" w:color="000000" w:sz="6" w:space="0"/>
              <w:right w:val="nil"/>
            </w:tcBorders>
            <w:vAlign w:val="center"/>
          </w:tcPr>
          <w:p w14:paraId="622C3F1C">
            <w:pPr>
              <w:wordWrap w:val="0"/>
              <w:spacing w:line="315" w:lineRule="exact"/>
              <w:jc w:val="right"/>
            </w:pPr>
            <w:r>
              <w:rPr>
                <w:rFonts w:ascii="宋体" w:hAnsi="宋体" w:eastAsia="宋体" w:cs="宋体"/>
                <w:color w:val="000000"/>
              </w:rPr>
              <w:t>检查人：</w:t>
            </w:r>
          </w:p>
        </w:tc>
        <w:tc>
          <w:tcPr>
            <w:tcW w:w="885" w:type="dxa"/>
            <w:tcBorders>
              <w:top w:val="nil"/>
              <w:left w:val="nil"/>
              <w:bottom w:val="single" w:color="000000" w:sz="6" w:space="0"/>
              <w:right w:val="nil"/>
            </w:tcBorders>
            <w:vAlign w:val="center"/>
          </w:tcPr>
          <w:p w14:paraId="567DEF92">
            <w:pPr>
              <w:wordWrap w:val="0"/>
              <w:spacing w:line="315" w:lineRule="exact"/>
              <w:ind w:firstLine="210" w:firstLineChars="100"/>
              <w:jc w:val="center"/>
            </w:pPr>
          </w:p>
        </w:tc>
        <w:tc>
          <w:tcPr>
            <w:tcW w:w="1395" w:type="dxa"/>
            <w:tcBorders>
              <w:top w:val="nil"/>
              <w:left w:val="nil"/>
              <w:bottom w:val="single" w:color="000000" w:sz="6" w:space="0"/>
              <w:right w:val="nil"/>
            </w:tcBorders>
            <w:vAlign w:val="center"/>
          </w:tcPr>
          <w:p w14:paraId="385CA6D4">
            <w:pPr>
              <w:wordWrap w:val="0"/>
              <w:spacing w:line="315" w:lineRule="exact"/>
              <w:jc w:val="right"/>
            </w:pPr>
            <w:r>
              <w:rPr>
                <w:rFonts w:ascii="宋体" w:hAnsi="宋体" w:eastAsia="宋体" w:cs="宋体"/>
                <w:color w:val="000000"/>
              </w:rPr>
              <w:t>检查时间：</w:t>
            </w:r>
          </w:p>
        </w:tc>
        <w:tc>
          <w:tcPr>
            <w:tcW w:w="1095" w:type="dxa"/>
            <w:tcBorders>
              <w:top w:val="nil"/>
              <w:left w:val="nil"/>
              <w:bottom w:val="single" w:color="000000" w:sz="6" w:space="0"/>
              <w:right w:val="nil"/>
            </w:tcBorders>
            <w:vAlign w:val="center"/>
          </w:tcPr>
          <w:p w14:paraId="5578F758">
            <w:pPr>
              <w:wordWrap w:val="0"/>
              <w:spacing w:line="315" w:lineRule="exact"/>
              <w:ind w:firstLine="210" w:firstLineChars="100"/>
              <w:jc w:val="center"/>
            </w:pPr>
          </w:p>
        </w:tc>
        <w:tc>
          <w:tcPr>
            <w:tcW w:w="765" w:type="dxa"/>
            <w:tcBorders>
              <w:top w:val="nil"/>
              <w:left w:val="nil"/>
              <w:bottom w:val="single" w:color="000000" w:sz="6" w:space="0"/>
              <w:right w:val="nil"/>
            </w:tcBorders>
            <w:vAlign w:val="center"/>
          </w:tcPr>
          <w:p w14:paraId="1CB5CD21">
            <w:pPr>
              <w:wordWrap w:val="0"/>
              <w:spacing w:line="315" w:lineRule="exact"/>
              <w:ind w:firstLine="210" w:firstLineChars="100"/>
              <w:jc w:val="center"/>
            </w:pPr>
          </w:p>
        </w:tc>
      </w:tr>
      <w:tr w14:paraId="66E40DB8">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810" w:type="dxa"/>
            <w:vMerge w:val="restart"/>
            <w:tcBorders>
              <w:top w:val="nil"/>
              <w:left w:val="single" w:color="000000" w:sz="6" w:space="0"/>
              <w:bottom w:val="single" w:color="000000" w:sz="6" w:space="0"/>
              <w:right w:val="single" w:color="000000" w:sz="6" w:space="0"/>
            </w:tcBorders>
            <w:vAlign w:val="center"/>
          </w:tcPr>
          <w:p w14:paraId="44D1D044">
            <w:pPr>
              <w:wordWrap w:val="0"/>
              <w:spacing w:line="315" w:lineRule="exact"/>
              <w:jc w:val="center"/>
            </w:pPr>
            <w:r>
              <w:rPr>
                <w:rFonts w:ascii="宋体" w:hAnsi="宋体" w:eastAsia="宋体" w:cs="宋体"/>
                <w:color w:val="000000"/>
              </w:rPr>
              <w:t>序号</w:t>
            </w:r>
          </w:p>
        </w:tc>
        <w:tc>
          <w:tcPr>
            <w:tcW w:w="1290" w:type="dxa"/>
            <w:vMerge w:val="restart"/>
            <w:tcBorders>
              <w:top w:val="nil"/>
              <w:left w:val="nil"/>
              <w:bottom w:val="single" w:color="000000" w:sz="6" w:space="0"/>
              <w:right w:val="single" w:color="000000" w:sz="6" w:space="0"/>
            </w:tcBorders>
            <w:vAlign w:val="center"/>
          </w:tcPr>
          <w:p w14:paraId="402F9227">
            <w:pPr>
              <w:wordWrap w:val="0"/>
              <w:spacing w:line="315" w:lineRule="exact"/>
              <w:jc w:val="center"/>
            </w:pPr>
            <w:r>
              <w:rPr>
                <w:rFonts w:ascii="宋体" w:hAnsi="宋体" w:eastAsia="宋体" w:cs="宋体"/>
                <w:color w:val="000000"/>
              </w:rPr>
              <w:t>设备位置</w:t>
            </w:r>
          </w:p>
        </w:tc>
        <w:tc>
          <w:tcPr>
            <w:tcW w:w="3195" w:type="dxa"/>
            <w:vMerge w:val="restart"/>
            <w:tcBorders>
              <w:top w:val="nil"/>
              <w:left w:val="nil"/>
              <w:bottom w:val="single" w:color="000000" w:sz="6" w:space="0"/>
              <w:right w:val="single" w:color="000000" w:sz="6" w:space="0"/>
            </w:tcBorders>
            <w:vAlign w:val="center"/>
          </w:tcPr>
          <w:p w14:paraId="7C06A6A6">
            <w:pPr>
              <w:wordWrap w:val="0"/>
              <w:spacing w:line="315" w:lineRule="exact"/>
              <w:jc w:val="center"/>
            </w:pPr>
            <w:r>
              <w:rPr>
                <w:rFonts w:ascii="宋体" w:hAnsi="宋体" w:eastAsia="宋体" w:cs="宋体"/>
                <w:color w:val="000000"/>
              </w:rPr>
              <w:t>检查内容</w:t>
            </w:r>
          </w:p>
        </w:tc>
        <w:tc>
          <w:tcPr>
            <w:tcW w:w="3375" w:type="dxa"/>
            <w:gridSpan w:val="3"/>
            <w:tcBorders>
              <w:top w:val="nil"/>
              <w:left w:val="nil"/>
              <w:bottom w:val="single" w:color="000000" w:sz="6" w:space="0"/>
              <w:right w:val="single" w:color="000000" w:sz="6" w:space="0"/>
            </w:tcBorders>
            <w:vAlign w:val="center"/>
          </w:tcPr>
          <w:p w14:paraId="26342F42">
            <w:pPr>
              <w:wordWrap w:val="0"/>
              <w:spacing w:line="315" w:lineRule="exact"/>
              <w:jc w:val="center"/>
            </w:pPr>
            <w:r>
              <w:rPr>
                <w:rFonts w:ascii="宋体" w:hAnsi="宋体" w:eastAsia="宋体" w:cs="宋体"/>
                <w:color w:val="000000"/>
              </w:rPr>
              <w:t>检查结果</w:t>
            </w:r>
          </w:p>
        </w:tc>
        <w:tc>
          <w:tcPr>
            <w:tcW w:w="765" w:type="dxa"/>
            <w:vMerge w:val="restart"/>
            <w:tcBorders>
              <w:top w:val="nil"/>
              <w:left w:val="nil"/>
              <w:bottom w:val="single" w:color="000000" w:sz="6" w:space="0"/>
              <w:right w:val="single" w:color="000000" w:sz="6" w:space="0"/>
            </w:tcBorders>
            <w:vAlign w:val="center"/>
          </w:tcPr>
          <w:p w14:paraId="3B05C1AE">
            <w:pPr>
              <w:wordWrap w:val="0"/>
              <w:spacing w:line="315" w:lineRule="exact"/>
              <w:jc w:val="center"/>
            </w:pPr>
            <w:r>
              <w:rPr>
                <w:rFonts w:ascii="宋体" w:hAnsi="宋体" w:eastAsia="宋体" w:cs="宋体"/>
                <w:color w:val="000000"/>
              </w:rPr>
              <w:t>备注</w:t>
            </w:r>
          </w:p>
        </w:tc>
      </w:tr>
      <w:tr w14:paraId="473D0AB2">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810" w:type="dxa"/>
            <w:vMerge w:val="continue"/>
            <w:tcBorders>
              <w:top w:val="nil"/>
              <w:left w:val="single" w:color="000000" w:sz="6" w:space="0"/>
              <w:bottom w:val="single" w:color="000000" w:sz="6" w:space="0"/>
              <w:right w:val="single" w:color="000000" w:sz="6" w:space="0"/>
            </w:tcBorders>
          </w:tcPr>
          <w:p w14:paraId="55EF400E"/>
        </w:tc>
        <w:tc>
          <w:tcPr>
            <w:tcW w:w="1290" w:type="dxa"/>
            <w:vMerge w:val="continue"/>
            <w:tcBorders>
              <w:top w:val="nil"/>
              <w:left w:val="nil"/>
              <w:bottom w:val="single" w:color="000000" w:sz="6" w:space="0"/>
              <w:right w:val="single" w:color="000000" w:sz="6" w:space="0"/>
            </w:tcBorders>
          </w:tcPr>
          <w:p w14:paraId="56794EB9"/>
        </w:tc>
        <w:tc>
          <w:tcPr>
            <w:tcW w:w="3195" w:type="dxa"/>
            <w:vMerge w:val="continue"/>
            <w:tcBorders>
              <w:top w:val="nil"/>
              <w:left w:val="nil"/>
              <w:bottom w:val="single" w:color="000000" w:sz="6" w:space="0"/>
              <w:right w:val="single" w:color="000000" w:sz="6" w:space="0"/>
            </w:tcBorders>
          </w:tcPr>
          <w:p w14:paraId="06CDEFCB"/>
        </w:tc>
        <w:tc>
          <w:tcPr>
            <w:tcW w:w="885" w:type="dxa"/>
            <w:tcBorders>
              <w:top w:val="nil"/>
              <w:left w:val="nil"/>
              <w:bottom w:val="single" w:color="000000" w:sz="6" w:space="0"/>
              <w:right w:val="single" w:color="000000" w:sz="6" w:space="0"/>
            </w:tcBorders>
            <w:vAlign w:val="center"/>
          </w:tcPr>
          <w:p w14:paraId="2574F765">
            <w:pPr>
              <w:wordWrap w:val="0"/>
              <w:spacing w:line="315" w:lineRule="exact"/>
              <w:jc w:val="center"/>
            </w:pPr>
            <w:r>
              <w:rPr>
                <w:rFonts w:ascii="宋体" w:hAnsi="宋体" w:eastAsia="宋体" w:cs="宋体"/>
                <w:color w:val="000000"/>
              </w:rPr>
              <w:t>是否规范</w:t>
            </w:r>
          </w:p>
        </w:tc>
        <w:tc>
          <w:tcPr>
            <w:tcW w:w="1395" w:type="dxa"/>
            <w:tcBorders>
              <w:top w:val="nil"/>
              <w:left w:val="nil"/>
              <w:bottom w:val="single" w:color="000000" w:sz="6" w:space="0"/>
              <w:right w:val="single" w:color="000000" w:sz="6" w:space="0"/>
            </w:tcBorders>
            <w:vAlign w:val="center"/>
          </w:tcPr>
          <w:p w14:paraId="13439D75">
            <w:pPr>
              <w:wordWrap w:val="0"/>
              <w:spacing w:line="315" w:lineRule="exact"/>
              <w:jc w:val="center"/>
            </w:pPr>
            <w:r>
              <w:rPr>
                <w:rFonts w:ascii="宋体" w:hAnsi="宋体" w:eastAsia="宋体" w:cs="宋体"/>
                <w:color w:val="000000"/>
              </w:rPr>
              <w:t>存在隐患</w:t>
            </w:r>
          </w:p>
        </w:tc>
        <w:tc>
          <w:tcPr>
            <w:tcW w:w="1095" w:type="dxa"/>
            <w:tcBorders>
              <w:top w:val="nil"/>
              <w:left w:val="nil"/>
              <w:bottom w:val="single" w:color="000000" w:sz="6" w:space="0"/>
              <w:right w:val="single" w:color="000000" w:sz="6" w:space="0"/>
            </w:tcBorders>
            <w:vAlign w:val="center"/>
          </w:tcPr>
          <w:p w14:paraId="23FC5B16">
            <w:pPr>
              <w:wordWrap w:val="0"/>
              <w:spacing w:line="315" w:lineRule="exact"/>
              <w:jc w:val="center"/>
            </w:pPr>
            <w:r>
              <w:rPr>
                <w:rFonts w:ascii="宋体" w:hAnsi="宋体" w:eastAsia="宋体" w:cs="宋体"/>
                <w:color w:val="000000"/>
              </w:rPr>
              <w:t>处理方案</w:t>
            </w:r>
          </w:p>
        </w:tc>
        <w:tc>
          <w:tcPr>
            <w:tcW w:w="765" w:type="dxa"/>
            <w:vMerge w:val="continue"/>
            <w:tcBorders>
              <w:top w:val="nil"/>
              <w:left w:val="nil"/>
              <w:bottom w:val="single" w:color="000000" w:sz="6" w:space="0"/>
              <w:right w:val="single" w:color="000000" w:sz="6" w:space="0"/>
            </w:tcBorders>
          </w:tcPr>
          <w:p w14:paraId="233F1CB5"/>
        </w:tc>
      </w:tr>
      <w:tr w14:paraId="22C9679A">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810" w:type="dxa"/>
            <w:tcBorders>
              <w:top w:val="nil"/>
              <w:left w:val="single" w:color="000000" w:sz="6" w:space="0"/>
              <w:bottom w:val="single" w:color="000000" w:sz="6" w:space="0"/>
              <w:right w:val="single" w:color="000000" w:sz="6" w:space="0"/>
            </w:tcBorders>
            <w:vAlign w:val="center"/>
          </w:tcPr>
          <w:p w14:paraId="0BD01852">
            <w:pPr>
              <w:wordWrap w:val="0"/>
              <w:spacing w:line="315" w:lineRule="exact"/>
              <w:jc w:val="center"/>
            </w:pPr>
            <w:r>
              <w:rPr>
                <w:rFonts w:ascii="宋体" w:hAnsi="宋体" w:eastAsia="宋体" w:cs="宋体"/>
                <w:color w:val="000000"/>
              </w:rPr>
              <w:t>1</w:t>
            </w:r>
          </w:p>
        </w:tc>
        <w:tc>
          <w:tcPr>
            <w:tcW w:w="1290" w:type="dxa"/>
            <w:vMerge w:val="restart"/>
            <w:tcBorders>
              <w:top w:val="nil"/>
              <w:left w:val="nil"/>
              <w:bottom w:val="single" w:color="000000" w:sz="6" w:space="0"/>
              <w:right w:val="single" w:color="000000" w:sz="6" w:space="0"/>
            </w:tcBorders>
            <w:vAlign w:val="center"/>
          </w:tcPr>
          <w:p w14:paraId="4941CA78">
            <w:pPr>
              <w:wordWrap w:val="0"/>
              <w:spacing w:line="315" w:lineRule="exact"/>
              <w:ind w:firstLine="210" w:firstLineChars="100"/>
              <w:jc w:val="center"/>
            </w:pPr>
          </w:p>
        </w:tc>
        <w:tc>
          <w:tcPr>
            <w:tcW w:w="3195" w:type="dxa"/>
            <w:tcBorders>
              <w:top w:val="nil"/>
              <w:left w:val="nil"/>
              <w:bottom w:val="single" w:color="000000" w:sz="6" w:space="0"/>
              <w:right w:val="single" w:color="000000" w:sz="6" w:space="0"/>
            </w:tcBorders>
            <w:vAlign w:val="center"/>
          </w:tcPr>
          <w:p w14:paraId="7C013EC6">
            <w:pPr>
              <w:wordWrap w:val="0"/>
              <w:spacing w:line="315" w:lineRule="exact"/>
              <w:jc w:val="left"/>
            </w:pPr>
            <w:r>
              <w:rPr>
                <w:rFonts w:ascii="宋体" w:hAnsi="宋体" w:eastAsia="宋体" w:cs="宋体"/>
                <w:color w:val="000000"/>
              </w:rPr>
              <w:t>配电柜应编号、有标识，危险区域要单独标识</w:t>
            </w:r>
          </w:p>
        </w:tc>
        <w:tc>
          <w:tcPr>
            <w:tcW w:w="885" w:type="dxa"/>
            <w:tcBorders>
              <w:top w:val="nil"/>
              <w:left w:val="nil"/>
              <w:bottom w:val="single" w:color="000000" w:sz="6" w:space="0"/>
              <w:right w:val="single" w:color="000000" w:sz="6" w:space="0"/>
            </w:tcBorders>
            <w:vAlign w:val="center"/>
          </w:tcPr>
          <w:p w14:paraId="56D22252">
            <w:pPr>
              <w:wordWrap w:val="0"/>
              <w:spacing w:line="315" w:lineRule="exact"/>
              <w:ind w:firstLine="210" w:firstLineChars="100"/>
              <w:jc w:val="left"/>
            </w:pPr>
          </w:p>
        </w:tc>
        <w:tc>
          <w:tcPr>
            <w:tcW w:w="1395" w:type="dxa"/>
            <w:tcBorders>
              <w:top w:val="nil"/>
              <w:left w:val="nil"/>
              <w:bottom w:val="single" w:color="000000" w:sz="6" w:space="0"/>
              <w:right w:val="single" w:color="000000" w:sz="6" w:space="0"/>
            </w:tcBorders>
            <w:vAlign w:val="center"/>
          </w:tcPr>
          <w:p w14:paraId="567B8F4F">
            <w:pPr>
              <w:wordWrap w:val="0"/>
              <w:spacing w:line="315" w:lineRule="exact"/>
              <w:ind w:firstLine="210" w:firstLineChars="100"/>
              <w:jc w:val="center"/>
            </w:pPr>
          </w:p>
        </w:tc>
        <w:tc>
          <w:tcPr>
            <w:tcW w:w="1095" w:type="dxa"/>
            <w:tcBorders>
              <w:top w:val="nil"/>
              <w:left w:val="nil"/>
              <w:bottom w:val="single" w:color="000000" w:sz="6" w:space="0"/>
              <w:right w:val="single" w:color="000000" w:sz="6" w:space="0"/>
            </w:tcBorders>
            <w:vAlign w:val="center"/>
          </w:tcPr>
          <w:p w14:paraId="5D35BCA3">
            <w:pPr>
              <w:wordWrap w:val="0"/>
              <w:spacing w:line="315" w:lineRule="exact"/>
              <w:ind w:firstLine="210" w:firstLineChars="100"/>
              <w:jc w:val="center"/>
            </w:pPr>
          </w:p>
        </w:tc>
        <w:tc>
          <w:tcPr>
            <w:tcW w:w="765" w:type="dxa"/>
            <w:tcBorders>
              <w:top w:val="nil"/>
              <w:left w:val="nil"/>
              <w:bottom w:val="single" w:color="000000" w:sz="6" w:space="0"/>
              <w:right w:val="single" w:color="000000" w:sz="6" w:space="0"/>
            </w:tcBorders>
            <w:vAlign w:val="center"/>
          </w:tcPr>
          <w:p w14:paraId="7192AB7A">
            <w:pPr>
              <w:wordWrap w:val="0"/>
              <w:spacing w:line="315" w:lineRule="exact"/>
              <w:ind w:firstLine="210" w:firstLineChars="100"/>
              <w:jc w:val="center"/>
            </w:pPr>
          </w:p>
        </w:tc>
      </w:tr>
      <w:tr w14:paraId="0E00D580">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810" w:type="dxa"/>
            <w:tcBorders>
              <w:top w:val="nil"/>
              <w:left w:val="single" w:color="000000" w:sz="6" w:space="0"/>
              <w:bottom w:val="single" w:color="000000" w:sz="6" w:space="0"/>
              <w:right w:val="single" w:color="000000" w:sz="6" w:space="0"/>
            </w:tcBorders>
            <w:vAlign w:val="center"/>
          </w:tcPr>
          <w:p w14:paraId="23983139">
            <w:pPr>
              <w:wordWrap w:val="0"/>
              <w:spacing w:line="315" w:lineRule="exact"/>
              <w:jc w:val="center"/>
            </w:pPr>
            <w:r>
              <w:rPr>
                <w:rFonts w:ascii="宋体" w:hAnsi="宋体" w:eastAsia="宋体" w:cs="宋体"/>
                <w:color w:val="000000"/>
              </w:rPr>
              <w:t>2</w:t>
            </w:r>
          </w:p>
        </w:tc>
        <w:tc>
          <w:tcPr>
            <w:tcW w:w="1290" w:type="dxa"/>
            <w:vMerge w:val="continue"/>
            <w:tcBorders>
              <w:top w:val="nil"/>
              <w:left w:val="nil"/>
              <w:bottom w:val="single" w:color="000000" w:sz="6" w:space="0"/>
              <w:right w:val="single" w:color="000000" w:sz="6" w:space="0"/>
            </w:tcBorders>
          </w:tcPr>
          <w:p w14:paraId="20A52CFA"/>
        </w:tc>
        <w:tc>
          <w:tcPr>
            <w:tcW w:w="3195" w:type="dxa"/>
            <w:tcBorders>
              <w:top w:val="nil"/>
              <w:left w:val="nil"/>
              <w:bottom w:val="single" w:color="000000" w:sz="6" w:space="0"/>
              <w:right w:val="single" w:color="000000" w:sz="6" w:space="0"/>
            </w:tcBorders>
            <w:vAlign w:val="center"/>
          </w:tcPr>
          <w:p w14:paraId="7BBB416B">
            <w:pPr>
              <w:wordWrap w:val="0"/>
              <w:spacing w:line="315" w:lineRule="exact"/>
              <w:jc w:val="left"/>
            </w:pPr>
            <w:r>
              <w:rPr>
                <w:rFonts w:ascii="宋体" w:hAnsi="宋体" w:eastAsia="宋体" w:cs="宋体"/>
                <w:color w:val="000000"/>
              </w:rPr>
              <w:t>控制柜接线合理，走向明晰</w:t>
            </w:r>
          </w:p>
        </w:tc>
        <w:tc>
          <w:tcPr>
            <w:tcW w:w="885" w:type="dxa"/>
            <w:tcBorders>
              <w:top w:val="nil"/>
              <w:left w:val="nil"/>
              <w:bottom w:val="single" w:color="000000" w:sz="6" w:space="0"/>
              <w:right w:val="single" w:color="000000" w:sz="6" w:space="0"/>
            </w:tcBorders>
            <w:vAlign w:val="center"/>
          </w:tcPr>
          <w:p w14:paraId="59C99477">
            <w:pPr>
              <w:wordWrap w:val="0"/>
              <w:spacing w:line="315" w:lineRule="exact"/>
              <w:ind w:firstLine="210" w:firstLineChars="100"/>
              <w:jc w:val="left"/>
            </w:pPr>
          </w:p>
        </w:tc>
        <w:tc>
          <w:tcPr>
            <w:tcW w:w="1395" w:type="dxa"/>
            <w:tcBorders>
              <w:top w:val="nil"/>
              <w:left w:val="nil"/>
              <w:bottom w:val="single" w:color="000000" w:sz="6" w:space="0"/>
              <w:right w:val="single" w:color="000000" w:sz="6" w:space="0"/>
            </w:tcBorders>
            <w:vAlign w:val="center"/>
          </w:tcPr>
          <w:p w14:paraId="255176F8">
            <w:pPr>
              <w:wordWrap w:val="0"/>
              <w:spacing w:line="315" w:lineRule="exact"/>
              <w:ind w:firstLine="210" w:firstLineChars="100"/>
              <w:jc w:val="center"/>
            </w:pPr>
          </w:p>
        </w:tc>
        <w:tc>
          <w:tcPr>
            <w:tcW w:w="1095" w:type="dxa"/>
            <w:tcBorders>
              <w:top w:val="nil"/>
              <w:left w:val="nil"/>
              <w:bottom w:val="single" w:color="000000" w:sz="6" w:space="0"/>
              <w:right w:val="single" w:color="000000" w:sz="6" w:space="0"/>
            </w:tcBorders>
            <w:vAlign w:val="center"/>
          </w:tcPr>
          <w:p w14:paraId="414DC47C">
            <w:pPr>
              <w:wordWrap w:val="0"/>
              <w:spacing w:line="315" w:lineRule="exact"/>
              <w:ind w:firstLine="210" w:firstLineChars="100"/>
              <w:jc w:val="center"/>
            </w:pPr>
          </w:p>
        </w:tc>
        <w:tc>
          <w:tcPr>
            <w:tcW w:w="765" w:type="dxa"/>
            <w:tcBorders>
              <w:top w:val="nil"/>
              <w:left w:val="nil"/>
              <w:bottom w:val="single" w:color="000000" w:sz="6" w:space="0"/>
              <w:right w:val="single" w:color="000000" w:sz="6" w:space="0"/>
            </w:tcBorders>
            <w:vAlign w:val="center"/>
          </w:tcPr>
          <w:p w14:paraId="5F77B252">
            <w:pPr>
              <w:wordWrap w:val="0"/>
              <w:spacing w:line="315" w:lineRule="exact"/>
              <w:ind w:firstLine="210" w:firstLineChars="100"/>
              <w:jc w:val="center"/>
            </w:pPr>
          </w:p>
        </w:tc>
      </w:tr>
      <w:tr w14:paraId="641F2F73">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810" w:type="dxa"/>
            <w:tcBorders>
              <w:top w:val="nil"/>
              <w:left w:val="single" w:color="000000" w:sz="6" w:space="0"/>
              <w:bottom w:val="single" w:color="000000" w:sz="6" w:space="0"/>
              <w:right w:val="single" w:color="000000" w:sz="6" w:space="0"/>
            </w:tcBorders>
            <w:vAlign w:val="center"/>
          </w:tcPr>
          <w:p w14:paraId="510B3D95">
            <w:pPr>
              <w:wordWrap w:val="0"/>
              <w:spacing w:line="315" w:lineRule="exact"/>
              <w:jc w:val="center"/>
            </w:pPr>
            <w:r>
              <w:rPr>
                <w:rFonts w:ascii="宋体" w:hAnsi="宋体" w:eastAsia="宋体" w:cs="宋体"/>
                <w:color w:val="000000"/>
              </w:rPr>
              <w:t>3</w:t>
            </w:r>
          </w:p>
        </w:tc>
        <w:tc>
          <w:tcPr>
            <w:tcW w:w="1290" w:type="dxa"/>
            <w:vMerge w:val="continue"/>
            <w:tcBorders>
              <w:top w:val="nil"/>
              <w:left w:val="nil"/>
              <w:bottom w:val="single" w:color="000000" w:sz="6" w:space="0"/>
              <w:right w:val="single" w:color="000000" w:sz="6" w:space="0"/>
            </w:tcBorders>
          </w:tcPr>
          <w:p w14:paraId="37464BCE"/>
        </w:tc>
        <w:tc>
          <w:tcPr>
            <w:tcW w:w="3195" w:type="dxa"/>
            <w:tcBorders>
              <w:top w:val="nil"/>
              <w:left w:val="nil"/>
              <w:bottom w:val="single" w:color="000000" w:sz="6" w:space="0"/>
              <w:right w:val="single" w:color="000000" w:sz="6" w:space="0"/>
            </w:tcBorders>
            <w:vAlign w:val="center"/>
          </w:tcPr>
          <w:p w14:paraId="1ED6ED0A">
            <w:pPr>
              <w:wordWrap w:val="0"/>
              <w:spacing w:line="315" w:lineRule="exact"/>
              <w:jc w:val="left"/>
            </w:pPr>
            <w:r>
              <w:rPr>
                <w:rFonts w:ascii="宋体" w:hAnsi="宋体" w:eastAsia="宋体" w:cs="宋体"/>
                <w:color w:val="000000"/>
              </w:rPr>
              <w:t>动力配电箱与照明配电箱宜分别放置</w:t>
            </w:r>
          </w:p>
        </w:tc>
        <w:tc>
          <w:tcPr>
            <w:tcW w:w="885" w:type="dxa"/>
            <w:tcBorders>
              <w:top w:val="nil"/>
              <w:left w:val="nil"/>
              <w:bottom w:val="single" w:color="000000" w:sz="6" w:space="0"/>
              <w:right w:val="single" w:color="000000" w:sz="6" w:space="0"/>
            </w:tcBorders>
            <w:vAlign w:val="center"/>
          </w:tcPr>
          <w:p w14:paraId="36504BE2">
            <w:pPr>
              <w:wordWrap w:val="0"/>
              <w:spacing w:line="315" w:lineRule="exact"/>
              <w:ind w:firstLine="210" w:firstLineChars="100"/>
              <w:jc w:val="left"/>
            </w:pPr>
          </w:p>
        </w:tc>
        <w:tc>
          <w:tcPr>
            <w:tcW w:w="1395" w:type="dxa"/>
            <w:tcBorders>
              <w:top w:val="nil"/>
              <w:left w:val="nil"/>
              <w:bottom w:val="single" w:color="000000" w:sz="6" w:space="0"/>
              <w:right w:val="single" w:color="000000" w:sz="6" w:space="0"/>
            </w:tcBorders>
            <w:vAlign w:val="center"/>
          </w:tcPr>
          <w:p w14:paraId="417C003B">
            <w:pPr>
              <w:wordWrap w:val="0"/>
              <w:spacing w:line="315" w:lineRule="exact"/>
              <w:ind w:firstLine="210" w:firstLineChars="100"/>
              <w:jc w:val="center"/>
            </w:pPr>
          </w:p>
        </w:tc>
        <w:tc>
          <w:tcPr>
            <w:tcW w:w="1095" w:type="dxa"/>
            <w:tcBorders>
              <w:top w:val="nil"/>
              <w:left w:val="nil"/>
              <w:bottom w:val="single" w:color="000000" w:sz="6" w:space="0"/>
              <w:right w:val="single" w:color="000000" w:sz="6" w:space="0"/>
            </w:tcBorders>
            <w:vAlign w:val="center"/>
          </w:tcPr>
          <w:p w14:paraId="4D21BD30">
            <w:pPr>
              <w:wordWrap w:val="0"/>
              <w:spacing w:line="315" w:lineRule="exact"/>
              <w:ind w:firstLine="210" w:firstLineChars="100"/>
              <w:jc w:val="center"/>
            </w:pPr>
          </w:p>
        </w:tc>
        <w:tc>
          <w:tcPr>
            <w:tcW w:w="765" w:type="dxa"/>
            <w:tcBorders>
              <w:top w:val="nil"/>
              <w:left w:val="nil"/>
              <w:bottom w:val="single" w:color="000000" w:sz="6" w:space="0"/>
              <w:right w:val="single" w:color="000000" w:sz="6" w:space="0"/>
            </w:tcBorders>
            <w:vAlign w:val="center"/>
          </w:tcPr>
          <w:p w14:paraId="2263A78A">
            <w:pPr>
              <w:wordWrap w:val="0"/>
              <w:spacing w:line="315" w:lineRule="exact"/>
              <w:ind w:firstLine="210" w:firstLineChars="100"/>
              <w:jc w:val="center"/>
            </w:pPr>
          </w:p>
        </w:tc>
      </w:tr>
      <w:tr w14:paraId="1F2EBA87">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810" w:type="dxa"/>
            <w:tcBorders>
              <w:top w:val="nil"/>
              <w:left w:val="single" w:color="000000" w:sz="6" w:space="0"/>
              <w:bottom w:val="single" w:color="000000" w:sz="6" w:space="0"/>
              <w:right w:val="single" w:color="000000" w:sz="6" w:space="0"/>
            </w:tcBorders>
            <w:vAlign w:val="center"/>
          </w:tcPr>
          <w:p w14:paraId="1B6C3236">
            <w:pPr>
              <w:wordWrap w:val="0"/>
              <w:spacing w:line="315" w:lineRule="exact"/>
              <w:jc w:val="center"/>
            </w:pPr>
            <w:r>
              <w:rPr>
                <w:rFonts w:ascii="宋体" w:hAnsi="宋体" w:eastAsia="宋体" w:cs="宋体"/>
                <w:color w:val="000000"/>
              </w:rPr>
              <w:t>4</w:t>
            </w:r>
          </w:p>
        </w:tc>
        <w:tc>
          <w:tcPr>
            <w:tcW w:w="1290" w:type="dxa"/>
            <w:vMerge w:val="continue"/>
            <w:tcBorders>
              <w:top w:val="nil"/>
              <w:left w:val="nil"/>
              <w:bottom w:val="single" w:color="000000" w:sz="6" w:space="0"/>
              <w:right w:val="single" w:color="000000" w:sz="6" w:space="0"/>
            </w:tcBorders>
          </w:tcPr>
          <w:p w14:paraId="20CEF685"/>
        </w:tc>
        <w:tc>
          <w:tcPr>
            <w:tcW w:w="3195" w:type="dxa"/>
            <w:tcBorders>
              <w:top w:val="nil"/>
              <w:left w:val="nil"/>
              <w:bottom w:val="single" w:color="000000" w:sz="6" w:space="0"/>
              <w:right w:val="single" w:color="000000" w:sz="6" w:space="0"/>
            </w:tcBorders>
            <w:vAlign w:val="center"/>
          </w:tcPr>
          <w:p w14:paraId="3ED408EF">
            <w:pPr>
              <w:wordWrap w:val="0"/>
              <w:spacing w:line="315" w:lineRule="exact"/>
              <w:jc w:val="left"/>
            </w:pPr>
            <w:r>
              <w:rPr>
                <w:rFonts w:ascii="宋体" w:hAnsi="宋体" w:eastAsia="宋体" w:cs="宋体"/>
                <w:color w:val="000000"/>
              </w:rPr>
              <w:t>配电箱应保持整洁，不得堆放任何妨碍操作维修的杂物。</w:t>
            </w:r>
          </w:p>
        </w:tc>
        <w:tc>
          <w:tcPr>
            <w:tcW w:w="885" w:type="dxa"/>
            <w:tcBorders>
              <w:top w:val="nil"/>
              <w:left w:val="nil"/>
              <w:bottom w:val="single" w:color="000000" w:sz="6" w:space="0"/>
              <w:right w:val="single" w:color="000000" w:sz="6" w:space="0"/>
            </w:tcBorders>
            <w:vAlign w:val="center"/>
          </w:tcPr>
          <w:p w14:paraId="676790A3">
            <w:pPr>
              <w:wordWrap w:val="0"/>
              <w:spacing w:line="315" w:lineRule="exact"/>
              <w:ind w:firstLine="210" w:firstLineChars="100"/>
              <w:jc w:val="left"/>
            </w:pPr>
          </w:p>
        </w:tc>
        <w:tc>
          <w:tcPr>
            <w:tcW w:w="1395" w:type="dxa"/>
            <w:tcBorders>
              <w:top w:val="nil"/>
              <w:left w:val="nil"/>
              <w:bottom w:val="single" w:color="000000" w:sz="6" w:space="0"/>
              <w:right w:val="single" w:color="000000" w:sz="6" w:space="0"/>
            </w:tcBorders>
            <w:vAlign w:val="center"/>
          </w:tcPr>
          <w:p w14:paraId="0B24B8ED">
            <w:pPr>
              <w:wordWrap w:val="0"/>
              <w:spacing w:line="315" w:lineRule="exact"/>
              <w:ind w:firstLine="210" w:firstLineChars="100"/>
              <w:jc w:val="center"/>
            </w:pPr>
          </w:p>
        </w:tc>
        <w:tc>
          <w:tcPr>
            <w:tcW w:w="1095" w:type="dxa"/>
            <w:tcBorders>
              <w:top w:val="nil"/>
              <w:left w:val="nil"/>
              <w:bottom w:val="single" w:color="000000" w:sz="6" w:space="0"/>
              <w:right w:val="single" w:color="000000" w:sz="6" w:space="0"/>
            </w:tcBorders>
            <w:vAlign w:val="center"/>
          </w:tcPr>
          <w:p w14:paraId="1AD70B4E">
            <w:pPr>
              <w:wordWrap w:val="0"/>
              <w:spacing w:line="315" w:lineRule="exact"/>
              <w:ind w:firstLine="210" w:firstLineChars="100"/>
              <w:jc w:val="center"/>
            </w:pPr>
          </w:p>
        </w:tc>
        <w:tc>
          <w:tcPr>
            <w:tcW w:w="765" w:type="dxa"/>
            <w:tcBorders>
              <w:top w:val="nil"/>
              <w:left w:val="nil"/>
              <w:bottom w:val="single" w:color="000000" w:sz="6" w:space="0"/>
              <w:right w:val="single" w:color="000000" w:sz="6" w:space="0"/>
            </w:tcBorders>
            <w:vAlign w:val="center"/>
          </w:tcPr>
          <w:p w14:paraId="46D97372">
            <w:pPr>
              <w:wordWrap w:val="0"/>
              <w:spacing w:line="315" w:lineRule="exact"/>
              <w:ind w:firstLine="210" w:firstLineChars="100"/>
              <w:jc w:val="center"/>
            </w:pPr>
          </w:p>
        </w:tc>
      </w:tr>
      <w:tr w14:paraId="1C7A65C8">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810" w:type="dxa"/>
            <w:tcBorders>
              <w:top w:val="nil"/>
              <w:left w:val="single" w:color="000000" w:sz="6" w:space="0"/>
              <w:bottom w:val="single" w:color="000000" w:sz="6" w:space="0"/>
              <w:right w:val="single" w:color="000000" w:sz="6" w:space="0"/>
            </w:tcBorders>
            <w:vAlign w:val="center"/>
          </w:tcPr>
          <w:p w14:paraId="5EB685E9">
            <w:pPr>
              <w:wordWrap w:val="0"/>
              <w:spacing w:line="315" w:lineRule="exact"/>
              <w:jc w:val="center"/>
            </w:pPr>
            <w:r>
              <w:rPr>
                <w:rFonts w:ascii="宋体" w:hAnsi="宋体" w:eastAsia="宋体" w:cs="宋体"/>
                <w:color w:val="000000"/>
              </w:rPr>
              <w:t>5</w:t>
            </w:r>
          </w:p>
        </w:tc>
        <w:tc>
          <w:tcPr>
            <w:tcW w:w="1290" w:type="dxa"/>
            <w:vMerge w:val="continue"/>
            <w:tcBorders>
              <w:top w:val="nil"/>
              <w:left w:val="nil"/>
              <w:bottom w:val="single" w:color="000000" w:sz="6" w:space="0"/>
              <w:right w:val="single" w:color="000000" w:sz="6" w:space="0"/>
            </w:tcBorders>
          </w:tcPr>
          <w:p w14:paraId="1B3C36AE"/>
        </w:tc>
        <w:tc>
          <w:tcPr>
            <w:tcW w:w="3195" w:type="dxa"/>
            <w:tcBorders>
              <w:top w:val="nil"/>
              <w:left w:val="nil"/>
              <w:bottom w:val="single" w:color="000000" w:sz="6" w:space="0"/>
              <w:right w:val="single" w:color="000000" w:sz="6" w:space="0"/>
            </w:tcBorders>
            <w:vAlign w:val="center"/>
          </w:tcPr>
          <w:p w14:paraId="700A6E6D">
            <w:pPr>
              <w:wordWrap w:val="0"/>
              <w:spacing w:line="315" w:lineRule="exact"/>
              <w:jc w:val="left"/>
            </w:pPr>
            <w:r>
              <w:rPr>
                <w:rFonts w:ascii="宋体" w:hAnsi="宋体" w:eastAsia="宋体" w:cs="宋体"/>
                <w:color w:val="000000"/>
              </w:rPr>
              <w:t>电源线禁止有接头</w:t>
            </w:r>
          </w:p>
        </w:tc>
        <w:tc>
          <w:tcPr>
            <w:tcW w:w="885" w:type="dxa"/>
            <w:tcBorders>
              <w:top w:val="nil"/>
              <w:left w:val="nil"/>
              <w:bottom w:val="single" w:color="000000" w:sz="6" w:space="0"/>
              <w:right w:val="single" w:color="000000" w:sz="6" w:space="0"/>
            </w:tcBorders>
            <w:vAlign w:val="center"/>
          </w:tcPr>
          <w:p w14:paraId="5B3B34CC">
            <w:pPr>
              <w:wordWrap w:val="0"/>
              <w:spacing w:line="315" w:lineRule="exact"/>
              <w:ind w:firstLine="210" w:firstLineChars="100"/>
              <w:jc w:val="left"/>
            </w:pPr>
          </w:p>
        </w:tc>
        <w:tc>
          <w:tcPr>
            <w:tcW w:w="1395" w:type="dxa"/>
            <w:tcBorders>
              <w:top w:val="nil"/>
              <w:left w:val="nil"/>
              <w:bottom w:val="single" w:color="000000" w:sz="6" w:space="0"/>
              <w:right w:val="single" w:color="000000" w:sz="6" w:space="0"/>
            </w:tcBorders>
            <w:vAlign w:val="center"/>
          </w:tcPr>
          <w:p w14:paraId="096550DA">
            <w:pPr>
              <w:wordWrap w:val="0"/>
              <w:spacing w:line="315" w:lineRule="exact"/>
              <w:ind w:firstLine="210" w:firstLineChars="100"/>
              <w:jc w:val="center"/>
            </w:pPr>
          </w:p>
        </w:tc>
        <w:tc>
          <w:tcPr>
            <w:tcW w:w="1095" w:type="dxa"/>
            <w:tcBorders>
              <w:top w:val="nil"/>
              <w:left w:val="nil"/>
              <w:bottom w:val="single" w:color="000000" w:sz="6" w:space="0"/>
              <w:right w:val="single" w:color="000000" w:sz="6" w:space="0"/>
            </w:tcBorders>
            <w:vAlign w:val="center"/>
          </w:tcPr>
          <w:p w14:paraId="0EDB6D67">
            <w:pPr>
              <w:wordWrap w:val="0"/>
              <w:spacing w:line="315" w:lineRule="exact"/>
              <w:ind w:firstLine="210" w:firstLineChars="100"/>
              <w:jc w:val="center"/>
            </w:pPr>
          </w:p>
        </w:tc>
        <w:tc>
          <w:tcPr>
            <w:tcW w:w="765" w:type="dxa"/>
            <w:tcBorders>
              <w:top w:val="nil"/>
              <w:left w:val="nil"/>
              <w:bottom w:val="single" w:color="000000" w:sz="6" w:space="0"/>
              <w:right w:val="single" w:color="000000" w:sz="6" w:space="0"/>
            </w:tcBorders>
            <w:vAlign w:val="center"/>
          </w:tcPr>
          <w:p w14:paraId="1300B05C">
            <w:pPr>
              <w:wordWrap w:val="0"/>
              <w:spacing w:line="315" w:lineRule="exact"/>
              <w:ind w:firstLine="210" w:firstLineChars="100"/>
              <w:jc w:val="center"/>
            </w:pPr>
          </w:p>
        </w:tc>
      </w:tr>
      <w:tr w14:paraId="4E680A47">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810" w:type="dxa"/>
            <w:tcBorders>
              <w:top w:val="nil"/>
              <w:left w:val="single" w:color="000000" w:sz="6" w:space="0"/>
              <w:bottom w:val="single" w:color="000000" w:sz="6" w:space="0"/>
              <w:right w:val="single" w:color="000000" w:sz="6" w:space="0"/>
            </w:tcBorders>
            <w:vAlign w:val="center"/>
          </w:tcPr>
          <w:p w14:paraId="1E9F7184">
            <w:pPr>
              <w:wordWrap w:val="0"/>
              <w:spacing w:line="315" w:lineRule="exact"/>
              <w:jc w:val="center"/>
            </w:pPr>
            <w:r>
              <w:rPr>
                <w:rFonts w:ascii="宋体" w:hAnsi="宋体" w:eastAsia="宋体" w:cs="宋体"/>
                <w:color w:val="000000"/>
              </w:rPr>
              <w:t>6</w:t>
            </w:r>
          </w:p>
        </w:tc>
        <w:tc>
          <w:tcPr>
            <w:tcW w:w="1290" w:type="dxa"/>
            <w:vMerge w:val="continue"/>
            <w:tcBorders>
              <w:top w:val="nil"/>
              <w:left w:val="nil"/>
              <w:bottom w:val="single" w:color="000000" w:sz="6" w:space="0"/>
              <w:right w:val="single" w:color="000000" w:sz="6" w:space="0"/>
            </w:tcBorders>
          </w:tcPr>
          <w:p w14:paraId="65D28FD8"/>
        </w:tc>
        <w:tc>
          <w:tcPr>
            <w:tcW w:w="3195" w:type="dxa"/>
            <w:tcBorders>
              <w:top w:val="nil"/>
              <w:left w:val="nil"/>
              <w:bottom w:val="single" w:color="000000" w:sz="6" w:space="0"/>
              <w:right w:val="single" w:color="000000" w:sz="6" w:space="0"/>
            </w:tcBorders>
            <w:vAlign w:val="center"/>
          </w:tcPr>
          <w:p w14:paraId="59E548D4">
            <w:pPr>
              <w:wordWrap w:val="0"/>
              <w:spacing w:line="315" w:lineRule="exact"/>
              <w:jc w:val="left"/>
            </w:pPr>
            <w:r>
              <w:rPr>
                <w:rFonts w:ascii="宋体" w:hAnsi="宋体" w:eastAsia="宋体" w:cs="宋体"/>
                <w:color w:val="000000"/>
              </w:rPr>
              <w:t>配电箱的进、出线应采用橡皮护套绝缘电缆</w:t>
            </w:r>
          </w:p>
        </w:tc>
        <w:tc>
          <w:tcPr>
            <w:tcW w:w="885" w:type="dxa"/>
            <w:tcBorders>
              <w:top w:val="nil"/>
              <w:left w:val="nil"/>
              <w:bottom w:val="single" w:color="000000" w:sz="6" w:space="0"/>
              <w:right w:val="single" w:color="000000" w:sz="6" w:space="0"/>
            </w:tcBorders>
            <w:vAlign w:val="center"/>
          </w:tcPr>
          <w:p w14:paraId="4C27D46B">
            <w:pPr>
              <w:wordWrap w:val="0"/>
              <w:spacing w:line="315" w:lineRule="exact"/>
              <w:ind w:firstLine="210" w:firstLineChars="100"/>
              <w:jc w:val="left"/>
            </w:pPr>
          </w:p>
        </w:tc>
        <w:tc>
          <w:tcPr>
            <w:tcW w:w="1395" w:type="dxa"/>
            <w:tcBorders>
              <w:top w:val="nil"/>
              <w:left w:val="nil"/>
              <w:bottom w:val="single" w:color="000000" w:sz="6" w:space="0"/>
              <w:right w:val="single" w:color="000000" w:sz="6" w:space="0"/>
            </w:tcBorders>
            <w:vAlign w:val="center"/>
          </w:tcPr>
          <w:p w14:paraId="2F0CD9D3">
            <w:pPr>
              <w:wordWrap w:val="0"/>
              <w:spacing w:line="315" w:lineRule="exact"/>
              <w:ind w:firstLine="210" w:firstLineChars="100"/>
              <w:jc w:val="center"/>
            </w:pPr>
          </w:p>
        </w:tc>
        <w:tc>
          <w:tcPr>
            <w:tcW w:w="1095" w:type="dxa"/>
            <w:tcBorders>
              <w:top w:val="nil"/>
              <w:left w:val="nil"/>
              <w:bottom w:val="single" w:color="000000" w:sz="6" w:space="0"/>
              <w:right w:val="single" w:color="000000" w:sz="6" w:space="0"/>
            </w:tcBorders>
            <w:vAlign w:val="center"/>
          </w:tcPr>
          <w:p w14:paraId="1B0D3C09">
            <w:pPr>
              <w:wordWrap w:val="0"/>
              <w:spacing w:line="315" w:lineRule="exact"/>
              <w:ind w:firstLine="210" w:firstLineChars="100"/>
              <w:jc w:val="center"/>
            </w:pPr>
          </w:p>
        </w:tc>
        <w:tc>
          <w:tcPr>
            <w:tcW w:w="765" w:type="dxa"/>
            <w:tcBorders>
              <w:top w:val="nil"/>
              <w:left w:val="nil"/>
              <w:bottom w:val="single" w:color="000000" w:sz="6" w:space="0"/>
              <w:right w:val="single" w:color="000000" w:sz="6" w:space="0"/>
            </w:tcBorders>
            <w:vAlign w:val="center"/>
          </w:tcPr>
          <w:p w14:paraId="65C4EA94">
            <w:pPr>
              <w:wordWrap w:val="0"/>
              <w:spacing w:line="315" w:lineRule="exact"/>
              <w:ind w:firstLine="210" w:firstLineChars="100"/>
              <w:jc w:val="center"/>
            </w:pPr>
          </w:p>
        </w:tc>
      </w:tr>
      <w:tr w14:paraId="7CBAAB15">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810" w:type="dxa"/>
            <w:tcBorders>
              <w:top w:val="nil"/>
              <w:left w:val="single" w:color="000000" w:sz="6" w:space="0"/>
              <w:bottom w:val="single" w:color="000000" w:sz="6" w:space="0"/>
              <w:right w:val="single" w:color="000000" w:sz="6" w:space="0"/>
            </w:tcBorders>
            <w:vAlign w:val="center"/>
          </w:tcPr>
          <w:p w14:paraId="085F2FD2">
            <w:pPr>
              <w:wordWrap w:val="0"/>
              <w:spacing w:line="315" w:lineRule="exact"/>
              <w:jc w:val="center"/>
            </w:pPr>
            <w:r>
              <w:rPr>
                <w:rFonts w:ascii="宋体" w:hAnsi="宋体" w:eastAsia="宋体" w:cs="宋体"/>
                <w:color w:val="000000"/>
              </w:rPr>
              <w:t>7</w:t>
            </w:r>
          </w:p>
        </w:tc>
        <w:tc>
          <w:tcPr>
            <w:tcW w:w="1290" w:type="dxa"/>
            <w:vMerge w:val="continue"/>
            <w:tcBorders>
              <w:top w:val="nil"/>
              <w:left w:val="nil"/>
              <w:bottom w:val="single" w:color="000000" w:sz="6" w:space="0"/>
              <w:right w:val="single" w:color="000000" w:sz="6" w:space="0"/>
            </w:tcBorders>
          </w:tcPr>
          <w:p w14:paraId="46BA3F97"/>
        </w:tc>
        <w:tc>
          <w:tcPr>
            <w:tcW w:w="3195" w:type="dxa"/>
            <w:tcBorders>
              <w:top w:val="nil"/>
              <w:left w:val="nil"/>
              <w:bottom w:val="single" w:color="000000" w:sz="6" w:space="0"/>
              <w:right w:val="single" w:color="000000" w:sz="6" w:space="0"/>
            </w:tcBorders>
            <w:vAlign w:val="center"/>
          </w:tcPr>
          <w:p w14:paraId="72265573">
            <w:pPr>
              <w:wordWrap w:val="0"/>
              <w:spacing w:line="315" w:lineRule="exact"/>
              <w:jc w:val="left"/>
            </w:pPr>
            <w:r>
              <w:rPr>
                <w:rFonts w:ascii="宋体" w:hAnsi="宋体" w:eastAsia="宋体" w:cs="宋体"/>
                <w:color w:val="000000"/>
              </w:rPr>
              <w:t>配电箱内线路有无裸露老化</w:t>
            </w:r>
          </w:p>
        </w:tc>
        <w:tc>
          <w:tcPr>
            <w:tcW w:w="885" w:type="dxa"/>
            <w:tcBorders>
              <w:top w:val="nil"/>
              <w:left w:val="nil"/>
              <w:bottom w:val="single" w:color="000000" w:sz="6" w:space="0"/>
              <w:right w:val="single" w:color="000000" w:sz="6" w:space="0"/>
            </w:tcBorders>
            <w:vAlign w:val="center"/>
          </w:tcPr>
          <w:p w14:paraId="43A91590">
            <w:pPr>
              <w:wordWrap w:val="0"/>
              <w:spacing w:line="315" w:lineRule="exact"/>
              <w:ind w:firstLine="210" w:firstLineChars="100"/>
              <w:jc w:val="left"/>
            </w:pPr>
          </w:p>
        </w:tc>
        <w:tc>
          <w:tcPr>
            <w:tcW w:w="1395" w:type="dxa"/>
            <w:tcBorders>
              <w:top w:val="nil"/>
              <w:left w:val="nil"/>
              <w:bottom w:val="single" w:color="000000" w:sz="6" w:space="0"/>
              <w:right w:val="single" w:color="000000" w:sz="6" w:space="0"/>
            </w:tcBorders>
            <w:vAlign w:val="center"/>
          </w:tcPr>
          <w:p w14:paraId="48AD07A9">
            <w:pPr>
              <w:wordWrap w:val="0"/>
              <w:spacing w:line="315" w:lineRule="exact"/>
              <w:ind w:firstLine="210" w:firstLineChars="100"/>
              <w:jc w:val="center"/>
            </w:pPr>
          </w:p>
        </w:tc>
        <w:tc>
          <w:tcPr>
            <w:tcW w:w="1095" w:type="dxa"/>
            <w:tcBorders>
              <w:top w:val="nil"/>
              <w:left w:val="nil"/>
              <w:bottom w:val="single" w:color="000000" w:sz="6" w:space="0"/>
              <w:right w:val="single" w:color="000000" w:sz="6" w:space="0"/>
            </w:tcBorders>
            <w:vAlign w:val="center"/>
          </w:tcPr>
          <w:p w14:paraId="310BA9C6">
            <w:pPr>
              <w:wordWrap w:val="0"/>
              <w:spacing w:line="315" w:lineRule="exact"/>
              <w:ind w:firstLine="210" w:firstLineChars="100"/>
              <w:jc w:val="center"/>
            </w:pPr>
          </w:p>
        </w:tc>
        <w:tc>
          <w:tcPr>
            <w:tcW w:w="765" w:type="dxa"/>
            <w:tcBorders>
              <w:top w:val="nil"/>
              <w:left w:val="nil"/>
              <w:bottom w:val="single" w:color="000000" w:sz="6" w:space="0"/>
              <w:right w:val="single" w:color="000000" w:sz="6" w:space="0"/>
            </w:tcBorders>
            <w:vAlign w:val="center"/>
          </w:tcPr>
          <w:p w14:paraId="277CE06E">
            <w:pPr>
              <w:wordWrap w:val="0"/>
              <w:spacing w:line="315" w:lineRule="exact"/>
              <w:ind w:firstLine="210" w:firstLineChars="100"/>
              <w:jc w:val="center"/>
            </w:pPr>
          </w:p>
        </w:tc>
      </w:tr>
      <w:tr w14:paraId="4F51756A">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810" w:type="dxa"/>
            <w:tcBorders>
              <w:top w:val="nil"/>
              <w:left w:val="single" w:color="000000" w:sz="6" w:space="0"/>
              <w:bottom w:val="single" w:color="000000" w:sz="6" w:space="0"/>
              <w:right w:val="single" w:color="000000" w:sz="6" w:space="0"/>
            </w:tcBorders>
            <w:vAlign w:val="center"/>
          </w:tcPr>
          <w:p w14:paraId="20423DA4">
            <w:pPr>
              <w:wordWrap w:val="0"/>
              <w:spacing w:line="315" w:lineRule="exact"/>
              <w:jc w:val="center"/>
            </w:pPr>
            <w:r>
              <w:rPr>
                <w:rFonts w:ascii="宋体" w:hAnsi="宋体" w:eastAsia="宋体" w:cs="宋体"/>
                <w:color w:val="000000"/>
              </w:rPr>
              <w:t>8</w:t>
            </w:r>
          </w:p>
        </w:tc>
        <w:tc>
          <w:tcPr>
            <w:tcW w:w="1290" w:type="dxa"/>
            <w:vMerge w:val="continue"/>
            <w:tcBorders>
              <w:top w:val="nil"/>
              <w:left w:val="nil"/>
              <w:bottom w:val="single" w:color="000000" w:sz="6" w:space="0"/>
              <w:right w:val="single" w:color="000000" w:sz="6" w:space="0"/>
            </w:tcBorders>
          </w:tcPr>
          <w:p w14:paraId="28437D8B"/>
        </w:tc>
        <w:tc>
          <w:tcPr>
            <w:tcW w:w="3195" w:type="dxa"/>
            <w:tcBorders>
              <w:top w:val="nil"/>
              <w:left w:val="nil"/>
              <w:bottom w:val="single" w:color="000000" w:sz="6" w:space="0"/>
              <w:right w:val="single" w:color="000000" w:sz="6" w:space="0"/>
            </w:tcBorders>
            <w:vAlign w:val="center"/>
          </w:tcPr>
          <w:p w14:paraId="4034037B">
            <w:pPr>
              <w:wordWrap w:val="0"/>
              <w:spacing w:line="315" w:lineRule="exact"/>
              <w:jc w:val="left"/>
            </w:pPr>
            <w:r>
              <w:rPr>
                <w:rFonts w:ascii="宋体" w:hAnsi="宋体" w:eastAsia="宋体" w:cs="宋体"/>
                <w:color w:val="000000"/>
              </w:rPr>
              <w:t>配电箱内各回路接线柱是否松动</w:t>
            </w:r>
          </w:p>
        </w:tc>
        <w:tc>
          <w:tcPr>
            <w:tcW w:w="885" w:type="dxa"/>
            <w:tcBorders>
              <w:top w:val="nil"/>
              <w:left w:val="nil"/>
              <w:bottom w:val="single" w:color="000000" w:sz="6" w:space="0"/>
              <w:right w:val="single" w:color="000000" w:sz="6" w:space="0"/>
            </w:tcBorders>
            <w:vAlign w:val="center"/>
          </w:tcPr>
          <w:p w14:paraId="26765230">
            <w:pPr>
              <w:wordWrap w:val="0"/>
              <w:spacing w:line="315" w:lineRule="exact"/>
              <w:ind w:firstLine="210" w:firstLineChars="100"/>
              <w:jc w:val="left"/>
            </w:pPr>
          </w:p>
        </w:tc>
        <w:tc>
          <w:tcPr>
            <w:tcW w:w="1395" w:type="dxa"/>
            <w:tcBorders>
              <w:top w:val="nil"/>
              <w:left w:val="nil"/>
              <w:bottom w:val="single" w:color="000000" w:sz="6" w:space="0"/>
              <w:right w:val="single" w:color="000000" w:sz="6" w:space="0"/>
            </w:tcBorders>
            <w:vAlign w:val="center"/>
          </w:tcPr>
          <w:p w14:paraId="243BC060">
            <w:pPr>
              <w:wordWrap w:val="0"/>
              <w:spacing w:line="315" w:lineRule="exact"/>
              <w:ind w:firstLine="210" w:firstLineChars="100"/>
              <w:jc w:val="center"/>
            </w:pPr>
          </w:p>
        </w:tc>
        <w:tc>
          <w:tcPr>
            <w:tcW w:w="1095" w:type="dxa"/>
            <w:tcBorders>
              <w:top w:val="nil"/>
              <w:left w:val="nil"/>
              <w:bottom w:val="single" w:color="000000" w:sz="6" w:space="0"/>
              <w:right w:val="single" w:color="000000" w:sz="6" w:space="0"/>
            </w:tcBorders>
            <w:vAlign w:val="center"/>
          </w:tcPr>
          <w:p w14:paraId="234FDA8C">
            <w:pPr>
              <w:wordWrap w:val="0"/>
              <w:spacing w:line="315" w:lineRule="exact"/>
              <w:ind w:firstLine="210" w:firstLineChars="100"/>
              <w:jc w:val="center"/>
            </w:pPr>
          </w:p>
        </w:tc>
        <w:tc>
          <w:tcPr>
            <w:tcW w:w="765" w:type="dxa"/>
            <w:tcBorders>
              <w:top w:val="nil"/>
              <w:left w:val="nil"/>
              <w:bottom w:val="single" w:color="000000" w:sz="6" w:space="0"/>
              <w:right w:val="single" w:color="000000" w:sz="6" w:space="0"/>
            </w:tcBorders>
            <w:vAlign w:val="center"/>
          </w:tcPr>
          <w:p w14:paraId="49800520">
            <w:pPr>
              <w:wordWrap w:val="0"/>
              <w:spacing w:line="315" w:lineRule="exact"/>
              <w:ind w:firstLine="210" w:firstLineChars="100"/>
              <w:jc w:val="center"/>
            </w:pPr>
          </w:p>
        </w:tc>
      </w:tr>
      <w:tr w14:paraId="490839E5">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810" w:type="dxa"/>
            <w:tcBorders>
              <w:top w:val="nil"/>
              <w:left w:val="single" w:color="000000" w:sz="6" w:space="0"/>
              <w:bottom w:val="single" w:color="000000" w:sz="6" w:space="0"/>
              <w:right w:val="single" w:color="000000" w:sz="6" w:space="0"/>
            </w:tcBorders>
            <w:vAlign w:val="center"/>
          </w:tcPr>
          <w:p w14:paraId="031246B8">
            <w:pPr>
              <w:wordWrap w:val="0"/>
              <w:spacing w:line="315" w:lineRule="exact"/>
              <w:jc w:val="center"/>
            </w:pPr>
            <w:r>
              <w:rPr>
                <w:rFonts w:ascii="宋体" w:hAnsi="宋体" w:eastAsia="宋体" w:cs="宋体"/>
                <w:color w:val="000000"/>
              </w:rPr>
              <w:t>9</w:t>
            </w:r>
          </w:p>
        </w:tc>
        <w:tc>
          <w:tcPr>
            <w:tcW w:w="1290" w:type="dxa"/>
            <w:vMerge w:val="continue"/>
            <w:tcBorders>
              <w:top w:val="nil"/>
              <w:left w:val="nil"/>
              <w:bottom w:val="single" w:color="000000" w:sz="6" w:space="0"/>
              <w:right w:val="single" w:color="000000" w:sz="6" w:space="0"/>
            </w:tcBorders>
          </w:tcPr>
          <w:p w14:paraId="6F2FA0D6"/>
        </w:tc>
        <w:tc>
          <w:tcPr>
            <w:tcW w:w="3195" w:type="dxa"/>
            <w:tcBorders>
              <w:top w:val="nil"/>
              <w:left w:val="nil"/>
              <w:bottom w:val="single" w:color="000000" w:sz="6" w:space="0"/>
              <w:right w:val="single" w:color="000000" w:sz="6" w:space="0"/>
            </w:tcBorders>
            <w:vAlign w:val="center"/>
          </w:tcPr>
          <w:p w14:paraId="113A2117">
            <w:pPr>
              <w:wordWrap w:val="0"/>
              <w:spacing w:line="315" w:lineRule="exact"/>
              <w:jc w:val="left"/>
            </w:pPr>
            <w:r>
              <w:rPr>
                <w:rFonts w:ascii="宋体" w:hAnsi="宋体" w:eastAsia="宋体" w:cs="宋体"/>
                <w:color w:val="000000"/>
              </w:rPr>
              <w:t>配电箱内电线有无发热现象</w:t>
            </w:r>
          </w:p>
        </w:tc>
        <w:tc>
          <w:tcPr>
            <w:tcW w:w="885" w:type="dxa"/>
            <w:tcBorders>
              <w:top w:val="nil"/>
              <w:left w:val="nil"/>
              <w:bottom w:val="single" w:color="000000" w:sz="6" w:space="0"/>
              <w:right w:val="single" w:color="000000" w:sz="6" w:space="0"/>
            </w:tcBorders>
            <w:vAlign w:val="center"/>
          </w:tcPr>
          <w:p w14:paraId="7E1436C2">
            <w:pPr>
              <w:wordWrap w:val="0"/>
              <w:spacing w:line="315" w:lineRule="exact"/>
              <w:ind w:firstLine="210" w:firstLineChars="100"/>
              <w:jc w:val="left"/>
            </w:pPr>
          </w:p>
        </w:tc>
        <w:tc>
          <w:tcPr>
            <w:tcW w:w="1395" w:type="dxa"/>
            <w:tcBorders>
              <w:top w:val="nil"/>
              <w:left w:val="nil"/>
              <w:bottom w:val="single" w:color="000000" w:sz="6" w:space="0"/>
              <w:right w:val="single" w:color="000000" w:sz="6" w:space="0"/>
            </w:tcBorders>
            <w:vAlign w:val="center"/>
          </w:tcPr>
          <w:p w14:paraId="6885B4A6">
            <w:pPr>
              <w:wordWrap w:val="0"/>
              <w:spacing w:line="315" w:lineRule="exact"/>
              <w:ind w:firstLine="210" w:firstLineChars="100"/>
              <w:jc w:val="center"/>
            </w:pPr>
          </w:p>
        </w:tc>
        <w:tc>
          <w:tcPr>
            <w:tcW w:w="1095" w:type="dxa"/>
            <w:tcBorders>
              <w:top w:val="nil"/>
              <w:left w:val="nil"/>
              <w:bottom w:val="single" w:color="000000" w:sz="6" w:space="0"/>
              <w:right w:val="single" w:color="000000" w:sz="6" w:space="0"/>
            </w:tcBorders>
            <w:vAlign w:val="center"/>
          </w:tcPr>
          <w:p w14:paraId="6C702E07">
            <w:pPr>
              <w:wordWrap w:val="0"/>
              <w:spacing w:line="315" w:lineRule="exact"/>
              <w:ind w:firstLine="210" w:firstLineChars="100"/>
              <w:jc w:val="center"/>
            </w:pPr>
          </w:p>
        </w:tc>
        <w:tc>
          <w:tcPr>
            <w:tcW w:w="765" w:type="dxa"/>
            <w:tcBorders>
              <w:top w:val="nil"/>
              <w:left w:val="nil"/>
              <w:bottom w:val="single" w:color="000000" w:sz="6" w:space="0"/>
              <w:right w:val="single" w:color="000000" w:sz="6" w:space="0"/>
            </w:tcBorders>
            <w:vAlign w:val="center"/>
          </w:tcPr>
          <w:p w14:paraId="26A2A7B3">
            <w:pPr>
              <w:wordWrap w:val="0"/>
              <w:spacing w:line="315" w:lineRule="exact"/>
              <w:ind w:firstLine="210" w:firstLineChars="100"/>
              <w:jc w:val="center"/>
            </w:pPr>
          </w:p>
        </w:tc>
      </w:tr>
      <w:tr w14:paraId="35070201">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810" w:type="dxa"/>
            <w:tcBorders>
              <w:top w:val="nil"/>
              <w:left w:val="single" w:color="000000" w:sz="6" w:space="0"/>
              <w:bottom w:val="single" w:color="000000" w:sz="6" w:space="0"/>
              <w:right w:val="single" w:color="000000" w:sz="6" w:space="0"/>
            </w:tcBorders>
            <w:vAlign w:val="center"/>
          </w:tcPr>
          <w:p w14:paraId="5BA1E50D">
            <w:pPr>
              <w:wordWrap w:val="0"/>
              <w:spacing w:line="315" w:lineRule="exact"/>
              <w:jc w:val="center"/>
            </w:pPr>
            <w:r>
              <w:rPr>
                <w:rFonts w:ascii="宋体" w:hAnsi="宋体" w:eastAsia="宋体" w:cs="宋体"/>
                <w:color w:val="000000"/>
              </w:rPr>
              <w:t>10</w:t>
            </w:r>
          </w:p>
        </w:tc>
        <w:tc>
          <w:tcPr>
            <w:tcW w:w="1290" w:type="dxa"/>
            <w:vMerge w:val="continue"/>
            <w:tcBorders>
              <w:top w:val="nil"/>
              <w:left w:val="nil"/>
              <w:bottom w:val="single" w:color="000000" w:sz="6" w:space="0"/>
              <w:right w:val="single" w:color="000000" w:sz="6" w:space="0"/>
            </w:tcBorders>
          </w:tcPr>
          <w:p w14:paraId="6CDCFBE9"/>
        </w:tc>
        <w:tc>
          <w:tcPr>
            <w:tcW w:w="3195" w:type="dxa"/>
            <w:tcBorders>
              <w:top w:val="nil"/>
              <w:left w:val="nil"/>
              <w:bottom w:val="single" w:color="000000" w:sz="6" w:space="0"/>
              <w:right w:val="single" w:color="000000" w:sz="6" w:space="0"/>
            </w:tcBorders>
            <w:vAlign w:val="center"/>
          </w:tcPr>
          <w:p w14:paraId="74B911D4">
            <w:pPr>
              <w:wordWrap w:val="0"/>
              <w:spacing w:line="315" w:lineRule="exact"/>
              <w:jc w:val="left"/>
            </w:pPr>
            <w:r>
              <w:rPr>
                <w:rFonts w:ascii="宋体" w:hAnsi="宋体" w:eastAsia="宋体" w:cs="宋体"/>
                <w:color w:val="000000"/>
              </w:rPr>
              <w:t>配电箱内各开关等元器件有无烧糊迹象</w:t>
            </w:r>
          </w:p>
        </w:tc>
        <w:tc>
          <w:tcPr>
            <w:tcW w:w="885" w:type="dxa"/>
            <w:tcBorders>
              <w:top w:val="nil"/>
              <w:left w:val="nil"/>
              <w:bottom w:val="single" w:color="000000" w:sz="6" w:space="0"/>
              <w:right w:val="single" w:color="000000" w:sz="6" w:space="0"/>
            </w:tcBorders>
            <w:vAlign w:val="center"/>
          </w:tcPr>
          <w:p w14:paraId="7AEDD957">
            <w:pPr>
              <w:wordWrap w:val="0"/>
              <w:spacing w:line="315" w:lineRule="exact"/>
              <w:ind w:firstLine="210" w:firstLineChars="100"/>
              <w:jc w:val="left"/>
            </w:pPr>
          </w:p>
        </w:tc>
        <w:tc>
          <w:tcPr>
            <w:tcW w:w="1395" w:type="dxa"/>
            <w:tcBorders>
              <w:top w:val="nil"/>
              <w:left w:val="nil"/>
              <w:bottom w:val="single" w:color="000000" w:sz="6" w:space="0"/>
              <w:right w:val="single" w:color="000000" w:sz="6" w:space="0"/>
            </w:tcBorders>
            <w:vAlign w:val="center"/>
          </w:tcPr>
          <w:p w14:paraId="11B7CB08">
            <w:pPr>
              <w:wordWrap w:val="0"/>
              <w:spacing w:line="315" w:lineRule="exact"/>
              <w:ind w:firstLine="210" w:firstLineChars="100"/>
              <w:jc w:val="center"/>
            </w:pPr>
          </w:p>
        </w:tc>
        <w:tc>
          <w:tcPr>
            <w:tcW w:w="1095" w:type="dxa"/>
            <w:tcBorders>
              <w:top w:val="nil"/>
              <w:left w:val="nil"/>
              <w:bottom w:val="single" w:color="000000" w:sz="6" w:space="0"/>
              <w:right w:val="single" w:color="000000" w:sz="6" w:space="0"/>
            </w:tcBorders>
            <w:vAlign w:val="center"/>
          </w:tcPr>
          <w:p w14:paraId="52F49F16">
            <w:pPr>
              <w:wordWrap w:val="0"/>
              <w:spacing w:line="315" w:lineRule="exact"/>
              <w:ind w:firstLine="210" w:firstLineChars="100"/>
              <w:jc w:val="center"/>
            </w:pPr>
          </w:p>
        </w:tc>
        <w:tc>
          <w:tcPr>
            <w:tcW w:w="765" w:type="dxa"/>
            <w:tcBorders>
              <w:top w:val="nil"/>
              <w:left w:val="nil"/>
              <w:bottom w:val="single" w:color="000000" w:sz="6" w:space="0"/>
              <w:right w:val="single" w:color="000000" w:sz="6" w:space="0"/>
            </w:tcBorders>
            <w:vAlign w:val="center"/>
          </w:tcPr>
          <w:p w14:paraId="0D87FD24">
            <w:pPr>
              <w:wordWrap w:val="0"/>
              <w:spacing w:line="315" w:lineRule="exact"/>
              <w:ind w:firstLine="210" w:firstLineChars="100"/>
              <w:jc w:val="center"/>
            </w:pPr>
          </w:p>
        </w:tc>
      </w:tr>
      <w:tr w14:paraId="7F4DF183">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810" w:type="dxa"/>
            <w:tcBorders>
              <w:top w:val="nil"/>
              <w:left w:val="single" w:color="000000" w:sz="6" w:space="0"/>
              <w:bottom w:val="single" w:color="000000" w:sz="6" w:space="0"/>
              <w:right w:val="single" w:color="000000" w:sz="6" w:space="0"/>
            </w:tcBorders>
            <w:vAlign w:val="center"/>
          </w:tcPr>
          <w:p w14:paraId="68E4B57B">
            <w:pPr>
              <w:wordWrap w:val="0"/>
              <w:spacing w:line="315" w:lineRule="exact"/>
              <w:jc w:val="center"/>
            </w:pPr>
            <w:r>
              <w:rPr>
                <w:rFonts w:ascii="宋体" w:hAnsi="宋体" w:eastAsia="宋体" w:cs="宋体"/>
                <w:color w:val="000000"/>
              </w:rPr>
              <w:t>11</w:t>
            </w:r>
          </w:p>
        </w:tc>
        <w:tc>
          <w:tcPr>
            <w:tcW w:w="1290" w:type="dxa"/>
            <w:vMerge w:val="continue"/>
            <w:tcBorders>
              <w:top w:val="nil"/>
              <w:left w:val="nil"/>
              <w:bottom w:val="single" w:color="000000" w:sz="6" w:space="0"/>
              <w:right w:val="single" w:color="000000" w:sz="6" w:space="0"/>
            </w:tcBorders>
          </w:tcPr>
          <w:p w14:paraId="291316B6"/>
        </w:tc>
        <w:tc>
          <w:tcPr>
            <w:tcW w:w="3195" w:type="dxa"/>
            <w:tcBorders>
              <w:top w:val="nil"/>
              <w:left w:val="nil"/>
              <w:bottom w:val="single" w:color="000000" w:sz="6" w:space="0"/>
              <w:right w:val="single" w:color="000000" w:sz="6" w:space="0"/>
            </w:tcBorders>
            <w:vAlign w:val="center"/>
          </w:tcPr>
          <w:p w14:paraId="5C5B1497">
            <w:pPr>
              <w:wordWrap w:val="0"/>
              <w:spacing w:line="315" w:lineRule="exact"/>
              <w:jc w:val="left"/>
            </w:pPr>
            <w:r>
              <w:rPr>
                <w:rFonts w:ascii="宋体" w:hAnsi="宋体" w:eastAsia="宋体" w:cs="宋体"/>
                <w:color w:val="000000"/>
              </w:rPr>
              <w:t>配电箱内有无私拉乱接的现象</w:t>
            </w:r>
          </w:p>
        </w:tc>
        <w:tc>
          <w:tcPr>
            <w:tcW w:w="885" w:type="dxa"/>
            <w:tcBorders>
              <w:top w:val="nil"/>
              <w:left w:val="nil"/>
              <w:bottom w:val="single" w:color="000000" w:sz="6" w:space="0"/>
              <w:right w:val="single" w:color="000000" w:sz="6" w:space="0"/>
            </w:tcBorders>
            <w:vAlign w:val="center"/>
          </w:tcPr>
          <w:p w14:paraId="2D31C1D8">
            <w:pPr>
              <w:wordWrap w:val="0"/>
              <w:spacing w:line="315" w:lineRule="exact"/>
              <w:ind w:firstLine="210" w:firstLineChars="100"/>
              <w:jc w:val="left"/>
            </w:pPr>
          </w:p>
        </w:tc>
        <w:tc>
          <w:tcPr>
            <w:tcW w:w="1395" w:type="dxa"/>
            <w:tcBorders>
              <w:top w:val="nil"/>
              <w:left w:val="nil"/>
              <w:bottom w:val="single" w:color="000000" w:sz="6" w:space="0"/>
              <w:right w:val="single" w:color="000000" w:sz="6" w:space="0"/>
            </w:tcBorders>
            <w:vAlign w:val="center"/>
          </w:tcPr>
          <w:p w14:paraId="68E63EE7">
            <w:pPr>
              <w:wordWrap w:val="0"/>
              <w:spacing w:line="315" w:lineRule="exact"/>
              <w:ind w:firstLine="210" w:firstLineChars="100"/>
              <w:jc w:val="center"/>
            </w:pPr>
          </w:p>
        </w:tc>
        <w:tc>
          <w:tcPr>
            <w:tcW w:w="1095" w:type="dxa"/>
            <w:tcBorders>
              <w:top w:val="nil"/>
              <w:left w:val="nil"/>
              <w:bottom w:val="single" w:color="000000" w:sz="6" w:space="0"/>
              <w:right w:val="single" w:color="000000" w:sz="6" w:space="0"/>
            </w:tcBorders>
            <w:vAlign w:val="center"/>
          </w:tcPr>
          <w:p w14:paraId="6408100A">
            <w:pPr>
              <w:wordWrap w:val="0"/>
              <w:spacing w:line="315" w:lineRule="exact"/>
              <w:ind w:firstLine="210" w:firstLineChars="100"/>
              <w:jc w:val="center"/>
            </w:pPr>
          </w:p>
        </w:tc>
        <w:tc>
          <w:tcPr>
            <w:tcW w:w="765" w:type="dxa"/>
            <w:tcBorders>
              <w:top w:val="nil"/>
              <w:left w:val="nil"/>
              <w:bottom w:val="single" w:color="000000" w:sz="6" w:space="0"/>
              <w:right w:val="single" w:color="000000" w:sz="6" w:space="0"/>
            </w:tcBorders>
            <w:vAlign w:val="center"/>
          </w:tcPr>
          <w:p w14:paraId="245C2D98">
            <w:pPr>
              <w:wordWrap w:val="0"/>
              <w:spacing w:line="315" w:lineRule="exact"/>
              <w:ind w:firstLine="210" w:firstLineChars="100"/>
              <w:jc w:val="center"/>
            </w:pPr>
          </w:p>
        </w:tc>
      </w:tr>
      <w:tr w14:paraId="78509DCF">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810" w:type="dxa"/>
            <w:tcBorders>
              <w:top w:val="nil"/>
              <w:left w:val="single" w:color="000000" w:sz="6" w:space="0"/>
              <w:bottom w:val="single" w:color="000000" w:sz="6" w:space="0"/>
              <w:right w:val="single" w:color="000000" w:sz="6" w:space="0"/>
            </w:tcBorders>
            <w:vAlign w:val="center"/>
          </w:tcPr>
          <w:p w14:paraId="6C3731DD">
            <w:pPr>
              <w:wordWrap w:val="0"/>
              <w:spacing w:line="315" w:lineRule="exact"/>
              <w:jc w:val="center"/>
            </w:pPr>
            <w:r>
              <w:rPr>
                <w:rFonts w:ascii="宋体" w:hAnsi="宋体" w:eastAsia="宋体" w:cs="宋体"/>
                <w:color w:val="000000"/>
              </w:rPr>
              <w:t>12</w:t>
            </w:r>
          </w:p>
        </w:tc>
        <w:tc>
          <w:tcPr>
            <w:tcW w:w="1290" w:type="dxa"/>
            <w:vMerge w:val="continue"/>
            <w:tcBorders>
              <w:top w:val="nil"/>
              <w:left w:val="nil"/>
              <w:bottom w:val="single" w:color="000000" w:sz="6" w:space="0"/>
              <w:right w:val="single" w:color="000000" w:sz="6" w:space="0"/>
            </w:tcBorders>
          </w:tcPr>
          <w:p w14:paraId="1C80CE1E"/>
        </w:tc>
        <w:tc>
          <w:tcPr>
            <w:tcW w:w="3195" w:type="dxa"/>
            <w:tcBorders>
              <w:top w:val="nil"/>
              <w:left w:val="nil"/>
              <w:bottom w:val="single" w:color="000000" w:sz="6" w:space="0"/>
              <w:right w:val="single" w:color="000000" w:sz="6" w:space="0"/>
            </w:tcBorders>
            <w:vAlign w:val="center"/>
          </w:tcPr>
          <w:p w14:paraId="14701EDB">
            <w:pPr>
              <w:wordWrap w:val="0"/>
              <w:spacing w:line="315" w:lineRule="exact"/>
              <w:jc w:val="left"/>
            </w:pPr>
            <w:r>
              <w:rPr>
                <w:rFonts w:ascii="宋体" w:hAnsi="宋体" w:eastAsia="宋体" w:cs="宋体"/>
                <w:color w:val="000000"/>
              </w:rPr>
              <w:t>其他</w:t>
            </w:r>
          </w:p>
        </w:tc>
        <w:tc>
          <w:tcPr>
            <w:tcW w:w="885" w:type="dxa"/>
            <w:tcBorders>
              <w:top w:val="nil"/>
              <w:left w:val="nil"/>
              <w:bottom w:val="single" w:color="000000" w:sz="6" w:space="0"/>
              <w:right w:val="single" w:color="000000" w:sz="6" w:space="0"/>
            </w:tcBorders>
            <w:vAlign w:val="center"/>
          </w:tcPr>
          <w:p w14:paraId="2C5C75C0">
            <w:pPr>
              <w:wordWrap w:val="0"/>
              <w:spacing w:line="315" w:lineRule="exact"/>
              <w:ind w:firstLine="210" w:firstLineChars="100"/>
              <w:jc w:val="left"/>
            </w:pPr>
          </w:p>
        </w:tc>
        <w:tc>
          <w:tcPr>
            <w:tcW w:w="1395" w:type="dxa"/>
            <w:tcBorders>
              <w:top w:val="nil"/>
              <w:left w:val="nil"/>
              <w:bottom w:val="single" w:color="000000" w:sz="6" w:space="0"/>
              <w:right w:val="single" w:color="000000" w:sz="6" w:space="0"/>
            </w:tcBorders>
            <w:vAlign w:val="center"/>
          </w:tcPr>
          <w:p w14:paraId="721E1772">
            <w:pPr>
              <w:wordWrap w:val="0"/>
              <w:spacing w:line="315" w:lineRule="exact"/>
              <w:ind w:firstLine="210" w:firstLineChars="100"/>
              <w:jc w:val="center"/>
            </w:pPr>
          </w:p>
        </w:tc>
        <w:tc>
          <w:tcPr>
            <w:tcW w:w="1095" w:type="dxa"/>
            <w:tcBorders>
              <w:top w:val="nil"/>
              <w:left w:val="nil"/>
              <w:bottom w:val="single" w:color="000000" w:sz="6" w:space="0"/>
              <w:right w:val="single" w:color="000000" w:sz="6" w:space="0"/>
            </w:tcBorders>
            <w:vAlign w:val="center"/>
          </w:tcPr>
          <w:p w14:paraId="0776624F">
            <w:pPr>
              <w:wordWrap w:val="0"/>
              <w:spacing w:line="315" w:lineRule="exact"/>
              <w:ind w:firstLine="210" w:firstLineChars="100"/>
              <w:jc w:val="center"/>
            </w:pPr>
          </w:p>
        </w:tc>
        <w:tc>
          <w:tcPr>
            <w:tcW w:w="765" w:type="dxa"/>
            <w:tcBorders>
              <w:top w:val="nil"/>
              <w:left w:val="nil"/>
              <w:bottom w:val="single" w:color="000000" w:sz="6" w:space="0"/>
              <w:right w:val="single" w:color="000000" w:sz="6" w:space="0"/>
            </w:tcBorders>
            <w:vAlign w:val="center"/>
          </w:tcPr>
          <w:p w14:paraId="63A627C5">
            <w:pPr>
              <w:wordWrap w:val="0"/>
              <w:spacing w:line="315" w:lineRule="exact"/>
              <w:ind w:firstLine="210" w:firstLineChars="100"/>
              <w:jc w:val="center"/>
            </w:pPr>
          </w:p>
        </w:tc>
      </w:tr>
    </w:tbl>
    <w:p w14:paraId="47C307F5">
      <w:pPr>
        <w:wordWrap w:val="0"/>
        <w:spacing w:line="360" w:lineRule="exact"/>
        <w:ind w:firstLine="210" w:firstLineChars="100"/>
        <w:jc w:val="left"/>
      </w:pPr>
    </w:p>
    <w:tbl>
      <w:tblPr>
        <w:tblStyle w:val="5"/>
        <w:tblW w:w="9600" w:type="dxa"/>
        <w:jc w:val="center"/>
        <w:tblBorders>
          <w:top w:val="none" w:color="auto" w:sz="0" w:space="0"/>
          <w:left w:val="none" w:color="auto" w:sz="0" w:space="0"/>
          <w:bottom w:val="none" w:color="auto" w:sz="0" w:space="0"/>
          <w:right w:val="none" w:color="auto" w:sz="0" w:space="0"/>
          <w:insideH w:val="single" w:color="auto" w:sz="0" w:space="0"/>
          <w:insideV w:val="single" w:color="auto" w:sz="0" w:space="0"/>
        </w:tblBorders>
        <w:tblLayout w:type="autofit"/>
        <w:tblCellMar>
          <w:top w:w="0" w:type="dxa"/>
          <w:left w:w="10" w:type="dxa"/>
          <w:bottom w:w="0" w:type="dxa"/>
          <w:right w:w="10" w:type="dxa"/>
        </w:tblCellMar>
      </w:tblPr>
      <w:tblGrid>
        <w:gridCol w:w="837"/>
        <w:gridCol w:w="1371"/>
        <w:gridCol w:w="3109"/>
        <w:gridCol w:w="1189"/>
        <w:gridCol w:w="1341"/>
        <w:gridCol w:w="1006"/>
        <w:gridCol w:w="747"/>
      </w:tblGrid>
      <w:tr w14:paraId="65D13404">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9450" w:type="dxa"/>
            <w:gridSpan w:val="7"/>
            <w:tcBorders>
              <w:top w:val="nil"/>
              <w:left w:val="nil"/>
              <w:bottom w:val="nil"/>
              <w:right w:val="nil"/>
            </w:tcBorders>
            <w:vAlign w:val="center"/>
          </w:tcPr>
          <w:p w14:paraId="2015224A">
            <w:pPr>
              <w:wordWrap w:val="0"/>
              <w:spacing w:line="315" w:lineRule="exact"/>
              <w:jc w:val="center"/>
            </w:pPr>
            <w:r>
              <w:rPr>
                <w:rFonts w:ascii="宋体" w:hAnsi="宋体" w:eastAsia="宋体" w:cs="宋体"/>
                <w:color w:val="000000"/>
              </w:rPr>
              <w:t>南京财经大学日常用电安全巡查表（开关盒）</w:t>
            </w:r>
          </w:p>
        </w:tc>
      </w:tr>
      <w:tr w14:paraId="1913DE08">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825" w:type="dxa"/>
            <w:tcBorders>
              <w:top w:val="nil"/>
              <w:left w:val="nil"/>
              <w:bottom w:val="single" w:color="000000" w:sz="6" w:space="0"/>
              <w:right w:val="nil"/>
            </w:tcBorders>
            <w:vAlign w:val="center"/>
          </w:tcPr>
          <w:p w14:paraId="25C57411">
            <w:pPr>
              <w:wordWrap w:val="0"/>
              <w:spacing w:line="315" w:lineRule="exact"/>
              <w:ind w:firstLine="210" w:firstLineChars="100"/>
              <w:jc w:val="center"/>
            </w:pPr>
          </w:p>
        </w:tc>
        <w:tc>
          <w:tcPr>
            <w:tcW w:w="1350" w:type="dxa"/>
            <w:tcBorders>
              <w:top w:val="nil"/>
              <w:left w:val="nil"/>
              <w:bottom w:val="single" w:color="000000" w:sz="6" w:space="0"/>
              <w:right w:val="nil"/>
            </w:tcBorders>
            <w:vAlign w:val="center"/>
          </w:tcPr>
          <w:p w14:paraId="23027842">
            <w:pPr>
              <w:wordWrap w:val="0"/>
              <w:spacing w:line="315" w:lineRule="exact"/>
              <w:jc w:val="center"/>
            </w:pPr>
            <w:r>
              <w:rPr>
                <w:rFonts w:ascii="宋体" w:hAnsi="宋体" w:eastAsia="宋体" w:cs="宋体"/>
                <w:color w:val="000000"/>
              </w:rPr>
              <w:t>检查建筑：</w:t>
            </w:r>
          </w:p>
        </w:tc>
        <w:tc>
          <w:tcPr>
            <w:tcW w:w="3060" w:type="dxa"/>
            <w:tcBorders>
              <w:top w:val="nil"/>
              <w:left w:val="nil"/>
              <w:bottom w:val="single" w:color="000000" w:sz="6" w:space="0"/>
              <w:right w:val="nil"/>
            </w:tcBorders>
            <w:vAlign w:val="center"/>
          </w:tcPr>
          <w:p w14:paraId="30CC4BC7">
            <w:pPr>
              <w:wordWrap w:val="0"/>
              <w:spacing w:line="315" w:lineRule="exact"/>
              <w:jc w:val="right"/>
            </w:pPr>
            <w:r>
              <w:rPr>
                <w:rFonts w:ascii="宋体" w:hAnsi="宋体" w:eastAsia="宋体" w:cs="宋体"/>
                <w:color w:val="000000"/>
              </w:rPr>
              <w:t>检查人：</w:t>
            </w:r>
          </w:p>
        </w:tc>
        <w:tc>
          <w:tcPr>
            <w:tcW w:w="1170" w:type="dxa"/>
            <w:tcBorders>
              <w:top w:val="nil"/>
              <w:left w:val="nil"/>
              <w:bottom w:val="single" w:color="000000" w:sz="6" w:space="0"/>
              <w:right w:val="nil"/>
            </w:tcBorders>
            <w:vAlign w:val="center"/>
          </w:tcPr>
          <w:p w14:paraId="2883D5EE">
            <w:pPr>
              <w:wordWrap w:val="0"/>
              <w:spacing w:line="315" w:lineRule="exact"/>
              <w:ind w:firstLine="210" w:firstLineChars="100"/>
              <w:jc w:val="center"/>
            </w:pPr>
          </w:p>
        </w:tc>
        <w:tc>
          <w:tcPr>
            <w:tcW w:w="1320" w:type="dxa"/>
            <w:tcBorders>
              <w:top w:val="nil"/>
              <w:left w:val="nil"/>
              <w:bottom w:val="single" w:color="000000" w:sz="6" w:space="0"/>
              <w:right w:val="nil"/>
            </w:tcBorders>
            <w:vAlign w:val="center"/>
          </w:tcPr>
          <w:p w14:paraId="64B2CD9F">
            <w:pPr>
              <w:wordWrap w:val="0"/>
              <w:spacing w:line="315" w:lineRule="exact"/>
              <w:jc w:val="left"/>
            </w:pPr>
            <w:r>
              <w:rPr>
                <w:rFonts w:ascii="宋体" w:hAnsi="宋体" w:eastAsia="宋体" w:cs="宋体"/>
                <w:color w:val="000000"/>
              </w:rPr>
              <w:t>检查时间：</w:t>
            </w:r>
          </w:p>
        </w:tc>
        <w:tc>
          <w:tcPr>
            <w:tcW w:w="990" w:type="dxa"/>
            <w:tcBorders>
              <w:top w:val="nil"/>
              <w:left w:val="nil"/>
              <w:bottom w:val="single" w:color="000000" w:sz="6" w:space="0"/>
              <w:right w:val="nil"/>
            </w:tcBorders>
            <w:vAlign w:val="center"/>
          </w:tcPr>
          <w:p w14:paraId="3A873583">
            <w:pPr>
              <w:wordWrap w:val="0"/>
              <w:spacing w:line="315" w:lineRule="exact"/>
              <w:ind w:firstLine="210" w:firstLineChars="100"/>
              <w:jc w:val="center"/>
            </w:pPr>
          </w:p>
        </w:tc>
        <w:tc>
          <w:tcPr>
            <w:tcW w:w="720" w:type="dxa"/>
            <w:tcBorders>
              <w:top w:val="nil"/>
              <w:left w:val="nil"/>
              <w:bottom w:val="single" w:color="000000" w:sz="6" w:space="0"/>
              <w:right w:val="nil"/>
            </w:tcBorders>
            <w:vAlign w:val="center"/>
          </w:tcPr>
          <w:p w14:paraId="701CB9E1">
            <w:pPr>
              <w:wordWrap w:val="0"/>
              <w:spacing w:line="315" w:lineRule="exact"/>
              <w:ind w:firstLine="210" w:firstLineChars="100"/>
              <w:jc w:val="center"/>
            </w:pPr>
          </w:p>
        </w:tc>
      </w:tr>
      <w:tr w14:paraId="49174921">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825" w:type="dxa"/>
            <w:vMerge w:val="restart"/>
            <w:tcBorders>
              <w:top w:val="nil"/>
              <w:left w:val="single" w:color="000000" w:sz="6" w:space="0"/>
              <w:bottom w:val="single" w:color="000000" w:sz="6" w:space="0"/>
              <w:right w:val="single" w:color="000000" w:sz="6" w:space="0"/>
            </w:tcBorders>
            <w:vAlign w:val="center"/>
          </w:tcPr>
          <w:p w14:paraId="2A39A4F6">
            <w:pPr>
              <w:wordWrap w:val="0"/>
              <w:spacing w:line="315" w:lineRule="exact"/>
              <w:jc w:val="center"/>
            </w:pPr>
            <w:r>
              <w:rPr>
                <w:rFonts w:ascii="宋体" w:hAnsi="宋体" w:eastAsia="宋体" w:cs="宋体"/>
                <w:color w:val="000000"/>
              </w:rPr>
              <w:t>序号</w:t>
            </w:r>
          </w:p>
        </w:tc>
        <w:tc>
          <w:tcPr>
            <w:tcW w:w="1350" w:type="dxa"/>
            <w:vMerge w:val="restart"/>
            <w:tcBorders>
              <w:top w:val="nil"/>
              <w:left w:val="nil"/>
              <w:bottom w:val="single" w:color="000000" w:sz="6" w:space="0"/>
              <w:right w:val="single" w:color="000000" w:sz="6" w:space="0"/>
            </w:tcBorders>
            <w:vAlign w:val="center"/>
          </w:tcPr>
          <w:p w14:paraId="007A32DC">
            <w:pPr>
              <w:wordWrap w:val="0"/>
              <w:spacing w:line="315" w:lineRule="exact"/>
              <w:jc w:val="center"/>
            </w:pPr>
            <w:r>
              <w:rPr>
                <w:rFonts w:ascii="宋体" w:hAnsi="宋体" w:eastAsia="宋体" w:cs="宋体"/>
                <w:color w:val="000000"/>
              </w:rPr>
              <w:t>设备位置</w:t>
            </w:r>
          </w:p>
        </w:tc>
        <w:tc>
          <w:tcPr>
            <w:tcW w:w="3060" w:type="dxa"/>
            <w:vMerge w:val="restart"/>
            <w:tcBorders>
              <w:top w:val="nil"/>
              <w:left w:val="nil"/>
              <w:bottom w:val="single" w:color="000000" w:sz="6" w:space="0"/>
              <w:right w:val="single" w:color="000000" w:sz="6" w:space="0"/>
            </w:tcBorders>
            <w:vAlign w:val="center"/>
          </w:tcPr>
          <w:p w14:paraId="6AFDCBF4">
            <w:pPr>
              <w:wordWrap w:val="0"/>
              <w:spacing w:line="315" w:lineRule="exact"/>
              <w:jc w:val="center"/>
            </w:pPr>
            <w:r>
              <w:rPr>
                <w:rFonts w:ascii="宋体" w:hAnsi="宋体" w:eastAsia="宋体" w:cs="宋体"/>
                <w:color w:val="000000"/>
              </w:rPr>
              <w:t>检查内容</w:t>
            </w:r>
          </w:p>
        </w:tc>
        <w:tc>
          <w:tcPr>
            <w:tcW w:w="3480" w:type="dxa"/>
            <w:gridSpan w:val="3"/>
            <w:tcBorders>
              <w:top w:val="nil"/>
              <w:left w:val="nil"/>
              <w:bottom w:val="single" w:color="000000" w:sz="6" w:space="0"/>
              <w:right w:val="single" w:color="000000" w:sz="6" w:space="0"/>
            </w:tcBorders>
            <w:vAlign w:val="center"/>
          </w:tcPr>
          <w:p w14:paraId="25864C06">
            <w:pPr>
              <w:wordWrap w:val="0"/>
              <w:spacing w:line="315" w:lineRule="exact"/>
              <w:jc w:val="center"/>
            </w:pPr>
            <w:r>
              <w:rPr>
                <w:rFonts w:ascii="宋体" w:hAnsi="宋体" w:eastAsia="宋体" w:cs="宋体"/>
                <w:color w:val="000000"/>
              </w:rPr>
              <w:t>检查结果</w:t>
            </w:r>
          </w:p>
        </w:tc>
        <w:tc>
          <w:tcPr>
            <w:tcW w:w="720" w:type="dxa"/>
            <w:vMerge w:val="restart"/>
            <w:tcBorders>
              <w:top w:val="nil"/>
              <w:left w:val="nil"/>
              <w:bottom w:val="single" w:color="000000" w:sz="6" w:space="0"/>
              <w:right w:val="single" w:color="000000" w:sz="6" w:space="0"/>
            </w:tcBorders>
            <w:vAlign w:val="center"/>
          </w:tcPr>
          <w:p w14:paraId="2C1F5547">
            <w:pPr>
              <w:wordWrap w:val="0"/>
              <w:spacing w:line="315" w:lineRule="exact"/>
              <w:jc w:val="center"/>
            </w:pPr>
            <w:r>
              <w:rPr>
                <w:rFonts w:ascii="宋体" w:hAnsi="宋体" w:eastAsia="宋体" w:cs="宋体"/>
                <w:color w:val="000000"/>
              </w:rPr>
              <w:t>备注</w:t>
            </w:r>
          </w:p>
        </w:tc>
      </w:tr>
      <w:tr w14:paraId="51C81812">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825" w:type="dxa"/>
            <w:vMerge w:val="continue"/>
            <w:tcBorders>
              <w:top w:val="nil"/>
              <w:left w:val="single" w:color="000000" w:sz="6" w:space="0"/>
              <w:bottom w:val="single" w:color="000000" w:sz="6" w:space="0"/>
              <w:right w:val="single" w:color="000000" w:sz="6" w:space="0"/>
            </w:tcBorders>
          </w:tcPr>
          <w:p w14:paraId="1D5D43A4"/>
        </w:tc>
        <w:tc>
          <w:tcPr>
            <w:tcW w:w="1350" w:type="dxa"/>
            <w:vMerge w:val="continue"/>
            <w:tcBorders>
              <w:top w:val="nil"/>
              <w:left w:val="nil"/>
              <w:bottom w:val="single" w:color="000000" w:sz="6" w:space="0"/>
              <w:right w:val="single" w:color="000000" w:sz="6" w:space="0"/>
            </w:tcBorders>
          </w:tcPr>
          <w:p w14:paraId="1DF8BD74"/>
        </w:tc>
        <w:tc>
          <w:tcPr>
            <w:tcW w:w="3060" w:type="dxa"/>
            <w:vMerge w:val="continue"/>
            <w:tcBorders>
              <w:top w:val="nil"/>
              <w:left w:val="nil"/>
              <w:bottom w:val="single" w:color="000000" w:sz="6" w:space="0"/>
              <w:right w:val="single" w:color="000000" w:sz="6" w:space="0"/>
            </w:tcBorders>
          </w:tcPr>
          <w:p w14:paraId="6A88BA91"/>
        </w:tc>
        <w:tc>
          <w:tcPr>
            <w:tcW w:w="1170" w:type="dxa"/>
            <w:tcBorders>
              <w:top w:val="nil"/>
              <w:left w:val="nil"/>
              <w:bottom w:val="single" w:color="000000" w:sz="6" w:space="0"/>
              <w:right w:val="single" w:color="000000" w:sz="6" w:space="0"/>
            </w:tcBorders>
            <w:vAlign w:val="center"/>
          </w:tcPr>
          <w:p w14:paraId="1A6A4C0E">
            <w:pPr>
              <w:wordWrap w:val="0"/>
              <w:spacing w:line="315" w:lineRule="exact"/>
              <w:jc w:val="center"/>
            </w:pPr>
            <w:r>
              <w:rPr>
                <w:rFonts w:ascii="宋体" w:hAnsi="宋体" w:eastAsia="宋体" w:cs="宋体"/>
                <w:color w:val="000000"/>
              </w:rPr>
              <w:t>是否规范</w:t>
            </w:r>
          </w:p>
        </w:tc>
        <w:tc>
          <w:tcPr>
            <w:tcW w:w="1320" w:type="dxa"/>
            <w:tcBorders>
              <w:top w:val="nil"/>
              <w:left w:val="nil"/>
              <w:bottom w:val="single" w:color="000000" w:sz="6" w:space="0"/>
              <w:right w:val="single" w:color="000000" w:sz="6" w:space="0"/>
            </w:tcBorders>
            <w:vAlign w:val="center"/>
          </w:tcPr>
          <w:p w14:paraId="7AF486D4">
            <w:pPr>
              <w:wordWrap w:val="0"/>
              <w:spacing w:line="315" w:lineRule="exact"/>
              <w:jc w:val="center"/>
            </w:pPr>
            <w:r>
              <w:rPr>
                <w:rFonts w:ascii="宋体" w:hAnsi="宋体" w:eastAsia="宋体" w:cs="宋体"/>
                <w:color w:val="000000"/>
              </w:rPr>
              <w:t>存在隐患</w:t>
            </w:r>
          </w:p>
        </w:tc>
        <w:tc>
          <w:tcPr>
            <w:tcW w:w="990" w:type="dxa"/>
            <w:tcBorders>
              <w:top w:val="nil"/>
              <w:left w:val="nil"/>
              <w:bottom w:val="single" w:color="000000" w:sz="6" w:space="0"/>
              <w:right w:val="single" w:color="000000" w:sz="6" w:space="0"/>
            </w:tcBorders>
            <w:vAlign w:val="center"/>
          </w:tcPr>
          <w:p w14:paraId="11E579BD">
            <w:pPr>
              <w:wordWrap w:val="0"/>
              <w:spacing w:line="315" w:lineRule="exact"/>
              <w:jc w:val="center"/>
            </w:pPr>
            <w:r>
              <w:rPr>
                <w:rFonts w:ascii="宋体" w:hAnsi="宋体" w:eastAsia="宋体" w:cs="宋体"/>
                <w:color w:val="000000"/>
              </w:rPr>
              <w:t>处理方案</w:t>
            </w:r>
          </w:p>
        </w:tc>
        <w:tc>
          <w:tcPr>
            <w:tcW w:w="720" w:type="dxa"/>
            <w:vMerge w:val="continue"/>
            <w:tcBorders>
              <w:top w:val="nil"/>
              <w:left w:val="nil"/>
              <w:bottom w:val="single" w:color="000000" w:sz="6" w:space="0"/>
              <w:right w:val="single" w:color="000000" w:sz="6" w:space="0"/>
            </w:tcBorders>
          </w:tcPr>
          <w:p w14:paraId="2B7C11EA"/>
        </w:tc>
      </w:tr>
      <w:tr w14:paraId="0B888D5E">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PrEx>
        <w:trPr>
          <w:trHeight w:val="300" w:hRule="atLeast"/>
          <w:jc w:val="center"/>
        </w:trPr>
        <w:tc>
          <w:tcPr>
            <w:tcW w:w="825" w:type="dxa"/>
            <w:tcBorders>
              <w:top w:val="nil"/>
              <w:left w:val="single" w:color="000000" w:sz="6" w:space="0"/>
              <w:bottom w:val="single" w:color="000000" w:sz="6" w:space="0"/>
              <w:right w:val="single" w:color="000000" w:sz="6" w:space="0"/>
            </w:tcBorders>
            <w:vAlign w:val="center"/>
          </w:tcPr>
          <w:p w14:paraId="0450511F">
            <w:pPr>
              <w:wordWrap w:val="0"/>
              <w:spacing w:line="315" w:lineRule="exact"/>
              <w:jc w:val="center"/>
            </w:pPr>
            <w:r>
              <w:rPr>
                <w:rFonts w:ascii="宋体" w:hAnsi="宋体" w:eastAsia="宋体" w:cs="宋体"/>
                <w:color w:val="000000"/>
              </w:rPr>
              <w:t>1</w:t>
            </w:r>
          </w:p>
        </w:tc>
        <w:tc>
          <w:tcPr>
            <w:tcW w:w="1350" w:type="dxa"/>
            <w:vMerge w:val="restart"/>
            <w:tcBorders>
              <w:top w:val="nil"/>
              <w:left w:val="nil"/>
              <w:bottom w:val="single" w:color="000000" w:sz="6" w:space="0"/>
              <w:right w:val="single" w:color="000000" w:sz="6" w:space="0"/>
            </w:tcBorders>
            <w:vAlign w:val="center"/>
          </w:tcPr>
          <w:p w14:paraId="1844B8ED">
            <w:pPr>
              <w:wordWrap w:val="0"/>
              <w:spacing w:line="315" w:lineRule="exact"/>
              <w:ind w:firstLine="210" w:firstLineChars="100"/>
              <w:jc w:val="center"/>
            </w:pPr>
          </w:p>
        </w:tc>
        <w:tc>
          <w:tcPr>
            <w:tcW w:w="3060" w:type="dxa"/>
            <w:tcBorders>
              <w:top w:val="nil"/>
              <w:left w:val="nil"/>
              <w:bottom w:val="single" w:color="000000" w:sz="6" w:space="0"/>
              <w:right w:val="single" w:color="000000" w:sz="6" w:space="0"/>
            </w:tcBorders>
            <w:vAlign w:val="center"/>
          </w:tcPr>
          <w:p w14:paraId="1F772B73">
            <w:pPr>
              <w:wordWrap w:val="0"/>
              <w:spacing w:line="315" w:lineRule="exact"/>
              <w:jc w:val="left"/>
            </w:pPr>
            <w:r>
              <w:rPr>
                <w:rFonts w:ascii="宋体" w:hAnsi="宋体" w:eastAsia="宋体" w:cs="宋体"/>
                <w:color w:val="000000"/>
              </w:rPr>
              <w:t>开关盒面板是否完整</w:t>
            </w:r>
          </w:p>
        </w:tc>
        <w:tc>
          <w:tcPr>
            <w:tcW w:w="1170" w:type="dxa"/>
            <w:tcBorders>
              <w:top w:val="nil"/>
              <w:left w:val="nil"/>
              <w:bottom w:val="single" w:color="000000" w:sz="6" w:space="0"/>
              <w:right w:val="single" w:color="000000" w:sz="6" w:space="0"/>
            </w:tcBorders>
            <w:vAlign w:val="center"/>
          </w:tcPr>
          <w:p w14:paraId="39CA9BF7">
            <w:pPr>
              <w:wordWrap w:val="0"/>
              <w:spacing w:line="315" w:lineRule="exact"/>
              <w:ind w:firstLine="210" w:firstLineChars="100"/>
              <w:jc w:val="left"/>
            </w:pPr>
          </w:p>
        </w:tc>
        <w:tc>
          <w:tcPr>
            <w:tcW w:w="1320" w:type="dxa"/>
            <w:tcBorders>
              <w:top w:val="nil"/>
              <w:left w:val="nil"/>
              <w:bottom w:val="single" w:color="000000" w:sz="6" w:space="0"/>
              <w:right w:val="single" w:color="000000" w:sz="6" w:space="0"/>
            </w:tcBorders>
            <w:vAlign w:val="center"/>
          </w:tcPr>
          <w:p w14:paraId="2CCE2D9F">
            <w:pPr>
              <w:wordWrap w:val="0"/>
              <w:spacing w:line="315" w:lineRule="exact"/>
              <w:ind w:firstLine="210" w:firstLineChars="100"/>
              <w:jc w:val="center"/>
            </w:pPr>
          </w:p>
        </w:tc>
        <w:tc>
          <w:tcPr>
            <w:tcW w:w="990" w:type="dxa"/>
            <w:tcBorders>
              <w:top w:val="nil"/>
              <w:left w:val="nil"/>
              <w:bottom w:val="single" w:color="000000" w:sz="6" w:space="0"/>
              <w:right w:val="single" w:color="000000" w:sz="6" w:space="0"/>
            </w:tcBorders>
            <w:vAlign w:val="center"/>
          </w:tcPr>
          <w:p w14:paraId="7CB8ECE6">
            <w:pPr>
              <w:wordWrap w:val="0"/>
              <w:spacing w:line="315" w:lineRule="exact"/>
              <w:ind w:firstLine="210" w:firstLineChars="100"/>
              <w:jc w:val="center"/>
            </w:pPr>
          </w:p>
        </w:tc>
        <w:tc>
          <w:tcPr>
            <w:tcW w:w="720" w:type="dxa"/>
            <w:tcBorders>
              <w:top w:val="nil"/>
              <w:left w:val="nil"/>
              <w:bottom w:val="single" w:color="000000" w:sz="6" w:space="0"/>
              <w:right w:val="single" w:color="000000" w:sz="6" w:space="0"/>
            </w:tcBorders>
            <w:vAlign w:val="center"/>
          </w:tcPr>
          <w:p w14:paraId="5D651FF9">
            <w:pPr>
              <w:wordWrap w:val="0"/>
              <w:spacing w:line="315" w:lineRule="exact"/>
              <w:ind w:firstLine="210" w:firstLineChars="100"/>
              <w:jc w:val="center"/>
            </w:pPr>
          </w:p>
        </w:tc>
      </w:tr>
      <w:tr w14:paraId="1C966AD6">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825" w:type="dxa"/>
            <w:tcBorders>
              <w:top w:val="nil"/>
              <w:left w:val="single" w:color="000000" w:sz="6" w:space="0"/>
              <w:bottom w:val="single" w:color="000000" w:sz="6" w:space="0"/>
              <w:right w:val="single" w:color="000000" w:sz="6" w:space="0"/>
            </w:tcBorders>
            <w:vAlign w:val="center"/>
          </w:tcPr>
          <w:p w14:paraId="10A416EF">
            <w:pPr>
              <w:wordWrap w:val="0"/>
              <w:spacing w:line="315" w:lineRule="exact"/>
              <w:jc w:val="center"/>
            </w:pPr>
            <w:r>
              <w:rPr>
                <w:rFonts w:ascii="宋体" w:hAnsi="宋体" w:eastAsia="宋体" w:cs="宋体"/>
                <w:color w:val="000000"/>
              </w:rPr>
              <w:t>2</w:t>
            </w:r>
          </w:p>
        </w:tc>
        <w:tc>
          <w:tcPr>
            <w:tcW w:w="1350" w:type="dxa"/>
            <w:vMerge w:val="continue"/>
            <w:tcBorders>
              <w:top w:val="nil"/>
              <w:left w:val="nil"/>
              <w:bottom w:val="single" w:color="000000" w:sz="6" w:space="0"/>
              <w:right w:val="single" w:color="000000" w:sz="6" w:space="0"/>
            </w:tcBorders>
          </w:tcPr>
          <w:p w14:paraId="021082C1"/>
        </w:tc>
        <w:tc>
          <w:tcPr>
            <w:tcW w:w="3060" w:type="dxa"/>
            <w:tcBorders>
              <w:top w:val="nil"/>
              <w:left w:val="nil"/>
              <w:bottom w:val="single" w:color="000000" w:sz="6" w:space="0"/>
              <w:right w:val="single" w:color="000000" w:sz="6" w:space="0"/>
            </w:tcBorders>
            <w:vAlign w:val="center"/>
          </w:tcPr>
          <w:p w14:paraId="4E74D4DE">
            <w:pPr>
              <w:wordWrap w:val="0"/>
              <w:spacing w:line="315" w:lineRule="exact"/>
              <w:jc w:val="left"/>
            </w:pPr>
            <w:r>
              <w:rPr>
                <w:rFonts w:ascii="宋体" w:hAnsi="宋体" w:eastAsia="宋体" w:cs="宋体"/>
                <w:color w:val="000000"/>
              </w:rPr>
              <w:t>盒内接线柱是否有松动迹象</w:t>
            </w:r>
          </w:p>
        </w:tc>
        <w:tc>
          <w:tcPr>
            <w:tcW w:w="1170" w:type="dxa"/>
            <w:tcBorders>
              <w:top w:val="nil"/>
              <w:left w:val="nil"/>
              <w:bottom w:val="single" w:color="000000" w:sz="6" w:space="0"/>
              <w:right w:val="single" w:color="000000" w:sz="6" w:space="0"/>
            </w:tcBorders>
            <w:vAlign w:val="center"/>
          </w:tcPr>
          <w:p w14:paraId="73172FAD">
            <w:pPr>
              <w:wordWrap w:val="0"/>
              <w:spacing w:line="315" w:lineRule="exact"/>
              <w:ind w:firstLine="210" w:firstLineChars="100"/>
              <w:jc w:val="left"/>
            </w:pPr>
          </w:p>
        </w:tc>
        <w:tc>
          <w:tcPr>
            <w:tcW w:w="1320" w:type="dxa"/>
            <w:tcBorders>
              <w:top w:val="nil"/>
              <w:left w:val="nil"/>
              <w:bottom w:val="single" w:color="000000" w:sz="6" w:space="0"/>
              <w:right w:val="single" w:color="000000" w:sz="6" w:space="0"/>
            </w:tcBorders>
            <w:vAlign w:val="center"/>
          </w:tcPr>
          <w:p w14:paraId="5B8CE753">
            <w:pPr>
              <w:wordWrap w:val="0"/>
              <w:spacing w:line="315" w:lineRule="exact"/>
              <w:ind w:firstLine="210" w:firstLineChars="100"/>
              <w:jc w:val="center"/>
            </w:pPr>
          </w:p>
        </w:tc>
        <w:tc>
          <w:tcPr>
            <w:tcW w:w="990" w:type="dxa"/>
            <w:tcBorders>
              <w:top w:val="nil"/>
              <w:left w:val="nil"/>
              <w:bottom w:val="single" w:color="000000" w:sz="6" w:space="0"/>
              <w:right w:val="single" w:color="000000" w:sz="6" w:space="0"/>
            </w:tcBorders>
            <w:vAlign w:val="center"/>
          </w:tcPr>
          <w:p w14:paraId="47932F26">
            <w:pPr>
              <w:wordWrap w:val="0"/>
              <w:spacing w:line="315" w:lineRule="exact"/>
              <w:ind w:firstLine="210" w:firstLineChars="100"/>
              <w:jc w:val="center"/>
            </w:pPr>
          </w:p>
        </w:tc>
        <w:tc>
          <w:tcPr>
            <w:tcW w:w="720" w:type="dxa"/>
            <w:tcBorders>
              <w:top w:val="nil"/>
              <w:left w:val="nil"/>
              <w:bottom w:val="single" w:color="000000" w:sz="6" w:space="0"/>
              <w:right w:val="single" w:color="000000" w:sz="6" w:space="0"/>
            </w:tcBorders>
            <w:vAlign w:val="center"/>
          </w:tcPr>
          <w:p w14:paraId="74849008">
            <w:pPr>
              <w:wordWrap w:val="0"/>
              <w:spacing w:line="315" w:lineRule="exact"/>
              <w:ind w:firstLine="210" w:firstLineChars="100"/>
              <w:jc w:val="center"/>
            </w:pPr>
          </w:p>
        </w:tc>
      </w:tr>
      <w:tr w14:paraId="55916F33">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825" w:type="dxa"/>
            <w:tcBorders>
              <w:top w:val="nil"/>
              <w:left w:val="single" w:color="000000" w:sz="6" w:space="0"/>
              <w:bottom w:val="single" w:color="000000" w:sz="6" w:space="0"/>
              <w:right w:val="single" w:color="000000" w:sz="6" w:space="0"/>
            </w:tcBorders>
            <w:vAlign w:val="center"/>
          </w:tcPr>
          <w:p w14:paraId="518D44D2">
            <w:pPr>
              <w:wordWrap w:val="0"/>
              <w:spacing w:line="315" w:lineRule="exact"/>
              <w:jc w:val="center"/>
            </w:pPr>
            <w:r>
              <w:rPr>
                <w:rFonts w:ascii="宋体" w:hAnsi="宋体" w:eastAsia="宋体" w:cs="宋体"/>
                <w:color w:val="000000"/>
              </w:rPr>
              <w:t>3</w:t>
            </w:r>
          </w:p>
        </w:tc>
        <w:tc>
          <w:tcPr>
            <w:tcW w:w="1350" w:type="dxa"/>
            <w:vMerge w:val="continue"/>
            <w:tcBorders>
              <w:top w:val="nil"/>
              <w:left w:val="nil"/>
              <w:bottom w:val="single" w:color="000000" w:sz="6" w:space="0"/>
              <w:right w:val="single" w:color="000000" w:sz="6" w:space="0"/>
            </w:tcBorders>
          </w:tcPr>
          <w:p w14:paraId="33960528"/>
        </w:tc>
        <w:tc>
          <w:tcPr>
            <w:tcW w:w="3060" w:type="dxa"/>
            <w:tcBorders>
              <w:top w:val="nil"/>
              <w:left w:val="nil"/>
              <w:bottom w:val="single" w:color="000000" w:sz="6" w:space="0"/>
              <w:right w:val="single" w:color="000000" w:sz="6" w:space="0"/>
            </w:tcBorders>
            <w:vAlign w:val="center"/>
          </w:tcPr>
          <w:p w14:paraId="1D509358">
            <w:pPr>
              <w:wordWrap w:val="0"/>
              <w:spacing w:line="315" w:lineRule="exact"/>
              <w:jc w:val="left"/>
            </w:pPr>
            <w:r>
              <w:rPr>
                <w:rFonts w:ascii="宋体" w:hAnsi="宋体" w:eastAsia="宋体" w:cs="宋体"/>
                <w:color w:val="000000"/>
              </w:rPr>
              <w:t>盒内开关等各元器件是否有烧焦迹象</w:t>
            </w:r>
          </w:p>
        </w:tc>
        <w:tc>
          <w:tcPr>
            <w:tcW w:w="1170" w:type="dxa"/>
            <w:tcBorders>
              <w:top w:val="nil"/>
              <w:left w:val="nil"/>
              <w:bottom w:val="single" w:color="000000" w:sz="6" w:space="0"/>
              <w:right w:val="single" w:color="000000" w:sz="6" w:space="0"/>
            </w:tcBorders>
            <w:vAlign w:val="center"/>
          </w:tcPr>
          <w:p w14:paraId="37315935">
            <w:pPr>
              <w:wordWrap w:val="0"/>
              <w:spacing w:line="315" w:lineRule="exact"/>
              <w:ind w:firstLine="210" w:firstLineChars="100"/>
              <w:jc w:val="left"/>
            </w:pPr>
          </w:p>
        </w:tc>
        <w:tc>
          <w:tcPr>
            <w:tcW w:w="1320" w:type="dxa"/>
            <w:tcBorders>
              <w:top w:val="nil"/>
              <w:left w:val="nil"/>
              <w:bottom w:val="single" w:color="000000" w:sz="6" w:space="0"/>
              <w:right w:val="single" w:color="000000" w:sz="6" w:space="0"/>
            </w:tcBorders>
            <w:vAlign w:val="center"/>
          </w:tcPr>
          <w:p w14:paraId="7B380F9B">
            <w:pPr>
              <w:wordWrap w:val="0"/>
              <w:spacing w:line="315" w:lineRule="exact"/>
              <w:ind w:firstLine="210" w:firstLineChars="100"/>
              <w:jc w:val="center"/>
            </w:pPr>
          </w:p>
        </w:tc>
        <w:tc>
          <w:tcPr>
            <w:tcW w:w="990" w:type="dxa"/>
            <w:tcBorders>
              <w:top w:val="nil"/>
              <w:left w:val="nil"/>
              <w:bottom w:val="single" w:color="000000" w:sz="6" w:space="0"/>
              <w:right w:val="single" w:color="000000" w:sz="6" w:space="0"/>
            </w:tcBorders>
            <w:vAlign w:val="center"/>
          </w:tcPr>
          <w:p w14:paraId="30BBA6D8">
            <w:pPr>
              <w:wordWrap w:val="0"/>
              <w:spacing w:line="315" w:lineRule="exact"/>
              <w:ind w:firstLine="210" w:firstLineChars="100"/>
              <w:jc w:val="center"/>
            </w:pPr>
          </w:p>
        </w:tc>
        <w:tc>
          <w:tcPr>
            <w:tcW w:w="720" w:type="dxa"/>
            <w:tcBorders>
              <w:top w:val="nil"/>
              <w:left w:val="nil"/>
              <w:bottom w:val="single" w:color="000000" w:sz="6" w:space="0"/>
              <w:right w:val="single" w:color="000000" w:sz="6" w:space="0"/>
            </w:tcBorders>
            <w:vAlign w:val="center"/>
          </w:tcPr>
          <w:p w14:paraId="29FC77EC">
            <w:pPr>
              <w:wordWrap w:val="0"/>
              <w:spacing w:line="315" w:lineRule="exact"/>
              <w:ind w:firstLine="210" w:firstLineChars="100"/>
              <w:jc w:val="center"/>
            </w:pPr>
          </w:p>
        </w:tc>
      </w:tr>
      <w:tr w14:paraId="50F675F8">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825" w:type="dxa"/>
            <w:tcBorders>
              <w:top w:val="nil"/>
              <w:left w:val="single" w:color="000000" w:sz="6" w:space="0"/>
              <w:bottom w:val="single" w:color="000000" w:sz="6" w:space="0"/>
              <w:right w:val="single" w:color="000000" w:sz="6" w:space="0"/>
            </w:tcBorders>
            <w:vAlign w:val="center"/>
          </w:tcPr>
          <w:p w14:paraId="4763E8E5">
            <w:pPr>
              <w:wordWrap w:val="0"/>
              <w:spacing w:line="315" w:lineRule="exact"/>
              <w:jc w:val="center"/>
            </w:pPr>
            <w:r>
              <w:rPr>
                <w:rFonts w:ascii="宋体" w:hAnsi="宋体" w:eastAsia="宋体" w:cs="宋体"/>
                <w:color w:val="000000"/>
              </w:rPr>
              <w:t>4</w:t>
            </w:r>
          </w:p>
        </w:tc>
        <w:tc>
          <w:tcPr>
            <w:tcW w:w="1350" w:type="dxa"/>
            <w:vMerge w:val="continue"/>
            <w:tcBorders>
              <w:top w:val="nil"/>
              <w:left w:val="nil"/>
              <w:bottom w:val="single" w:color="000000" w:sz="6" w:space="0"/>
              <w:right w:val="single" w:color="000000" w:sz="6" w:space="0"/>
            </w:tcBorders>
          </w:tcPr>
          <w:p w14:paraId="5EEA6C36"/>
        </w:tc>
        <w:tc>
          <w:tcPr>
            <w:tcW w:w="3060" w:type="dxa"/>
            <w:tcBorders>
              <w:top w:val="nil"/>
              <w:left w:val="nil"/>
              <w:bottom w:val="single" w:color="000000" w:sz="6" w:space="0"/>
              <w:right w:val="single" w:color="000000" w:sz="6" w:space="0"/>
            </w:tcBorders>
            <w:vAlign w:val="center"/>
          </w:tcPr>
          <w:p w14:paraId="62463758">
            <w:pPr>
              <w:wordWrap w:val="0"/>
              <w:spacing w:line="315" w:lineRule="exact"/>
              <w:jc w:val="left"/>
            </w:pPr>
            <w:r>
              <w:rPr>
                <w:rFonts w:ascii="宋体" w:hAnsi="宋体" w:eastAsia="宋体" w:cs="宋体"/>
                <w:color w:val="000000"/>
              </w:rPr>
              <w:t>盒内电线有无发热现象</w:t>
            </w:r>
          </w:p>
        </w:tc>
        <w:tc>
          <w:tcPr>
            <w:tcW w:w="1170" w:type="dxa"/>
            <w:tcBorders>
              <w:top w:val="nil"/>
              <w:left w:val="nil"/>
              <w:bottom w:val="single" w:color="000000" w:sz="6" w:space="0"/>
              <w:right w:val="single" w:color="000000" w:sz="6" w:space="0"/>
            </w:tcBorders>
            <w:vAlign w:val="center"/>
          </w:tcPr>
          <w:p w14:paraId="3AC6221B">
            <w:pPr>
              <w:wordWrap w:val="0"/>
              <w:spacing w:line="315" w:lineRule="exact"/>
              <w:ind w:firstLine="210" w:firstLineChars="100"/>
              <w:jc w:val="left"/>
            </w:pPr>
          </w:p>
        </w:tc>
        <w:tc>
          <w:tcPr>
            <w:tcW w:w="1320" w:type="dxa"/>
            <w:tcBorders>
              <w:top w:val="nil"/>
              <w:left w:val="nil"/>
              <w:bottom w:val="single" w:color="000000" w:sz="6" w:space="0"/>
              <w:right w:val="single" w:color="000000" w:sz="6" w:space="0"/>
            </w:tcBorders>
            <w:vAlign w:val="center"/>
          </w:tcPr>
          <w:p w14:paraId="5E17384E">
            <w:pPr>
              <w:wordWrap w:val="0"/>
              <w:spacing w:line="315" w:lineRule="exact"/>
              <w:ind w:firstLine="210" w:firstLineChars="100"/>
              <w:jc w:val="center"/>
            </w:pPr>
          </w:p>
        </w:tc>
        <w:tc>
          <w:tcPr>
            <w:tcW w:w="990" w:type="dxa"/>
            <w:tcBorders>
              <w:top w:val="nil"/>
              <w:left w:val="nil"/>
              <w:bottom w:val="single" w:color="000000" w:sz="6" w:space="0"/>
              <w:right w:val="single" w:color="000000" w:sz="6" w:space="0"/>
            </w:tcBorders>
            <w:vAlign w:val="center"/>
          </w:tcPr>
          <w:p w14:paraId="3BD7E1A7">
            <w:pPr>
              <w:wordWrap w:val="0"/>
              <w:spacing w:line="315" w:lineRule="exact"/>
              <w:ind w:firstLine="210" w:firstLineChars="100"/>
              <w:jc w:val="center"/>
            </w:pPr>
          </w:p>
        </w:tc>
        <w:tc>
          <w:tcPr>
            <w:tcW w:w="720" w:type="dxa"/>
            <w:tcBorders>
              <w:top w:val="nil"/>
              <w:left w:val="nil"/>
              <w:bottom w:val="single" w:color="000000" w:sz="6" w:space="0"/>
              <w:right w:val="single" w:color="000000" w:sz="6" w:space="0"/>
            </w:tcBorders>
            <w:vAlign w:val="center"/>
          </w:tcPr>
          <w:p w14:paraId="63F88AEC">
            <w:pPr>
              <w:wordWrap w:val="0"/>
              <w:spacing w:line="315" w:lineRule="exact"/>
              <w:ind w:firstLine="210" w:firstLineChars="100"/>
              <w:jc w:val="center"/>
            </w:pPr>
          </w:p>
        </w:tc>
      </w:tr>
      <w:tr w14:paraId="2C0F618C">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825" w:type="dxa"/>
            <w:tcBorders>
              <w:top w:val="nil"/>
              <w:left w:val="single" w:color="000000" w:sz="6" w:space="0"/>
              <w:bottom w:val="single" w:color="000000" w:sz="6" w:space="0"/>
              <w:right w:val="single" w:color="000000" w:sz="6" w:space="0"/>
            </w:tcBorders>
            <w:vAlign w:val="center"/>
          </w:tcPr>
          <w:p w14:paraId="1A189D10">
            <w:pPr>
              <w:wordWrap w:val="0"/>
              <w:spacing w:line="315" w:lineRule="exact"/>
              <w:jc w:val="center"/>
            </w:pPr>
            <w:r>
              <w:rPr>
                <w:rFonts w:ascii="宋体" w:hAnsi="宋体" w:eastAsia="宋体" w:cs="宋体"/>
                <w:color w:val="000000"/>
              </w:rPr>
              <w:t>5</w:t>
            </w:r>
          </w:p>
        </w:tc>
        <w:tc>
          <w:tcPr>
            <w:tcW w:w="1350" w:type="dxa"/>
            <w:vMerge w:val="continue"/>
            <w:tcBorders>
              <w:top w:val="nil"/>
              <w:left w:val="nil"/>
              <w:bottom w:val="single" w:color="000000" w:sz="6" w:space="0"/>
              <w:right w:val="single" w:color="000000" w:sz="6" w:space="0"/>
            </w:tcBorders>
          </w:tcPr>
          <w:p w14:paraId="3D4E2CDB"/>
        </w:tc>
        <w:tc>
          <w:tcPr>
            <w:tcW w:w="3060" w:type="dxa"/>
            <w:tcBorders>
              <w:top w:val="nil"/>
              <w:left w:val="nil"/>
              <w:bottom w:val="single" w:color="000000" w:sz="6" w:space="0"/>
              <w:right w:val="single" w:color="000000" w:sz="6" w:space="0"/>
            </w:tcBorders>
            <w:vAlign w:val="center"/>
          </w:tcPr>
          <w:p w14:paraId="7B1B9051">
            <w:pPr>
              <w:wordWrap w:val="0"/>
              <w:spacing w:line="315" w:lineRule="exact"/>
              <w:jc w:val="left"/>
            </w:pPr>
            <w:r>
              <w:rPr>
                <w:rFonts w:ascii="宋体" w:hAnsi="宋体" w:eastAsia="宋体" w:cs="宋体"/>
                <w:color w:val="000000"/>
              </w:rPr>
              <w:t>其他</w:t>
            </w:r>
          </w:p>
        </w:tc>
        <w:tc>
          <w:tcPr>
            <w:tcW w:w="1170" w:type="dxa"/>
            <w:tcBorders>
              <w:top w:val="nil"/>
              <w:left w:val="nil"/>
              <w:bottom w:val="single" w:color="000000" w:sz="6" w:space="0"/>
              <w:right w:val="single" w:color="000000" w:sz="6" w:space="0"/>
            </w:tcBorders>
            <w:vAlign w:val="center"/>
          </w:tcPr>
          <w:p w14:paraId="6B7C6D8E">
            <w:pPr>
              <w:wordWrap w:val="0"/>
              <w:spacing w:line="315" w:lineRule="exact"/>
              <w:ind w:firstLine="210" w:firstLineChars="100"/>
              <w:jc w:val="left"/>
            </w:pPr>
          </w:p>
        </w:tc>
        <w:tc>
          <w:tcPr>
            <w:tcW w:w="1320" w:type="dxa"/>
            <w:tcBorders>
              <w:top w:val="nil"/>
              <w:left w:val="nil"/>
              <w:bottom w:val="single" w:color="000000" w:sz="6" w:space="0"/>
              <w:right w:val="single" w:color="000000" w:sz="6" w:space="0"/>
            </w:tcBorders>
            <w:vAlign w:val="center"/>
          </w:tcPr>
          <w:p w14:paraId="1F83E3CA">
            <w:pPr>
              <w:wordWrap w:val="0"/>
              <w:spacing w:line="315" w:lineRule="exact"/>
              <w:ind w:firstLine="210" w:firstLineChars="100"/>
              <w:jc w:val="center"/>
            </w:pPr>
          </w:p>
        </w:tc>
        <w:tc>
          <w:tcPr>
            <w:tcW w:w="990" w:type="dxa"/>
            <w:tcBorders>
              <w:top w:val="nil"/>
              <w:left w:val="nil"/>
              <w:bottom w:val="single" w:color="000000" w:sz="6" w:space="0"/>
              <w:right w:val="single" w:color="000000" w:sz="6" w:space="0"/>
            </w:tcBorders>
            <w:vAlign w:val="center"/>
          </w:tcPr>
          <w:p w14:paraId="21C671F5">
            <w:pPr>
              <w:wordWrap w:val="0"/>
              <w:spacing w:line="315" w:lineRule="exact"/>
              <w:ind w:firstLine="210" w:firstLineChars="100"/>
              <w:jc w:val="center"/>
            </w:pPr>
          </w:p>
        </w:tc>
        <w:tc>
          <w:tcPr>
            <w:tcW w:w="720" w:type="dxa"/>
            <w:tcBorders>
              <w:top w:val="nil"/>
              <w:left w:val="nil"/>
              <w:bottom w:val="single" w:color="000000" w:sz="6" w:space="0"/>
              <w:right w:val="single" w:color="000000" w:sz="6" w:space="0"/>
            </w:tcBorders>
            <w:vAlign w:val="center"/>
          </w:tcPr>
          <w:p w14:paraId="550E98F9">
            <w:pPr>
              <w:wordWrap w:val="0"/>
              <w:spacing w:line="315" w:lineRule="exact"/>
              <w:ind w:firstLine="210" w:firstLineChars="100"/>
              <w:jc w:val="center"/>
            </w:pPr>
          </w:p>
        </w:tc>
      </w:tr>
      <w:tr w14:paraId="0B72BC3F">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825" w:type="dxa"/>
            <w:tcBorders>
              <w:top w:val="nil"/>
              <w:left w:val="single" w:color="000000" w:sz="6" w:space="0"/>
              <w:bottom w:val="single" w:color="000000" w:sz="6" w:space="0"/>
              <w:right w:val="single" w:color="000000" w:sz="6" w:space="0"/>
            </w:tcBorders>
            <w:vAlign w:val="center"/>
          </w:tcPr>
          <w:p w14:paraId="651E1093">
            <w:pPr>
              <w:wordWrap w:val="0"/>
              <w:spacing w:line="315" w:lineRule="exact"/>
              <w:jc w:val="center"/>
            </w:pPr>
            <w:r>
              <w:rPr>
                <w:rFonts w:ascii="宋体" w:hAnsi="宋体" w:eastAsia="宋体" w:cs="宋体"/>
                <w:color w:val="000000"/>
              </w:rPr>
              <w:t>1</w:t>
            </w:r>
          </w:p>
        </w:tc>
        <w:tc>
          <w:tcPr>
            <w:tcW w:w="1350" w:type="dxa"/>
            <w:vMerge w:val="restart"/>
            <w:tcBorders>
              <w:top w:val="nil"/>
              <w:left w:val="nil"/>
              <w:bottom w:val="single" w:color="000000" w:sz="6" w:space="0"/>
              <w:right w:val="single" w:color="000000" w:sz="6" w:space="0"/>
            </w:tcBorders>
            <w:vAlign w:val="center"/>
          </w:tcPr>
          <w:p w14:paraId="4D6EB3A3">
            <w:pPr>
              <w:wordWrap w:val="0"/>
              <w:spacing w:line="315" w:lineRule="exact"/>
              <w:ind w:firstLine="210" w:firstLineChars="100"/>
              <w:jc w:val="center"/>
            </w:pPr>
          </w:p>
        </w:tc>
        <w:tc>
          <w:tcPr>
            <w:tcW w:w="3060" w:type="dxa"/>
            <w:tcBorders>
              <w:top w:val="nil"/>
              <w:left w:val="nil"/>
              <w:bottom w:val="single" w:color="000000" w:sz="6" w:space="0"/>
              <w:right w:val="single" w:color="000000" w:sz="6" w:space="0"/>
            </w:tcBorders>
            <w:vAlign w:val="center"/>
          </w:tcPr>
          <w:p w14:paraId="2AEE650F">
            <w:pPr>
              <w:wordWrap w:val="0"/>
              <w:spacing w:line="315" w:lineRule="exact"/>
              <w:jc w:val="left"/>
            </w:pPr>
            <w:r>
              <w:rPr>
                <w:rFonts w:ascii="宋体" w:hAnsi="宋体" w:eastAsia="宋体" w:cs="宋体"/>
                <w:color w:val="000000"/>
              </w:rPr>
              <w:t>开关盒面板是否完整</w:t>
            </w:r>
          </w:p>
        </w:tc>
        <w:tc>
          <w:tcPr>
            <w:tcW w:w="1170" w:type="dxa"/>
            <w:tcBorders>
              <w:top w:val="nil"/>
              <w:left w:val="nil"/>
              <w:bottom w:val="single" w:color="000000" w:sz="6" w:space="0"/>
              <w:right w:val="single" w:color="000000" w:sz="6" w:space="0"/>
            </w:tcBorders>
            <w:vAlign w:val="center"/>
          </w:tcPr>
          <w:p w14:paraId="16A7B90F">
            <w:pPr>
              <w:wordWrap w:val="0"/>
              <w:spacing w:line="315" w:lineRule="exact"/>
              <w:ind w:firstLine="210" w:firstLineChars="100"/>
              <w:jc w:val="left"/>
            </w:pPr>
          </w:p>
        </w:tc>
        <w:tc>
          <w:tcPr>
            <w:tcW w:w="1320" w:type="dxa"/>
            <w:tcBorders>
              <w:top w:val="nil"/>
              <w:left w:val="nil"/>
              <w:bottom w:val="single" w:color="000000" w:sz="6" w:space="0"/>
              <w:right w:val="single" w:color="000000" w:sz="6" w:space="0"/>
            </w:tcBorders>
            <w:vAlign w:val="center"/>
          </w:tcPr>
          <w:p w14:paraId="3B73284D">
            <w:pPr>
              <w:wordWrap w:val="0"/>
              <w:spacing w:line="315" w:lineRule="exact"/>
              <w:ind w:firstLine="210" w:firstLineChars="100"/>
              <w:jc w:val="center"/>
            </w:pPr>
          </w:p>
        </w:tc>
        <w:tc>
          <w:tcPr>
            <w:tcW w:w="990" w:type="dxa"/>
            <w:tcBorders>
              <w:top w:val="nil"/>
              <w:left w:val="nil"/>
              <w:bottom w:val="single" w:color="000000" w:sz="6" w:space="0"/>
              <w:right w:val="single" w:color="000000" w:sz="6" w:space="0"/>
            </w:tcBorders>
            <w:vAlign w:val="center"/>
          </w:tcPr>
          <w:p w14:paraId="4BDDE01F">
            <w:pPr>
              <w:wordWrap w:val="0"/>
              <w:spacing w:line="315" w:lineRule="exact"/>
              <w:ind w:firstLine="210" w:firstLineChars="100"/>
              <w:jc w:val="center"/>
            </w:pPr>
          </w:p>
        </w:tc>
        <w:tc>
          <w:tcPr>
            <w:tcW w:w="720" w:type="dxa"/>
            <w:tcBorders>
              <w:top w:val="nil"/>
              <w:left w:val="nil"/>
              <w:bottom w:val="single" w:color="000000" w:sz="6" w:space="0"/>
              <w:right w:val="single" w:color="000000" w:sz="6" w:space="0"/>
            </w:tcBorders>
            <w:vAlign w:val="center"/>
          </w:tcPr>
          <w:p w14:paraId="19EBF069">
            <w:pPr>
              <w:wordWrap w:val="0"/>
              <w:spacing w:line="315" w:lineRule="exact"/>
              <w:ind w:firstLine="210" w:firstLineChars="100"/>
              <w:jc w:val="center"/>
            </w:pPr>
          </w:p>
        </w:tc>
      </w:tr>
      <w:tr w14:paraId="71B53630">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825" w:type="dxa"/>
            <w:tcBorders>
              <w:top w:val="nil"/>
              <w:left w:val="single" w:color="000000" w:sz="6" w:space="0"/>
              <w:bottom w:val="single" w:color="000000" w:sz="6" w:space="0"/>
              <w:right w:val="single" w:color="000000" w:sz="6" w:space="0"/>
            </w:tcBorders>
            <w:vAlign w:val="center"/>
          </w:tcPr>
          <w:p w14:paraId="4BAC7708">
            <w:pPr>
              <w:wordWrap w:val="0"/>
              <w:spacing w:line="315" w:lineRule="exact"/>
              <w:jc w:val="center"/>
            </w:pPr>
            <w:r>
              <w:rPr>
                <w:rFonts w:ascii="宋体" w:hAnsi="宋体" w:eastAsia="宋体" w:cs="宋体"/>
                <w:color w:val="000000"/>
              </w:rPr>
              <w:t>2</w:t>
            </w:r>
          </w:p>
        </w:tc>
        <w:tc>
          <w:tcPr>
            <w:tcW w:w="1350" w:type="dxa"/>
            <w:vMerge w:val="continue"/>
            <w:tcBorders>
              <w:top w:val="nil"/>
              <w:left w:val="nil"/>
              <w:bottom w:val="single" w:color="000000" w:sz="6" w:space="0"/>
              <w:right w:val="single" w:color="000000" w:sz="6" w:space="0"/>
            </w:tcBorders>
          </w:tcPr>
          <w:p w14:paraId="325F45F3"/>
        </w:tc>
        <w:tc>
          <w:tcPr>
            <w:tcW w:w="3060" w:type="dxa"/>
            <w:tcBorders>
              <w:top w:val="nil"/>
              <w:left w:val="nil"/>
              <w:bottom w:val="single" w:color="000000" w:sz="6" w:space="0"/>
              <w:right w:val="single" w:color="000000" w:sz="6" w:space="0"/>
            </w:tcBorders>
            <w:vAlign w:val="center"/>
          </w:tcPr>
          <w:p w14:paraId="0C0B3F2A">
            <w:pPr>
              <w:wordWrap w:val="0"/>
              <w:spacing w:line="315" w:lineRule="exact"/>
              <w:jc w:val="left"/>
            </w:pPr>
            <w:r>
              <w:rPr>
                <w:rFonts w:ascii="宋体" w:hAnsi="宋体" w:eastAsia="宋体" w:cs="宋体"/>
                <w:color w:val="000000"/>
              </w:rPr>
              <w:t>盒内接线柱是否有松动迹象</w:t>
            </w:r>
          </w:p>
        </w:tc>
        <w:tc>
          <w:tcPr>
            <w:tcW w:w="1170" w:type="dxa"/>
            <w:tcBorders>
              <w:top w:val="nil"/>
              <w:left w:val="nil"/>
              <w:bottom w:val="single" w:color="000000" w:sz="6" w:space="0"/>
              <w:right w:val="single" w:color="000000" w:sz="6" w:space="0"/>
            </w:tcBorders>
            <w:vAlign w:val="center"/>
          </w:tcPr>
          <w:p w14:paraId="2682F777">
            <w:pPr>
              <w:wordWrap w:val="0"/>
              <w:spacing w:line="315" w:lineRule="exact"/>
              <w:ind w:firstLine="210" w:firstLineChars="100"/>
              <w:jc w:val="left"/>
            </w:pPr>
          </w:p>
        </w:tc>
        <w:tc>
          <w:tcPr>
            <w:tcW w:w="1320" w:type="dxa"/>
            <w:tcBorders>
              <w:top w:val="nil"/>
              <w:left w:val="nil"/>
              <w:bottom w:val="single" w:color="000000" w:sz="6" w:space="0"/>
              <w:right w:val="single" w:color="000000" w:sz="6" w:space="0"/>
            </w:tcBorders>
            <w:vAlign w:val="center"/>
          </w:tcPr>
          <w:p w14:paraId="095C5578">
            <w:pPr>
              <w:wordWrap w:val="0"/>
              <w:spacing w:line="315" w:lineRule="exact"/>
              <w:ind w:firstLine="210" w:firstLineChars="100"/>
              <w:jc w:val="center"/>
            </w:pPr>
          </w:p>
        </w:tc>
        <w:tc>
          <w:tcPr>
            <w:tcW w:w="990" w:type="dxa"/>
            <w:tcBorders>
              <w:top w:val="nil"/>
              <w:left w:val="nil"/>
              <w:bottom w:val="single" w:color="000000" w:sz="6" w:space="0"/>
              <w:right w:val="single" w:color="000000" w:sz="6" w:space="0"/>
            </w:tcBorders>
            <w:vAlign w:val="center"/>
          </w:tcPr>
          <w:p w14:paraId="364789C7">
            <w:pPr>
              <w:wordWrap w:val="0"/>
              <w:spacing w:line="315" w:lineRule="exact"/>
              <w:ind w:firstLine="210" w:firstLineChars="100"/>
              <w:jc w:val="center"/>
            </w:pPr>
          </w:p>
        </w:tc>
        <w:tc>
          <w:tcPr>
            <w:tcW w:w="720" w:type="dxa"/>
            <w:tcBorders>
              <w:top w:val="nil"/>
              <w:left w:val="nil"/>
              <w:bottom w:val="single" w:color="000000" w:sz="6" w:space="0"/>
              <w:right w:val="single" w:color="000000" w:sz="6" w:space="0"/>
            </w:tcBorders>
            <w:vAlign w:val="center"/>
          </w:tcPr>
          <w:p w14:paraId="717D5F12">
            <w:pPr>
              <w:wordWrap w:val="0"/>
              <w:spacing w:line="315" w:lineRule="exact"/>
              <w:ind w:firstLine="210" w:firstLineChars="100"/>
              <w:jc w:val="center"/>
            </w:pPr>
          </w:p>
        </w:tc>
      </w:tr>
      <w:tr w14:paraId="5FB9B0C8">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825" w:type="dxa"/>
            <w:tcBorders>
              <w:top w:val="nil"/>
              <w:left w:val="single" w:color="000000" w:sz="6" w:space="0"/>
              <w:bottom w:val="single" w:color="000000" w:sz="6" w:space="0"/>
              <w:right w:val="single" w:color="000000" w:sz="6" w:space="0"/>
            </w:tcBorders>
            <w:vAlign w:val="center"/>
          </w:tcPr>
          <w:p w14:paraId="4FECCAFE">
            <w:pPr>
              <w:wordWrap w:val="0"/>
              <w:spacing w:line="315" w:lineRule="exact"/>
              <w:jc w:val="center"/>
            </w:pPr>
            <w:r>
              <w:rPr>
                <w:rFonts w:ascii="宋体" w:hAnsi="宋体" w:eastAsia="宋体" w:cs="宋体"/>
                <w:color w:val="000000"/>
              </w:rPr>
              <w:t>3</w:t>
            </w:r>
          </w:p>
        </w:tc>
        <w:tc>
          <w:tcPr>
            <w:tcW w:w="1350" w:type="dxa"/>
            <w:vMerge w:val="continue"/>
            <w:tcBorders>
              <w:top w:val="nil"/>
              <w:left w:val="nil"/>
              <w:bottom w:val="single" w:color="000000" w:sz="6" w:space="0"/>
              <w:right w:val="single" w:color="000000" w:sz="6" w:space="0"/>
            </w:tcBorders>
          </w:tcPr>
          <w:p w14:paraId="4A346058"/>
        </w:tc>
        <w:tc>
          <w:tcPr>
            <w:tcW w:w="3060" w:type="dxa"/>
            <w:tcBorders>
              <w:top w:val="nil"/>
              <w:left w:val="nil"/>
              <w:bottom w:val="single" w:color="000000" w:sz="6" w:space="0"/>
              <w:right w:val="single" w:color="000000" w:sz="6" w:space="0"/>
            </w:tcBorders>
            <w:vAlign w:val="center"/>
          </w:tcPr>
          <w:p w14:paraId="5660E34A">
            <w:pPr>
              <w:wordWrap w:val="0"/>
              <w:spacing w:line="315" w:lineRule="exact"/>
              <w:jc w:val="left"/>
            </w:pPr>
            <w:r>
              <w:rPr>
                <w:rFonts w:ascii="宋体" w:hAnsi="宋体" w:eastAsia="宋体" w:cs="宋体"/>
                <w:color w:val="000000"/>
              </w:rPr>
              <w:t>盒内开关等各元器件是否有烧焦迹象</w:t>
            </w:r>
          </w:p>
        </w:tc>
        <w:tc>
          <w:tcPr>
            <w:tcW w:w="1170" w:type="dxa"/>
            <w:tcBorders>
              <w:top w:val="nil"/>
              <w:left w:val="nil"/>
              <w:bottom w:val="single" w:color="000000" w:sz="6" w:space="0"/>
              <w:right w:val="single" w:color="000000" w:sz="6" w:space="0"/>
            </w:tcBorders>
            <w:vAlign w:val="center"/>
          </w:tcPr>
          <w:p w14:paraId="5DFC671F">
            <w:pPr>
              <w:wordWrap w:val="0"/>
              <w:spacing w:line="315" w:lineRule="exact"/>
              <w:ind w:firstLine="210" w:firstLineChars="100"/>
              <w:jc w:val="left"/>
            </w:pPr>
          </w:p>
        </w:tc>
        <w:tc>
          <w:tcPr>
            <w:tcW w:w="1320" w:type="dxa"/>
            <w:tcBorders>
              <w:top w:val="nil"/>
              <w:left w:val="nil"/>
              <w:bottom w:val="single" w:color="000000" w:sz="6" w:space="0"/>
              <w:right w:val="single" w:color="000000" w:sz="6" w:space="0"/>
            </w:tcBorders>
            <w:vAlign w:val="center"/>
          </w:tcPr>
          <w:p w14:paraId="370CF6EA">
            <w:pPr>
              <w:wordWrap w:val="0"/>
              <w:spacing w:line="315" w:lineRule="exact"/>
              <w:ind w:firstLine="210" w:firstLineChars="100"/>
              <w:jc w:val="center"/>
            </w:pPr>
          </w:p>
        </w:tc>
        <w:tc>
          <w:tcPr>
            <w:tcW w:w="990" w:type="dxa"/>
            <w:tcBorders>
              <w:top w:val="nil"/>
              <w:left w:val="nil"/>
              <w:bottom w:val="single" w:color="000000" w:sz="6" w:space="0"/>
              <w:right w:val="single" w:color="000000" w:sz="6" w:space="0"/>
            </w:tcBorders>
            <w:vAlign w:val="center"/>
          </w:tcPr>
          <w:p w14:paraId="07694302">
            <w:pPr>
              <w:wordWrap w:val="0"/>
              <w:spacing w:line="315" w:lineRule="exact"/>
              <w:ind w:firstLine="210" w:firstLineChars="100"/>
              <w:jc w:val="center"/>
            </w:pPr>
          </w:p>
        </w:tc>
        <w:tc>
          <w:tcPr>
            <w:tcW w:w="720" w:type="dxa"/>
            <w:tcBorders>
              <w:top w:val="nil"/>
              <w:left w:val="nil"/>
              <w:bottom w:val="single" w:color="000000" w:sz="6" w:space="0"/>
              <w:right w:val="single" w:color="000000" w:sz="6" w:space="0"/>
            </w:tcBorders>
            <w:vAlign w:val="center"/>
          </w:tcPr>
          <w:p w14:paraId="6C3C4897">
            <w:pPr>
              <w:wordWrap w:val="0"/>
              <w:spacing w:line="315" w:lineRule="exact"/>
              <w:ind w:firstLine="210" w:firstLineChars="100"/>
              <w:jc w:val="center"/>
            </w:pPr>
          </w:p>
        </w:tc>
      </w:tr>
      <w:tr w14:paraId="21073B19">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825" w:type="dxa"/>
            <w:tcBorders>
              <w:top w:val="nil"/>
              <w:left w:val="single" w:color="000000" w:sz="6" w:space="0"/>
              <w:bottom w:val="single" w:color="000000" w:sz="6" w:space="0"/>
              <w:right w:val="single" w:color="000000" w:sz="6" w:space="0"/>
            </w:tcBorders>
            <w:vAlign w:val="center"/>
          </w:tcPr>
          <w:p w14:paraId="71BFC018">
            <w:pPr>
              <w:wordWrap w:val="0"/>
              <w:spacing w:line="315" w:lineRule="exact"/>
              <w:jc w:val="center"/>
            </w:pPr>
            <w:r>
              <w:rPr>
                <w:rFonts w:ascii="宋体" w:hAnsi="宋体" w:eastAsia="宋体" w:cs="宋体"/>
                <w:color w:val="000000"/>
              </w:rPr>
              <w:t>4</w:t>
            </w:r>
          </w:p>
        </w:tc>
        <w:tc>
          <w:tcPr>
            <w:tcW w:w="1350" w:type="dxa"/>
            <w:vMerge w:val="continue"/>
            <w:tcBorders>
              <w:top w:val="nil"/>
              <w:left w:val="nil"/>
              <w:bottom w:val="single" w:color="000000" w:sz="6" w:space="0"/>
              <w:right w:val="single" w:color="000000" w:sz="6" w:space="0"/>
            </w:tcBorders>
          </w:tcPr>
          <w:p w14:paraId="643957F2"/>
        </w:tc>
        <w:tc>
          <w:tcPr>
            <w:tcW w:w="3060" w:type="dxa"/>
            <w:tcBorders>
              <w:top w:val="nil"/>
              <w:left w:val="nil"/>
              <w:bottom w:val="single" w:color="000000" w:sz="6" w:space="0"/>
              <w:right w:val="single" w:color="000000" w:sz="6" w:space="0"/>
            </w:tcBorders>
            <w:vAlign w:val="center"/>
          </w:tcPr>
          <w:p w14:paraId="06EFC93E">
            <w:pPr>
              <w:wordWrap w:val="0"/>
              <w:spacing w:line="315" w:lineRule="exact"/>
              <w:jc w:val="left"/>
            </w:pPr>
            <w:r>
              <w:rPr>
                <w:rFonts w:ascii="宋体" w:hAnsi="宋体" w:eastAsia="宋体" w:cs="宋体"/>
                <w:color w:val="000000"/>
              </w:rPr>
              <w:t>盒内电线有无发热现象</w:t>
            </w:r>
          </w:p>
        </w:tc>
        <w:tc>
          <w:tcPr>
            <w:tcW w:w="1170" w:type="dxa"/>
            <w:tcBorders>
              <w:top w:val="nil"/>
              <w:left w:val="nil"/>
              <w:bottom w:val="single" w:color="000000" w:sz="6" w:space="0"/>
              <w:right w:val="single" w:color="000000" w:sz="6" w:space="0"/>
            </w:tcBorders>
            <w:vAlign w:val="center"/>
          </w:tcPr>
          <w:p w14:paraId="3807F956">
            <w:pPr>
              <w:wordWrap w:val="0"/>
              <w:spacing w:line="315" w:lineRule="exact"/>
              <w:ind w:firstLine="210" w:firstLineChars="100"/>
              <w:jc w:val="left"/>
            </w:pPr>
          </w:p>
        </w:tc>
        <w:tc>
          <w:tcPr>
            <w:tcW w:w="1320" w:type="dxa"/>
            <w:tcBorders>
              <w:top w:val="nil"/>
              <w:left w:val="nil"/>
              <w:bottom w:val="single" w:color="000000" w:sz="6" w:space="0"/>
              <w:right w:val="single" w:color="000000" w:sz="6" w:space="0"/>
            </w:tcBorders>
            <w:vAlign w:val="center"/>
          </w:tcPr>
          <w:p w14:paraId="24F5195B">
            <w:pPr>
              <w:wordWrap w:val="0"/>
              <w:spacing w:line="315" w:lineRule="exact"/>
              <w:ind w:firstLine="210" w:firstLineChars="100"/>
              <w:jc w:val="center"/>
            </w:pPr>
          </w:p>
        </w:tc>
        <w:tc>
          <w:tcPr>
            <w:tcW w:w="990" w:type="dxa"/>
            <w:tcBorders>
              <w:top w:val="nil"/>
              <w:left w:val="nil"/>
              <w:bottom w:val="single" w:color="000000" w:sz="6" w:space="0"/>
              <w:right w:val="single" w:color="000000" w:sz="6" w:space="0"/>
            </w:tcBorders>
            <w:vAlign w:val="center"/>
          </w:tcPr>
          <w:p w14:paraId="69DA8BFA">
            <w:pPr>
              <w:wordWrap w:val="0"/>
              <w:spacing w:line="315" w:lineRule="exact"/>
              <w:ind w:firstLine="210" w:firstLineChars="100"/>
              <w:jc w:val="center"/>
            </w:pPr>
          </w:p>
        </w:tc>
        <w:tc>
          <w:tcPr>
            <w:tcW w:w="720" w:type="dxa"/>
            <w:tcBorders>
              <w:top w:val="nil"/>
              <w:left w:val="nil"/>
              <w:bottom w:val="single" w:color="000000" w:sz="6" w:space="0"/>
              <w:right w:val="single" w:color="000000" w:sz="6" w:space="0"/>
            </w:tcBorders>
            <w:vAlign w:val="center"/>
          </w:tcPr>
          <w:p w14:paraId="0038E073">
            <w:pPr>
              <w:wordWrap w:val="0"/>
              <w:spacing w:line="315" w:lineRule="exact"/>
              <w:ind w:firstLine="210" w:firstLineChars="100"/>
              <w:jc w:val="center"/>
            </w:pPr>
          </w:p>
        </w:tc>
      </w:tr>
      <w:tr w14:paraId="010E1A6C">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825" w:type="dxa"/>
            <w:tcBorders>
              <w:top w:val="nil"/>
              <w:left w:val="single" w:color="000000" w:sz="6" w:space="0"/>
              <w:bottom w:val="single" w:color="000000" w:sz="6" w:space="0"/>
              <w:right w:val="single" w:color="000000" w:sz="6" w:space="0"/>
            </w:tcBorders>
            <w:vAlign w:val="center"/>
          </w:tcPr>
          <w:p w14:paraId="2D730514">
            <w:pPr>
              <w:wordWrap w:val="0"/>
              <w:spacing w:line="315" w:lineRule="exact"/>
              <w:jc w:val="center"/>
            </w:pPr>
            <w:r>
              <w:rPr>
                <w:rFonts w:ascii="宋体" w:hAnsi="宋体" w:eastAsia="宋体" w:cs="宋体"/>
                <w:color w:val="000000"/>
              </w:rPr>
              <w:t>5</w:t>
            </w:r>
          </w:p>
        </w:tc>
        <w:tc>
          <w:tcPr>
            <w:tcW w:w="1350" w:type="dxa"/>
            <w:vMerge w:val="continue"/>
            <w:tcBorders>
              <w:top w:val="nil"/>
              <w:left w:val="nil"/>
              <w:bottom w:val="single" w:color="000000" w:sz="6" w:space="0"/>
              <w:right w:val="single" w:color="000000" w:sz="6" w:space="0"/>
            </w:tcBorders>
          </w:tcPr>
          <w:p w14:paraId="30968DB5"/>
        </w:tc>
        <w:tc>
          <w:tcPr>
            <w:tcW w:w="3060" w:type="dxa"/>
            <w:tcBorders>
              <w:top w:val="nil"/>
              <w:left w:val="nil"/>
              <w:bottom w:val="single" w:color="000000" w:sz="6" w:space="0"/>
              <w:right w:val="single" w:color="000000" w:sz="6" w:space="0"/>
            </w:tcBorders>
            <w:vAlign w:val="center"/>
          </w:tcPr>
          <w:p w14:paraId="1AC7307F">
            <w:pPr>
              <w:wordWrap w:val="0"/>
              <w:spacing w:line="315" w:lineRule="exact"/>
              <w:jc w:val="left"/>
            </w:pPr>
            <w:r>
              <w:rPr>
                <w:rFonts w:ascii="宋体" w:hAnsi="宋体" w:eastAsia="宋体" w:cs="宋体"/>
                <w:color w:val="000000"/>
              </w:rPr>
              <w:t>其他</w:t>
            </w:r>
          </w:p>
        </w:tc>
        <w:tc>
          <w:tcPr>
            <w:tcW w:w="1170" w:type="dxa"/>
            <w:tcBorders>
              <w:top w:val="nil"/>
              <w:left w:val="nil"/>
              <w:bottom w:val="single" w:color="000000" w:sz="6" w:space="0"/>
              <w:right w:val="single" w:color="000000" w:sz="6" w:space="0"/>
            </w:tcBorders>
            <w:vAlign w:val="center"/>
          </w:tcPr>
          <w:p w14:paraId="669C4682">
            <w:pPr>
              <w:wordWrap w:val="0"/>
              <w:spacing w:line="315" w:lineRule="exact"/>
              <w:ind w:firstLine="210" w:firstLineChars="100"/>
              <w:jc w:val="left"/>
            </w:pPr>
          </w:p>
        </w:tc>
        <w:tc>
          <w:tcPr>
            <w:tcW w:w="1320" w:type="dxa"/>
            <w:tcBorders>
              <w:top w:val="nil"/>
              <w:left w:val="nil"/>
              <w:bottom w:val="single" w:color="000000" w:sz="6" w:space="0"/>
              <w:right w:val="single" w:color="000000" w:sz="6" w:space="0"/>
            </w:tcBorders>
            <w:vAlign w:val="center"/>
          </w:tcPr>
          <w:p w14:paraId="1449E948">
            <w:pPr>
              <w:wordWrap w:val="0"/>
              <w:spacing w:line="315" w:lineRule="exact"/>
              <w:ind w:firstLine="210" w:firstLineChars="100"/>
              <w:jc w:val="center"/>
            </w:pPr>
          </w:p>
        </w:tc>
        <w:tc>
          <w:tcPr>
            <w:tcW w:w="990" w:type="dxa"/>
            <w:tcBorders>
              <w:top w:val="nil"/>
              <w:left w:val="nil"/>
              <w:bottom w:val="single" w:color="000000" w:sz="6" w:space="0"/>
              <w:right w:val="single" w:color="000000" w:sz="6" w:space="0"/>
            </w:tcBorders>
            <w:vAlign w:val="center"/>
          </w:tcPr>
          <w:p w14:paraId="728732E3">
            <w:pPr>
              <w:wordWrap w:val="0"/>
              <w:spacing w:line="315" w:lineRule="exact"/>
              <w:ind w:firstLine="210" w:firstLineChars="100"/>
              <w:jc w:val="center"/>
            </w:pPr>
          </w:p>
        </w:tc>
        <w:tc>
          <w:tcPr>
            <w:tcW w:w="720" w:type="dxa"/>
            <w:tcBorders>
              <w:top w:val="nil"/>
              <w:left w:val="nil"/>
              <w:bottom w:val="single" w:color="000000" w:sz="6" w:space="0"/>
              <w:right w:val="single" w:color="000000" w:sz="6" w:space="0"/>
            </w:tcBorders>
            <w:vAlign w:val="center"/>
          </w:tcPr>
          <w:p w14:paraId="47B83676">
            <w:pPr>
              <w:wordWrap w:val="0"/>
              <w:spacing w:line="315" w:lineRule="exact"/>
              <w:ind w:firstLine="210" w:firstLineChars="100"/>
              <w:jc w:val="center"/>
            </w:pPr>
          </w:p>
        </w:tc>
      </w:tr>
      <w:tr w14:paraId="33044FDE">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825" w:type="dxa"/>
            <w:tcBorders>
              <w:top w:val="nil"/>
              <w:left w:val="single" w:color="000000" w:sz="6" w:space="0"/>
              <w:bottom w:val="single" w:color="000000" w:sz="6" w:space="0"/>
              <w:right w:val="single" w:color="000000" w:sz="6" w:space="0"/>
            </w:tcBorders>
            <w:vAlign w:val="center"/>
          </w:tcPr>
          <w:p w14:paraId="151854A3">
            <w:pPr>
              <w:wordWrap w:val="0"/>
              <w:spacing w:line="315" w:lineRule="exact"/>
              <w:jc w:val="center"/>
            </w:pPr>
            <w:r>
              <w:rPr>
                <w:rFonts w:ascii="宋体" w:hAnsi="宋体" w:eastAsia="宋体" w:cs="宋体"/>
                <w:color w:val="000000"/>
              </w:rPr>
              <w:t>1</w:t>
            </w:r>
          </w:p>
        </w:tc>
        <w:tc>
          <w:tcPr>
            <w:tcW w:w="1350" w:type="dxa"/>
            <w:vMerge w:val="restart"/>
            <w:tcBorders>
              <w:top w:val="nil"/>
              <w:left w:val="nil"/>
              <w:bottom w:val="single" w:color="000000" w:sz="6" w:space="0"/>
              <w:right w:val="single" w:color="000000" w:sz="6" w:space="0"/>
            </w:tcBorders>
            <w:vAlign w:val="center"/>
          </w:tcPr>
          <w:p w14:paraId="6173BBEB">
            <w:pPr>
              <w:wordWrap w:val="0"/>
              <w:spacing w:line="315" w:lineRule="exact"/>
              <w:ind w:firstLine="210" w:firstLineChars="100"/>
              <w:jc w:val="center"/>
            </w:pPr>
          </w:p>
        </w:tc>
        <w:tc>
          <w:tcPr>
            <w:tcW w:w="3060" w:type="dxa"/>
            <w:tcBorders>
              <w:top w:val="nil"/>
              <w:left w:val="nil"/>
              <w:bottom w:val="single" w:color="000000" w:sz="6" w:space="0"/>
              <w:right w:val="single" w:color="000000" w:sz="6" w:space="0"/>
            </w:tcBorders>
            <w:vAlign w:val="center"/>
          </w:tcPr>
          <w:p w14:paraId="2FFD0F62">
            <w:pPr>
              <w:wordWrap w:val="0"/>
              <w:spacing w:line="315" w:lineRule="exact"/>
              <w:jc w:val="left"/>
            </w:pPr>
            <w:r>
              <w:rPr>
                <w:rFonts w:ascii="宋体" w:hAnsi="宋体" w:eastAsia="宋体" w:cs="宋体"/>
                <w:color w:val="000000"/>
              </w:rPr>
              <w:t>开关盒面板是否完整</w:t>
            </w:r>
          </w:p>
        </w:tc>
        <w:tc>
          <w:tcPr>
            <w:tcW w:w="1170" w:type="dxa"/>
            <w:tcBorders>
              <w:top w:val="nil"/>
              <w:left w:val="nil"/>
              <w:bottom w:val="single" w:color="000000" w:sz="6" w:space="0"/>
              <w:right w:val="single" w:color="000000" w:sz="6" w:space="0"/>
            </w:tcBorders>
            <w:vAlign w:val="center"/>
          </w:tcPr>
          <w:p w14:paraId="1A43FF11">
            <w:pPr>
              <w:wordWrap w:val="0"/>
              <w:spacing w:line="315" w:lineRule="exact"/>
              <w:ind w:firstLine="210" w:firstLineChars="100"/>
              <w:jc w:val="left"/>
            </w:pPr>
          </w:p>
        </w:tc>
        <w:tc>
          <w:tcPr>
            <w:tcW w:w="1320" w:type="dxa"/>
            <w:tcBorders>
              <w:top w:val="nil"/>
              <w:left w:val="nil"/>
              <w:bottom w:val="single" w:color="000000" w:sz="6" w:space="0"/>
              <w:right w:val="single" w:color="000000" w:sz="6" w:space="0"/>
            </w:tcBorders>
            <w:vAlign w:val="center"/>
          </w:tcPr>
          <w:p w14:paraId="3D9CE832">
            <w:pPr>
              <w:wordWrap w:val="0"/>
              <w:spacing w:line="315" w:lineRule="exact"/>
              <w:ind w:firstLine="210" w:firstLineChars="100"/>
              <w:jc w:val="center"/>
            </w:pPr>
          </w:p>
        </w:tc>
        <w:tc>
          <w:tcPr>
            <w:tcW w:w="990" w:type="dxa"/>
            <w:tcBorders>
              <w:top w:val="nil"/>
              <w:left w:val="nil"/>
              <w:bottom w:val="single" w:color="000000" w:sz="6" w:space="0"/>
              <w:right w:val="single" w:color="000000" w:sz="6" w:space="0"/>
            </w:tcBorders>
            <w:vAlign w:val="center"/>
          </w:tcPr>
          <w:p w14:paraId="4784A8C5">
            <w:pPr>
              <w:wordWrap w:val="0"/>
              <w:spacing w:line="315" w:lineRule="exact"/>
              <w:ind w:firstLine="210" w:firstLineChars="100"/>
              <w:jc w:val="center"/>
            </w:pPr>
          </w:p>
        </w:tc>
        <w:tc>
          <w:tcPr>
            <w:tcW w:w="720" w:type="dxa"/>
            <w:tcBorders>
              <w:top w:val="nil"/>
              <w:left w:val="nil"/>
              <w:bottom w:val="single" w:color="000000" w:sz="6" w:space="0"/>
              <w:right w:val="single" w:color="000000" w:sz="6" w:space="0"/>
            </w:tcBorders>
            <w:vAlign w:val="center"/>
          </w:tcPr>
          <w:p w14:paraId="474B68E7">
            <w:pPr>
              <w:wordWrap w:val="0"/>
              <w:spacing w:line="315" w:lineRule="exact"/>
              <w:ind w:firstLine="210" w:firstLineChars="100"/>
              <w:jc w:val="center"/>
            </w:pPr>
          </w:p>
        </w:tc>
      </w:tr>
      <w:tr w14:paraId="106356D1">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825" w:type="dxa"/>
            <w:tcBorders>
              <w:top w:val="nil"/>
              <w:left w:val="single" w:color="000000" w:sz="6" w:space="0"/>
              <w:bottom w:val="single" w:color="000000" w:sz="6" w:space="0"/>
              <w:right w:val="single" w:color="000000" w:sz="6" w:space="0"/>
            </w:tcBorders>
            <w:vAlign w:val="center"/>
          </w:tcPr>
          <w:p w14:paraId="4778CB58">
            <w:pPr>
              <w:wordWrap w:val="0"/>
              <w:spacing w:line="315" w:lineRule="exact"/>
              <w:jc w:val="center"/>
            </w:pPr>
            <w:r>
              <w:rPr>
                <w:rFonts w:ascii="宋体" w:hAnsi="宋体" w:eastAsia="宋体" w:cs="宋体"/>
                <w:color w:val="000000"/>
              </w:rPr>
              <w:t>2</w:t>
            </w:r>
          </w:p>
        </w:tc>
        <w:tc>
          <w:tcPr>
            <w:tcW w:w="1350" w:type="dxa"/>
            <w:vMerge w:val="continue"/>
            <w:tcBorders>
              <w:top w:val="nil"/>
              <w:left w:val="nil"/>
              <w:bottom w:val="single" w:color="000000" w:sz="6" w:space="0"/>
              <w:right w:val="single" w:color="000000" w:sz="6" w:space="0"/>
            </w:tcBorders>
          </w:tcPr>
          <w:p w14:paraId="001DC4B1"/>
        </w:tc>
        <w:tc>
          <w:tcPr>
            <w:tcW w:w="3060" w:type="dxa"/>
            <w:tcBorders>
              <w:top w:val="nil"/>
              <w:left w:val="nil"/>
              <w:bottom w:val="single" w:color="000000" w:sz="6" w:space="0"/>
              <w:right w:val="single" w:color="000000" w:sz="6" w:space="0"/>
            </w:tcBorders>
            <w:vAlign w:val="center"/>
          </w:tcPr>
          <w:p w14:paraId="110F65FD">
            <w:pPr>
              <w:wordWrap w:val="0"/>
              <w:spacing w:line="315" w:lineRule="exact"/>
              <w:jc w:val="left"/>
            </w:pPr>
            <w:r>
              <w:rPr>
                <w:rFonts w:ascii="宋体" w:hAnsi="宋体" w:eastAsia="宋体" w:cs="宋体"/>
                <w:color w:val="000000"/>
              </w:rPr>
              <w:t>盒内接线柱是否有松动迹象</w:t>
            </w:r>
          </w:p>
        </w:tc>
        <w:tc>
          <w:tcPr>
            <w:tcW w:w="1170" w:type="dxa"/>
            <w:tcBorders>
              <w:top w:val="nil"/>
              <w:left w:val="nil"/>
              <w:bottom w:val="single" w:color="000000" w:sz="6" w:space="0"/>
              <w:right w:val="single" w:color="000000" w:sz="6" w:space="0"/>
            </w:tcBorders>
            <w:vAlign w:val="center"/>
          </w:tcPr>
          <w:p w14:paraId="16C84A6B">
            <w:pPr>
              <w:wordWrap w:val="0"/>
              <w:spacing w:line="315" w:lineRule="exact"/>
              <w:ind w:firstLine="210" w:firstLineChars="100"/>
              <w:jc w:val="left"/>
            </w:pPr>
          </w:p>
        </w:tc>
        <w:tc>
          <w:tcPr>
            <w:tcW w:w="1320" w:type="dxa"/>
            <w:tcBorders>
              <w:top w:val="nil"/>
              <w:left w:val="nil"/>
              <w:bottom w:val="single" w:color="000000" w:sz="6" w:space="0"/>
              <w:right w:val="single" w:color="000000" w:sz="6" w:space="0"/>
            </w:tcBorders>
            <w:vAlign w:val="center"/>
          </w:tcPr>
          <w:p w14:paraId="1CDBB2DC">
            <w:pPr>
              <w:wordWrap w:val="0"/>
              <w:spacing w:line="315" w:lineRule="exact"/>
              <w:ind w:firstLine="210" w:firstLineChars="100"/>
              <w:jc w:val="center"/>
            </w:pPr>
          </w:p>
        </w:tc>
        <w:tc>
          <w:tcPr>
            <w:tcW w:w="990" w:type="dxa"/>
            <w:tcBorders>
              <w:top w:val="nil"/>
              <w:left w:val="nil"/>
              <w:bottom w:val="single" w:color="000000" w:sz="6" w:space="0"/>
              <w:right w:val="single" w:color="000000" w:sz="6" w:space="0"/>
            </w:tcBorders>
            <w:vAlign w:val="center"/>
          </w:tcPr>
          <w:p w14:paraId="3369729A">
            <w:pPr>
              <w:wordWrap w:val="0"/>
              <w:spacing w:line="315" w:lineRule="exact"/>
              <w:ind w:firstLine="210" w:firstLineChars="100"/>
              <w:jc w:val="center"/>
            </w:pPr>
          </w:p>
        </w:tc>
        <w:tc>
          <w:tcPr>
            <w:tcW w:w="720" w:type="dxa"/>
            <w:tcBorders>
              <w:top w:val="nil"/>
              <w:left w:val="nil"/>
              <w:bottom w:val="single" w:color="000000" w:sz="6" w:space="0"/>
              <w:right w:val="single" w:color="000000" w:sz="6" w:space="0"/>
            </w:tcBorders>
            <w:vAlign w:val="center"/>
          </w:tcPr>
          <w:p w14:paraId="6F5E5157">
            <w:pPr>
              <w:wordWrap w:val="0"/>
              <w:spacing w:line="315" w:lineRule="exact"/>
              <w:ind w:firstLine="210" w:firstLineChars="100"/>
              <w:jc w:val="center"/>
            </w:pPr>
          </w:p>
        </w:tc>
      </w:tr>
      <w:tr w14:paraId="64DAD902">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825" w:type="dxa"/>
            <w:tcBorders>
              <w:top w:val="nil"/>
              <w:left w:val="single" w:color="000000" w:sz="6" w:space="0"/>
              <w:bottom w:val="single" w:color="000000" w:sz="6" w:space="0"/>
              <w:right w:val="single" w:color="000000" w:sz="6" w:space="0"/>
            </w:tcBorders>
            <w:vAlign w:val="center"/>
          </w:tcPr>
          <w:p w14:paraId="4E064C18">
            <w:pPr>
              <w:wordWrap w:val="0"/>
              <w:spacing w:line="315" w:lineRule="exact"/>
              <w:jc w:val="center"/>
            </w:pPr>
            <w:r>
              <w:rPr>
                <w:rFonts w:ascii="宋体" w:hAnsi="宋体" w:eastAsia="宋体" w:cs="宋体"/>
                <w:color w:val="000000"/>
              </w:rPr>
              <w:t>3</w:t>
            </w:r>
          </w:p>
        </w:tc>
        <w:tc>
          <w:tcPr>
            <w:tcW w:w="1350" w:type="dxa"/>
            <w:vMerge w:val="continue"/>
            <w:tcBorders>
              <w:top w:val="nil"/>
              <w:left w:val="nil"/>
              <w:bottom w:val="single" w:color="000000" w:sz="6" w:space="0"/>
              <w:right w:val="single" w:color="000000" w:sz="6" w:space="0"/>
            </w:tcBorders>
          </w:tcPr>
          <w:p w14:paraId="62A20916"/>
        </w:tc>
        <w:tc>
          <w:tcPr>
            <w:tcW w:w="3060" w:type="dxa"/>
            <w:tcBorders>
              <w:top w:val="nil"/>
              <w:left w:val="nil"/>
              <w:bottom w:val="single" w:color="000000" w:sz="6" w:space="0"/>
              <w:right w:val="single" w:color="000000" w:sz="6" w:space="0"/>
            </w:tcBorders>
            <w:vAlign w:val="center"/>
          </w:tcPr>
          <w:p w14:paraId="7D437F0F">
            <w:pPr>
              <w:wordWrap w:val="0"/>
              <w:spacing w:line="315" w:lineRule="exact"/>
              <w:jc w:val="left"/>
            </w:pPr>
            <w:r>
              <w:rPr>
                <w:rFonts w:ascii="宋体" w:hAnsi="宋体" w:eastAsia="宋体" w:cs="宋体"/>
                <w:color w:val="000000"/>
              </w:rPr>
              <w:t>盒内开关等各元器件是否有烧焦迹象</w:t>
            </w:r>
          </w:p>
        </w:tc>
        <w:tc>
          <w:tcPr>
            <w:tcW w:w="1170" w:type="dxa"/>
            <w:tcBorders>
              <w:top w:val="nil"/>
              <w:left w:val="nil"/>
              <w:bottom w:val="single" w:color="000000" w:sz="6" w:space="0"/>
              <w:right w:val="single" w:color="000000" w:sz="6" w:space="0"/>
            </w:tcBorders>
            <w:vAlign w:val="center"/>
          </w:tcPr>
          <w:p w14:paraId="216E5C23">
            <w:pPr>
              <w:wordWrap w:val="0"/>
              <w:spacing w:line="315" w:lineRule="exact"/>
              <w:ind w:firstLine="210" w:firstLineChars="100"/>
              <w:jc w:val="left"/>
            </w:pPr>
          </w:p>
        </w:tc>
        <w:tc>
          <w:tcPr>
            <w:tcW w:w="1320" w:type="dxa"/>
            <w:tcBorders>
              <w:top w:val="nil"/>
              <w:left w:val="nil"/>
              <w:bottom w:val="single" w:color="000000" w:sz="6" w:space="0"/>
              <w:right w:val="single" w:color="000000" w:sz="6" w:space="0"/>
            </w:tcBorders>
            <w:vAlign w:val="center"/>
          </w:tcPr>
          <w:p w14:paraId="21D15D98">
            <w:pPr>
              <w:wordWrap w:val="0"/>
              <w:spacing w:line="315" w:lineRule="exact"/>
              <w:ind w:firstLine="210" w:firstLineChars="100"/>
              <w:jc w:val="center"/>
            </w:pPr>
          </w:p>
        </w:tc>
        <w:tc>
          <w:tcPr>
            <w:tcW w:w="990" w:type="dxa"/>
            <w:tcBorders>
              <w:top w:val="nil"/>
              <w:left w:val="nil"/>
              <w:bottom w:val="single" w:color="000000" w:sz="6" w:space="0"/>
              <w:right w:val="single" w:color="000000" w:sz="6" w:space="0"/>
            </w:tcBorders>
            <w:vAlign w:val="center"/>
          </w:tcPr>
          <w:p w14:paraId="78005081">
            <w:pPr>
              <w:wordWrap w:val="0"/>
              <w:spacing w:line="315" w:lineRule="exact"/>
              <w:ind w:firstLine="210" w:firstLineChars="100"/>
              <w:jc w:val="center"/>
            </w:pPr>
          </w:p>
        </w:tc>
        <w:tc>
          <w:tcPr>
            <w:tcW w:w="720" w:type="dxa"/>
            <w:tcBorders>
              <w:top w:val="nil"/>
              <w:left w:val="nil"/>
              <w:bottom w:val="single" w:color="000000" w:sz="6" w:space="0"/>
              <w:right w:val="single" w:color="000000" w:sz="6" w:space="0"/>
            </w:tcBorders>
            <w:vAlign w:val="center"/>
          </w:tcPr>
          <w:p w14:paraId="3F1D5F39">
            <w:pPr>
              <w:wordWrap w:val="0"/>
              <w:spacing w:line="315" w:lineRule="exact"/>
              <w:ind w:firstLine="210" w:firstLineChars="100"/>
              <w:jc w:val="center"/>
            </w:pPr>
          </w:p>
        </w:tc>
      </w:tr>
      <w:tr w14:paraId="0C5A5ED9">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825" w:type="dxa"/>
            <w:tcBorders>
              <w:top w:val="nil"/>
              <w:left w:val="single" w:color="000000" w:sz="6" w:space="0"/>
              <w:bottom w:val="single" w:color="000000" w:sz="6" w:space="0"/>
              <w:right w:val="single" w:color="000000" w:sz="6" w:space="0"/>
            </w:tcBorders>
            <w:vAlign w:val="center"/>
          </w:tcPr>
          <w:p w14:paraId="3AC4109F">
            <w:pPr>
              <w:wordWrap w:val="0"/>
              <w:spacing w:line="315" w:lineRule="exact"/>
              <w:jc w:val="center"/>
            </w:pPr>
            <w:r>
              <w:rPr>
                <w:rFonts w:ascii="宋体" w:hAnsi="宋体" w:eastAsia="宋体" w:cs="宋体"/>
                <w:color w:val="000000"/>
              </w:rPr>
              <w:t>4</w:t>
            </w:r>
          </w:p>
        </w:tc>
        <w:tc>
          <w:tcPr>
            <w:tcW w:w="1350" w:type="dxa"/>
            <w:vMerge w:val="continue"/>
            <w:tcBorders>
              <w:top w:val="nil"/>
              <w:left w:val="nil"/>
              <w:bottom w:val="single" w:color="000000" w:sz="6" w:space="0"/>
              <w:right w:val="single" w:color="000000" w:sz="6" w:space="0"/>
            </w:tcBorders>
          </w:tcPr>
          <w:p w14:paraId="0EBE7703"/>
        </w:tc>
        <w:tc>
          <w:tcPr>
            <w:tcW w:w="3060" w:type="dxa"/>
            <w:tcBorders>
              <w:top w:val="nil"/>
              <w:left w:val="nil"/>
              <w:bottom w:val="single" w:color="000000" w:sz="6" w:space="0"/>
              <w:right w:val="single" w:color="000000" w:sz="6" w:space="0"/>
            </w:tcBorders>
            <w:vAlign w:val="center"/>
          </w:tcPr>
          <w:p w14:paraId="3BE85A00">
            <w:pPr>
              <w:wordWrap w:val="0"/>
              <w:spacing w:line="315" w:lineRule="exact"/>
              <w:jc w:val="left"/>
            </w:pPr>
            <w:r>
              <w:rPr>
                <w:rFonts w:ascii="宋体" w:hAnsi="宋体" w:eastAsia="宋体" w:cs="宋体"/>
                <w:color w:val="000000"/>
              </w:rPr>
              <w:t>盒内电线有无发热现象</w:t>
            </w:r>
          </w:p>
        </w:tc>
        <w:tc>
          <w:tcPr>
            <w:tcW w:w="1170" w:type="dxa"/>
            <w:tcBorders>
              <w:top w:val="nil"/>
              <w:left w:val="nil"/>
              <w:bottom w:val="single" w:color="000000" w:sz="6" w:space="0"/>
              <w:right w:val="single" w:color="000000" w:sz="6" w:space="0"/>
            </w:tcBorders>
            <w:vAlign w:val="center"/>
          </w:tcPr>
          <w:p w14:paraId="5BD17668">
            <w:pPr>
              <w:wordWrap w:val="0"/>
              <w:spacing w:line="315" w:lineRule="exact"/>
              <w:ind w:firstLine="210" w:firstLineChars="100"/>
              <w:jc w:val="left"/>
            </w:pPr>
          </w:p>
        </w:tc>
        <w:tc>
          <w:tcPr>
            <w:tcW w:w="1320" w:type="dxa"/>
            <w:tcBorders>
              <w:top w:val="nil"/>
              <w:left w:val="nil"/>
              <w:bottom w:val="single" w:color="000000" w:sz="6" w:space="0"/>
              <w:right w:val="single" w:color="000000" w:sz="6" w:space="0"/>
            </w:tcBorders>
            <w:vAlign w:val="center"/>
          </w:tcPr>
          <w:p w14:paraId="0DB86DC5">
            <w:pPr>
              <w:wordWrap w:val="0"/>
              <w:spacing w:line="315" w:lineRule="exact"/>
              <w:ind w:firstLine="210" w:firstLineChars="100"/>
              <w:jc w:val="center"/>
            </w:pPr>
          </w:p>
        </w:tc>
        <w:tc>
          <w:tcPr>
            <w:tcW w:w="990" w:type="dxa"/>
            <w:tcBorders>
              <w:top w:val="nil"/>
              <w:left w:val="nil"/>
              <w:bottom w:val="single" w:color="000000" w:sz="6" w:space="0"/>
              <w:right w:val="single" w:color="000000" w:sz="6" w:space="0"/>
            </w:tcBorders>
            <w:vAlign w:val="center"/>
          </w:tcPr>
          <w:p w14:paraId="7757C6F3">
            <w:pPr>
              <w:wordWrap w:val="0"/>
              <w:spacing w:line="315" w:lineRule="exact"/>
              <w:ind w:firstLine="210" w:firstLineChars="100"/>
              <w:jc w:val="center"/>
            </w:pPr>
          </w:p>
        </w:tc>
        <w:tc>
          <w:tcPr>
            <w:tcW w:w="720" w:type="dxa"/>
            <w:tcBorders>
              <w:top w:val="nil"/>
              <w:left w:val="nil"/>
              <w:bottom w:val="single" w:color="000000" w:sz="6" w:space="0"/>
              <w:right w:val="single" w:color="000000" w:sz="6" w:space="0"/>
            </w:tcBorders>
            <w:vAlign w:val="center"/>
          </w:tcPr>
          <w:p w14:paraId="7D7854CE">
            <w:pPr>
              <w:wordWrap w:val="0"/>
              <w:spacing w:line="315" w:lineRule="exact"/>
              <w:ind w:firstLine="210" w:firstLineChars="100"/>
              <w:jc w:val="center"/>
            </w:pPr>
          </w:p>
        </w:tc>
      </w:tr>
      <w:tr w14:paraId="395C973F">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825" w:type="dxa"/>
            <w:tcBorders>
              <w:top w:val="nil"/>
              <w:left w:val="single" w:color="000000" w:sz="6" w:space="0"/>
              <w:bottom w:val="single" w:color="000000" w:sz="6" w:space="0"/>
              <w:right w:val="single" w:color="000000" w:sz="6" w:space="0"/>
            </w:tcBorders>
            <w:vAlign w:val="center"/>
          </w:tcPr>
          <w:p w14:paraId="01F54FA0">
            <w:pPr>
              <w:wordWrap w:val="0"/>
              <w:spacing w:line="315" w:lineRule="exact"/>
              <w:jc w:val="center"/>
            </w:pPr>
            <w:r>
              <w:rPr>
                <w:rFonts w:ascii="宋体" w:hAnsi="宋体" w:eastAsia="宋体" w:cs="宋体"/>
                <w:color w:val="000000"/>
              </w:rPr>
              <w:t>5</w:t>
            </w:r>
          </w:p>
        </w:tc>
        <w:tc>
          <w:tcPr>
            <w:tcW w:w="1350" w:type="dxa"/>
            <w:vMerge w:val="continue"/>
            <w:tcBorders>
              <w:top w:val="nil"/>
              <w:left w:val="nil"/>
              <w:bottom w:val="single" w:color="000000" w:sz="6" w:space="0"/>
              <w:right w:val="single" w:color="000000" w:sz="6" w:space="0"/>
            </w:tcBorders>
          </w:tcPr>
          <w:p w14:paraId="3AFC67B8"/>
        </w:tc>
        <w:tc>
          <w:tcPr>
            <w:tcW w:w="3060" w:type="dxa"/>
            <w:tcBorders>
              <w:top w:val="nil"/>
              <w:left w:val="nil"/>
              <w:bottom w:val="single" w:color="000000" w:sz="6" w:space="0"/>
              <w:right w:val="single" w:color="000000" w:sz="6" w:space="0"/>
            </w:tcBorders>
            <w:vAlign w:val="center"/>
          </w:tcPr>
          <w:p w14:paraId="0023D956">
            <w:pPr>
              <w:wordWrap w:val="0"/>
              <w:spacing w:line="315" w:lineRule="exact"/>
              <w:jc w:val="left"/>
            </w:pPr>
            <w:r>
              <w:rPr>
                <w:rFonts w:ascii="宋体" w:hAnsi="宋体" w:eastAsia="宋体" w:cs="宋体"/>
                <w:color w:val="000000"/>
              </w:rPr>
              <w:t>其他</w:t>
            </w:r>
          </w:p>
        </w:tc>
        <w:tc>
          <w:tcPr>
            <w:tcW w:w="1170" w:type="dxa"/>
            <w:tcBorders>
              <w:top w:val="nil"/>
              <w:left w:val="nil"/>
              <w:bottom w:val="single" w:color="000000" w:sz="6" w:space="0"/>
              <w:right w:val="single" w:color="000000" w:sz="6" w:space="0"/>
            </w:tcBorders>
            <w:vAlign w:val="center"/>
          </w:tcPr>
          <w:p w14:paraId="7A557A67">
            <w:pPr>
              <w:wordWrap w:val="0"/>
              <w:spacing w:line="315" w:lineRule="exact"/>
              <w:ind w:firstLine="210" w:firstLineChars="100"/>
              <w:jc w:val="left"/>
            </w:pPr>
          </w:p>
        </w:tc>
        <w:tc>
          <w:tcPr>
            <w:tcW w:w="1320" w:type="dxa"/>
            <w:tcBorders>
              <w:top w:val="nil"/>
              <w:left w:val="nil"/>
              <w:bottom w:val="single" w:color="000000" w:sz="6" w:space="0"/>
              <w:right w:val="single" w:color="000000" w:sz="6" w:space="0"/>
            </w:tcBorders>
            <w:vAlign w:val="center"/>
          </w:tcPr>
          <w:p w14:paraId="3C45AA2B">
            <w:pPr>
              <w:wordWrap w:val="0"/>
              <w:spacing w:line="315" w:lineRule="exact"/>
              <w:ind w:firstLine="210" w:firstLineChars="100"/>
              <w:jc w:val="center"/>
            </w:pPr>
          </w:p>
        </w:tc>
        <w:tc>
          <w:tcPr>
            <w:tcW w:w="990" w:type="dxa"/>
            <w:tcBorders>
              <w:top w:val="nil"/>
              <w:left w:val="nil"/>
              <w:bottom w:val="single" w:color="000000" w:sz="6" w:space="0"/>
              <w:right w:val="single" w:color="000000" w:sz="6" w:space="0"/>
            </w:tcBorders>
            <w:vAlign w:val="center"/>
          </w:tcPr>
          <w:p w14:paraId="579E194C">
            <w:pPr>
              <w:wordWrap w:val="0"/>
              <w:spacing w:line="315" w:lineRule="exact"/>
              <w:ind w:firstLine="210" w:firstLineChars="100"/>
              <w:jc w:val="center"/>
            </w:pPr>
          </w:p>
        </w:tc>
        <w:tc>
          <w:tcPr>
            <w:tcW w:w="720" w:type="dxa"/>
            <w:tcBorders>
              <w:top w:val="nil"/>
              <w:left w:val="nil"/>
              <w:bottom w:val="single" w:color="000000" w:sz="6" w:space="0"/>
              <w:right w:val="single" w:color="000000" w:sz="6" w:space="0"/>
            </w:tcBorders>
            <w:vAlign w:val="center"/>
          </w:tcPr>
          <w:p w14:paraId="673D651A">
            <w:pPr>
              <w:wordWrap w:val="0"/>
              <w:spacing w:line="315" w:lineRule="exact"/>
              <w:ind w:firstLine="210" w:firstLineChars="100"/>
              <w:jc w:val="center"/>
            </w:pPr>
          </w:p>
        </w:tc>
      </w:tr>
    </w:tbl>
    <w:p w14:paraId="30232EF1">
      <w:pPr>
        <w:wordWrap w:val="0"/>
        <w:spacing w:line="360" w:lineRule="exact"/>
        <w:ind w:firstLine="210" w:firstLineChars="100"/>
        <w:jc w:val="left"/>
      </w:pPr>
    </w:p>
    <w:tbl>
      <w:tblPr>
        <w:tblStyle w:val="5"/>
        <w:tblW w:w="9600" w:type="dxa"/>
        <w:jc w:val="center"/>
        <w:tblBorders>
          <w:top w:val="none" w:color="auto" w:sz="0" w:space="0"/>
          <w:left w:val="none" w:color="auto" w:sz="0" w:space="0"/>
          <w:bottom w:val="none" w:color="auto" w:sz="0" w:space="0"/>
          <w:right w:val="none" w:color="auto" w:sz="0" w:space="0"/>
          <w:insideH w:val="single" w:color="auto" w:sz="0" w:space="0"/>
          <w:insideV w:val="single" w:color="auto" w:sz="0" w:space="0"/>
        </w:tblBorders>
        <w:tblLayout w:type="autofit"/>
        <w:tblCellMar>
          <w:top w:w="0" w:type="dxa"/>
          <w:left w:w="10" w:type="dxa"/>
          <w:bottom w:w="0" w:type="dxa"/>
          <w:right w:w="10" w:type="dxa"/>
        </w:tblCellMar>
      </w:tblPr>
      <w:tblGrid>
        <w:gridCol w:w="807"/>
        <w:gridCol w:w="1326"/>
        <w:gridCol w:w="2926"/>
        <w:gridCol w:w="1356"/>
        <w:gridCol w:w="1250"/>
        <w:gridCol w:w="1158"/>
        <w:gridCol w:w="777"/>
      </w:tblGrid>
      <w:tr w14:paraId="57E25E77">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9450" w:type="dxa"/>
            <w:gridSpan w:val="7"/>
            <w:tcBorders>
              <w:top w:val="nil"/>
              <w:left w:val="nil"/>
              <w:bottom w:val="nil"/>
              <w:right w:val="nil"/>
            </w:tcBorders>
            <w:vAlign w:val="center"/>
          </w:tcPr>
          <w:p w14:paraId="50CCB256">
            <w:pPr>
              <w:wordWrap w:val="0"/>
              <w:spacing w:line="315" w:lineRule="exact"/>
              <w:jc w:val="center"/>
            </w:pPr>
            <w:r>
              <w:rPr>
                <w:rFonts w:ascii="宋体" w:hAnsi="宋体" w:eastAsia="宋体" w:cs="宋体"/>
                <w:color w:val="000000"/>
              </w:rPr>
              <w:t>南京财经大学日常用电安全巡查表（照明、插座）</w:t>
            </w:r>
          </w:p>
        </w:tc>
      </w:tr>
      <w:tr w14:paraId="29F915E2">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795" w:type="dxa"/>
            <w:tcBorders>
              <w:top w:val="nil"/>
              <w:left w:val="nil"/>
              <w:bottom w:val="single" w:color="000000" w:sz="6" w:space="0"/>
              <w:right w:val="nil"/>
            </w:tcBorders>
            <w:vAlign w:val="center"/>
          </w:tcPr>
          <w:p w14:paraId="224ED12D">
            <w:pPr>
              <w:wordWrap w:val="0"/>
              <w:spacing w:line="315" w:lineRule="exact"/>
              <w:ind w:firstLine="210" w:firstLineChars="100"/>
              <w:jc w:val="center"/>
            </w:pPr>
          </w:p>
        </w:tc>
        <w:tc>
          <w:tcPr>
            <w:tcW w:w="1305" w:type="dxa"/>
            <w:tcBorders>
              <w:top w:val="nil"/>
              <w:left w:val="nil"/>
              <w:bottom w:val="single" w:color="000000" w:sz="6" w:space="0"/>
              <w:right w:val="nil"/>
            </w:tcBorders>
            <w:vAlign w:val="center"/>
          </w:tcPr>
          <w:p w14:paraId="44BB6BF0">
            <w:pPr>
              <w:wordWrap w:val="0"/>
              <w:spacing w:line="315" w:lineRule="exact"/>
              <w:jc w:val="center"/>
            </w:pPr>
            <w:r>
              <w:rPr>
                <w:rFonts w:ascii="宋体" w:hAnsi="宋体" w:eastAsia="宋体" w:cs="宋体"/>
                <w:color w:val="000000"/>
              </w:rPr>
              <w:t>检查建筑：</w:t>
            </w:r>
          </w:p>
        </w:tc>
        <w:tc>
          <w:tcPr>
            <w:tcW w:w="2880" w:type="dxa"/>
            <w:tcBorders>
              <w:top w:val="nil"/>
              <w:left w:val="nil"/>
              <w:bottom w:val="single" w:color="000000" w:sz="6" w:space="0"/>
              <w:right w:val="nil"/>
            </w:tcBorders>
            <w:vAlign w:val="center"/>
          </w:tcPr>
          <w:p w14:paraId="65289FB1">
            <w:pPr>
              <w:wordWrap w:val="0"/>
              <w:spacing w:line="315" w:lineRule="exact"/>
              <w:jc w:val="right"/>
            </w:pPr>
            <w:r>
              <w:rPr>
                <w:rFonts w:ascii="宋体" w:hAnsi="宋体" w:eastAsia="宋体" w:cs="宋体"/>
                <w:color w:val="000000"/>
              </w:rPr>
              <w:t>检查人：</w:t>
            </w:r>
          </w:p>
        </w:tc>
        <w:tc>
          <w:tcPr>
            <w:tcW w:w="1335" w:type="dxa"/>
            <w:tcBorders>
              <w:top w:val="nil"/>
              <w:left w:val="nil"/>
              <w:bottom w:val="single" w:color="000000" w:sz="6" w:space="0"/>
              <w:right w:val="nil"/>
            </w:tcBorders>
            <w:vAlign w:val="center"/>
          </w:tcPr>
          <w:p w14:paraId="62832A68">
            <w:pPr>
              <w:wordWrap w:val="0"/>
              <w:spacing w:line="315" w:lineRule="exact"/>
              <w:ind w:firstLine="210" w:firstLineChars="100"/>
              <w:jc w:val="center"/>
            </w:pPr>
          </w:p>
        </w:tc>
        <w:tc>
          <w:tcPr>
            <w:tcW w:w="1230" w:type="dxa"/>
            <w:tcBorders>
              <w:top w:val="nil"/>
              <w:left w:val="nil"/>
              <w:bottom w:val="single" w:color="000000" w:sz="6" w:space="0"/>
              <w:right w:val="nil"/>
            </w:tcBorders>
            <w:vAlign w:val="center"/>
          </w:tcPr>
          <w:p w14:paraId="5CFEC134">
            <w:pPr>
              <w:wordWrap w:val="0"/>
              <w:spacing w:line="315" w:lineRule="exact"/>
              <w:jc w:val="right"/>
            </w:pPr>
            <w:r>
              <w:rPr>
                <w:rFonts w:ascii="宋体" w:hAnsi="宋体" w:eastAsia="宋体" w:cs="宋体"/>
                <w:color w:val="000000"/>
              </w:rPr>
              <w:t>检查时间：</w:t>
            </w:r>
          </w:p>
        </w:tc>
        <w:tc>
          <w:tcPr>
            <w:tcW w:w="1140" w:type="dxa"/>
            <w:tcBorders>
              <w:top w:val="nil"/>
              <w:left w:val="nil"/>
              <w:bottom w:val="single" w:color="000000" w:sz="6" w:space="0"/>
              <w:right w:val="nil"/>
            </w:tcBorders>
            <w:vAlign w:val="center"/>
          </w:tcPr>
          <w:p w14:paraId="3446D789">
            <w:pPr>
              <w:wordWrap w:val="0"/>
              <w:spacing w:line="315" w:lineRule="exact"/>
              <w:ind w:firstLine="210" w:firstLineChars="100"/>
              <w:jc w:val="center"/>
            </w:pPr>
          </w:p>
        </w:tc>
        <w:tc>
          <w:tcPr>
            <w:tcW w:w="750" w:type="dxa"/>
            <w:tcBorders>
              <w:top w:val="nil"/>
              <w:left w:val="nil"/>
              <w:bottom w:val="single" w:color="000000" w:sz="6" w:space="0"/>
              <w:right w:val="nil"/>
            </w:tcBorders>
            <w:vAlign w:val="center"/>
          </w:tcPr>
          <w:p w14:paraId="1CC76EF9">
            <w:pPr>
              <w:wordWrap w:val="0"/>
              <w:spacing w:line="315" w:lineRule="exact"/>
              <w:ind w:firstLine="210" w:firstLineChars="100"/>
              <w:jc w:val="center"/>
            </w:pPr>
          </w:p>
        </w:tc>
      </w:tr>
      <w:tr w14:paraId="20E30417">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795" w:type="dxa"/>
            <w:vMerge w:val="restart"/>
            <w:tcBorders>
              <w:top w:val="nil"/>
              <w:left w:val="single" w:color="000000" w:sz="6" w:space="0"/>
              <w:bottom w:val="single" w:color="000000" w:sz="6" w:space="0"/>
              <w:right w:val="single" w:color="000000" w:sz="6" w:space="0"/>
            </w:tcBorders>
            <w:vAlign w:val="center"/>
          </w:tcPr>
          <w:p w14:paraId="53C94742">
            <w:pPr>
              <w:wordWrap w:val="0"/>
              <w:spacing w:line="315" w:lineRule="exact"/>
              <w:jc w:val="center"/>
            </w:pPr>
            <w:r>
              <w:rPr>
                <w:rFonts w:ascii="宋体" w:hAnsi="宋体" w:eastAsia="宋体" w:cs="宋体"/>
                <w:color w:val="000000"/>
              </w:rPr>
              <w:t>序号</w:t>
            </w:r>
          </w:p>
        </w:tc>
        <w:tc>
          <w:tcPr>
            <w:tcW w:w="1305" w:type="dxa"/>
            <w:vMerge w:val="restart"/>
            <w:tcBorders>
              <w:top w:val="nil"/>
              <w:left w:val="nil"/>
              <w:bottom w:val="single" w:color="000000" w:sz="6" w:space="0"/>
              <w:right w:val="single" w:color="000000" w:sz="6" w:space="0"/>
            </w:tcBorders>
            <w:vAlign w:val="center"/>
          </w:tcPr>
          <w:p w14:paraId="6BBF85BE">
            <w:pPr>
              <w:wordWrap w:val="0"/>
              <w:spacing w:line="315" w:lineRule="exact"/>
              <w:jc w:val="center"/>
            </w:pPr>
            <w:r>
              <w:rPr>
                <w:rFonts w:ascii="宋体" w:hAnsi="宋体" w:eastAsia="宋体" w:cs="宋体"/>
                <w:color w:val="000000"/>
              </w:rPr>
              <w:t>设备位置</w:t>
            </w:r>
          </w:p>
        </w:tc>
        <w:tc>
          <w:tcPr>
            <w:tcW w:w="2880" w:type="dxa"/>
            <w:vMerge w:val="restart"/>
            <w:tcBorders>
              <w:top w:val="nil"/>
              <w:left w:val="nil"/>
              <w:bottom w:val="single" w:color="000000" w:sz="6" w:space="0"/>
              <w:right w:val="single" w:color="000000" w:sz="6" w:space="0"/>
            </w:tcBorders>
            <w:vAlign w:val="center"/>
          </w:tcPr>
          <w:p w14:paraId="2D7AB0E7">
            <w:pPr>
              <w:wordWrap w:val="0"/>
              <w:spacing w:line="315" w:lineRule="exact"/>
              <w:jc w:val="center"/>
            </w:pPr>
            <w:r>
              <w:rPr>
                <w:rFonts w:ascii="宋体" w:hAnsi="宋体" w:eastAsia="宋体" w:cs="宋体"/>
                <w:color w:val="000000"/>
              </w:rPr>
              <w:t>检查内容</w:t>
            </w:r>
          </w:p>
        </w:tc>
        <w:tc>
          <w:tcPr>
            <w:tcW w:w="3705" w:type="dxa"/>
            <w:gridSpan w:val="3"/>
            <w:tcBorders>
              <w:top w:val="nil"/>
              <w:left w:val="nil"/>
              <w:bottom w:val="single" w:color="000000" w:sz="6" w:space="0"/>
              <w:right w:val="single" w:color="000000" w:sz="6" w:space="0"/>
            </w:tcBorders>
            <w:vAlign w:val="center"/>
          </w:tcPr>
          <w:p w14:paraId="56E15087">
            <w:pPr>
              <w:wordWrap w:val="0"/>
              <w:spacing w:line="315" w:lineRule="exact"/>
              <w:jc w:val="center"/>
            </w:pPr>
            <w:r>
              <w:rPr>
                <w:rFonts w:ascii="宋体" w:hAnsi="宋体" w:eastAsia="宋体" w:cs="宋体"/>
                <w:color w:val="000000"/>
              </w:rPr>
              <w:t>检查结果</w:t>
            </w:r>
          </w:p>
        </w:tc>
        <w:tc>
          <w:tcPr>
            <w:tcW w:w="750" w:type="dxa"/>
            <w:vMerge w:val="restart"/>
            <w:tcBorders>
              <w:top w:val="nil"/>
              <w:left w:val="nil"/>
              <w:bottom w:val="single" w:color="000000" w:sz="6" w:space="0"/>
              <w:right w:val="single" w:color="000000" w:sz="6" w:space="0"/>
            </w:tcBorders>
            <w:vAlign w:val="center"/>
          </w:tcPr>
          <w:p w14:paraId="1CDB373E">
            <w:pPr>
              <w:wordWrap w:val="0"/>
              <w:spacing w:line="315" w:lineRule="exact"/>
              <w:jc w:val="center"/>
            </w:pPr>
            <w:r>
              <w:rPr>
                <w:rFonts w:ascii="宋体" w:hAnsi="宋体" w:eastAsia="宋体" w:cs="宋体"/>
                <w:color w:val="000000"/>
              </w:rPr>
              <w:t>备注</w:t>
            </w:r>
          </w:p>
        </w:tc>
      </w:tr>
      <w:tr w14:paraId="48E287B5">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795" w:type="dxa"/>
            <w:vMerge w:val="continue"/>
            <w:tcBorders>
              <w:top w:val="nil"/>
              <w:left w:val="single" w:color="000000" w:sz="6" w:space="0"/>
              <w:bottom w:val="single" w:color="000000" w:sz="6" w:space="0"/>
              <w:right w:val="single" w:color="000000" w:sz="6" w:space="0"/>
            </w:tcBorders>
          </w:tcPr>
          <w:p w14:paraId="4020B388"/>
        </w:tc>
        <w:tc>
          <w:tcPr>
            <w:tcW w:w="1305" w:type="dxa"/>
            <w:vMerge w:val="continue"/>
            <w:tcBorders>
              <w:top w:val="nil"/>
              <w:left w:val="nil"/>
              <w:bottom w:val="single" w:color="000000" w:sz="6" w:space="0"/>
              <w:right w:val="single" w:color="000000" w:sz="6" w:space="0"/>
            </w:tcBorders>
          </w:tcPr>
          <w:p w14:paraId="419445B1"/>
        </w:tc>
        <w:tc>
          <w:tcPr>
            <w:tcW w:w="2880" w:type="dxa"/>
            <w:vMerge w:val="continue"/>
            <w:tcBorders>
              <w:top w:val="nil"/>
              <w:left w:val="nil"/>
              <w:bottom w:val="single" w:color="000000" w:sz="6" w:space="0"/>
              <w:right w:val="single" w:color="000000" w:sz="6" w:space="0"/>
            </w:tcBorders>
          </w:tcPr>
          <w:p w14:paraId="7042769B"/>
        </w:tc>
        <w:tc>
          <w:tcPr>
            <w:tcW w:w="1335" w:type="dxa"/>
            <w:tcBorders>
              <w:top w:val="nil"/>
              <w:left w:val="nil"/>
              <w:bottom w:val="single" w:color="000000" w:sz="6" w:space="0"/>
              <w:right w:val="single" w:color="000000" w:sz="6" w:space="0"/>
            </w:tcBorders>
            <w:vAlign w:val="center"/>
          </w:tcPr>
          <w:p w14:paraId="40CD1A4F">
            <w:pPr>
              <w:wordWrap w:val="0"/>
              <w:spacing w:line="315" w:lineRule="exact"/>
              <w:jc w:val="center"/>
            </w:pPr>
            <w:r>
              <w:rPr>
                <w:rFonts w:ascii="宋体" w:hAnsi="宋体" w:eastAsia="宋体" w:cs="宋体"/>
                <w:color w:val="000000"/>
              </w:rPr>
              <w:t>是否规范</w:t>
            </w:r>
          </w:p>
        </w:tc>
        <w:tc>
          <w:tcPr>
            <w:tcW w:w="1230" w:type="dxa"/>
            <w:tcBorders>
              <w:top w:val="nil"/>
              <w:left w:val="nil"/>
              <w:bottom w:val="single" w:color="000000" w:sz="6" w:space="0"/>
              <w:right w:val="single" w:color="000000" w:sz="6" w:space="0"/>
            </w:tcBorders>
            <w:vAlign w:val="center"/>
          </w:tcPr>
          <w:p w14:paraId="1777283C">
            <w:pPr>
              <w:wordWrap w:val="0"/>
              <w:spacing w:line="315" w:lineRule="exact"/>
              <w:jc w:val="center"/>
            </w:pPr>
            <w:r>
              <w:rPr>
                <w:rFonts w:ascii="宋体" w:hAnsi="宋体" w:eastAsia="宋体" w:cs="宋体"/>
                <w:color w:val="000000"/>
              </w:rPr>
              <w:t>存在隐患</w:t>
            </w:r>
          </w:p>
        </w:tc>
        <w:tc>
          <w:tcPr>
            <w:tcW w:w="1140" w:type="dxa"/>
            <w:tcBorders>
              <w:top w:val="nil"/>
              <w:left w:val="nil"/>
              <w:bottom w:val="single" w:color="000000" w:sz="6" w:space="0"/>
              <w:right w:val="single" w:color="000000" w:sz="6" w:space="0"/>
            </w:tcBorders>
            <w:vAlign w:val="center"/>
          </w:tcPr>
          <w:p w14:paraId="514F4FFA">
            <w:pPr>
              <w:wordWrap w:val="0"/>
              <w:spacing w:line="315" w:lineRule="exact"/>
              <w:jc w:val="center"/>
            </w:pPr>
            <w:r>
              <w:rPr>
                <w:rFonts w:ascii="宋体" w:hAnsi="宋体" w:eastAsia="宋体" w:cs="宋体"/>
                <w:color w:val="000000"/>
              </w:rPr>
              <w:t>处理方案</w:t>
            </w:r>
          </w:p>
        </w:tc>
        <w:tc>
          <w:tcPr>
            <w:tcW w:w="750" w:type="dxa"/>
            <w:vMerge w:val="continue"/>
            <w:tcBorders>
              <w:top w:val="nil"/>
              <w:left w:val="nil"/>
              <w:bottom w:val="single" w:color="000000" w:sz="6" w:space="0"/>
              <w:right w:val="single" w:color="000000" w:sz="6" w:space="0"/>
            </w:tcBorders>
          </w:tcPr>
          <w:p w14:paraId="6ABBFCEA"/>
        </w:tc>
      </w:tr>
      <w:tr w14:paraId="5AD59368">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795" w:type="dxa"/>
            <w:tcBorders>
              <w:top w:val="nil"/>
              <w:left w:val="single" w:color="000000" w:sz="6" w:space="0"/>
              <w:bottom w:val="single" w:color="000000" w:sz="6" w:space="0"/>
              <w:right w:val="single" w:color="000000" w:sz="6" w:space="0"/>
            </w:tcBorders>
            <w:vAlign w:val="center"/>
          </w:tcPr>
          <w:p w14:paraId="357CF768">
            <w:pPr>
              <w:wordWrap w:val="0"/>
              <w:spacing w:line="315" w:lineRule="exact"/>
              <w:jc w:val="center"/>
            </w:pPr>
            <w:r>
              <w:rPr>
                <w:rFonts w:ascii="宋体" w:hAnsi="宋体" w:eastAsia="宋体" w:cs="宋体"/>
                <w:color w:val="000000"/>
              </w:rPr>
              <w:t>1</w:t>
            </w:r>
          </w:p>
        </w:tc>
        <w:tc>
          <w:tcPr>
            <w:tcW w:w="1305" w:type="dxa"/>
            <w:vMerge w:val="restart"/>
            <w:tcBorders>
              <w:top w:val="nil"/>
              <w:left w:val="nil"/>
              <w:bottom w:val="single" w:color="000000" w:sz="6" w:space="0"/>
              <w:right w:val="single" w:color="000000" w:sz="6" w:space="0"/>
            </w:tcBorders>
            <w:vAlign w:val="center"/>
          </w:tcPr>
          <w:p w14:paraId="162C23A8">
            <w:pPr>
              <w:wordWrap w:val="0"/>
              <w:spacing w:line="315" w:lineRule="exact"/>
              <w:ind w:firstLine="210" w:firstLineChars="100"/>
              <w:jc w:val="center"/>
            </w:pPr>
          </w:p>
        </w:tc>
        <w:tc>
          <w:tcPr>
            <w:tcW w:w="2880" w:type="dxa"/>
            <w:tcBorders>
              <w:top w:val="nil"/>
              <w:left w:val="nil"/>
              <w:bottom w:val="single" w:color="000000" w:sz="6" w:space="0"/>
              <w:right w:val="single" w:color="000000" w:sz="6" w:space="0"/>
            </w:tcBorders>
            <w:vAlign w:val="center"/>
          </w:tcPr>
          <w:p w14:paraId="36609376">
            <w:pPr>
              <w:wordWrap w:val="0"/>
              <w:spacing w:line="315" w:lineRule="exact"/>
              <w:jc w:val="left"/>
            </w:pPr>
            <w:r>
              <w:rPr>
                <w:rFonts w:ascii="宋体" w:hAnsi="宋体" w:eastAsia="宋体" w:cs="宋体"/>
                <w:color w:val="000000"/>
              </w:rPr>
              <w:t>开关正常使用，无粘连现象</w:t>
            </w:r>
          </w:p>
        </w:tc>
        <w:tc>
          <w:tcPr>
            <w:tcW w:w="1335" w:type="dxa"/>
            <w:tcBorders>
              <w:top w:val="nil"/>
              <w:left w:val="nil"/>
              <w:bottom w:val="single" w:color="000000" w:sz="6" w:space="0"/>
              <w:right w:val="single" w:color="000000" w:sz="6" w:space="0"/>
            </w:tcBorders>
            <w:vAlign w:val="center"/>
          </w:tcPr>
          <w:p w14:paraId="3205EEE2">
            <w:pPr>
              <w:wordWrap w:val="0"/>
              <w:spacing w:line="315" w:lineRule="exact"/>
              <w:ind w:firstLine="210" w:firstLineChars="100"/>
              <w:jc w:val="left"/>
            </w:pPr>
          </w:p>
        </w:tc>
        <w:tc>
          <w:tcPr>
            <w:tcW w:w="1230" w:type="dxa"/>
            <w:tcBorders>
              <w:top w:val="nil"/>
              <w:left w:val="nil"/>
              <w:bottom w:val="single" w:color="000000" w:sz="6" w:space="0"/>
              <w:right w:val="single" w:color="000000" w:sz="6" w:space="0"/>
            </w:tcBorders>
            <w:vAlign w:val="center"/>
          </w:tcPr>
          <w:p w14:paraId="28AA25DA">
            <w:pPr>
              <w:wordWrap w:val="0"/>
              <w:spacing w:line="315" w:lineRule="exact"/>
              <w:ind w:firstLine="210" w:firstLineChars="100"/>
              <w:jc w:val="center"/>
            </w:pPr>
          </w:p>
        </w:tc>
        <w:tc>
          <w:tcPr>
            <w:tcW w:w="1140" w:type="dxa"/>
            <w:tcBorders>
              <w:top w:val="nil"/>
              <w:left w:val="nil"/>
              <w:bottom w:val="single" w:color="000000" w:sz="6" w:space="0"/>
              <w:right w:val="single" w:color="000000" w:sz="6" w:space="0"/>
            </w:tcBorders>
            <w:vAlign w:val="center"/>
          </w:tcPr>
          <w:p w14:paraId="227AD631">
            <w:pPr>
              <w:wordWrap w:val="0"/>
              <w:spacing w:line="315" w:lineRule="exact"/>
              <w:ind w:firstLine="210" w:firstLineChars="100"/>
              <w:jc w:val="center"/>
            </w:pPr>
          </w:p>
        </w:tc>
        <w:tc>
          <w:tcPr>
            <w:tcW w:w="750" w:type="dxa"/>
            <w:tcBorders>
              <w:top w:val="nil"/>
              <w:left w:val="nil"/>
              <w:bottom w:val="single" w:color="000000" w:sz="6" w:space="0"/>
              <w:right w:val="single" w:color="000000" w:sz="6" w:space="0"/>
            </w:tcBorders>
            <w:vAlign w:val="center"/>
          </w:tcPr>
          <w:p w14:paraId="5D77DFE7">
            <w:pPr>
              <w:wordWrap w:val="0"/>
              <w:spacing w:line="315" w:lineRule="exact"/>
              <w:ind w:firstLine="210" w:firstLineChars="100"/>
              <w:jc w:val="left"/>
            </w:pPr>
          </w:p>
        </w:tc>
      </w:tr>
      <w:tr w14:paraId="28BBBBA9">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795" w:type="dxa"/>
            <w:tcBorders>
              <w:top w:val="nil"/>
              <w:left w:val="single" w:color="000000" w:sz="6" w:space="0"/>
              <w:bottom w:val="single" w:color="000000" w:sz="6" w:space="0"/>
              <w:right w:val="single" w:color="000000" w:sz="6" w:space="0"/>
            </w:tcBorders>
            <w:vAlign w:val="center"/>
          </w:tcPr>
          <w:p w14:paraId="4E84EB9A">
            <w:pPr>
              <w:wordWrap w:val="0"/>
              <w:spacing w:line="315" w:lineRule="exact"/>
              <w:jc w:val="center"/>
            </w:pPr>
            <w:r>
              <w:rPr>
                <w:rFonts w:ascii="宋体" w:hAnsi="宋体" w:eastAsia="宋体" w:cs="宋体"/>
                <w:color w:val="000000"/>
              </w:rPr>
              <w:t>2</w:t>
            </w:r>
          </w:p>
        </w:tc>
        <w:tc>
          <w:tcPr>
            <w:tcW w:w="1305" w:type="dxa"/>
            <w:vMerge w:val="continue"/>
            <w:tcBorders>
              <w:top w:val="nil"/>
              <w:left w:val="nil"/>
              <w:bottom w:val="single" w:color="000000" w:sz="6" w:space="0"/>
              <w:right w:val="single" w:color="000000" w:sz="6" w:space="0"/>
            </w:tcBorders>
          </w:tcPr>
          <w:p w14:paraId="5C4F3F39"/>
        </w:tc>
        <w:tc>
          <w:tcPr>
            <w:tcW w:w="2880" w:type="dxa"/>
            <w:tcBorders>
              <w:top w:val="nil"/>
              <w:left w:val="nil"/>
              <w:bottom w:val="single" w:color="000000" w:sz="6" w:space="0"/>
              <w:right w:val="single" w:color="000000" w:sz="6" w:space="0"/>
            </w:tcBorders>
            <w:vAlign w:val="center"/>
          </w:tcPr>
          <w:p w14:paraId="67394419">
            <w:pPr>
              <w:wordWrap w:val="0"/>
              <w:spacing w:line="315" w:lineRule="exact"/>
              <w:jc w:val="left"/>
            </w:pPr>
            <w:r>
              <w:rPr>
                <w:rFonts w:ascii="宋体" w:hAnsi="宋体" w:eastAsia="宋体" w:cs="宋体"/>
                <w:color w:val="000000"/>
              </w:rPr>
              <w:t>空调使用专用插座，普通插座无过热现象</w:t>
            </w:r>
          </w:p>
        </w:tc>
        <w:tc>
          <w:tcPr>
            <w:tcW w:w="1335" w:type="dxa"/>
            <w:tcBorders>
              <w:top w:val="nil"/>
              <w:left w:val="nil"/>
              <w:bottom w:val="single" w:color="000000" w:sz="6" w:space="0"/>
              <w:right w:val="single" w:color="000000" w:sz="6" w:space="0"/>
            </w:tcBorders>
            <w:vAlign w:val="center"/>
          </w:tcPr>
          <w:p w14:paraId="1AF65D7C">
            <w:pPr>
              <w:wordWrap w:val="0"/>
              <w:spacing w:line="315" w:lineRule="exact"/>
              <w:ind w:firstLine="210" w:firstLineChars="100"/>
              <w:jc w:val="left"/>
            </w:pPr>
          </w:p>
        </w:tc>
        <w:tc>
          <w:tcPr>
            <w:tcW w:w="1230" w:type="dxa"/>
            <w:tcBorders>
              <w:top w:val="nil"/>
              <w:left w:val="nil"/>
              <w:bottom w:val="single" w:color="000000" w:sz="6" w:space="0"/>
              <w:right w:val="single" w:color="000000" w:sz="6" w:space="0"/>
            </w:tcBorders>
            <w:vAlign w:val="center"/>
          </w:tcPr>
          <w:p w14:paraId="786D0ED2">
            <w:pPr>
              <w:wordWrap w:val="0"/>
              <w:spacing w:line="315" w:lineRule="exact"/>
              <w:ind w:firstLine="210" w:firstLineChars="100"/>
              <w:jc w:val="center"/>
            </w:pPr>
          </w:p>
        </w:tc>
        <w:tc>
          <w:tcPr>
            <w:tcW w:w="1140" w:type="dxa"/>
            <w:tcBorders>
              <w:top w:val="nil"/>
              <w:left w:val="nil"/>
              <w:bottom w:val="single" w:color="000000" w:sz="6" w:space="0"/>
              <w:right w:val="single" w:color="000000" w:sz="6" w:space="0"/>
            </w:tcBorders>
            <w:vAlign w:val="center"/>
          </w:tcPr>
          <w:p w14:paraId="0ADE9803">
            <w:pPr>
              <w:wordWrap w:val="0"/>
              <w:spacing w:line="315" w:lineRule="exact"/>
              <w:ind w:firstLine="210" w:firstLineChars="100"/>
              <w:jc w:val="center"/>
            </w:pPr>
          </w:p>
        </w:tc>
        <w:tc>
          <w:tcPr>
            <w:tcW w:w="750" w:type="dxa"/>
            <w:tcBorders>
              <w:top w:val="nil"/>
              <w:left w:val="nil"/>
              <w:bottom w:val="single" w:color="000000" w:sz="6" w:space="0"/>
              <w:right w:val="single" w:color="000000" w:sz="6" w:space="0"/>
            </w:tcBorders>
            <w:vAlign w:val="center"/>
          </w:tcPr>
          <w:p w14:paraId="187A592C">
            <w:pPr>
              <w:wordWrap w:val="0"/>
              <w:spacing w:line="315" w:lineRule="exact"/>
              <w:ind w:firstLine="210" w:firstLineChars="100"/>
              <w:jc w:val="left"/>
            </w:pPr>
          </w:p>
        </w:tc>
      </w:tr>
      <w:tr w14:paraId="7A2E173E">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795" w:type="dxa"/>
            <w:tcBorders>
              <w:top w:val="nil"/>
              <w:left w:val="single" w:color="000000" w:sz="6" w:space="0"/>
              <w:bottom w:val="single" w:color="000000" w:sz="6" w:space="0"/>
              <w:right w:val="single" w:color="000000" w:sz="6" w:space="0"/>
            </w:tcBorders>
            <w:vAlign w:val="center"/>
          </w:tcPr>
          <w:p w14:paraId="451B1198">
            <w:pPr>
              <w:wordWrap w:val="0"/>
              <w:spacing w:line="315" w:lineRule="exact"/>
              <w:jc w:val="center"/>
            </w:pPr>
            <w:r>
              <w:rPr>
                <w:rFonts w:ascii="宋体" w:hAnsi="宋体" w:eastAsia="宋体" w:cs="宋体"/>
                <w:color w:val="000000"/>
              </w:rPr>
              <w:t>3</w:t>
            </w:r>
          </w:p>
        </w:tc>
        <w:tc>
          <w:tcPr>
            <w:tcW w:w="1305" w:type="dxa"/>
            <w:vMerge w:val="continue"/>
            <w:tcBorders>
              <w:top w:val="nil"/>
              <w:left w:val="nil"/>
              <w:bottom w:val="single" w:color="000000" w:sz="6" w:space="0"/>
              <w:right w:val="single" w:color="000000" w:sz="6" w:space="0"/>
            </w:tcBorders>
          </w:tcPr>
          <w:p w14:paraId="3A7ECDD5"/>
        </w:tc>
        <w:tc>
          <w:tcPr>
            <w:tcW w:w="2880" w:type="dxa"/>
            <w:tcBorders>
              <w:top w:val="nil"/>
              <w:left w:val="nil"/>
              <w:bottom w:val="single" w:color="000000" w:sz="6" w:space="0"/>
              <w:right w:val="single" w:color="000000" w:sz="6" w:space="0"/>
            </w:tcBorders>
            <w:vAlign w:val="center"/>
          </w:tcPr>
          <w:p w14:paraId="2DAB4783">
            <w:pPr>
              <w:wordWrap w:val="0"/>
              <w:spacing w:line="315" w:lineRule="exact"/>
              <w:jc w:val="left"/>
            </w:pPr>
            <w:r>
              <w:rPr>
                <w:rFonts w:ascii="宋体" w:hAnsi="宋体" w:eastAsia="宋体" w:cs="宋体"/>
                <w:color w:val="000000"/>
              </w:rPr>
              <w:t>严禁插座接连大功率电器</w:t>
            </w:r>
          </w:p>
        </w:tc>
        <w:tc>
          <w:tcPr>
            <w:tcW w:w="1335" w:type="dxa"/>
            <w:tcBorders>
              <w:top w:val="nil"/>
              <w:left w:val="nil"/>
              <w:bottom w:val="single" w:color="000000" w:sz="6" w:space="0"/>
              <w:right w:val="single" w:color="000000" w:sz="6" w:space="0"/>
            </w:tcBorders>
            <w:vAlign w:val="center"/>
          </w:tcPr>
          <w:p w14:paraId="1EE32BFB">
            <w:pPr>
              <w:wordWrap w:val="0"/>
              <w:spacing w:line="315" w:lineRule="exact"/>
              <w:ind w:firstLine="210" w:firstLineChars="100"/>
              <w:jc w:val="left"/>
            </w:pPr>
          </w:p>
        </w:tc>
        <w:tc>
          <w:tcPr>
            <w:tcW w:w="1230" w:type="dxa"/>
            <w:tcBorders>
              <w:top w:val="nil"/>
              <w:left w:val="nil"/>
              <w:bottom w:val="single" w:color="000000" w:sz="6" w:space="0"/>
              <w:right w:val="single" w:color="000000" w:sz="6" w:space="0"/>
            </w:tcBorders>
            <w:vAlign w:val="center"/>
          </w:tcPr>
          <w:p w14:paraId="0C1B094A">
            <w:pPr>
              <w:wordWrap w:val="0"/>
              <w:spacing w:line="315" w:lineRule="exact"/>
              <w:ind w:firstLine="210" w:firstLineChars="100"/>
              <w:jc w:val="center"/>
            </w:pPr>
          </w:p>
        </w:tc>
        <w:tc>
          <w:tcPr>
            <w:tcW w:w="1140" w:type="dxa"/>
            <w:tcBorders>
              <w:top w:val="nil"/>
              <w:left w:val="nil"/>
              <w:bottom w:val="single" w:color="000000" w:sz="6" w:space="0"/>
              <w:right w:val="single" w:color="000000" w:sz="6" w:space="0"/>
            </w:tcBorders>
            <w:vAlign w:val="center"/>
          </w:tcPr>
          <w:p w14:paraId="04400BD7">
            <w:pPr>
              <w:wordWrap w:val="0"/>
              <w:spacing w:line="315" w:lineRule="exact"/>
              <w:ind w:firstLine="210" w:firstLineChars="100"/>
              <w:jc w:val="center"/>
            </w:pPr>
          </w:p>
        </w:tc>
        <w:tc>
          <w:tcPr>
            <w:tcW w:w="750" w:type="dxa"/>
            <w:tcBorders>
              <w:top w:val="nil"/>
              <w:left w:val="nil"/>
              <w:bottom w:val="single" w:color="000000" w:sz="6" w:space="0"/>
              <w:right w:val="single" w:color="000000" w:sz="6" w:space="0"/>
            </w:tcBorders>
            <w:vAlign w:val="center"/>
          </w:tcPr>
          <w:p w14:paraId="2812F42C">
            <w:pPr>
              <w:wordWrap w:val="0"/>
              <w:spacing w:line="315" w:lineRule="exact"/>
              <w:ind w:firstLine="210" w:firstLineChars="100"/>
              <w:jc w:val="left"/>
            </w:pPr>
          </w:p>
        </w:tc>
      </w:tr>
      <w:tr w14:paraId="14C55471">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795" w:type="dxa"/>
            <w:tcBorders>
              <w:top w:val="nil"/>
              <w:left w:val="single" w:color="000000" w:sz="6" w:space="0"/>
              <w:bottom w:val="single" w:color="000000" w:sz="6" w:space="0"/>
              <w:right w:val="single" w:color="000000" w:sz="6" w:space="0"/>
            </w:tcBorders>
            <w:vAlign w:val="center"/>
          </w:tcPr>
          <w:p w14:paraId="553EAEDE">
            <w:pPr>
              <w:wordWrap w:val="0"/>
              <w:spacing w:line="315" w:lineRule="exact"/>
              <w:jc w:val="center"/>
            </w:pPr>
            <w:r>
              <w:rPr>
                <w:rFonts w:ascii="宋体" w:hAnsi="宋体" w:eastAsia="宋体" w:cs="宋体"/>
                <w:color w:val="000000"/>
              </w:rPr>
              <w:t>4</w:t>
            </w:r>
          </w:p>
        </w:tc>
        <w:tc>
          <w:tcPr>
            <w:tcW w:w="1305" w:type="dxa"/>
            <w:vMerge w:val="continue"/>
            <w:tcBorders>
              <w:top w:val="nil"/>
              <w:left w:val="nil"/>
              <w:bottom w:val="single" w:color="000000" w:sz="6" w:space="0"/>
              <w:right w:val="single" w:color="000000" w:sz="6" w:space="0"/>
            </w:tcBorders>
          </w:tcPr>
          <w:p w14:paraId="60C7528A"/>
        </w:tc>
        <w:tc>
          <w:tcPr>
            <w:tcW w:w="2880" w:type="dxa"/>
            <w:tcBorders>
              <w:top w:val="nil"/>
              <w:left w:val="nil"/>
              <w:bottom w:val="single" w:color="000000" w:sz="6" w:space="0"/>
              <w:right w:val="single" w:color="000000" w:sz="6" w:space="0"/>
            </w:tcBorders>
            <w:vAlign w:val="center"/>
          </w:tcPr>
          <w:p w14:paraId="59B65471">
            <w:pPr>
              <w:wordWrap w:val="0"/>
              <w:spacing w:line="315" w:lineRule="exact"/>
              <w:jc w:val="left"/>
            </w:pPr>
            <w:r>
              <w:rPr>
                <w:rFonts w:ascii="宋体" w:hAnsi="宋体" w:eastAsia="宋体" w:cs="宋体"/>
                <w:color w:val="000000"/>
              </w:rPr>
              <w:t>所用插座和插头在结构上应保持一致</w:t>
            </w:r>
          </w:p>
        </w:tc>
        <w:tc>
          <w:tcPr>
            <w:tcW w:w="1335" w:type="dxa"/>
            <w:tcBorders>
              <w:top w:val="nil"/>
              <w:left w:val="nil"/>
              <w:bottom w:val="single" w:color="000000" w:sz="6" w:space="0"/>
              <w:right w:val="single" w:color="000000" w:sz="6" w:space="0"/>
            </w:tcBorders>
            <w:vAlign w:val="center"/>
          </w:tcPr>
          <w:p w14:paraId="42D26ADC">
            <w:pPr>
              <w:wordWrap w:val="0"/>
              <w:spacing w:line="315" w:lineRule="exact"/>
              <w:ind w:firstLine="210" w:firstLineChars="100"/>
              <w:jc w:val="left"/>
            </w:pPr>
          </w:p>
        </w:tc>
        <w:tc>
          <w:tcPr>
            <w:tcW w:w="1230" w:type="dxa"/>
            <w:tcBorders>
              <w:top w:val="nil"/>
              <w:left w:val="nil"/>
              <w:bottom w:val="single" w:color="000000" w:sz="6" w:space="0"/>
              <w:right w:val="single" w:color="000000" w:sz="6" w:space="0"/>
            </w:tcBorders>
            <w:vAlign w:val="center"/>
          </w:tcPr>
          <w:p w14:paraId="1D5A64C6">
            <w:pPr>
              <w:wordWrap w:val="0"/>
              <w:spacing w:line="315" w:lineRule="exact"/>
              <w:ind w:firstLine="210" w:firstLineChars="100"/>
              <w:jc w:val="center"/>
            </w:pPr>
          </w:p>
        </w:tc>
        <w:tc>
          <w:tcPr>
            <w:tcW w:w="1140" w:type="dxa"/>
            <w:tcBorders>
              <w:top w:val="nil"/>
              <w:left w:val="nil"/>
              <w:bottom w:val="single" w:color="000000" w:sz="6" w:space="0"/>
              <w:right w:val="single" w:color="000000" w:sz="6" w:space="0"/>
            </w:tcBorders>
            <w:vAlign w:val="center"/>
          </w:tcPr>
          <w:p w14:paraId="2FD8B428">
            <w:pPr>
              <w:wordWrap w:val="0"/>
              <w:spacing w:line="315" w:lineRule="exact"/>
              <w:ind w:firstLine="210" w:firstLineChars="100"/>
              <w:jc w:val="center"/>
            </w:pPr>
          </w:p>
        </w:tc>
        <w:tc>
          <w:tcPr>
            <w:tcW w:w="750" w:type="dxa"/>
            <w:tcBorders>
              <w:top w:val="nil"/>
              <w:left w:val="nil"/>
              <w:bottom w:val="single" w:color="000000" w:sz="6" w:space="0"/>
              <w:right w:val="single" w:color="000000" w:sz="6" w:space="0"/>
            </w:tcBorders>
            <w:vAlign w:val="center"/>
          </w:tcPr>
          <w:p w14:paraId="27842D29">
            <w:pPr>
              <w:wordWrap w:val="0"/>
              <w:spacing w:line="315" w:lineRule="exact"/>
              <w:ind w:firstLine="210" w:firstLineChars="100"/>
              <w:jc w:val="left"/>
            </w:pPr>
          </w:p>
        </w:tc>
      </w:tr>
      <w:tr w14:paraId="5CF85576">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795" w:type="dxa"/>
            <w:tcBorders>
              <w:top w:val="nil"/>
              <w:left w:val="single" w:color="000000" w:sz="6" w:space="0"/>
              <w:bottom w:val="single" w:color="000000" w:sz="6" w:space="0"/>
              <w:right w:val="single" w:color="000000" w:sz="6" w:space="0"/>
            </w:tcBorders>
            <w:vAlign w:val="center"/>
          </w:tcPr>
          <w:p w14:paraId="71451EA8">
            <w:pPr>
              <w:wordWrap w:val="0"/>
              <w:spacing w:line="315" w:lineRule="exact"/>
              <w:jc w:val="center"/>
            </w:pPr>
            <w:r>
              <w:rPr>
                <w:rFonts w:ascii="宋体" w:hAnsi="宋体" w:eastAsia="宋体" w:cs="宋体"/>
                <w:color w:val="000000"/>
              </w:rPr>
              <w:t>5</w:t>
            </w:r>
          </w:p>
        </w:tc>
        <w:tc>
          <w:tcPr>
            <w:tcW w:w="1305" w:type="dxa"/>
            <w:vMerge w:val="continue"/>
            <w:tcBorders>
              <w:top w:val="nil"/>
              <w:left w:val="nil"/>
              <w:bottom w:val="single" w:color="000000" w:sz="6" w:space="0"/>
              <w:right w:val="single" w:color="000000" w:sz="6" w:space="0"/>
            </w:tcBorders>
          </w:tcPr>
          <w:p w14:paraId="03B6084C"/>
        </w:tc>
        <w:tc>
          <w:tcPr>
            <w:tcW w:w="2880" w:type="dxa"/>
            <w:tcBorders>
              <w:top w:val="nil"/>
              <w:left w:val="nil"/>
              <w:bottom w:val="single" w:color="000000" w:sz="6" w:space="0"/>
              <w:right w:val="single" w:color="000000" w:sz="6" w:space="0"/>
            </w:tcBorders>
            <w:vAlign w:val="center"/>
          </w:tcPr>
          <w:p w14:paraId="7969096C">
            <w:pPr>
              <w:wordWrap w:val="0"/>
              <w:spacing w:line="315" w:lineRule="exact"/>
              <w:jc w:val="left"/>
            </w:pPr>
            <w:r>
              <w:rPr>
                <w:rFonts w:ascii="宋体" w:hAnsi="宋体" w:eastAsia="宋体" w:cs="宋体"/>
                <w:color w:val="000000"/>
              </w:rPr>
              <w:t>其他</w:t>
            </w:r>
          </w:p>
        </w:tc>
        <w:tc>
          <w:tcPr>
            <w:tcW w:w="1335" w:type="dxa"/>
            <w:tcBorders>
              <w:top w:val="nil"/>
              <w:left w:val="nil"/>
              <w:bottom w:val="single" w:color="000000" w:sz="6" w:space="0"/>
              <w:right w:val="single" w:color="000000" w:sz="6" w:space="0"/>
            </w:tcBorders>
            <w:vAlign w:val="center"/>
          </w:tcPr>
          <w:p w14:paraId="4D9B6ED1">
            <w:pPr>
              <w:wordWrap w:val="0"/>
              <w:spacing w:line="315" w:lineRule="exact"/>
              <w:ind w:firstLine="210" w:firstLineChars="100"/>
              <w:jc w:val="left"/>
            </w:pPr>
          </w:p>
        </w:tc>
        <w:tc>
          <w:tcPr>
            <w:tcW w:w="1230" w:type="dxa"/>
            <w:tcBorders>
              <w:top w:val="nil"/>
              <w:left w:val="nil"/>
              <w:bottom w:val="single" w:color="000000" w:sz="6" w:space="0"/>
              <w:right w:val="single" w:color="000000" w:sz="6" w:space="0"/>
            </w:tcBorders>
            <w:vAlign w:val="center"/>
          </w:tcPr>
          <w:p w14:paraId="5EF7280F">
            <w:pPr>
              <w:wordWrap w:val="0"/>
              <w:spacing w:line="315" w:lineRule="exact"/>
              <w:ind w:firstLine="210" w:firstLineChars="100"/>
              <w:jc w:val="center"/>
            </w:pPr>
          </w:p>
        </w:tc>
        <w:tc>
          <w:tcPr>
            <w:tcW w:w="1140" w:type="dxa"/>
            <w:tcBorders>
              <w:top w:val="nil"/>
              <w:left w:val="nil"/>
              <w:bottom w:val="single" w:color="000000" w:sz="6" w:space="0"/>
              <w:right w:val="single" w:color="000000" w:sz="6" w:space="0"/>
            </w:tcBorders>
            <w:vAlign w:val="center"/>
          </w:tcPr>
          <w:p w14:paraId="4AC8A303">
            <w:pPr>
              <w:wordWrap w:val="0"/>
              <w:spacing w:line="315" w:lineRule="exact"/>
              <w:ind w:firstLine="210" w:firstLineChars="100"/>
              <w:jc w:val="center"/>
            </w:pPr>
          </w:p>
        </w:tc>
        <w:tc>
          <w:tcPr>
            <w:tcW w:w="750" w:type="dxa"/>
            <w:tcBorders>
              <w:top w:val="nil"/>
              <w:left w:val="nil"/>
              <w:bottom w:val="single" w:color="000000" w:sz="6" w:space="0"/>
              <w:right w:val="single" w:color="000000" w:sz="6" w:space="0"/>
            </w:tcBorders>
            <w:vAlign w:val="center"/>
          </w:tcPr>
          <w:p w14:paraId="0E228295">
            <w:pPr>
              <w:wordWrap w:val="0"/>
              <w:spacing w:line="315" w:lineRule="exact"/>
              <w:ind w:firstLine="210" w:firstLineChars="100"/>
              <w:jc w:val="left"/>
            </w:pPr>
          </w:p>
        </w:tc>
      </w:tr>
      <w:tr w14:paraId="2993AF68">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795" w:type="dxa"/>
            <w:tcBorders>
              <w:top w:val="nil"/>
              <w:left w:val="single" w:color="000000" w:sz="6" w:space="0"/>
              <w:bottom w:val="single" w:color="000000" w:sz="6" w:space="0"/>
              <w:right w:val="single" w:color="000000" w:sz="6" w:space="0"/>
            </w:tcBorders>
            <w:vAlign w:val="center"/>
          </w:tcPr>
          <w:p w14:paraId="3DF366B6">
            <w:pPr>
              <w:wordWrap w:val="0"/>
              <w:spacing w:line="315" w:lineRule="exact"/>
              <w:jc w:val="center"/>
            </w:pPr>
            <w:r>
              <w:rPr>
                <w:rFonts w:ascii="宋体" w:hAnsi="宋体" w:eastAsia="宋体" w:cs="宋体"/>
                <w:color w:val="000000"/>
              </w:rPr>
              <w:t>1</w:t>
            </w:r>
          </w:p>
        </w:tc>
        <w:tc>
          <w:tcPr>
            <w:tcW w:w="1305" w:type="dxa"/>
            <w:vMerge w:val="restart"/>
            <w:tcBorders>
              <w:top w:val="nil"/>
              <w:left w:val="nil"/>
              <w:bottom w:val="single" w:color="000000" w:sz="6" w:space="0"/>
              <w:right w:val="single" w:color="000000" w:sz="6" w:space="0"/>
            </w:tcBorders>
            <w:vAlign w:val="center"/>
          </w:tcPr>
          <w:p w14:paraId="3DB81B99">
            <w:pPr>
              <w:wordWrap w:val="0"/>
              <w:spacing w:line="315" w:lineRule="exact"/>
              <w:ind w:firstLine="210" w:firstLineChars="100"/>
              <w:jc w:val="center"/>
            </w:pPr>
          </w:p>
        </w:tc>
        <w:tc>
          <w:tcPr>
            <w:tcW w:w="2880" w:type="dxa"/>
            <w:tcBorders>
              <w:top w:val="nil"/>
              <w:left w:val="nil"/>
              <w:bottom w:val="single" w:color="000000" w:sz="6" w:space="0"/>
              <w:right w:val="single" w:color="000000" w:sz="6" w:space="0"/>
            </w:tcBorders>
            <w:vAlign w:val="center"/>
          </w:tcPr>
          <w:p w14:paraId="5B07A15C">
            <w:pPr>
              <w:wordWrap w:val="0"/>
              <w:spacing w:line="315" w:lineRule="exact"/>
              <w:jc w:val="left"/>
            </w:pPr>
            <w:r>
              <w:rPr>
                <w:rFonts w:ascii="宋体" w:hAnsi="宋体" w:eastAsia="宋体" w:cs="宋体"/>
                <w:color w:val="000000"/>
              </w:rPr>
              <w:t>开关正常使用，无粘连现象</w:t>
            </w:r>
          </w:p>
        </w:tc>
        <w:tc>
          <w:tcPr>
            <w:tcW w:w="1335" w:type="dxa"/>
            <w:tcBorders>
              <w:top w:val="nil"/>
              <w:left w:val="nil"/>
              <w:bottom w:val="single" w:color="000000" w:sz="6" w:space="0"/>
              <w:right w:val="single" w:color="000000" w:sz="6" w:space="0"/>
            </w:tcBorders>
            <w:vAlign w:val="center"/>
          </w:tcPr>
          <w:p w14:paraId="4EC62C06">
            <w:pPr>
              <w:wordWrap w:val="0"/>
              <w:spacing w:line="315" w:lineRule="exact"/>
              <w:ind w:firstLine="210" w:firstLineChars="100"/>
              <w:jc w:val="left"/>
            </w:pPr>
          </w:p>
        </w:tc>
        <w:tc>
          <w:tcPr>
            <w:tcW w:w="1230" w:type="dxa"/>
            <w:tcBorders>
              <w:top w:val="nil"/>
              <w:left w:val="nil"/>
              <w:bottom w:val="single" w:color="000000" w:sz="6" w:space="0"/>
              <w:right w:val="single" w:color="000000" w:sz="6" w:space="0"/>
            </w:tcBorders>
            <w:vAlign w:val="center"/>
          </w:tcPr>
          <w:p w14:paraId="2393C7B6">
            <w:pPr>
              <w:wordWrap w:val="0"/>
              <w:spacing w:line="315" w:lineRule="exact"/>
              <w:ind w:firstLine="210" w:firstLineChars="100"/>
              <w:jc w:val="center"/>
            </w:pPr>
          </w:p>
        </w:tc>
        <w:tc>
          <w:tcPr>
            <w:tcW w:w="1140" w:type="dxa"/>
            <w:tcBorders>
              <w:top w:val="nil"/>
              <w:left w:val="nil"/>
              <w:bottom w:val="single" w:color="000000" w:sz="6" w:space="0"/>
              <w:right w:val="single" w:color="000000" w:sz="6" w:space="0"/>
            </w:tcBorders>
            <w:vAlign w:val="center"/>
          </w:tcPr>
          <w:p w14:paraId="7761494F">
            <w:pPr>
              <w:wordWrap w:val="0"/>
              <w:spacing w:line="315" w:lineRule="exact"/>
              <w:ind w:firstLine="210" w:firstLineChars="100"/>
              <w:jc w:val="center"/>
            </w:pPr>
          </w:p>
        </w:tc>
        <w:tc>
          <w:tcPr>
            <w:tcW w:w="750" w:type="dxa"/>
            <w:tcBorders>
              <w:top w:val="nil"/>
              <w:left w:val="nil"/>
              <w:bottom w:val="single" w:color="000000" w:sz="6" w:space="0"/>
              <w:right w:val="single" w:color="000000" w:sz="6" w:space="0"/>
            </w:tcBorders>
            <w:vAlign w:val="center"/>
          </w:tcPr>
          <w:p w14:paraId="6A4664BE">
            <w:pPr>
              <w:wordWrap w:val="0"/>
              <w:spacing w:line="315" w:lineRule="exact"/>
              <w:ind w:firstLine="210" w:firstLineChars="100"/>
              <w:jc w:val="left"/>
            </w:pPr>
          </w:p>
        </w:tc>
      </w:tr>
      <w:tr w14:paraId="47E4825D">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795" w:type="dxa"/>
            <w:tcBorders>
              <w:top w:val="nil"/>
              <w:left w:val="single" w:color="000000" w:sz="6" w:space="0"/>
              <w:bottom w:val="single" w:color="000000" w:sz="6" w:space="0"/>
              <w:right w:val="single" w:color="000000" w:sz="6" w:space="0"/>
            </w:tcBorders>
            <w:vAlign w:val="center"/>
          </w:tcPr>
          <w:p w14:paraId="21BCEF37">
            <w:pPr>
              <w:wordWrap w:val="0"/>
              <w:spacing w:line="315" w:lineRule="exact"/>
              <w:jc w:val="center"/>
            </w:pPr>
            <w:r>
              <w:rPr>
                <w:rFonts w:ascii="宋体" w:hAnsi="宋体" w:eastAsia="宋体" w:cs="宋体"/>
                <w:color w:val="000000"/>
              </w:rPr>
              <w:t>2</w:t>
            </w:r>
          </w:p>
        </w:tc>
        <w:tc>
          <w:tcPr>
            <w:tcW w:w="1305" w:type="dxa"/>
            <w:vMerge w:val="continue"/>
            <w:tcBorders>
              <w:top w:val="nil"/>
              <w:left w:val="nil"/>
              <w:bottom w:val="single" w:color="000000" w:sz="6" w:space="0"/>
              <w:right w:val="single" w:color="000000" w:sz="6" w:space="0"/>
            </w:tcBorders>
          </w:tcPr>
          <w:p w14:paraId="6831E0ED"/>
        </w:tc>
        <w:tc>
          <w:tcPr>
            <w:tcW w:w="2880" w:type="dxa"/>
            <w:tcBorders>
              <w:top w:val="nil"/>
              <w:left w:val="nil"/>
              <w:bottom w:val="single" w:color="000000" w:sz="6" w:space="0"/>
              <w:right w:val="single" w:color="000000" w:sz="6" w:space="0"/>
            </w:tcBorders>
            <w:vAlign w:val="center"/>
          </w:tcPr>
          <w:p w14:paraId="5C8EDD08">
            <w:pPr>
              <w:wordWrap w:val="0"/>
              <w:spacing w:line="315" w:lineRule="exact"/>
              <w:jc w:val="left"/>
            </w:pPr>
            <w:r>
              <w:rPr>
                <w:rFonts w:ascii="宋体" w:hAnsi="宋体" w:eastAsia="宋体" w:cs="宋体"/>
                <w:color w:val="000000"/>
              </w:rPr>
              <w:t>空调使用专用插座，普通插座无过热现象</w:t>
            </w:r>
          </w:p>
        </w:tc>
        <w:tc>
          <w:tcPr>
            <w:tcW w:w="1335" w:type="dxa"/>
            <w:tcBorders>
              <w:top w:val="nil"/>
              <w:left w:val="nil"/>
              <w:bottom w:val="single" w:color="000000" w:sz="6" w:space="0"/>
              <w:right w:val="single" w:color="000000" w:sz="6" w:space="0"/>
            </w:tcBorders>
            <w:vAlign w:val="center"/>
          </w:tcPr>
          <w:p w14:paraId="6FC25C30">
            <w:pPr>
              <w:wordWrap w:val="0"/>
              <w:spacing w:line="315" w:lineRule="exact"/>
              <w:ind w:firstLine="210" w:firstLineChars="100"/>
              <w:jc w:val="left"/>
            </w:pPr>
          </w:p>
        </w:tc>
        <w:tc>
          <w:tcPr>
            <w:tcW w:w="1230" w:type="dxa"/>
            <w:tcBorders>
              <w:top w:val="nil"/>
              <w:left w:val="nil"/>
              <w:bottom w:val="single" w:color="000000" w:sz="6" w:space="0"/>
              <w:right w:val="single" w:color="000000" w:sz="6" w:space="0"/>
            </w:tcBorders>
            <w:vAlign w:val="center"/>
          </w:tcPr>
          <w:p w14:paraId="0E5786F1">
            <w:pPr>
              <w:wordWrap w:val="0"/>
              <w:spacing w:line="315" w:lineRule="exact"/>
              <w:ind w:firstLine="210" w:firstLineChars="100"/>
              <w:jc w:val="center"/>
            </w:pPr>
          </w:p>
        </w:tc>
        <w:tc>
          <w:tcPr>
            <w:tcW w:w="1140" w:type="dxa"/>
            <w:tcBorders>
              <w:top w:val="nil"/>
              <w:left w:val="nil"/>
              <w:bottom w:val="single" w:color="000000" w:sz="6" w:space="0"/>
              <w:right w:val="single" w:color="000000" w:sz="6" w:space="0"/>
            </w:tcBorders>
            <w:vAlign w:val="center"/>
          </w:tcPr>
          <w:p w14:paraId="4EE0756F">
            <w:pPr>
              <w:wordWrap w:val="0"/>
              <w:spacing w:line="315" w:lineRule="exact"/>
              <w:ind w:firstLine="210" w:firstLineChars="100"/>
              <w:jc w:val="center"/>
            </w:pPr>
          </w:p>
        </w:tc>
        <w:tc>
          <w:tcPr>
            <w:tcW w:w="750" w:type="dxa"/>
            <w:tcBorders>
              <w:top w:val="nil"/>
              <w:left w:val="nil"/>
              <w:bottom w:val="single" w:color="000000" w:sz="6" w:space="0"/>
              <w:right w:val="single" w:color="000000" w:sz="6" w:space="0"/>
            </w:tcBorders>
            <w:vAlign w:val="center"/>
          </w:tcPr>
          <w:p w14:paraId="140611C6">
            <w:pPr>
              <w:wordWrap w:val="0"/>
              <w:spacing w:line="315" w:lineRule="exact"/>
              <w:ind w:firstLine="210" w:firstLineChars="100"/>
              <w:jc w:val="left"/>
            </w:pPr>
          </w:p>
        </w:tc>
      </w:tr>
      <w:tr w14:paraId="22C688EC">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795" w:type="dxa"/>
            <w:tcBorders>
              <w:top w:val="nil"/>
              <w:left w:val="single" w:color="000000" w:sz="6" w:space="0"/>
              <w:bottom w:val="single" w:color="000000" w:sz="6" w:space="0"/>
              <w:right w:val="single" w:color="000000" w:sz="6" w:space="0"/>
            </w:tcBorders>
            <w:vAlign w:val="center"/>
          </w:tcPr>
          <w:p w14:paraId="246A14C9">
            <w:pPr>
              <w:wordWrap w:val="0"/>
              <w:spacing w:line="315" w:lineRule="exact"/>
              <w:jc w:val="center"/>
            </w:pPr>
            <w:r>
              <w:rPr>
                <w:rFonts w:ascii="宋体" w:hAnsi="宋体" w:eastAsia="宋体" w:cs="宋体"/>
                <w:color w:val="000000"/>
              </w:rPr>
              <w:t>3</w:t>
            </w:r>
          </w:p>
        </w:tc>
        <w:tc>
          <w:tcPr>
            <w:tcW w:w="1305" w:type="dxa"/>
            <w:vMerge w:val="continue"/>
            <w:tcBorders>
              <w:top w:val="nil"/>
              <w:left w:val="nil"/>
              <w:bottom w:val="single" w:color="000000" w:sz="6" w:space="0"/>
              <w:right w:val="single" w:color="000000" w:sz="6" w:space="0"/>
            </w:tcBorders>
          </w:tcPr>
          <w:p w14:paraId="14AC252F"/>
        </w:tc>
        <w:tc>
          <w:tcPr>
            <w:tcW w:w="2880" w:type="dxa"/>
            <w:tcBorders>
              <w:top w:val="nil"/>
              <w:left w:val="nil"/>
              <w:bottom w:val="single" w:color="000000" w:sz="6" w:space="0"/>
              <w:right w:val="single" w:color="000000" w:sz="6" w:space="0"/>
            </w:tcBorders>
            <w:vAlign w:val="center"/>
          </w:tcPr>
          <w:p w14:paraId="2B1B3E76">
            <w:pPr>
              <w:wordWrap w:val="0"/>
              <w:spacing w:line="315" w:lineRule="exact"/>
              <w:jc w:val="left"/>
            </w:pPr>
            <w:r>
              <w:rPr>
                <w:rFonts w:ascii="宋体" w:hAnsi="宋体" w:eastAsia="宋体" w:cs="宋体"/>
                <w:color w:val="000000"/>
              </w:rPr>
              <w:t>严禁插座接连大功率电器</w:t>
            </w:r>
          </w:p>
        </w:tc>
        <w:tc>
          <w:tcPr>
            <w:tcW w:w="1335" w:type="dxa"/>
            <w:tcBorders>
              <w:top w:val="nil"/>
              <w:left w:val="nil"/>
              <w:bottom w:val="single" w:color="000000" w:sz="6" w:space="0"/>
              <w:right w:val="single" w:color="000000" w:sz="6" w:space="0"/>
            </w:tcBorders>
            <w:vAlign w:val="center"/>
          </w:tcPr>
          <w:p w14:paraId="4F380C28">
            <w:pPr>
              <w:wordWrap w:val="0"/>
              <w:spacing w:line="315" w:lineRule="exact"/>
              <w:ind w:firstLine="210" w:firstLineChars="100"/>
              <w:jc w:val="left"/>
            </w:pPr>
          </w:p>
        </w:tc>
        <w:tc>
          <w:tcPr>
            <w:tcW w:w="1230" w:type="dxa"/>
            <w:tcBorders>
              <w:top w:val="nil"/>
              <w:left w:val="nil"/>
              <w:bottom w:val="single" w:color="000000" w:sz="6" w:space="0"/>
              <w:right w:val="single" w:color="000000" w:sz="6" w:space="0"/>
            </w:tcBorders>
            <w:vAlign w:val="center"/>
          </w:tcPr>
          <w:p w14:paraId="34374BD3">
            <w:pPr>
              <w:wordWrap w:val="0"/>
              <w:spacing w:line="315" w:lineRule="exact"/>
              <w:ind w:firstLine="210" w:firstLineChars="100"/>
              <w:jc w:val="center"/>
            </w:pPr>
          </w:p>
        </w:tc>
        <w:tc>
          <w:tcPr>
            <w:tcW w:w="1140" w:type="dxa"/>
            <w:tcBorders>
              <w:top w:val="nil"/>
              <w:left w:val="nil"/>
              <w:bottom w:val="single" w:color="000000" w:sz="6" w:space="0"/>
              <w:right w:val="single" w:color="000000" w:sz="6" w:space="0"/>
            </w:tcBorders>
            <w:vAlign w:val="center"/>
          </w:tcPr>
          <w:p w14:paraId="4864A9B4">
            <w:pPr>
              <w:wordWrap w:val="0"/>
              <w:spacing w:line="315" w:lineRule="exact"/>
              <w:ind w:firstLine="210" w:firstLineChars="100"/>
              <w:jc w:val="center"/>
            </w:pPr>
          </w:p>
        </w:tc>
        <w:tc>
          <w:tcPr>
            <w:tcW w:w="750" w:type="dxa"/>
            <w:tcBorders>
              <w:top w:val="nil"/>
              <w:left w:val="nil"/>
              <w:bottom w:val="single" w:color="000000" w:sz="6" w:space="0"/>
              <w:right w:val="single" w:color="000000" w:sz="6" w:space="0"/>
            </w:tcBorders>
            <w:vAlign w:val="center"/>
          </w:tcPr>
          <w:p w14:paraId="58CF463D">
            <w:pPr>
              <w:wordWrap w:val="0"/>
              <w:spacing w:line="315" w:lineRule="exact"/>
              <w:ind w:firstLine="210" w:firstLineChars="100"/>
              <w:jc w:val="left"/>
            </w:pPr>
          </w:p>
        </w:tc>
      </w:tr>
      <w:tr w14:paraId="0D48DD21">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795" w:type="dxa"/>
            <w:tcBorders>
              <w:top w:val="nil"/>
              <w:left w:val="single" w:color="000000" w:sz="6" w:space="0"/>
              <w:bottom w:val="single" w:color="000000" w:sz="6" w:space="0"/>
              <w:right w:val="single" w:color="000000" w:sz="6" w:space="0"/>
            </w:tcBorders>
            <w:vAlign w:val="center"/>
          </w:tcPr>
          <w:p w14:paraId="357F9BC1">
            <w:pPr>
              <w:wordWrap w:val="0"/>
              <w:spacing w:line="315" w:lineRule="exact"/>
              <w:jc w:val="center"/>
            </w:pPr>
            <w:r>
              <w:rPr>
                <w:rFonts w:ascii="宋体" w:hAnsi="宋体" w:eastAsia="宋体" w:cs="宋体"/>
                <w:color w:val="000000"/>
              </w:rPr>
              <w:t>4</w:t>
            </w:r>
          </w:p>
        </w:tc>
        <w:tc>
          <w:tcPr>
            <w:tcW w:w="1305" w:type="dxa"/>
            <w:vMerge w:val="continue"/>
            <w:tcBorders>
              <w:top w:val="nil"/>
              <w:left w:val="nil"/>
              <w:bottom w:val="single" w:color="000000" w:sz="6" w:space="0"/>
              <w:right w:val="single" w:color="000000" w:sz="6" w:space="0"/>
            </w:tcBorders>
          </w:tcPr>
          <w:p w14:paraId="7B8702AB"/>
        </w:tc>
        <w:tc>
          <w:tcPr>
            <w:tcW w:w="2880" w:type="dxa"/>
            <w:tcBorders>
              <w:top w:val="nil"/>
              <w:left w:val="nil"/>
              <w:bottom w:val="single" w:color="000000" w:sz="6" w:space="0"/>
              <w:right w:val="single" w:color="000000" w:sz="6" w:space="0"/>
            </w:tcBorders>
            <w:vAlign w:val="center"/>
          </w:tcPr>
          <w:p w14:paraId="057E45DF">
            <w:pPr>
              <w:wordWrap w:val="0"/>
              <w:spacing w:line="315" w:lineRule="exact"/>
              <w:jc w:val="left"/>
            </w:pPr>
            <w:r>
              <w:rPr>
                <w:rFonts w:ascii="宋体" w:hAnsi="宋体" w:eastAsia="宋体" w:cs="宋体"/>
                <w:color w:val="000000"/>
              </w:rPr>
              <w:t>所用插座和插头在结构上应保持一致</w:t>
            </w:r>
          </w:p>
        </w:tc>
        <w:tc>
          <w:tcPr>
            <w:tcW w:w="1335" w:type="dxa"/>
            <w:tcBorders>
              <w:top w:val="nil"/>
              <w:left w:val="nil"/>
              <w:bottom w:val="single" w:color="000000" w:sz="6" w:space="0"/>
              <w:right w:val="single" w:color="000000" w:sz="6" w:space="0"/>
            </w:tcBorders>
            <w:vAlign w:val="center"/>
          </w:tcPr>
          <w:p w14:paraId="584B3747">
            <w:pPr>
              <w:wordWrap w:val="0"/>
              <w:spacing w:line="315" w:lineRule="exact"/>
              <w:ind w:firstLine="210" w:firstLineChars="100"/>
              <w:jc w:val="left"/>
            </w:pPr>
          </w:p>
        </w:tc>
        <w:tc>
          <w:tcPr>
            <w:tcW w:w="1230" w:type="dxa"/>
            <w:tcBorders>
              <w:top w:val="nil"/>
              <w:left w:val="nil"/>
              <w:bottom w:val="single" w:color="000000" w:sz="6" w:space="0"/>
              <w:right w:val="single" w:color="000000" w:sz="6" w:space="0"/>
            </w:tcBorders>
            <w:vAlign w:val="center"/>
          </w:tcPr>
          <w:p w14:paraId="589492A2">
            <w:pPr>
              <w:wordWrap w:val="0"/>
              <w:spacing w:line="315" w:lineRule="exact"/>
              <w:ind w:firstLine="210" w:firstLineChars="100"/>
              <w:jc w:val="center"/>
            </w:pPr>
          </w:p>
        </w:tc>
        <w:tc>
          <w:tcPr>
            <w:tcW w:w="1140" w:type="dxa"/>
            <w:tcBorders>
              <w:top w:val="nil"/>
              <w:left w:val="nil"/>
              <w:bottom w:val="single" w:color="000000" w:sz="6" w:space="0"/>
              <w:right w:val="single" w:color="000000" w:sz="6" w:space="0"/>
            </w:tcBorders>
            <w:vAlign w:val="center"/>
          </w:tcPr>
          <w:p w14:paraId="56CA23A5">
            <w:pPr>
              <w:wordWrap w:val="0"/>
              <w:spacing w:line="315" w:lineRule="exact"/>
              <w:ind w:firstLine="210" w:firstLineChars="100"/>
              <w:jc w:val="center"/>
            </w:pPr>
          </w:p>
        </w:tc>
        <w:tc>
          <w:tcPr>
            <w:tcW w:w="750" w:type="dxa"/>
            <w:tcBorders>
              <w:top w:val="nil"/>
              <w:left w:val="nil"/>
              <w:bottom w:val="single" w:color="000000" w:sz="6" w:space="0"/>
              <w:right w:val="single" w:color="000000" w:sz="6" w:space="0"/>
            </w:tcBorders>
            <w:vAlign w:val="center"/>
          </w:tcPr>
          <w:p w14:paraId="23C66622">
            <w:pPr>
              <w:wordWrap w:val="0"/>
              <w:spacing w:line="315" w:lineRule="exact"/>
              <w:ind w:firstLine="210" w:firstLineChars="100"/>
              <w:jc w:val="left"/>
            </w:pPr>
          </w:p>
        </w:tc>
      </w:tr>
      <w:tr w14:paraId="33E1D596">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795" w:type="dxa"/>
            <w:tcBorders>
              <w:top w:val="nil"/>
              <w:left w:val="single" w:color="000000" w:sz="6" w:space="0"/>
              <w:bottom w:val="single" w:color="000000" w:sz="6" w:space="0"/>
              <w:right w:val="single" w:color="000000" w:sz="6" w:space="0"/>
            </w:tcBorders>
            <w:vAlign w:val="center"/>
          </w:tcPr>
          <w:p w14:paraId="3F57E5FF">
            <w:pPr>
              <w:wordWrap w:val="0"/>
              <w:spacing w:line="315" w:lineRule="exact"/>
              <w:jc w:val="center"/>
            </w:pPr>
            <w:r>
              <w:rPr>
                <w:rFonts w:ascii="宋体" w:hAnsi="宋体" w:eastAsia="宋体" w:cs="宋体"/>
                <w:color w:val="000000"/>
              </w:rPr>
              <w:t>5</w:t>
            </w:r>
          </w:p>
        </w:tc>
        <w:tc>
          <w:tcPr>
            <w:tcW w:w="1305" w:type="dxa"/>
            <w:vMerge w:val="continue"/>
            <w:tcBorders>
              <w:top w:val="nil"/>
              <w:left w:val="nil"/>
              <w:bottom w:val="single" w:color="000000" w:sz="6" w:space="0"/>
              <w:right w:val="single" w:color="000000" w:sz="6" w:space="0"/>
            </w:tcBorders>
          </w:tcPr>
          <w:p w14:paraId="2A1F4B85"/>
        </w:tc>
        <w:tc>
          <w:tcPr>
            <w:tcW w:w="2880" w:type="dxa"/>
            <w:tcBorders>
              <w:top w:val="nil"/>
              <w:left w:val="nil"/>
              <w:bottom w:val="single" w:color="000000" w:sz="6" w:space="0"/>
              <w:right w:val="single" w:color="000000" w:sz="6" w:space="0"/>
            </w:tcBorders>
            <w:vAlign w:val="center"/>
          </w:tcPr>
          <w:p w14:paraId="0DA0E5AA">
            <w:pPr>
              <w:wordWrap w:val="0"/>
              <w:spacing w:line="315" w:lineRule="exact"/>
              <w:jc w:val="left"/>
            </w:pPr>
            <w:r>
              <w:rPr>
                <w:rFonts w:ascii="宋体" w:hAnsi="宋体" w:eastAsia="宋体" w:cs="宋体"/>
                <w:color w:val="000000"/>
              </w:rPr>
              <w:t>其他</w:t>
            </w:r>
          </w:p>
        </w:tc>
        <w:tc>
          <w:tcPr>
            <w:tcW w:w="1335" w:type="dxa"/>
            <w:tcBorders>
              <w:top w:val="nil"/>
              <w:left w:val="nil"/>
              <w:bottom w:val="single" w:color="000000" w:sz="6" w:space="0"/>
              <w:right w:val="single" w:color="000000" w:sz="6" w:space="0"/>
            </w:tcBorders>
            <w:vAlign w:val="center"/>
          </w:tcPr>
          <w:p w14:paraId="70977502">
            <w:pPr>
              <w:wordWrap w:val="0"/>
              <w:spacing w:line="315" w:lineRule="exact"/>
              <w:ind w:firstLine="210" w:firstLineChars="100"/>
              <w:jc w:val="left"/>
            </w:pPr>
          </w:p>
        </w:tc>
        <w:tc>
          <w:tcPr>
            <w:tcW w:w="1230" w:type="dxa"/>
            <w:tcBorders>
              <w:top w:val="nil"/>
              <w:left w:val="nil"/>
              <w:bottom w:val="single" w:color="000000" w:sz="6" w:space="0"/>
              <w:right w:val="single" w:color="000000" w:sz="6" w:space="0"/>
            </w:tcBorders>
            <w:vAlign w:val="center"/>
          </w:tcPr>
          <w:p w14:paraId="7D70CE26">
            <w:pPr>
              <w:wordWrap w:val="0"/>
              <w:spacing w:line="315" w:lineRule="exact"/>
              <w:ind w:firstLine="210" w:firstLineChars="100"/>
              <w:jc w:val="center"/>
            </w:pPr>
          </w:p>
        </w:tc>
        <w:tc>
          <w:tcPr>
            <w:tcW w:w="1140" w:type="dxa"/>
            <w:tcBorders>
              <w:top w:val="nil"/>
              <w:left w:val="nil"/>
              <w:bottom w:val="single" w:color="000000" w:sz="6" w:space="0"/>
              <w:right w:val="single" w:color="000000" w:sz="6" w:space="0"/>
            </w:tcBorders>
            <w:vAlign w:val="center"/>
          </w:tcPr>
          <w:p w14:paraId="6BA194E4">
            <w:pPr>
              <w:wordWrap w:val="0"/>
              <w:spacing w:line="315" w:lineRule="exact"/>
              <w:ind w:firstLine="210" w:firstLineChars="100"/>
              <w:jc w:val="center"/>
            </w:pPr>
          </w:p>
        </w:tc>
        <w:tc>
          <w:tcPr>
            <w:tcW w:w="750" w:type="dxa"/>
            <w:tcBorders>
              <w:top w:val="nil"/>
              <w:left w:val="nil"/>
              <w:bottom w:val="single" w:color="000000" w:sz="6" w:space="0"/>
              <w:right w:val="single" w:color="000000" w:sz="6" w:space="0"/>
            </w:tcBorders>
            <w:vAlign w:val="center"/>
          </w:tcPr>
          <w:p w14:paraId="30D9F03B">
            <w:pPr>
              <w:wordWrap w:val="0"/>
              <w:spacing w:line="315" w:lineRule="exact"/>
              <w:ind w:firstLine="210" w:firstLineChars="100"/>
              <w:jc w:val="left"/>
            </w:pPr>
          </w:p>
        </w:tc>
      </w:tr>
    </w:tbl>
    <w:p w14:paraId="79CBA046">
      <w:pPr>
        <w:wordWrap w:val="0"/>
        <w:spacing w:line="360" w:lineRule="exact"/>
        <w:ind w:firstLine="210" w:firstLineChars="100"/>
        <w:jc w:val="left"/>
      </w:pPr>
    </w:p>
    <w:tbl>
      <w:tblPr>
        <w:tblStyle w:val="5"/>
        <w:tblW w:w="9600" w:type="dxa"/>
        <w:jc w:val="center"/>
        <w:tblBorders>
          <w:top w:val="none" w:color="auto" w:sz="0" w:space="0"/>
          <w:left w:val="none" w:color="auto" w:sz="0" w:space="0"/>
          <w:bottom w:val="none" w:color="auto" w:sz="0" w:space="0"/>
          <w:right w:val="none" w:color="auto" w:sz="0" w:space="0"/>
          <w:insideH w:val="single" w:color="auto" w:sz="0" w:space="0"/>
          <w:insideV w:val="single" w:color="auto" w:sz="0" w:space="0"/>
        </w:tblBorders>
        <w:tblLayout w:type="autofit"/>
        <w:tblCellMar>
          <w:top w:w="0" w:type="dxa"/>
          <w:left w:w="10" w:type="dxa"/>
          <w:bottom w:w="0" w:type="dxa"/>
          <w:right w:w="10" w:type="dxa"/>
        </w:tblCellMar>
      </w:tblPr>
      <w:tblGrid>
        <w:gridCol w:w="655"/>
        <w:gridCol w:w="1493"/>
        <w:gridCol w:w="2499"/>
        <w:gridCol w:w="1630"/>
        <w:gridCol w:w="2347"/>
        <w:gridCol w:w="976"/>
      </w:tblGrid>
      <w:tr w14:paraId="43C67269">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9450" w:type="dxa"/>
            <w:gridSpan w:val="6"/>
            <w:tcBorders>
              <w:top w:val="nil"/>
              <w:left w:val="nil"/>
              <w:bottom w:val="nil"/>
              <w:right w:val="nil"/>
            </w:tcBorders>
            <w:vAlign w:val="center"/>
          </w:tcPr>
          <w:p w14:paraId="13D093E5">
            <w:pPr>
              <w:wordWrap w:val="0"/>
              <w:spacing w:line="315" w:lineRule="exact"/>
              <w:jc w:val="center"/>
            </w:pPr>
            <w:r>
              <w:rPr>
                <w:rFonts w:ascii="宋体" w:hAnsi="宋体" w:eastAsia="宋体" w:cs="宋体"/>
                <w:color w:val="000000"/>
              </w:rPr>
              <w:t>南京财经大学用电安全巡查责任人及联系人备案表              </w:t>
            </w:r>
          </w:p>
        </w:tc>
      </w:tr>
      <w:tr w14:paraId="7A728F4B">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9450" w:type="dxa"/>
            <w:gridSpan w:val="6"/>
            <w:tcBorders>
              <w:top w:val="nil"/>
              <w:left w:val="nil"/>
              <w:bottom w:val="single" w:color="000000" w:sz="6" w:space="0"/>
              <w:right w:val="nil"/>
            </w:tcBorders>
            <w:vAlign w:val="center"/>
          </w:tcPr>
          <w:p w14:paraId="2F200528">
            <w:pPr>
              <w:wordWrap w:val="0"/>
              <w:spacing w:line="315" w:lineRule="exact"/>
              <w:jc w:val="right"/>
            </w:pPr>
            <w:r>
              <w:rPr>
                <w:rFonts w:ascii="宋体" w:hAnsi="宋体" w:eastAsia="宋体" w:cs="宋体"/>
                <w:color w:val="000000"/>
              </w:rPr>
              <w:t>填表日期：     </w:t>
            </w:r>
          </w:p>
        </w:tc>
      </w:tr>
      <w:tr w14:paraId="3C32782E">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645" w:type="dxa"/>
            <w:tcBorders>
              <w:top w:val="nil"/>
              <w:left w:val="single" w:color="000000" w:sz="6" w:space="0"/>
              <w:bottom w:val="single" w:color="000000" w:sz="6" w:space="0"/>
              <w:right w:val="single" w:color="000000" w:sz="6" w:space="0"/>
            </w:tcBorders>
            <w:vAlign w:val="center"/>
          </w:tcPr>
          <w:p w14:paraId="17F02031">
            <w:pPr>
              <w:wordWrap w:val="0"/>
              <w:spacing w:line="315" w:lineRule="exact"/>
              <w:jc w:val="center"/>
            </w:pPr>
            <w:r>
              <w:rPr>
                <w:rFonts w:ascii="宋体" w:hAnsi="宋体" w:eastAsia="宋体" w:cs="宋体"/>
                <w:color w:val="000000"/>
              </w:rPr>
              <w:t>序号</w:t>
            </w:r>
          </w:p>
        </w:tc>
        <w:tc>
          <w:tcPr>
            <w:tcW w:w="1470" w:type="dxa"/>
            <w:tcBorders>
              <w:top w:val="nil"/>
              <w:left w:val="nil"/>
              <w:bottom w:val="single" w:color="000000" w:sz="6" w:space="0"/>
              <w:right w:val="single" w:color="000000" w:sz="6" w:space="0"/>
            </w:tcBorders>
            <w:vAlign w:val="center"/>
          </w:tcPr>
          <w:p w14:paraId="720FB9A9">
            <w:pPr>
              <w:wordWrap w:val="0"/>
              <w:spacing w:line="315" w:lineRule="exact"/>
              <w:jc w:val="center"/>
            </w:pPr>
            <w:r>
              <w:rPr>
                <w:rFonts w:ascii="宋体" w:hAnsi="宋体" w:eastAsia="宋体" w:cs="宋体"/>
                <w:color w:val="000000"/>
              </w:rPr>
              <w:t>单位名称</w:t>
            </w:r>
          </w:p>
        </w:tc>
        <w:tc>
          <w:tcPr>
            <w:tcW w:w="2460" w:type="dxa"/>
            <w:tcBorders>
              <w:top w:val="nil"/>
              <w:left w:val="nil"/>
              <w:bottom w:val="single" w:color="000000" w:sz="6" w:space="0"/>
              <w:right w:val="single" w:color="000000" w:sz="6" w:space="0"/>
            </w:tcBorders>
            <w:vAlign w:val="center"/>
          </w:tcPr>
          <w:p w14:paraId="60527BA2">
            <w:pPr>
              <w:wordWrap w:val="0"/>
              <w:spacing w:line="315" w:lineRule="exact"/>
              <w:jc w:val="center"/>
            </w:pPr>
            <w:r>
              <w:rPr>
                <w:rFonts w:ascii="宋体" w:hAnsi="宋体" w:eastAsia="宋体" w:cs="宋体"/>
                <w:color w:val="000000"/>
              </w:rPr>
              <w:t>用电安全巡查联系人</w:t>
            </w:r>
          </w:p>
        </w:tc>
        <w:tc>
          <w:tcPr>
            <w:tcW w:w="1605" w:type="dxa"/>
            <w:tcBorders>
              <w:top w:val="nil"/>
              <w:left w:val="nil"/>
              <w:bottom w:val="single" w:color="000000" w:sz="6" w:space="0"/>
              <w:right w:val="single" w:color="000000" w:sz="6" w:space="0"/>
            </w:tcBorders>
            <w:vAlign w:val="center"/>
          </w:tcPr>
          <w:p w14:paraId="575DDDC7">
            <w:pPr>
              <w:wordWrap w:val="0"/>
              <w:spacing w:line="315" w:lineRule="exact"/>
              <w:jc w:val="center"/>
            </w:pPr>
            <w:r>
              <w:rPr>
                <w:rFonts w:ascii="宋体" w:hAnsi="宋体" w:eastAsia="宋体" w:cs="宋体"/>
                <w:color w:val="000000"/>
              </w:rPr>
              <w:t>联系方式</w:t>
            </w:r>
          </w:p>
        </w:tc>
        <w:tc>
          <w:tcPr>
            <w:tcW w:w="2310" w:type="dxa"/>
            <w:tcBorders>
              <w:top w:val="nil"/>
              <w:left w:val="nil"/>
              <w:bottom w:val="single" w:color="000000" w:sz="6" w:space="0"/>
              <w:right w:val="single" w:color="000000" w:sz="6" w:space="0"/>
            </w:tcBorders>
            <w:vAlign w:val="center"/>
          </w:tcPr>
          <w:p w14:paraId="4711F2A9">
            <w:pPr>
              <w:wordWrap w:val="0"/>
              <w:spacing w:line="315" w:lineRule="exact"/>
              <w:jc w:val="center"/>
            </w:pPr>
            <w:r>
              <w:rPr>
                <w:rFonts w:ascii="宋体" w:hAnsi="宋体" w:eastAsia="宋体" w:cs="宋体"/>
                <w:color w:val="000000"/>
              </w:rPr>
              <w:t>用电安全巡查责任人</w:t>
            </w:r>
          </w:p>
        </w:tc>
        <w:tc>
          <w:tcPr>
            <w:tcW w:w="945" w:type="dxa"/>
            <w:tcBorders>
              <w:top w:val="nil"/>
              <w:left w:val="nil"/>
              <w:bottom w:val="single" w:color="000000" w:sz="6" w:space="0"/>
              <w:right w:val="single" w:color="000000" w:sz="6" w:space="0"/>
            </w:tcBorders>
            <w:vAlign w:val="center"/>
          </w:tcPr>
          <w:p w14:paraId="16970F4B">
            <w:pPr>
              <w:wordWrap w:val="0"/>
              <w:spacing w:line="315" w:lineRule="exact"/>
              <w:jc w:val="center"/>
            </w:pPr>
            <w:r>
              <w:rPr>
                <w:rFonts w:ascii="宋体" w:hAnsi="宋体" w:eastAsia="宋体" w:cs="宋体"/>
                <w:color w:val="000000"/>
              </w:rPr>
              <w:t>备注</w:t>
            </w:r>
          </w:p>
        </w:tc>
      </w:tr>
      <w:tr w14:paraId="6D518953">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645" w:type="dxa"/>
            <w:tcBorders>
              <w:top w:val="nil"/>
              <w:left w:val="single" w:color="000000" w:sz="6" w:space="0"/>
              <w:bottom w:val="single" w:color="000000" w:sz="6" w:space="0"/>
              <w:right w:val="single" w:color="000000" w:sz="6" w:space="0"/>
            </w:tcBorders>
            <w:vAlign w:val="center"/>
          </w:tcPr>
          <w:p w14:paraId="77393E92">
            <w:pPr>
              <w:wordWrap w:val="0"/>
              <w:spacing w:line="315" w:lineRule="exact"/>
              <w:jc w:val="center"/>
            </w:pPr>
            <w:r>
              <w:rPr>
                <w:rFonts w:ascii="宋体" w:hAnsi="宋体" w:eastAsia="宋体" w:cs="宋体"/>
                <w:color w:val="000000"/>
              </w:rPr>
              <w:t>1</w:t>
            </w:r>
          </w:p>
        </w:tc>
        <w:tc>
          <w:tcPr>
            <w:tcW w:w="1470" w:type="dxa"/>
            <w:tcBorders>
              <w:top w:val="nil"/>
              <w:left w:val="nil"/>
              <w:bottom w:val="single" w:color="000000" w:sz="6" w:space="0"/>
              <w:right w:val="single" w:color="000000" w:sz="6" w:space="0"/>
            </w:tcBorders>
            <w:vAlign w:val="center"/>
          </w:tcPr>
          <w:p w14:paraId="6A225A47">
            <w:pPr>
              <w:wordWrap w:val="0"/>
              <w:spacing w:line="315" w:lineRule="exact"/>
              <w:ind w:firstLine="210" w:firstLineChars="100"/>
              <w:jc w:val="center"/>
            </w:pPr>
          </w:p>
        </w:tc>
        <w:tc>
          <w:tcPr>
            <w:tcW w:w="2460" w:type="dxa"/>
            <w:tcBorders>
              <w:top w:val="nil"/>
              <w:left w:val="nil"/>
              <w:bottom w:val="single" w:color="000000" w:sz="6" w:space="0"/>
              <w:right w:val="single" w:color="000000" w:sz="6" w:space="0"/>
            </w:tcBorders>
            <w:vAlign w:val="center"/>
          </w:tcPr>
          <w:p w14:paraId="42EE3DB8">
            <w:pPr>
              <w:wordWrap w:val="0"/>
              <w:spacing w:line="315" w:lineRule="exact"/>
              <w:ind w:firstLine="210" w:firstLineChars="100"/>
              <w:jc w:val="left"/>
            </w:pPr>
          </w:p>
        </w:tc>
        <w:tc>
          <w:tcPr>
            <w:tcW w:w="1605" w:type="dxa"/>
            <w:tcBorders>
              <w:top w:val="nil"/>
              <w:left w:val="nil"/>
              <w:bottom w:val="single" w:color="000000" w:sz="6" w:space="0"/>
              <w:right w:val="single" w:color="000000" w:sz="6" w:space="0"/>
            </w:tcBorders>
            <w:vAlign w:val="center"/>
          </w:tcPr>
          <w:p w14:paraId="48C29336">
            <w:pPr>
              <w:wordWrap w:val="0"/>
              <w:spacing w:line="315" w:lineRule="exact"/>
              <w:ind w:firstLine="210" w:firstLineChars="100"/>
              <w:jc w:val="center"/>
            </w:pPr>
          </w:p>
        </w:tc>
        <w:tc>
          <w:tcPr>
            <w:tcW w:w="2310" w:type="dxa"/>
            <w:tcBorders>
              <w:top w:val="nil"/>
              <w:left w:val="nil"/>
              <w:bottom w:val="single" w:color="000000" w:sz="6" w:space="0"/>
              <w:right w:val="single" w:color="000000" w:sz="6" w:space="0"/>
            </w:tcBorders>
            <w:vAlign w:val="center"/>
          </w:tcPr>
          <w:p w14:paraId="6B965083">
            <w:pPr>
              <w:wordWrap w:val="0"/>
              <w:spacing w:line="315" w:lineRule="exact"/>
              <w:ind w:firstLine="210" w:firstLineChars="100"/>
              <w:jc w:val="center"/>
            </w:pPr>
          </w:p>
        </w:tc>
        <w:tc>
          <w:tcPr>
            <w:tcW w:w="945" w:type="dxa"/>
            <w:tcBorders>
              <w:top w:val="nil"/>
              <w:left w:val="nil"/>
              <w:bottom w:val="single" w:color="000000" w:sz="6" w:space="0"/>
              <w:right w:val="single" w:color="000000" w:sz="6" w:space="0"/>
            </w:tcBorders>
            <w:vAlign w:val="center"/>
          </w:tcPr>
          <w:p w14:paraId="009B9FE3">
            <w:pPr>
              <w:wordWrap w:val="0"/>
              <w:spacing w:line="315" w:lineRule="exact"/>
              <w:ind w:firstLine="210" w:firstLineChars="100"/>
              <w:jc w:val="left"/>
            </w:pPr>
          </w:p>
        </w:tc>
      </w:tr>
      <w:tr w14:paraId="6B42BA93">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645" w:type="dxa"/>
            <w:tcBorders>
              <w:top w:val="nil"/>
              <w:left w:val="single" w:color="000000" w:sz="6" w:space="0"/>
              <w:bottom w:val="single" w:color="000000" w:sz="6" w:space="0"/>
              <w:right w:val="single" w:color="000000" w:sz="6" w:space="0"/>
            </w:tcBorders>
            <w:vAlign w:val="center"/>
          </w:tcPr>
          <w:p w14:paraId="6C0E2864">
            <w:pPr>
              <w:wordWrap w:val="0"/>
              <w:spacing w:line="315" w:lineRule="exact"/>
              <w:jc w:val="center"/>
            </w:pPr>
            <w:r>
              <w:rPr>
                <w:rFonts w:ascii="宋体" w:hAnsi="宋体" w:eastAsia="宋体" w:cs="宋体"/>
                <w:color w:val="000000"/>
              </w:rPr>
              <w:t>2</w:t>
            </w:r>
          </w:p>
        </w:tc>
        <w:tc>
          <w:tcPr>
            <w:tcW w:w="1470" w:type="dxa"/>
            <w:tcBorders>
              <w:top w:val="nil"/>
              <w:left w:val="nil"/>
              <w:bottom w:val="single" w:color="000000" w:sz="6" w:space="0"/>
              <w:right w:val="single" w:color="000000" w:sz="6" w:space="0"/>
            </w:tcBorders>
            <w:vAlign w:val="center"/>
          </w:tcPr>
          <w:p w14:paraId="763077A4">
            <w:pPr>
              <w:wordWrap w:val="0"/>
              <w:spacing w:line="315" w:lineRule="exact"/>
              <w:ind w:firstLine="210" w:firstLineChars="100"/>
              <w:jc w:val="left"/>
            </w:pPr>
          </w:p>
        </w:tc>
        <w:tc>
          <w:tcPr>
            <w:tcW w:w="2460" w:type="dxa"/>
            <w:tcBorders>
              <w:top w:val="nil"/>
              <w:left w:val="nil"/>
              <w:bottom w:val="single" w:color="000000" w:sz="6" w:space="0"/>
              <w:right w:val="single" w:color="000000" w:sz="6" w:space="0"/>
            </w:tcBorders>
            <w:vAlign w:val="center"/>
          </w:tcPr>
          <w:p w14:paraId="3C6ABD66">
            <w:pPr>
              <w:wordWrap w:val="0"/>
              <w:spacing w:line="315" w:lineRule="exact"/>
              <w:ind w:firstLine="210" w:firstLineChars="100"/>
              <w:jc w:val="left"/>
            </w:pPr>
          </w:p>
        </w:tc>
        <w:tc>
          <w:tcPr>
            <w:tcW w:w="1605" w:type="dxa"/>
            <w:tcBorders>
              <w:top w:val="nil"/>
              <w:left w:val="nil"/>
              <w:bottom w:val="single" w:color="000000" w:sz="6" w:space="0"/>
              <w:right w:val="single" w:color="000000" w:sz="6" w:space="0"/>
            </w:tcBorders>
            <w:vAlign w:val="center"/>
          </w:tcPr>
          <w:p w14:paraId="65F0BE68">
            <w:pPr>
              <w:wordWrap w:val="0"/>
              <w:spacing w:line="315" w:lineRule="exact"/>
              <w:ind w:firstLine="210" w:firstLineChars="100"/>
              <w:jc w:val="left"/>
            </w:pPr>
            <w:r>
              <w:rPr>
                <w:rFonts w:ascii="宋体" w:hAnsi="宋体" w:eastAsia="宋体" w:cs="宋体"/>
                <w:color w:val="000000"/>
              </w:rPr>
              <w:t> </w:t>
            </w:r>
          </w:p>
        </w:tc>
        <w:tc>
          <w:tcPr>
            <w:tcW w:w="2310" w:type="dxa"/>
            <w:tcBorders>
              <w:top w:val="nil"/>
              <w:left w:val="nil"/>
              <w:bottom w:val="single" w:color="000000" w:sz="6" w:space="0"/>
              <w:right w:val="single" w:color="000000" w:sz="6" w:space="0"/>
            </w:tcBorders>
            <w:vAlign w:val="center"/>
          </w:tcPr>
          <w:p w14:paraId="5FC57924">
            <w:pPr>
              <w:wordWrap w:val="0"/>
              <w:spacing w:line="315" w:lineRule="exact"/>
              <w:ind w:firstLine="210" w:firstLineChars="100"/>
              <w:jc w:val="center"/>
            </w:pPr>
          </w:p>
        </w:tc>
        <w:tc>
          <w:tcPr>
            <w:tcW w:w="945" w:type="dxa"/>
            <w:tcBorders>
              <w:top w:val="nil"/>
              <w:left w:val="nil"/>
              <w:bottom w:val="single" w:color="000000" w:sz="6" w:space="0"/>
              <w:right w:val="single" w:color="000000" w:sz="6" w:space="0"/>
            </w:tcBorders>
            <w:vAlign w:val="center"/>
          </w:tcPr>
          <w:p w14:paraId="35C5405B">
            <w:pPr>
              <w:wordWrap w:val="0"/>
              <w:spacing w:line="315" w:lineRule="exact"/>
              <w:ind w:firstLine="210" w:firstLineChars="100"/>
              <w:jc w:val="left"/>
            </w:pPr>
          </w:p>
        </w:tc>
      </w:tr>
      <w:tr w14:paraId="3FD5CFEF">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645" w:type="dxa"/>
            <w:tcBorders>
              <w:top w:val="nil"/>
              <w:left w:val="single" w:color="000000" w:sz="6" w:space="0"/>
              <w:bottom w:val="single" w:color="000000" w:sz="6" w:space="0"/>
              <w:right w:val="single" w:color="000000" w:sz="6" w:space="0"/>
            </w:tcBorders>
            <w:vAlign w:val="center"/>
          </w:tcPr>
          <w:p w14:paraId="79FC793C">
            <w:pPr>
              <w:wordWrap w:val="0"/>
              <w:spacing w:line="315" w:lineRule="exact"/>
              <w:jc w:val="center"/>
            </w:pPr>
            <w:r>
              <w:rPr>
                <w:rFonts w:ascii="宋体" w:hAnsi="宋体" w:eastAsia="宋体" w:cs="宋体"/>
                <w:color w:val="000000"/>
              </w:rPr>
              <w:t>3</w:t>
            </w:r>
          </w:p>
        </w:tc>
        <w:tc>
          <w:tcPr>
            <w:tcW w:w="1470" w:type="dxa"/>
            <w:tcBorders>
              <w:top w:val="nil"/>
              <w:left w:val="nil"/>
              <w:bottom w:val="single" w:color="000000" w:sz="6" w:space="0"/>
              <w:right w:val="single" w:color="000000" w:sz="6" w:space="0"/>
            </w:tcBorders>
            <w:vAlign w:val="center"/>
          </w:tcPr>
          <w:p w14:paraId="65C3D8EC">
            <w:pPr>
              <w:wordWrap w:val="0"/>
              <w:spacing w:line="315" w:lineRule="exact"/>
              <w:ind w:firstLine="210" w:firstLineChars="100"/>
              <w:jc w:val="left"/>
            </w:pPr>
          </w:p>
        </w:tc>
        <w:tc>
          <w:tcPr>
            <w:tcW w:w="2460" w:type="dxa"/>
            <w:tcBorders>
              <w:top w:val="nil"/>
              <w:left w:val="nil"/>
              <w:bottom w:val="single" w:color="000000" w:sz="6" w:space="0"/>
              <w:right w:val="single" w:color="000000" w:sz="6" w:space="0"/>
            </w:tcBorders>
            <w:vAlign w:val="center"/>
          </w:tcPr>
          <w:p w14:paraId="2565C5C1">
            <w:pPr>
              <w:wordWrap w:val="0"/>
              <w:spacing w:line="315" w:lineRule="exact"/>
              <w:ind w:firstLine="210" w:firstLineChars="100"/>
              <w:jc w:val="left"/>
            </w:pPr>
          </w:p>
        </w:tc>
        <w:tc>
          <w:tcPr>
            <w:tcW w:w="1605" w:type="dxa"/>
            <w:tcBorders>
              <w:top w:val="nil"/>
              <w:left w:val="nil"/>
              <w:bottom w:val="single" w:color="000000" w:sz="6" w:space="0"/>
              <w:right w:val="single" w:color="000000" w:sz="6" w:space="0"/>
            </w:tcBorders>
            <w:vAlign w:val="center"/>
          </w:tcPr>
          <w:p w14:paraId="4C6045CB">
            <w:pPr>
              <w:wordWrap w:val="0"/>
              <w:spacing w:line="315" w:lineRule="exact"/>
              <w:ind w:firstLine="210" w:firstLineChars="100"/>
              <w:jc w:val="left"/>
            </w:pPr>
          </w:p>
        </w:tc>
        <w:tc>
          <w:tcPr>
            <w:tcW w:w="2310" w:type="dxa"/>
            <w:tcBorders>
              <w:top w:val="nil"/>
              <w:left w:val="nil"/>
              <w:bottom w:val="single" w:color="000000" w:sz="6" w:space="0"/>
              <w:right w:val="single" w:color="000000" w:sz="6" w:space="0"/>
            </w:tcBorders>
            <w:vAlign w:val="center"/>
          </w:tcPr>
          <w:p w14:paraId="24625DEE">
            <w:pPr>
              <w:wordWrap w:val="0"/>
              <w:spacing w:line="315" w:lineRule="exact"/>
              <w:ind w:firstLine="210" w:firstLineChars="100"/>
              <w:jc w:val="center"/>
            </w:pPr>
          </w:p>
        </w:tc>
        <w:tc>
          <w:tcPr>
            <w:tcW w:w="945" w:type="dxa"/>
            <w:tcBorders>
              <w:top w:val="nil"/>
              <w:left w:val="nil"/>
              <w:bottom w:val="single" w:color="000000" w:sz="6" w:space="0"/>
              <w:right w:val="single" w:color="000000" w:sz="6" w:space="0"/>
            </w:tcBorders>
            <w:vAlign w:val="center"/>
          </w:tcPr>
          <w:p w14:paraId="6CBA3D7D">
            <w:pPr>
              <w:wordWrap w:val="0"/>
              <w:spacing w:line="315" w:lineRule="exact"/>
              <w:ind w:firstLine="210" w:firstLineChars="100"/>
              <w:jc w:val="left"/>
            </w:pPr>
          </w:p>
        </w:tc>
      </w:tr>
      <w:tr w14:paraId="19B6B2AA">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645" w:type="dxa"/>
            <w:tcBorders>
              <w:top w:val="nil"/>
              <w:left w:val="single" w:color="000000" w:sz="6" w:space="0"/>
              <w:bottom w:val="single" w:color="000000" w:sz="6" w:space="0"/>
              <w:right w:val="single" w:color="000000" w:sz="6" w:space="0"/>
            </w:tcBorders>
            <w:vAlign w:val="center"/>
          </w:tcPr>
          <w:p w14:paraId="0896D07B">
            <w:pPr>
              <w:wordWrap w:val="0"/>
              <w:spacing w:line="315" w:lineRule="exact"/>
              <w:jc w:val="center"/>
            </w:pPr>
            <w:r>
              <w:rPr>
                <w:rFonts w:ascii="宋体" w:hAnsi="宋体" w:eastAsia="宋体" w:cs="宋体"/>
                <w:color w:val="000000"/>
              </w:rPr>
              <w:t>4</w:t>
            </w:r>
          </w:p>
        </w:tc>
        <w:tc>
          <w:tcPr>
            <w:tcW w:w="1470" w:type="dxa"/>
            <w:tcBorders>
              <w:top w:val="nil"/>
              <w:left w:val="nil"/>
              <w:bottom w:val="single" w:color="000000" w:sz="6" w:space="0"/>
              <w:right w:val="single" w:color="000000" w:sz="6" w:space="0"/>
            </w:tcBorders>
            <w:vAlign w:val="center"/>
          </w:tcPr>
          <w:p w14:paraId="1CC8AB32">
            <w:pPr>
              <w:wordWrap w:val="0"/>
              <w:spacing w:line="315" w:lineRule="exact"/>
              <w:ind w:firstLine="210" w:firstLineChars="100"/>
              <w:jc w:val="left"/>
            </w:pPr>
          </w:p>
        </w:tc>
        <w:tc>
          <w:tcPr>
            <w:tcW w:w="2460" w:type="dxa"/>
            <w:tcBorders>
              <w:top w:val="nil"/>
              <w:left w:val="nil"/>
              <w:bottom w:val="single" w:color="000000" w:sz="6" w:space="0"/>
              <w:right w:val="single" w:color="000000" w:sz="6" w:space="0"/>
            </w:tcBorders>
            <w:vAlign w:val="center"/>
          </w:tcPr>
          <w:p w14:paraId="595C4C98">
            <w:pPr>
              <w:wordWrap w:val="0"/>
              <w:spacing w:line="315" w:lineRule="exact"/>
              <w:ind w:firstLine="210" w:firstLineChars="100"/>
              <w:jc w:val="left"/>
            </w:pPr>
          </w:p>
        </w:tc>
        <w:tc>
          <w:tcPr>
            <w:tcW w:w="1605" w:type="dxa"/>
            <w:tcBorders>
              <w:top w:val="nil"/>
              <w:left w:val="nil"/>
              <w:bottom w:val="single" w:color="000000" w:sz="6" w:space="0"/>
              <w:right w:val="single" w:color="000000" w:sz="6" w:space="0"/>
            </w:tcBorders>
            <w:vAlign w:val="center"/>
          </w:tcPr>
          <w:p w14:paraId="44F33C3C">
            <w:pPr>
              <w:wordWrap w:val="0"/>
              <w:spacing w:line="315" w:lineRule="exact"/>
              <w:ind w:firstLine="210" w:firstLineChars="100"/>
              <w:jc w:val="left"/>
            </w:pPr>
          </w:p>
        </w:tc>
        <w:tc>
          <w:tcPr>
            <w:tcW w:w="2310" w:type="dxa"/>
            <w:tcBorders>
              <w:top w:val="nil"/>
              <w:left w:val="nil"/>
              <w:bottom w:val="single" w:color="000000" w:sz="6" w:space="0"/>
              <w:right w:val="single" w:color="000000" w:sz="6" w:space="0"/>
            </w:tcBorders>
            <w:vAlign w:val="center"/>
          </w:tcPr>
          <w:p w14:paraId="425A9B8B">
            <w:pPr>
              <w:wordWrap w:val="0"/>
              <w:spacing w:line="315" w:lineRule="exact"/>
              <w:ind w:firstLine="210" w:firstLineChars="100"/>
              <w:jc w:val="center"/>
            </w:pPr>
          </w:p>
        </w:tc>
        <w:tc>
          <w:tcPr>
            <w:tcW w:w="945" w:type="dxa"/>
            <w:tcBorders>
              <w:top w:val="nil"/>
              <w:left w:val="nil"/>
              <w:bottom w:val="single" w:color="000000" w:sz="6" w:space="0"/>
              <w:right w:val="single" w:color="000000" w:sz="6" w:space="0"/>
            </w:tcBorders>
            <w:vAlign w:val="center"/>
          </w:tcPr>
          <w:p w14:paraId="290E03DB">
            <w:pPr>
              <w:wordWrap w:val="0"/>
              <w:spacing w:line="315" w:lineRule="exact"/>
              <w:ind w:firstLine="210" w:firstLineChars="100"/>
              <w:jc w:val="left"/>
            </w:pPr>
          </w:p>
        </w:tc>
      </w:tr>
      <w:tr w14:paraId="405629D0">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645" w:type="dxa"/>
            <w:tcBorders>
              <w:top w:val="nil"/>
              <w:left w:val="single" w:color="000000" w:sz="6" w:space="0"/>
              <w:bottom w:val="single" w:color="000000" w:sz="6" w:space="0"/>
              <w:right w:val="single" w:color="000000" w:sz="6" w:space="0"/>
            </w:tcBorders>
            <w:vAlign w:val="center"/>
          </w:tcPr>
          <w:p w14:paraId="10F0EFE3">
            <w:pPr>
              <w:wordWrap w:val="0"/>
              <w:spacing w:line="315" w:lineRule="exact"/>
              <w:jc w:val="center"/>
            </w:pPr>
            <w:r>
              <w:rPr>
                <w:rFonts w:ascii="宋体" w:hAnsi="宋体" w:eastAsia="宋体" w:cs="宋体"/>
                <w:color w:val="000000"/>
              </w:rPr>
              <w:t>5</w:t>
            </w:r>
          </w:p>
        </w:tc>
        <w:tc>
          <w:tcPr>
            <w:tcW w:w="1470" w:type="dxa"/>
            <w:tcBorders>
              <w:top w:val="nil"/>
              <w:left w:val="nil"/>
              <w:bottom w:val="single" w:color="000000" w:sz="6" w:space="0"/>
              <w:right w:val="single" w:color="000000" w:sz="6" w:space="0"/>
            </w:tcBorders>
            <w:vAlign w:val="center"/>
          </w:tcPr>
          <w:p w14:paraId="062F9FED">
            <w:pPr>
              <w:wordWrap w:val="0"/>
              <w:spacing w:line="315" w:lineRule="exact"/>
              <w:ind w:firstLine="210" w:firstLineChars="100"/>
              <w:jc w:val="left"/>
            </w:pPr>
          </w:p>
        </w:tc>
        <w:tc>
          <w:tcPr>
            <w:tcW w:w="2460" w:type="dxa"/>
            <w:tcBorders>
              <w:top w:val="nil"/>
              <w:left w:val="nil"/>
              <w:bottom w:val="single" w:color="000000" w:sz="6" w:space="0"/>
              <w:right w:val="single" w:color="000000" w:sz="6" w:space="0"/>
            </w:tcBorders>
            <w:vAlign w:val="center"/>
          </w:tcPr>
          <w:p w14:paraId="6C16ED02">
            <w:pPr>
              <w:wordWrap w:val="0"/>
              <w:spacing w:line="315" w:lineRule="exact"/>
              <w:ind w:firstLine="210" w:firstLineChars="100"/>
              <w:jc w:val="left"/>
            </w:pPr>
          </w:p>
        </w:tc>
        <w:tc>
          <w:tcPr>
            <w:tcW w:w="1605" w:type="dxa"/>
            <w:tcBorders>
              <w:top w:val="nil"/>
              <w:left w:val="nil"/>
              <w:bottom w:val="single" w:color="000000" w:sz="6" w:space="0"/>
              <w:right w:val="single" w:color="000000" w:sz="6" w:space="0"/>
            </w:tcBorders>
            <w:vAlign w:val="center"/>
          </w:tcPr>
          <w:p w14:paraId="468F627B">
            <w:pPr>
              <w:wordWrap w:val="0"/>
              <w:spacing w:line="315" w:lineRule="exact"/>
              <w:ind w:firstLine="210" w:firstLineChars="100"/>
              <w:jc w:val="left"/>
            </w:pPr>
          </w:p>
        </w:tc>
        <w:tc>
          <w:tcPr>
            <w:tcW w:w="2310" w:type="dxa"/>
            <w:tcBorders>
              <w:top w:val="nil"/>
              <w:left w:val="nil"/>
              <w:bottom w:val="single" w:color="000000" w:sz="6" w:space="0"/>
              <w:right w:val="single" w:color="000000" w:sz="6" w:space="0"/>
            </w:tcBorders>
            <w:vAlign w:val="center"/>
          </w:tcPr>
          <w:p w14:paraId="05C1F329">
            <w:pPr>
              <w:wordWrap w:val="0"/>
              <w:spacing w:line="315" w:lineRule="exact"/>
              <w:ind w:firstLine="210" w:firstLineChars="100"/>
              <w:jc w:val="center"/>
            </w:pPr>
          </w:p>
        </w:tc>
        <w:tc>
          <w:tcPr>
            <w:tcW w:w="945" w:type="dxa"/>
            <w:tcBorders>
              <w:top w:val="nil"/>
              <w:left w:val="nil"/>
              <w:bottom w:val="single" w:color="000000" w:sz="6" w:space="0"/>
              <w:right w:val="single" w:color="000000" w:sz="6" w:space="0"/>
            </w:tcBorders>
            <w:vAlign w:val="center"/>
          </w:tcPr>
          <w:p w14:paraId="7C9A23A3">
            <w:pPr>
              <w:wordWrap w:val="0"/>
              <w:spacing w:line="315" w:lineRule="exact"/>
              <w:ind w:firstLine="210" w:firstLineChars="100"/>
              <w:jc w:val="left"/>
            </w:pPr>
          </w:p>
        </w:tc>
      </w:tr>
      <w:tr w14:paraId="263E71C0">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645" w:type="dxa"/>
            <w:tcBorders>
              <w:top w:val="nil"/>
              <w:left w:val="single" w:color="000000" w:sz="6" w:space="0"/>
              <w:bottom w:val="single" w:color="000000" w:sz="6" w:space="0"/>
              <w:right w:val="single" w:color="000000" w:sz="6" w:space="0"/>
            </w:tcBorders>
            <w:vAlign w:val="center"/>
          </w:tcPr>
          <w:p w14:paraId="448EE54E">
            <w:pPr>
              <w:wordWrap w:val="0"/>
              <w:spacing w:line="315" w:lineRule="exact"/>
              <w:jc w:val="center"/>
            </w:pPr>
            <w:r>
              <w:rPr>
                <w:rFonts w:ascii="宋体" w:hAnsi="宋体" w:eastAsia="宋体" w:cs="宋体"/>
                <w:color w:val="000000"/>
              </w:rPr>
              <w:t>6</w:t>
            </w:r>
          </w:p>
        </w:tc>
        <w:tc>
          <w:tcPr>
            <w:tcW w:w="1470" w:type="dxa"/>
            <w:tcBorders>
              <w:top w:val="nil"/>
              <w:left w:val="nil"/>
              <w:bottom w:val="single" w:color="000000" w:sz="6" w:space="0"/>
              <w:right w:val="single" w:color="000000" w:sz="6" w:space="0"/>
            </w:tcBorders>
            <w:vAlign w:val="center"/>
          </w:tcPr>
          <w:p w14:paraId="38FFCBE2">
            <w:pPr>
              <w:wordWrap w:val="0"/>
              <w:spacing w:line="315" w:lineRule="exact"/>
              <w:ind w:firstLine="210" w:firstLineChars="100"/>
              <w:jc w:val="left"/>
            </w:pPr>
          </w:p>
        </w:tc>
        <w:tc>
          <w:tcPr>
            <w:tcW w:w="2460" w:type="dxa"/>
            <w:tcBorders>
              <w:top w:val="nil"/>
              <w:left w:val="nil"/>
              <w:bottom w:val="single" w:color="000000" w:sz="6" w:space="0"/>
              <w:right w:val="single" w:color="000000" w:sz="6" w:space="0"/>
            </w:tcBorders>
            <w:vAlign w:val="center"/>
          </w:tcPr>
          <w:p w14:paraId="483D822E">
            <w:pPr>
              <w:wordWrap w:val="0"/>
              <w:spacing w:line="315" w:lineRule="exact"/>
              <w:ind w:firstLine="210" w:firstLineChars="100"/>
              <w:jc w:val="left"/>
            </w:pPr>
          </w:p>
        </w:tc>
        <w:tc>
          <w:tcPr>
            <w:tcW w:w="1605" w:type="dxa"/>
            <w:tcBorders>
              <w:top w:val="nil"/>
              <w:left w:val="nil"/>
              <w:bottom w:val="single" w:color="000000" w:sz="6" w:space="0"/>
              <w:right w:val="single" w:color="000000" w:sz="6" w:space="0"/>
            </w:tcBorders>
            <w:vAlign w:val="center"/>
          </w:tcPr>
          <w:p w14:paraId="7AB7F9D2">
            <w:pPr>
              <w:wordWrap w:val="0"/>
              <w:spacing w:line="315" w:lineRule="exact"/>
              <w:ind w:firstLine="210" w:firstLineChars="100"/>
              <w:jc w:val="left"/>
            </w:pPr>
            <w:r>
              <w:rPr>
                <w:rFonts w:ascii="宋体" w:hAnsi="宋体" w:eastAsia="宋体" w:cs="宋体"/>
                <w:color w:val="000000"/>
              </w:rPr>
              <w:t> </w:t>
            </w:r>
          </w:p>
        </w:tc>
        <w:tc>
          <w:tcPr>
            <w:tcW w:w="2310" w:type="dxa"/>
            <w:tcBorders>
              <w:top w:val="nil"/>
              <w:left w:val="nil"/>
              <w:bottom w:val="single" w:color="000000" w:sz="6" w:space="0"/>
              <w:right w:val="single" w:color="000000" w:sz="6" w:space="0"/>
            </w:tcBorders>
            <w:vAlign w:val="center"/>
          </w:tcPr>
          <w:p w14:paraId="7EF7E8B1">
            <w:pPr>
              <w:wordWrap w:val="0"/>
              <w:spacing w:line="315" w:lineRule="exact"/>
              <w:ind w:firstLine="210" w:firstLineChars="100"/>
              <w:jc w:val="center"/>
            </w:pPr>
          </w:p>
        </w:tc>
        <w:tc>
          <w:tcPr>
            <w:tcW w:w="945" w:type="dxa"/>
            <w:tcBorders>
              <w:top w:val="nil"/>
              <w:left w:val="nil"/>
              <w:bottom w:val="single" w:color="000000" w:sz="6" w:space="0"/>
              <w:right w:val="single" w:color="000000" w:sz="6" w:space="0"/>
            </w:tcBorders>
            <w:vAlign w:val="center"/>
          </w:tcPr>
          <w:p w14:paraId="07A6D4CD">
            <w:pPr>
              <w:wordWrap w:val="0"/>
              <w:spacing w:line="315" w:lineRule="exact"/>
              <w:ind w:firstLine="210" w:firstLineChars="100"/>
              <w:jc w:val="left"/>
            </w:pPr>
          </w:p>
        </w:tc>
      </w:tr>
      <w:tr w14:paraId="2F938F7F">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645" w:type="dxa"/>
            <w:tcBorders>
              <w:top w:val="nil"/>
              <w:left w:val="single" w:color="000000" w:sz="6" w:space="0"/>
              <w:bottom w:val="single" w:color="000000" w:sz="6" w:space="0"/>
              <w:right w:val="single" w:color="000000" w:sz="6" w:space="0"/>
            </w:tcBorders>
            <w:vAlign w:val="center"/>
          </w:tcPr>
          <w:p w14:paraId="449E8BD8">
            <w:pPr>
              <w:wordWrap w:val="0"/>
              <w:spacing w:line="315" w:lineRule="exact"/>
              <w:jc w:val="center"/>
            </w:pPr>
            <w:r>
              <w:rPr>
                <w:rFonts w:ascii="宋体" w:hAnsi="宋体" w:eastAsia="宋体" w:cs="宋体"/>
                <w:color w:val="000000"/>
              </w:rPr>
              <w:t>7</w:t>
            </w:r>
          </w:p>
        </w:tc>
        <w:tc>
          <w:tcPr>
            <w:tcW w:w="1470" w:type="dxa"/>
            <w:tcBorders>
              <w:top w:val="nil"/>
              <w:left w:val="nil"/>
              <w:bottom w:val="single" w:color="000000" w:sz="6" w:space="0"/>
              <w:right w:val="single" w:color="000000" w:sz="6" w:space="0"/>
            </w:tcBorders>
            <w:vAlign w:val="center"/>
          </w:tcPr>
          <w:p w14:paraId="1167C70C">
            <w:pPr>
              <w:wordWrap w:val="0"/>
              <w:spacing w:line="315" w:lineRule="exact"/>
              <w:ind w:firstLine="210" w:firstLineChars="100"/>
              <w:jc w:val="left"/>
            </w:pPr>
          </w:p>
        </w:tc>
        <w:tc>
          <w:tcPr>
            <w:tcW w:w="2460" w:type="dxa"/>
            <w:tcBorders>
              <w:top w:val="nil"/>
              <w:left w:val="nil"/>
              <w:bottom w:val="single" w:color="000000" w:sz="6" w:space="0"/>
              <w:right w:val="single" w:color="000000" w:sz="6" w:space="0"/>
            </w:tcBorders>
            <w:vAlign w:val="center"/>
          </w:tcPr>
          <w:p w14:paraId="554BC836">
            <w:pPr>
              <w:wordWrap w:val="0"/>
              <w:spacing w:line="315" w:lineRule="exact"/>
              <w:ind w:firstLine="210" w:firstLineChars="100"/>
              <w:jc w:val="left"/>
            </w:pPr>
          </w:p>
        </w:tc>
        <w:tc>
          <w:tcPr>
            <w:tcW w:w="1605" w:type="dxa"/>
            <w:tcBorders>
              <w:top w:val="nil"/>
              <w:left w:val="nil"/>
              <w:bottom w:val="single" w:color="000000" w:sz="6" w:space="0"/>
              <w:right w:val="single" w:color="000000" w:sz="6" w:space="0"/>
            </w:tcBorders>
            <w:vAlign w:val="center"/>
          </w:tcPr>
          <w:p w14:paraId="574CA9F0">
            <w:pPr>
              <w:wordWrap w:val="0"/>
              <w:spacing w:line="315" w:lineRule="exact"/>
              <w:ind w:firstLine="210" w:firstLineChars="100"/>
              <w:jc w:val="left"/>
            </w:pPr>
          </w:p>
        </w:tc>
        <w:tc>
          <w:tcPr>
            <w:tcW w:w="2310" w:type="dxa"/>
            <w:tcBorders>
              <w:top w:val="nil"/>
              <w:left w:val="nil"/>
              <w:bottom w:val="single" w:color="000000" w:sz="6" w:space="0"/>
              <w:right w:val="single" w:color="000000" w:sz="6" w:space="0"/>
            </w:tcBorders>
            <w:vAlign w:val="center"/>
          </w:tcPr>
          <w:p w14:paraId="332052BA">
            <w:pPr>
              <w:wordWrap w:val="0"/>
              <w:spacing w:line="315" w:lineRule="exact"/>
              <w:ind w:firstLine="210" w:firstLineChars="100"/>
              <w:jc w:val="center"/>
            </w:pPr>
          </w:p>
        </w:tc>
        <w:tc>
          <w:tcPr>
            <w:tcW w:w="945" w:type="dxa"/>
            <w:tcBorders>
              <w:top w:val="nil"/>
              <w:left w:val="nil"/>
              <w:bottom w:val="single" w:color="000000" w:sz="6" w:space="0"/>
              <w:right w:val="single" w:color="000000" w:sz="6" w:space="0"/>
            </w:tcBorders>
            <w:vAlign w:val="center"/>
          </w:tcPr>
          <w:p w14:paraId="7A126AAE">
            <w:pPr>
              <w:wordWrap w:val="0"/>
              <w:spacing w:line="315" w:lineRule="exact"/>
              <w:ind w:firstLine="210" w:firstLineChars="100"/>
              <w:jc w:val="left"/>
            </w:pPr>
          </w:p>
        </w:tc>
      </w:tr>
      <w:tr w14:paraId="5150C853">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645" w:type="dxa"/>
            <w:tcBorders>
              <w:top w:val="nil"/>
              <w:left w:val="single" w:color="000000" w:sz="6" w:space="0"/>
              <w:bottom w:val="single" w:color="000000" w:sz="6" w:space="0"/>
              <w:right w:val="single" w:color="000000" w:sz="6" w:space="0"/>
            </w:tcBorders>
            <w:vAlign w:val="center"/>
          </w:tcPr>
          <w:p w14:paraId="4AF4BF65">
            <w:pPr>
              <w:wordWrap w:val="0"/>
              <w:spacing w:line="315" w:lineRule="exact"/>
              <w:jc w:val="center"/>
            </w:pPr>
            <w:r>
              <w:rPr>
                <w:rFonts w:ascii="宋体" w:hAnsi="宋体" w:eastAsia="宋体" w:cs="宋体"/>
                <w:color w:val="000000"/>
              </w:rPr>
              <w:t>8</w:t>
            </w:r>
          </w:p>
        </w:tc>
        <w:tc>
          <w:tcPr>
            <w:tcW w:w="1470" w:type="dxa"/>
            <w:tcBorders>
              <w:top w:val="nil"/>
              <w:left w:val="nil"/>
              <w:bottom w:val="single" w:color="000000" w:sz="6" w:space="0"/>
              <w:right w:val="single" w:color="000000" w:sz="6" w:space="0"/>
            </w:tcBorders>
            <w:vAlign w:val="center"/>
          </w:tcPr>
          <w:p w14:paraId="2A5F71BD">
            <w:pPr>
              <w:wordWrap w:val="0"/>
              <w:spacing w:line="315" w:lineRule="exact"/>
              <w:ind w:firstLine="210" w:firstLineChars="100"/>
              <w:jc w:val="left"/>
            </w:pPr>
          </w:p>
        </w:tc>
        <w:tc>
          <w:tcPr>
            <w:tcW w:w="2460" w:type="dxa"/>
            <w:tcBorders>
              <w:top w:val="nil"/>
              <w:left w:val="nil"/>
              <w:bottom w:val="single" w:color="000000" w:sz="6" w:space="0"/>
              <w:right w:val="single" w:color="000000" w:sz="6" w:space="0"/>
            </w:tcBorders>
            <w:vAlign w:val="center"/>
          </w:tcPr>
          <w:p w14:paraId="2A9B36A7">
            <w:pPr>
              <w:wordWrap w:val="0"/>
              <w:spacing w:line="315" w:lineRule="exact"/>
              <w:ind w:firstLine="210" w:firstLineChars="100"/>
              <w:jc w:val="left"/>
            </w:pPr>
          </w:p>
        </w:tc>
        <w:tc>
          <w:tcPr>
            <w:tcW w:w="1605" w:type="dxa"/>
            <w:tcBorders>
              <w:top w:val="nil"/>
              <w:left w:val="nil"/>
              <w:bottom w:val="single" w:color="000000" w:sz="6" w:space="0"/>
              <w:right w:val="single" w:color="000000" w:sz="6" w:space="0"/>
            </w:tcBorders>
            <w:vAlign w:val="center"/>
          </w:tcPr>
          <w:p w14:paraId="1F8C7A17">
            <w:pPr>
              <w:wordWrap w:val="0"/>
              <w:spacing w:line="315" w:lineRule="exact"/>
              <w:ind w:firstLine="210" w:firstLineChars="100"/>
              <w:jc w:val="left"/>
            </w:pPr>
          </w:p>
        </w:tc>
        <w:tc>
          <w:tcPr>
            <w:tcW w:w="2310" w:type="dxa"/>
            <w:tcBorders>
              <w:top w:val="nil"/>
              <w:left w:val="nil"/>
              <w:bottom w:val="single" w:color="000000" w:sz="6" w:space="0"/>
              <w:right w:val="single" w:color="000000" w:sz="6" w:space="0"/>
            </w:tcBorders>
            <w:vAlign w:val="center"/>
          </w:tcPr>
          <w:p w14:paraId="6B347A87">
            <w:pPr>
              <w:wordWrap w:val="0"/>
              <w:spacing w:line="315" w:lineRule="exact"/>
              <w:ind w:firstLine="210" w:firstLineChars="100"/>
              <w:jc w:val="center"/>
            </w:pPr>
          </w:p>
        </w:tc>
        <w:tc>
          <w:tcPr>
            <w:tcW w:w="945" w:type="dxa"/>
            <w:tcBorders>
              <w:top w:val="nil"/>
              <w:left w:val="nil"/>
              <w:bottom w:val="single" w:color="000000" w:sz="6" w:space="0"/>
              <w:right w:val="single" w:color="000000" w:sz="6" w:space="0"/>
            </w:tcBorders>
            <w:vAlign w:val="center"/>
          </w:tcPr>
          <w:p w14:paraId="574D7365">
            <w:pPr>
              <w:wordWrap w:val="0"/>
              <w:spacing w:line="315" w:lineRule="exact"/>
              <w:ind w:firstLine="210" w:firstLineChars="100"/>
              <w:jc w:val="left"/>
            </w:pPr>
          </w:p>
        </w:tc>
      </w:tr>
      <w:tr w14:paraId="6AABF3A8">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9450" w:type="dxa"/>
            <w:gridSpan w:val="6"/>
            <w:tcBorders>
              <w:top w:val="nil"/>
              <w:left w:val="nil"/>
              <w:bottom w:val="nil"/>
              <w:right w:val="nil"/>
            </w:tcBorders>
            <w:vAlign w:val="center"/>
          </w:tcPr>
          <w:p w14:paraId="232201CE">
            <w:pPr>
              <w:wordWrap w:val="0"/>
              <w:spacing w:line="315" w:lineRule="exact"/>
              <w:ind w:firstLine="210" w:firstLineChars="100"/>
              <w:jc w:val="left"/>
            </w:pPr>
          </w:p>
        </w:tc>
      </w:tr>
    </w:tbl>
    <w:p w14:paraId="61AF5A3B">
      <w:pPr>
        <w:wordWrap w:val="0"/>
        <w:spacing w:line="360" w:lineRule="exact"/>
        <w:ind w:firstLine="210" w:firstLineChars="100"/>
        <w:jc w:val="left"/>
      </w:pPr>
    </w:p>
    <w:p w14:paraId="1F258059">
      <w:pPr>
        <w:wordWrap w:val="0"/>
        <w:spacing w:line="360" w:lineRule="exact"/>
        <w:jc w:val="left"/>
      </w:pPr>
      <w:r>
        <w:rPr>
          <w:rFonts w:ascii="宋体" w:hAnsi="宋体" w:eastAsia="宋体" w:cs="宋体"/>
          <w:color w:val="000000"/>
          <w:sz w:val="24"/>
        </w:rPr>
        <w:t>附件21：</w:t>
      </w:r>
    </w:p>
    <w:p w14:paraId="7CB993EB">
      <w:pPr>
        <w:wordWrap w:val="0"/>
        <w:spacing w:line="360" w:lineRule="exact"/>
        <w:jc w:val="center"/>
      </w:pPr>
      <w:r>
        <w:rPr>
          <w:rFonts w:ascii="宋体" w:hAnsi="宋体" w:eastAsia="宋体" w:cs="宋体"/>
          <w:b/>
          <w:color w:val="000000"/>
          <w:sz w:val="24"/>
        </w:rPr>
        <w:t>南京财经大学后勤基建处外协单位办公用房管理办法(试行)</w:t>
      </w:r>
    </w:p>
    <w:p w14:paraId="766CAA69">
      <w:pPr>
        <w:wordWrap w:val="0"/>
        <w:spacing w:line="360" w:lineRule="exact"/>
        <w:jc w:val="center"/>
      </w:pPr>
      <w:r>
        <w:rPr>
          <w:rFonts w:ascii="宋体" w:hAnsi="宋体" w:eastAsia="宋体" w:cs="宋体"/>
          <w:color w:val="000000"/>
          <w:sz w:val="24"/>
        </w:rPr>
        <w:t>第一章  总则</w:t>
      </w:r>
    </w:p>
    <w:p w14:paraId="41D26AB7">
      <w:pPr>
        <w:wordWrap w:val="0"/>
        <w:spacing w:line="360" w:lineRule="exact"/>
        <w:jc w:val="left"/>
      </w:pPr>
      <w:r>
        <w:rPr>
          <w:rFonts w:ascii="宋体" w:hAnsi="宋体" w:eastAsia="宋体" w:cs="宋体"/>
          <w:color w:val="000000"/>
          <w:sz w:val="24"/>
        </w:rPr>
        <w:t>第一条 为加强后勤基建处外协单位办公用房管理，规范使用审批和日常安全管理，根据《南京财经大学公用房管理办法》(南财大校字〔2021〕50 号),特制定本办法。</w:t>
      </w:r>
    </w:p>
    <w:p w14:paraId="4054CFF6">
      <w:pPr>
        <w:wordWrap w:val="0"/>
        <w:spacing w:line="360" w:lineRule="exact"/>
        <w:jc w:val="left"/>
      </w:pPr>
      <w:r>
        <w:rPr>
          <w:rFonts w:ascii="宋体" w:hAnsi="宋体" w:eastAsia="宋体" w:cs="宋体"/>
          <w:color w:val="000000"/>
          <w:sz w:val="24"/>
        </w:rPr>
        <w:t>第二条 本办法所指办公用房，是指根据实际工作需要，后勤基建处利用现有办公用房资源，无偿为外协单位提供驻点办公使用的场所，并仅限用作办公室、会议室、储藏室、资料室，档案室、公共值班室、设备用房等，严禁作为员工宿舍和食堂，不得从事经营性活动。</w:t>
      </w:r>
    </w:p>
    <w:p w14:paraId="10BAF646">
      <w:pPr>
        <w:wordWrap w:val="0"/>
        <w:spacing w:line="360" w:lineRule="exact"/>
        <w:jc w:val="center"/>
      </w:pPr>
      <w:r>
        <w:rPr>
          <w:rFonts w:ascii="宋体" w:hAnsi="宋体" w:eastAsia="宋体" w:cs="宋体"/>
          <w:color w:val="000000"/>
          <w:sz w:val="24"/>
        </w:rPr>
        <w:t>第二章  管理职责</w:t>
      </w:r>
    </w:p>
    <w:p w14:paraId="6F86901A">
      <w:pPr>
        <w:wordWrap w:val="0"/>
        <w:spacing w:line="360" w:lineRule="exact"/>
        <w:jc w:val="left"/>
      </w:pPr>
      <w:r>
        <w:rPr>
          <w:rFonts w:ascii="宋体" w:hAnsi="宋体" w:eastAsia="宋体" w:cs="宋体"/>
          <w:color w:val="000000"/>
          <w:sz w:val="24"/>
        </w:rPr>
        <w:t>第三条 后勤基建处公用房管理工作小组负责外协单位办公用房配置、管理和重大事项的决策。</w:t>
      </w:r>
    </w:p>
    <w:p w14:paraId="185329E3">
      <w:pPr>
        <w:wordWrap w:val="0"/>
        <w:spacing w:line="360" w:lineRule="exact"/>
        <w:jc w:val="left"/>
      </w:pPr>
      <w:r>
        <w:rPr>
          <w:rFonts w:ascii="宋体" w:hAnsi="宋体" w:eastAsia="宋体" w:cs="宋体"/>
          <w:color w:val="000000"/>
          <w:sz w:val="24"/>
        </w:rPr>
        <w:t>第四条 后勤基建处综合管理科作为学校二级单位办公用房管理的部门，代表后勤基建处对外协单位办公用房建立台账，进行配置以及监督管理。</w:t>
      </w:r>
    </w:p>
    <w:p w14:paraId="497AA76E">
      <w:pPr>
        <w:wordWrap w:val="0"/>
        <w:spacing w:line="360" w:lineRule="exact"/>
        <w:jc w:val="left"/>
      </w:pPr>
      <w:r>
        <w:rPr>
          <w:rFonts w:ascii="宋体" w:hAnsi="宋体" w:eastAsia="宋体" w:cs="宋体"/>
          <w:color w:val="000000"/>
          <w:sz w:val="24"/>
        </w:rPr>
        <w:t>第五条 后勤基建处各科室根据工作职能，加强对外协单位办公用房的管理与监督。工程管理科负责建筑物定期安全检查和维修；能源管理科负责水电管理，定期开展用电安全巡查；物业管理科负责公共区域的环境卫生管理。</w:t>
      </w:r>
    </w:p>
    <w:p w14:paraId="0176091F">
      <w:pPr>
        <w:wordWrap w:val="0"/>
        <w:spacing w:line="360" w:lineRule="exact"/>
        <w:jc w:val="left"/>
      </w:pPr>
      <w:r>
        <w:rPr>
          <w:rFonts w:ascii="宋体" w:hAnsi="宋体" w:eastAsia="宋体" w:cs="宋体"/>
          <w:color w:val="000000"/>
          <w:sz w:val="24"/>
        </w:rPr>
        <w:t>第六条 各使用科室、部门及所属外协单位负责办公用房的日常管理，包括环境卫生、安全管理、定期巡查等工作，并承担相应的安全责任。</w:t>
      </w:r>
    </w:p>
    <w:p w14:paraId="28489BCB">
      <w:pPr>
        <w:wordWrap w:val="0"/>
        <w:spacing w:line="360" w:lineRule="exact"/>
        <w:jc w:val="center"/>
      </w:pPr>
      <w:r>
        <w:rPr>
          <w:rFonts w:ascii="宋体" w:hAnsi="宋体" w:eastAsia="宋体" w:cs="宋体"/>
          <w:color w:val="000000"/>
          <w:sz w:val="24"/>
        </w:rPr>
        <w:t>第三章  配置管理</w:t>
      </w:r>
    </w:p>
    <w:p w14:paraId="048D70B3">
      <w:pPr>
        <w:wordWrap w:val="0"/>
        <w:spacing w:line="360" w:lineRule="exact"/>
        <w:jc w:val="left"/>
      </w:pPr>
      <w:r>
        <w:rPr>
          <w:rFonts w:ascii="宋体" w:hAnsi="宋体" w:eastAsia="宋体" w:cs="宋体"/>
          <w:color w:val="000000"/>
          <w:sz w:val="24"/>
        </w:rPr>
        <w:t>第七条 外协单位办公用房的使用必须经过申请和审批，申请单位为外协单位的主管科室或部门。</w:t>
      </w:r>
    </w:p>
    <w:p w14:paraId="4129399D">
      <w:pPr>
        <w:wordWrap w:val="0"/>
        <w:spacing w:line="360" w:lineRule="exact"/>
        <w:jc w:val="left"/>
      </w:pPr>
      <w:r>
        <w:rPr>
          <w:rFonts w:ascii="宋体" w:hAnsi="宋体" w:eastAsia="宋体" w:cs="宋体"/>
          <w:color w:val="000000"/>
          <w:sz w:val="24"/>
        </w:rPr>
        <w:t>第八条 申请科室或部门需提交《外协单位办公用房申请表》(见附件)。经后勤基建处审批同意后，方可入驻和使用。综合管理科建立申请及使用台账，每年组织1-2次定期、不定期检查或抽查。</w:t>
      </w:r>
    </w:p>
    <w:p w14:paraId="65940F2B">
      <w:pPr>
        <w:wordWrap w:val="0"/>
        <w:spacing w:line="360" w:lineRule="exact"/>
        <w:jc w:val="left"/>
      </w:pPr>
      <w:r>
        <w:rPr>
          <w:rFonts w:ascii="宋体" w:hAnsi="宋体" w:eastAsia="宋体" w:cs="宋体"/>
          <w:color w:val="000000"/>
          <w:sz w:val="24"/>
        </w:rPr>
        <w:t>第九条 因外协单位合同到期、离校或发生变更，使用科室或部门需在一个月内将原有办公用房腾退，并移交给后勤基建处综合管理科，或重新进行申请。</w:t>
      </w:r>
    </w:p>
    <w:p w14:paraId="7C16BF95">
      <w:pPr>
        <w:wordWrap w:val="0"/>
        <w:spacing w:line="360" w:lineRule="exact"/>
        <w:jc w:val="left"/>
      </w:pPr>
      <w:r>
        <w:rPr>
          <w:rFonts w:ascii="宋体" w:hAnsi="宋体" w:eastAsia="宋体" w:cs="宋体"/>
          <w:color w:val="000000"/>
          <w:sz w:val="24"/>
        </w:rPr>
        <w:t>第十条 任何科室、部门和个人未经同意，不得擅自占用、调换和外借办公用房，不得私自转手出租，不得私自拆除或改建。违反上述规定的，将对相关人员和负责人进行追责。</w:t>
      </w:r>
    </w:p>
    <w:p w14:paraId="0FC0A49A">
      <w:pPr>
        <w:wordWrap w:val="0"/>
        <w:spacing w:line="360" w:lineRule="exact"/>
        <w:jc w:val="center"/>
      </w:pPr>
      <w:r>
        <w:rPr>
          <w:rFonts w:ascii="宋体" w:hAnsi="宋体" w:eastAsia="宋体" w:cs="宋体"/>
          <w:color w:val="000000"/>
          <w:sz w:val="24"/>
        </w:rPr>
        <w:t>第四章  使用管理</w:t>
      </w:r>
    </w:p>
    <w:p w14:paraId="6C7769F4">
      <w:pPr>
        <w:wordWrap w:val="0"/>
        <w:spacing w:line="360" w:lineRule="exact"/>
        <w:jc w:val="left"/>
      </w:pPr>
      <w:r>
        <w:rPr>
          <w:rFonts w:ascii="宋体" w:hAnsi="宋体" w:eastAsia="宋体" w:cs="宋体"/>
          <w:color w:val="000000"/>
          <w:sz w:val="24"/>
        </w:rPr>
        <w:t>第十一条 办公用房使用实行安全责任追究制，按照“谁使用，谁负责”的原则，发生安全事故，视具体情况进行严肃处理，重大问题将追究其经济和刑事责任。</w:t>
      </w:r>
    </w:p>
    <w:p w14:paraId="3C28B6D1">
      <w:pPr>
        <w:wordWrap w:val="0"/>
        <w:spacing w:line="360" w:lineRule="exact"/>
        <w:jc w:val="left"/>
      </w:pPr>
      <w:r>
        <w:rPr>
          <w:rFonts w:ascii="宋体" w:hAnsi="宋体" w:eastAsia="宋体" w:cs="宋体"/>
          <w:color w:val="000000"/>
          <w:sz w:val="24"/>
        </w:rPr>
        <w:t>第十二条 各使用科室及外协单位及要自觉遵守学校各项安全管理规定，做好用电、防火、防盗为重点的安全工作，不私拉 乱接电线，不点蚊香、蜡烛照明，不生火做饭，严禁使用电磁炉等大功率电器，严防事故发生。</w:t>
      </w:r>
    </w:p>
    <w:p w14:paraId="00FA4F77">
      <w:pPr>
        <w:wordWrap w:val="0"/>
        <w:spacing w:line="360" w:lineRule="exact"/>
        <w:jc w:val="left"/>
      </w:pPr>
      <w:r>
        <w:rPr>
          <w:rFonts w:ascii="宋体" w:hAnsi="宋体" w:eastAsia="宋体" w:cs="宋体"/>
          <w:color w:val="000000"/>
          <w:sz w:val="24"/>
        </w:rPr>
        <w:t>第十三条 各使用科室及外协单位要定期开展安全检查，查找并排除潜在安全隐患，及时发现并制止不安全活动或行为，对任何潜在隐患和不符合安全规定的事项必须立即整改。</w:t>
      </w:r>
    </w:p>
    <w:p w14:paraId="1DC72C0C">
      <w:pPr>
        <w:wordWrap w:val="0"/>
        <w:spacing w:line="360" w:lineRule="exact"/>
        <w:jc w:val="left"/>
      </w:pPr>
      <w:r>
        <w:rPr>
          <w:rFonts w:ascii="宋体" w:hAnsi="宋体" w:eastAsia="宋体" w:cs="宋体"/>
          <w:color w:val="000000"/>
          <w:sz w:val="24"/>
        </w:rPr>
        <w:t>第十四条 后勤基建处综合管理科会同有关科室，定期对外协单位办公用房进行专项联合监督检查，及时发现和纠正违规问题，并按规定移交给有关科室整改。</w:t>
      </w:r>
    </w:p>
    <w:p w14:paraId="7CF19B74">
      <w:pPr>
        <w:wordWrap w:val="0"/>
        <w:spacing w:line="360" w:lineRule="exact"/>
        <w:jc w:val="center"/>
      </w:pPr>
      <w:r>
        <w:rPr>
          <w:rFonts w:ascii="宋体" w:hAnsi="宋体" w:eastAsia="宋体" w:cs="宋体"/>
          <w:color w:val="000000"/>
          <w:sz w:val="24"/>
        </w:rPr>
        <w:t>第五章  附则</w:t>
      </w:r>
    </w:p>
    <w:p w14:paraId="5BE5A757">
      <w:pPr>
        <w:wordWrap w:val="0"/>
        <w:spacing w:line="360" w:lineRule="exact"/>
        <w:jc w:val="left"/>
      </w:pPr>
      <w:r>
        <w:rPr>
          <w:rFonts w:ascii="宋体" w:hAnsi="宋体" w:eastAsia="宋体" w:cs="宋体"/>
          <w:color w:val="000000"/>
          <w:sz w:val="24"/>
        </w:rPr>
        <w:t>第十五条 本办法由后勤基建处负责解释，自印发之日起执行。</w:t>
      </w:r>
    </w:p>
    <w:p w14:paraId="14518FF2">
      <w:pPr>
        <w:wordWrap w:val="0"/>
        <w:spacing w:line="360" w:lineRule="exact"/>
        <w:ind w:firstLine="210" w:firstLineChars="100"/>
        <w:jc w:val="left"/>
      </w:pPr>
    </w:p>
    <w:p w14:paraId="180BFA81">
      <w:pPr>
        <w:wordWrap w:val="0"/>
        <w:spacing w:line="360" w:lineRule="exact"/>
        <w:jc w:val="left"/>
      </w:pPr>
      <w:r>
        <w:rPr>
          <w:rFonts w:ascii="宋体" w:hAnsi="宋体" w:eastAsia="宋体" w:cs="宋体"/>
          <w:color w:val="000000"/>
          <w:sz w:val="24"/>
        </w:rPr>
        <w:t>附件：外协单位办公用房申请表</w:t>
      </w:r>
    </w:p>
    <w:p w14:paraId="1E95D433">
      <w:pPr>
        <w:wordWrap w:val="0"/>
        <w:spacing w:line="360" w:lineRule="exact"/>
        <w:jc w:val="right"/>
      </w:pPr>
      <w:r>
        <w:rPr>
          <w:rFonts w:ascii="宋体" w:hAnsi="宋体" w:eastAsia="宋体" w:cs="宋体"/>
          <w:color w:val="000000"/>
          <w:sz w:val="24"/>
        </w:rPr>
        <w:t>后勤基建处</w:t>
      </w:r>
    </w:p>
    <w:p w14:paraId="74FA57E1">
      <w:pPr>
        <w:wordWrap w:val="0"/>
        <w:spacing w:line="360" w:lineRule="exact"/>
        <w:jc w:val="right"/>
      </w:pPr>
      <w:r>
        <w:rPr>
          <w:rFonts w:ascii="宋体" w:hAnsi="宋体" w:eastAsia="宋体" w:cs="宋体"/>
          <w:color w:val="000000"/>
          <w:sz w:val="24"/>
        </w:rPr>
        <w:t>2023年12月1日</w:t>
      </w:r>
    </w:p>
    <w:p w14:paraId="430A4B26">
      <w:pPr>
        <w:wordWrap w:val="0"/>
        <w:spacing w:line="360" w:lineRule="exact"/>
        <w:jc w:val="left"/>
      </w:pPr>
      <w:r>
        <w:rPr>
          <w:rFonts w:ascii="宋体" w:hAnsi="宋体" w:eastAsia="宋体" w:cs="宋体"/>
          <w:color w:val="000000"/>
          <w:sz w:val="24"/>
        </w:rPr>
        <w:t>附 件 ：</w:t>
      </w:r>
    </w:p>
    <w:p w14:paraId="7CF1C6BE">
      <w:pPr>
        <w:wordWrap w:val="0"/>
        <w:spacing w:line="360" w:lineRule="exact"/>
        <w:jc w:val="center"/>
      </w:pPr>
      <w:r>
        <w:rPr>
          <w:rFonts w:ascii="宋体" w:hAnsi="宋体" w:eastAsia="宋体" w:cs="宋体"/>
          <w:color w:val="000000"/>
          <w:sz w:val="24"/>
        </w:rPr>
        <w:t>外协单位办公用房申请表</w:t>
      </w:r>
    </w:p>
    <w:tbl>
      <w:tblPr>
        <w:tblStyle w:val="5"/>
        <w:tblW w:w="9585" w:type="dxa"/>
        <w:jc w:val="center"/>
        <w:tblBorders>
          <w:top w:val="none" w:color="auto" w:sz="0" w:space="0"/>
          <w:left w:val="none" w:color="auto" w:sz="0" w:space="0"/>
          <w:bottom w:val="none" w:color="auto" w:sz="0" w:space="0"/>
          <w:right w:val="none" w:color="auto" w:sz="0" w:space="0"/>
          <w:insideH w:val="single" w:color="auto" w:sz="0" w:space="0"/>
          <w:insideV w:val="single" w:color="auto" w:sz="0" w:space="0"/>
        </w:tblBorders>
        <w:tblLayout w:type="autofit"/>
        <w:tblCellMar>
          <w:top w:w="0" w:type="dxa"/>
          <w:left w:w="10" w:type="dxa"/>
          <w:bottom w:w="0" w:type="dxa"/>
          <w:right w:w="10" w:type="dxa"/>
        </w:tblCellMar>
      </w:tblPr>
      <w:tblGrid>
        <w:gridCol w:w="1826"/>
        <w:gridCol w:w="2693"/>
        <w:gridCol w:w="1567"/>
        <w:gridCol w:w="3499"/>
      </w:tblGrid>
      <w:tr w14:paraId="01665CDA">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1800" w:type="dxa"/>
            <w:tcBorders>
              <w:top w:val="single" w:color="000000" w:sz="6" w:space="0"/>
              <w:left w:val="single" w:color="000000" w:sz="6" w:space="0"/>
              <w:bottom w:val="single" w:color="000000" w:sz="6" w:space="0"/>
              <w:right w:val="single" w:color="000000" w:sz="6" w:space="0"/>
            </w:tcBorders>
          </w:tcPr>
          <w:p w14:paraId="62627456">
            <w:pPr>
              <w:wordWrap w:val="0"/>
              <w:spacing w:line="315" w:lineRule="exact"/>
              <w:jc w:val="center"/>
            </w:pPr>
            <w:r>
              <w:rPr>
                <w:rFonts w:ascii="宋体" w:hAnsi="宋体" w:eastAsia="宋体" w:cs="宋体"/>
                <w:color w:val="000000"/>
              </w:rPr>
              <w:t>申请科室</w:t>
            </w:r>
          </w:p>
          <w:p w14:paraId="7615F742">
            <w:pPr>
              <w:wordWrap w:val="0"/>
              <w:spacing w:line="315" w:lineRule="exact"/>
              <w:jc w:val="center"/>
            </w:pPr>
            <w:r>
              <w:rPr>
                <w:rFonts w:ascii="宋体" w:hAnsi="宋体" w:eastAsia="宋体" w:cs="宋体"/>
                <w:color w:val="000000"/>
              </w:rPr>
              <w:t>(部门)</w:t>
            </w:r>
          </w:p>
        </w:tc>
        <w:tc>
          <w:tcPr>
            <w:tcW w:w="2655" w:type="dxa"/>
            <w:tcBorders>
              <w:top w:val="single" w:color="000000" w:sz="6" w:space="0"/>
              <w:left w:val="nil"/>
              <w:bottom w:val="single" w:color="000000" w:sz="6" w:space="0"/>
              <w:right w:val="single" w:color="000000" w:sz="6" w:space="0"/>
            </w:tcBorders>
          </w:tcPr>
          <w:p w14:paraId="43BB8E05">
            <w:pPr>
              <w:wordWrap w:val="0"/>
              <w:spacing w:line="315" w:lineRule="exact"/>
              <w:ind w:firstLine="210" w:firstLineChars="100"/>
              <w:jc w:val="left"/>
            </w:pPr>
          </w:p>
        </w:tc>
        <w:tc>
          <w:tcPr>
            <w:tcW w:w="1545" w:type="dxa"/>
            <w:tcBorders>
              <w:top w:val="single" w:color="000000" w:sz="6" w:space="0"/>
              <w:left w:val="nil"/>
              <w:bottom w:val="single" w:color="000000" w:sz="6" w:space="0"/>
              <w:right w:val="single" w:color="000000" w:sz="6" w:space="0"/>
            </w:tcBorders>
          </w:tcPr>
          <w:p w14:paraId="0D443727">
            <w:pPr>
              <w:wordWrap w:val="0"/>
              <w:spacing w:line="315" w:lineRule="exact"/>
              <w:jc w:val="left"/>
            </w:pPr>
            <w:r>
              <w:rPr>
                <w:rFonts w:ascii="宋体" w:hAnsi="宋体" w:eastAsia="宋体" w:cs="宋体"/>
                <w:color w:val="000000"/>
              </w:rPr>
              <w:t>外协单位</w:t>
            </w:r>
          </w:p>
        </w:tc>
        <w:tc>
          <w:tcPr>
            <w:tcW w:w="3435" w:type="dxa"/>
            <w:tcBorders>
              <w:top w:val="single" w:color="000000" w:sz="6" w:space="0"/>
              <w:left w:val="nil"/>
              <w:bottom w:val="single" w:color="000000" w:sz="6" w:space="0"/>
              <w:right w:val="single" w:color="000000" w:sz="6" w:space="0"/>
            </w:tcBorders>
          </w:tcPr>
          <w:p w14:paraId="0D0484C6">
            <w:pPr>
              <w:wordWrap w:val="0"/>
              <w:spacing w:line="315" w:lineRule="exact"/>
              <w:ind w:firstLine="210" w:firstLineChars="100"/>
              <w:jc w:val="left"/>
            </w:pPr>
          </w:p>
        </w:tc>
      </w:tr>
      <w:tr w14:paraId="0C9DA1A6">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1800" w:type="dxa"/>
            <w:tcBorders>
              <w:top w:val="nil"/>
              <w:left w:val="single" w:color="000000" w:sz="6" w:space="0"/>
              <w:bottom w:val="single" w:color="000000" w:sz="6" w:space="0"/>
              <w:right w:val="single" w:color="000000" w:sz="6" w:space="0"/>
            </w:tcBorders>
          </w:tcPr>
          <w:p w14:paraId="4F04BE28">
            <w:pPr>
              <w:wordWrap w:val="0"/>
              <w:spacing w:line="315" w:lineRule="exact"/>
              <w:jc w:val="center"/>
            </w:pPr>
            <w:r>
              <w:rPr>
                <w:rFonts w:ascii="宋体" w:hAnsi="宋体" w:eastAsia="宋体" w:cs="宋体"/>
                <w:color w:val="000000"/>
              </w:rPr>
              <w:t>申请理由</w:t>
            </w:r>
          </w:p>
        </w:tc>
        <w:tc>
          <w:tcPr>
            <w:tcW w:w="7650" w:type="dxa"/>
            <w:gridSpan w:val="3"/>
            <w:tcBorders>
              <w:top w:val="nil"/>
              <w:left w:val="nil"/>
              <w:bottom w:val="single" w:color="000000" w:sz="6" w:space="0"/>
              <w:right w:val="single" w:color="000000" w:sz="6" w:space="0"/>
            </w:tcBorders>
          </w:tcPr>
          <w:p w14:paraId="03FFEFC2">
            <w:pPr>
              <w:wordWrap w:val="0"/>
              <w:spacing w:line="315" w:lineRule="exact"/>
              <w:ind w:firstLine="210" w:firstLineChars="100"/>
              <w:jc w:val="left"/>
            </w:pPr>
          </w:p>
        </w:tc>
      </w:tr>
      <w:tr w14:paraId="4EE9F0B4">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1800" w:type="dxa"/>
            <w:tcBorders>
              <w:top w:val="nil"/>
              <w:left w:val="single" w:color="000000" w:sz="6" w:space="0"/>
              <w:bottom w:val="single" w:color="000000" w:sz="6" w:space="0"/>
              <w:right w:val="single" w:color="000000" w:sz="6" w:space="0"/>
            </w:tcBorders>
          </w:tcPr>
          <w:p w14:paraId="164F0B50">
            <w:pPr>
              <w:wordWrap w:val="0"/>
              <w:spacing w:line="315" w:lineRule="exact"/>
              <w:jc w:val="center"/>
            </w:pPr>
            <w:r>
              <w:rPr>
                <w:rFonts w:ascii="宋体" w:hAnsi="宋体" w:eastAsia="宋体" w:cs="宋体"/>
                <w:color w:val="000000"/>
              </w:rPr>
              <w:t>具体用途说明</w:t>
            </w:r>
          </w:p>
        </w:tc>
        <w:tc>
          <w:tcPr>
            <w:tcW w:w="7650" w:type="dxa"/>
            <w:gridSpan w:val="3"/>
            <w:tcBorders>
              <w:top w:val="nil"/>
              <w:left w:val="nil"/>
              <w:bottom w:val="single" w:color="000000" w:sz="6" w:space="0"/>
              <w:right w:val="single" w:color="000000" w:sz="6" w:space="0"/>
            </w:tcBorders>
          </w:tcPr>
          <w:p w14:paraId="7171C3C4">
            <w:pPr>
              <w:wordWrap w:val="0"/>
              <w:spacing w:line="315" w:lineRule="exact"/>
              <w:jc w:val="left"/>
            </w:pPr>
            <w:r>
              <w:rPr>
                <w:rFonts w:ascii="宋体" w:hAnsi="宋体" w:eastAsia="宋体" w:cs="宋体"/>
                <w:color w:val="000000"/>
              </w:rPr>
              <w:t>1.仙林校区；位于 楼；房间号为、、  :使用人为、、  :用于</w:t>
            </w:r>
          </w:p>
          <w:p w14:paraId="34702FE3">
            <w:pPr>
              <w:wordWrap w:val="0"/>
              <w:spacing w:line="315" w:lineRule="exact"/>
              <w:jc w:val="left"/>
            </w:pPr>
            <w:r>
              <w:rPr>
                <w:rFonts w:ascii="宋体" w:hAnsi="宋体" w:eastAsia="宋体" w:cs="宋体"/>
                <w:color w:val="000000"/>
              </w:rPr>
              <w:t>2.福建路校区，位于  楼：房间号为、、、:使用人为、、  :用于</w:t>
            </w:r>
          </w:p>
        </w:tc>
      </w:tr>
      <w:tr w14:paraId="1924D64D">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1800" w:type="dxa"/>
            <w:tcBorders>
              <w:top w:val="nil"/>
              <w:left w:val="single" w:color="000000" w:sz="6" w:space="0"/>
              <w:bottom w:val="single" w:color="000000" w:sz="6" w:space="0"/>
              <w:right w:val="single" w:color="000000" w:sz="6" w:space="0"/>
            </w:tcBorders>
          </w:tcPr>
          <w:p w14:paraId="7FC4100A">
            <w:pPr>
              <w:wordWrap w:val="0"/>
              <w:spacing w:line="315" w:lineRule="exact"/>
              <w:jc w:val="center"/>
            </w:pPr>
            <w:r>
              <w:rPr>
                <w:rFonts w:ascii="宋体" w:hAnsi="宋体" w:eastAsia="宋体" w:cs="宋体"/>
                <w:color w:val="000000"/>
              </w:rPr>
              <w:t>使用起止</w:t>
            </w:r>
          </w:p>
          <w:p w14:paraId="1FA849FE">
            <w:pPr>
              <w:wordWrap w:val="0"/>
              <w:spacing w:line="315" w:lineRule="exact"/>
              <w:jc w:val="center"/>
            </w:pPr>
            <w:r>
              <w:rPr>
                <w:rFonts w:ascii="宋体" w:hAnsi="宋体" w:eastAsia="宋体" w:cs="宋体"/>
                <w:color w:val="000000"/>
              </w:rPr>
              <w:t>时间</w:t>
            </w:r>
          </w:p>
        </w:tc>
        <w:tc>
          <w:tcPr>
            <w:tcW w:w="7650" w:type="dxa"/>
            <w:gridSpan w:val="3"/>
            <w:tcBorders>
              <w:top w:val="nil"/>
              <w:left w:val="nil"/>
              <w:bottom w:val="single" w:color="000000" w:sz="6" w:space="0"/>
              <w:right w:val="single" w:color="000000" w:sz="6" w:space="0"/>
            </w:tcBorders>
          </w:tcPr>
          <w:p w14:paraId="162B6094">
            <w:pPr>
              <w:wordWrap w:val="0"/>
              <w:spacing w:line="315" w:lineRule="exact"/>
              <w:jc w:val="left"/>
            </w:pPr>
            <w:r>
              <w:rPr>
                <w:rFonts w:ascii="宋体" w:hAnsi="宋体" w:eastAsia="宋体" w:cs="宋体"/>
                <w:color w:val="000000"/>
              </w:rPr>
              <w:t>年  月     日 至     年   月    日</w:t>
            </w:r>
          </w:p>
        </w:tc>
      </w:tr>
      <w:tr w14:paraId="4E626B01">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1800" w:type="dxa"/>
            <w:tcBorders>
              <w:top w:val="nil"/>
              <w:left w:val="single" w:color="000000" w:sz="6" w:space="0"/>
              <w:bottom w:val="single" w:color="000000" w:sz="6" w:space="0"/>
              <w:right w:val="single" w:color="000000" w:sz="6" w:space="0"/>
            </w:tcBorders>
          </w:tcPr>
          <w:p w14:paraId="353DF4DB">
            <w:pPr>
              <w:wordWrap w:val="0"/>
              <w:spacing w:line="315" w:lineRule="exact"/>
              <w:jc w:val="center"/>
            </w:pPr>
            <w:r>
              <w:rPr>
                <w:rFonts w:ascii="宋体" w:hAnsi="宋体" w:eastAsia="宋体" w:cs="宋体"/>
                <w:color w:val="000000"/>
              </w:rPr>
              <w:t>申请科室(部门)负责人审批意见</w:t>
            </w:r>
          </w:p>
        </w:tc>
        <w:tc>
          <w:tcPr>
            <w:tcW w:w="7650" w:type="dxa"/>
            <w:gridSpan w:val="3"/>
            <w:tcBorders>
              <w:top w:val="nil"/>
              <w:left w:val="nil"/>
              <w:bottom w:val="single" w:color="000000" w:sz="6" w:space="0"/>
              <w:right w:val="single" w:color="000000" w:sz="6" w:space="0"/>
            </w:tcBorders>
          </w:tcPr>
          <w:p w14:paraId="24E747D5">
            <w:pPr>
              <w:wordWrap w:val="0"/>
              <w:spacing w:line="315" w:lineRule="exact"/>
              <w:ind w:firstLine="210" w:firstLineChars="100"/>
              <w:jc w:val="left"/>
            </w:pPr>
          </w:p>
          <w:p w14:paraId="57BB7ACA">
            <w:pPr>
              <w:wordWrap w:val="0"/>
              <w:spacing w:line="315" w:lineRule="exact"/>
              <w:jc w:val="left"/>
            </w:pPr>
            <w:r>
              <w:rPr>
                <w:rFonts w:ascii="宋体" w:hAnsi="宋体" w:eastAsia="宋体" w:cs="宋体"/>
                <w:color w:val="000000"/>
              </w:rPr>
              <w:t>签名(章):              年  月    日</w:t>
            </w:r>
          </w:p>
        </w:tc>
      </w:tr>
      <w:tr w14:paraId="2E3AF18A">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1800" w:type="dxa"/>
            <w:tcBorders>
              <w:top w:val="nil"/>
              <w:left w:val="single" w:color="000000" w:sz="6" w:space="0"/>
              <w:bottom w:val="single" w:color="000000" w:sz="6" w:space="0"/>
              <w:right w:val="single" w:color="000000" w:sz="6" w:space="0"/>
            </w:tcBorders>
          </w:tcPr>
          <w:p w14:paraId="30AFD41D">
            <w:pPr>
              <w:wordWrap w:val="0"/>
              <w:spacing w:line="315" w:lineRule="exact"/>
              <w:ind w:firstLine="210" w:firstLineChars="100"/>
              <w:jc w:val="center"/>
            </w:pPr>
          </w:p>
          <w:p w14:paraId="646932B3">
            <w:pPr>
              <w:wordWrap w:val="0"/>
              <w:spacing w:line="315" w:lineRule="exact"/>
              <w:jc w:val="center"/>
            </w:pPr>
            <w:r>
              <w:rPr>
                <w:rFonts w:ascii="宋体" w:hAnsi="宋体" w:eastAsia="宋体" w:cs="宋体"/>
                <w:color w:val="000000"/>
              </w:rPr>
              <w:t>申请承诺</w:t>
            </w:r>
          </w:p>
        </w:tc>
        <w:tc>
          <w:tcPr>
            <w:tcW w:w="7650" w:type="dxa"/>
            <w:gridSpan w:val="3"/>
            <w:tcBorders>
              <w:top w:val="nil"/>
              <w:left w:val="nil"/>
              <w:bottom w:val="single" w:color="000000" w:sz="6" w:space="0"/>
              <w:right w:val="single" w:color="000000" w:sz="6" w:space="0"/>
            </w:tcBorders>
          </w:tcPr>
          <w:p w14:paraId="32CAF8E3">
            <w:pPr>
              <w:wordWrap w:val="0"/>
              <w:spacing w:line="315" w:lineRule="exact"/>
              <w:ind w:firstLine="210" w:firstLineChars="100"/>
              <w:jc w:val="left"/>
            </w:pPr>
          </w:p>
          <w:p w14:paraId="2FBAD99C">
            <w:pPr>
              <w:wordWrap w:val="0"/>
              <w:spacing w:line="315" w:lineRule="exact"/>
              <w:jc w:val="left"/>
            </w:pPr>
            <w:r>
              <w:rPr>
                <w:rFonts w:ascii="宋体" w:hAnsi="宋体" w:eastAsia="宋体" w:cs="宋体"/>
                <w:color w:val="000000"/>
              </w:rPr>
              <w:t>我科室(部门)已经认真阅读《南京财经大学后勤基建处外协单位 办公用房管理办法(试行)》,承诺严格遵守以上外协单位办公用  房管理规定，积极配合各项管理工作，承担用房责任。</w:t>
            </w:r>
          </w:p>
        </w:tc>
      </w:tr>
      <w:tr w14:paraId="40592A0D">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1800" w:type="dxa"/>
            <w:tcBorders>
              <w:top w:val="nil"/>
              <w:left w:val="single" w:color="000000" w:sz="6" w:space="0"/>
              <w:bottom w:val="single" w:color="000000" w:sz="6" w:space="0"/>
              <w:right w:val="single" w:color="000000" w:sz="6" w:space="0"/>
            </w:tcBorders>
          </w:tcPr>
          <w:p w14:paraId="265119FE">
            <w:pPr>
              <w:wordWrap w:val="0"/>
              <w:spacing w:line="315" w:lineRule="exact"/>
              <w:jc w:val="center"/>
            </w:pPr>
            <w:r>
              <w:rPr>
                <w:rFonts w:ascii="宋体" w:hAnsi="宋体" w:eastAsia="宋体" w:cs="宋体"/>
                <w:color w:val="000000"/>
              </w:rPr>
              <w:t>综合管理科处理意见</w:t>
            </w:r>
          </w:p>
        </w:tc>
        <w:tc>
          <w:tcPr>
            <w:tcW w:w="7650" w:type="dxa"/>
            <w:gridSpan w:val="3"/>
            <w:tcBorders>
              <w:top w:val="nil"/>
              <w:left w:val="nil"/>
              <w:bottom w:val="single" w:color="000000" w:sz="6" w:space="0"/>
              <w:right w:val="single" w:color="000000" w:sz="6" w:space="0"/>
            </w:tcBorders>
          </w:tcPr>
          <w:p w14:paraId="105EFD78">
            <w:pPr>
              <w:wordWrap w:val="0"/>
              <w:spacing w:line="315" w:lineRule="exact"/>
              <w:ind w:firstLine="210" w:firstLineChars="100"/>
              <w:jc w:val="left"/>
            </w:pPr>
          </w:p>
          <w:p w14:paraId="272E900E">
            <w:pPr>
              <w:wordWrap w:val="0"/>
              <w:spacing w:line="315" w:lineRule="exact"/>
              <w:jc w:val="left"/>
            </w:pPr>
            <w:r>
              <w:rPr>
                <w:rFonts w:ascii="宋体" w:hAnsi="宋体" w:eastAsia="宋体" w:cs="宋体"/>
                <w:color w:val="000000"/>
              </w:rPr>
              <w:t>签名(章):              年  月    日</w:t>
            </w:r>
          </w:p>
        </w:tc>
      </w:tr>
      <w:tr w14:paraId="06A9FEAF">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1800" w:type="dxa"/>
            <w:tcBorders>
              <w:top w:val="nil"/>
              <w:left w:val="single" w:color="000000" w:sz="6" w:space="0"/>
              <w:bottom w:val="single" w:color="000000" w:sz="6" w:space="0"/>
              <w:right w:val="single" w:color="000000" w:sz="6" w:space="0"/>
            </w:tcBorders>
          </w:tcPr>
          <w:p w14:paraId="37AEFAB5">
            <w:pPr>
              <w:wordWrap w:val="0"/>
              <w:spacing w:line="315" w:lineRule="exact"/>
              <w:jc w:val="center"/>
            </w:pPr>
            <w:r>
              <w:rPr>
                <w:rFonts w:ascii="宋体" w:hAnsi="宋体" w:eastAsia="宋体" w:cs="宋体"/>
                <w:color w:val="000000"/>
              </w:rPr>
              <w:t>处分管领导审批意见</w:t>
            </w:r>
          </w:p>
        </w:tc>
        <w:tc>
          <w:tcPr>
            <w:tcW w:w="7650" w:type="dxa"/>
            <w:gridSpan w:val="3"/>
            <w:tcBorders>
              <w:top w:val="nil"/>
              <w:left w:val="nil"/>
              <w:bottom w:val="single" w:color="000000" w:sz="6" w:space="0"/>
              <w:right w:val="single" w:color="000000" w:sz="6" w:space="0"/>
            </w:tcBorders>
          </w:tcPr>
          <w:p w14:paraId="4ED4BE41">
            <w:pPr>
              <w:wordWrap w:val="0"/>
              <w:spacing w:line="315" w:lineRule="exact"/>
              <w:ind w:firstLine="210" w:firstLineChars="100"/>
              <w:jc w:val="left"/>
            </w:pPr>
          </w:p>
          <w:p w14:paraId="5293AEE9">
            <w:pPr>
              <w:wordWrap w:val="0"/>
              <w:spacing w:line="315" w:lineRule="exact"/>
              <w:jc w:val="left"/>
            </w:pPr>
            <w:r>
              <w:rPr>
                <w:rFonts w:ascii="宋体" w:hAnsi="宋体" w:eastAsia="宋体" w:cs="宋体"/>
                <w:color w:val="000000"/>
              </w:rPr>
              <w:t>签名(章):              年  月  日</w:t>
            </w:r>
          </w:p>
        </w:tc>
      </w:tr>
      <w:tr w14:paraId="1590CE99">
        <w:tblPrEx>
          <w:tblBorders>
            <w:top w:val="none" w:color="auto" w:sz="0" w:space="0"/>
            <w:left w:val="none" w:color="auto" w:sz="0" w:space="0"/>
            <w:bottom w:val="none" w:color="auto" w:sz="0" w:space="0"/>
            <w:right w:val="none" w:color="auto" w:sz="0" w:space="0"/>
            <w:insideH w:val="single" w:color="auto" w:sz="0" w:space="0"/>
            <w:insideV w:val="single" w:color="auto" w:sz="0" w:space="0"/>
          </w:tblBorders>
          <w:tblCellMar>
            <w:top w:w="0" w:type="dxa"/>
            <w:left w:w="10" w:type="dxa"/>
            <w:bottom w:w="0" w:type="dxa"/>
            <w:right w:w="10" w:type="dxa"/>
          </w:tblCellMar>
        </w:tblPrEx>
        <w:trPr>
          <w:trHeight w:val="300" w:hRule="atLeast"/>
          <w:jc w:val="center"/>
        </w:trPr>
        <w:tc>
          <w:tcPr>
            <w:tcW w:w="1800" w:type="dxa"/>
            <w:tcBorders>
              <w:top w:val="nil"/>
              <w:left w:val="single" w:color="000000" w:sz="6" w:space="0"/>
              <w:bottom w:val="single" w:color="000000" w:sz="6" w:space="0"/>
              <w:right w:val="single" w:color="000000" w:sz="6" w:space="0"/>
            </w:tcBorders>
          </w:tcPr>
          <w:p w14:paraId="429C317A">
            <w:pPr>
              <w:wordWrap w:val="0"/>
              <w:spacing w:line="315" w:lineRule="exact"/>
              <w:jc w:val="center"/>
            </w:pPr>
            <w:r>
              <w:rPr>
                <w:rFonts w:ascii="宋体" w:hAnsi="宋体" w:eastAsia="宋体" w:cs="宋体"/>
                <w:color w:val="000000"/>
              </w:rPr>
              <w:t>处主要领导审批意见</w:t>
            </w:r>
          </w:p>
        </w:tc>
        <w:tc>
          <w:tcPr>
            <w:tcW w:w="7650" w:type="dxa"/>
            <w:gridSpan w:val="3"/>
            <w:tcBorders>
              <w:top w:val="nil"/>
              <w:left w:val="nil"/>
              <w:bottom w:val="single" w:color="000000" w:sz="6" w:space="0"/>
              <w:right w:val="single" w:color="000000" w:sz="6" w:space="0"/>
            </w:tcBorders>
          </w:tcPr>
          <w:p w14:paraId="7D22EE1B">
            <w:pPr>
              <w:wordWrap w:val="0"/>
              <w:spacing w:line="315" w:lineRule="exact"/>
              <w:ind w:firstLine="210" w:firstLineChars="100"/>
              <w:jc w:val="left"/>
            </w:pPr>
          </w:p>
          <w:p w14:paraId="40158B61">
            <w:pPr>
              <w:wordWrap w:val="0"/>
              <w:spacing w:line="315" w:lineRule="exact"/>
              <w:jc w:val="left"/>
            </w:pPr>
            <w:r>
              <w:rPr>
                <w:rFonts w:ascii="宋体" w:hAnsi="宋体" w:eastAsia="宋体" w:cs="宋体"/>
                <w:color w:val="000000"/>
              </w:rPr>
              <w:t>签名(章):              年  月    日</w:t>
            </w:r>
          </w:p>
        </w:tc>
      </w:tr>
    </w:tbl>
    <w:p w14:paraId="6F528C8F">
      <w:pPr>
        <w:wordWrap w:val="0"/>
        <w:spacing w:line="360" w:lineRule="exact"/>
        <w:ind w:firstLine="210" w:firstLineChars="100"/>
        <w:jc w:val="left"/>
      </w:pPr>
    </w:p>
    <w:p w14:paraId="4CE74701">
      <w:pPr>
        <w:wordWrap w:val="0"/>
        <w:spacing w:line="360" w:lineRule="exact"/>
        <w:ind w:firstLine="210" w:firstLineChars="100"/>
        <w:jc w:val="left"/>
      </w:pPr>
    </w:p>
    <w:p w14:paraId="5F9BD158">
      <w:pPr>
        <w:wordWrap w:val="0"/>
        <w:spacing w:line="360" w:lineRule="exact"/>
        <w:ind w:firstLine="210" w:firstLineChars="100"/>
        <w:jc w:val="left"/>
      </w:pPr>
    </w:p>
    <w:p w14:paraId="77BB10F4">
      <w:pPr>
        <w:wordWrap w:val="0"/>
        <w:spacing w:line="360" w:lineRule="exact"/>
        <w:ind w:firstLine="210" w:firstLineChars="100"/>
        <w:jc w:val="left"/>
      </w:pPr>
    </w:p>
    <w:p w14:paraId="5E8667BC">
      <w:pPr>
        <w:wordWrap w:val="0"/>
        <w:spacing w:line="360" w:lineRule="exact"/>
        <w:ind w:firstLine="210" w:firstLineChars="100"/>
        <w:jc w:val="left"/>
      </w:pPr>
    </w:p>
    <w:p w14:paraId="65468451">
      <w:pPr>
        <w:wordWrap w:val="0"/>
        <w:spacing w:line="360" w:lineRule="exact"/>
        <w:ind w:firstLine="210" w:firstLineChars="100"/>
        <w:jc w:val="left"/>
      </w:pPr>
    </w:p>
    <w:p w14:paraId="5D4EFC47">
      <w:pPr>
        <w:wordWrap w:val="0"/>
        <w:spacing w:line="360" w:lineRule="exact"/>
        <w:ind w:firstLine="210" w:firstLineChars="100"/>
        <w:jc w:val="left"/>
      </w:pPr>
    </w:p>
    <w:p w14:paraId="3A311C5D">
      <w:pPr>
        <w:wordWrap w:val="0"/>
        <w:spacing w:line="360" w:lineRule="exact"/>
        <w:ind w:firstLine="210" w:firstLineChars="100"/>
        <w:jc w:val="left"/>
      </w:pPr>
    </w:p>
    <w:p w14:paraId="0919FD32">
      <w:pPr>
        <w:wordWrap w:val="0"/>
        <w:spacing w:line="360" w:lineRule="exact"/>
        <w:ind w:firstLine="210" w:firstLineChars="100"/>
        <w:jc w:val="left"/>
      </w:pPr>
    </w:p>
    <w:p w14:paraId="45131FBC">
      <w:pPr>
        <w:wordWrap w:val="0"/>
        <w:spacing w:line="360" w:lineRule="exact"/>
        <w:ind w:firstLine="210" w:firstLineChars="100"/>
        <w:jc w:val="left"/>
      </w:pPr>
    </w:p>
    <w:p w14:paraId="09B54E76">
      <w:pPr>
        <w:wordWrap w:val="0"/>
        <w:spacing w:line="360" w:lineRule="exact"/>
        <w:ind w:firstLine="210" w:firstLineChars="100"/>
        <w:jc w:val="left"/>
      </w:pPr>
    </w:p>
    <w:p w14:paraId="0B8FAC35">
      <w:pPr>
        <w:wordWrap w:val="0"/>
        <w:spacing w:line="360" w:lineRule="exact"/>
        <w:ind w:firstLine="210" w:firstLineChars="100"/>
        <w:jc w:val="left"/>
      </w:pPr>
    </w:p>
    <w:p w14:paraId="21CE2E98">
      <w:pPr>
        <w:wordWrap w:val="0"/>
        <w:spacing w:line="360" w:lineRule="exact"/>
        <w:ind w:firstLine="210" w:firstLineChars="100"/>
        <w:jc w:val="left"/>
      </w:pPr>
    </w:p>
    <w:p w14:paraId="15196FE3">
      <w:pPr>
        <w:wordWrap w:val="0"/>
        <w:spacing w:line="427" w:lineRule="exact"/>
        <w:jc w:val="left"/>
        <w:rPr>
          <w:rFonts w:ascii="仿宋" w:hAnsi="仿宋" w:eastAsia="仿宋" w:cs="仿宋"/>
          <w:b/>
          <w:color w:val="000000"/>
          <w:sz w:val="28"/>
        </w:rPr>
      </w:pPr>
    </w:p>
    <w:p w14:paraId="6EE396C9">
      <w:pPr>
        <w:wordWrap w:val="0"/>
        <w:spacing w:line="427" w:lineRule="exact"/>
        <w:jc w:val="left"/>
        <w:rPr>
          <w:rFonts w:ascii="仿宋" w:hAnsi="仿宋" w:eastAsia="仿宋" w:cs="仿宋"/>
          <w:b/>
          <w:color w:val="000000"/>
          <w:sz w:val="28"/>
        </w:rPr>
      </w:pPr>
    </w:p>
    <w:p w14:paraId="306F1BBE">
      <w:pPr>
        <w:wordWrap w:val="0"/>
        <w:spacing w:line="427" w:lineRule="exact"/>
        <w:jc w:val="left"/>
        <w:rPr>
          <w:rFonts w:ascii="仿宋" w:hAnsi="仿宋" w:eastAsia="仿宋" w:cs="仿宋"/>
          <w:b/>
          <w:color w:val="000000"/>
          <w:sz w:val="28"/>
        </w:rPr>
      </w:pPr>
    </w:p>
    <w:p w14:paraId="33ABD467">
      <w:pPr>
        <w:wordWrap w:val="0"/>
        <w:spacing w:line="427" w:lineRule="exact"/>
        <w:jc w:val="left"/>
        <w:rPr>
          <w:rFonts w:ascii="仿宋" w:hAnsi="仿宋" w:eastAsia="仿宋" w:cs="仿宋"/>
          <w:b/>
          <w:color w:val="000000"/>
          <w:sz w:val="28"/>
        </w:rPr>
      </w:pPr>
    </w:p>
    <w:p w14:paraId="4550F782">
      <w:pPr>
        <w:wordWrap w:val="0"/>
        <w:spacing w:line="427" w:lineRule="exact"/>
        <w:jc w:val="left"/>
        <w:rPr>
          <w:rFonts w:ascii="仿宋" w:hAnsi="仿宋" w:eastAsia="仿宋" w:cs="仿宋"/>
          <w:b/>
          <w:color w:val="000000"/>
          <w:sz w:val="28"/>
        </w:rPr>
      </w:pPr>
    </w:p>
    <w:p w14:paraId="1DB61F0D">
      <w:pPr>
        <w:wordWrap w:val="0"/>
        <w:spacing w:line="427" w:lineRule="exact"/>
        <w:jc w:val="left"/>
        <w:rPr>
          <w:rFonts w:ascii="仿宋" w:hAnsi="仿宋" w:eastAsia="仿宋" w:cs="仿宋"/>
          <w:b/>
          <w:color w:val="000000"/>
          <w:sz w:val="28"/>
        </w:rPr>
      </w:pPr>
    </w:p>
    <w:p w14:paraId="4218E742">
      <w:pPr>
        <w:wordWrap w:val="0"/>
        <w:spacing w:line="427" w:lineRule="exact"/>
        <w:jc w:val="left"/>
        <w:rPr>
          <w:rFonts w:ascii="仿宋" w:hAnsi="仿宋" w:eastAsia="仿宋" w:cs="仿宋"/>
          <w:b/>
          <w:color w:val="000000"/>
          <w:sz w:val="28"/>
        </w:rPr>
      </w:pPr>
    </w:p>
    <w:p w14:paraId="5F451850">
      <w:pPr>
        <w:wordWrap w:val="0"/>
        <w:spacing w:line="427" w:lineRule="exact"/>
        <w:jc w:val="left"/>
        <w:rPr>
          <w:rFonts w:ascii="仿宋" w:hAnsi="仿宋" w:eastAsia="仿宋" w:cs="仿宋"/>
          <w:b/>
          <w:color w:val="000000"/>
          <w:sz w:val="28"/>
        </w:rPr>
      </w:pPr>
    </w:p>
    <w:p w14:paraId="6F8B57FE">
      <w:pPr>
        <w:wordWrap w:val="0"/>
        <w:spacing w:line="427" w:lineRule="exact"/>
        <w:jc w:val="left"/>
        <w:rPr>
          <w:rFonts w:ascii="仿宋" w:hAnsi="仿宋" w:eastAsia="仿宋" w:cs="仿宋"/>
          <w:b/>
          <w:color w:val="000000"/>
          <w:sz w:val="28"/>
        </w:rPr>
      </w:pPr>
    </w:p>
    <w:p w14:paraId="21E51F02">
      <w:pPr>
        <w:wordWrap w:val="0"/>
        <w:spacing w:line="427" w:lineRule="exact"/>
        <w:jc w:val="left"/>
        <w:rPr>
          <w:rFonts w:ascii="仿宋" w:hAnsi="仿宋" w:eastAsia="仿宋" w:cs="仿宋"/>
          <w:b/>
          <w:color w:val="000000"/>
          <w:sz w:val="28"/>
        </w:rPr>
      </w:pPr>
    </w:p>
    <w:p w14:paraId="35928C1E">
      <w:pPr>
        <w:wordWrap w:val="0"/>
        <w:spacing w:line="427" w:lineRule="exact"/>
        <w:jc w:val="left"/>
        <w:rPr>
          <w:rFonts w:ascii="仿宋" w:hAnsi="仿宋" w:eastAsia="仿宋" w:cs="仿宋"/>
          <w:b/>
          <w:color w:val="000000"/>
          <w:sz w:val="28"/>
        </w:rPr>
      </w:pPr>
    </w:p>
    <w:p w14:paraId="7DDE3FAD">
      <w:pPr>
        <w:wordWrap w:val="0"/>
        <w:spacing w:line="427" w:lineRule="exact"/>
        <w:jc w:val="left"/>
      </w:pPr>
      <w:r>
        <w:rPr>
          <w:rFonts w:ascii="仿宋" w:hAnsi="仿宋" w:eastAsia="仿宋" w:cs="仿宋"/>
          <w:b/>
          <w:color w:val="000000"/>
          <w:sz w:val="28"/>
        </w:rPr>
        <w:t>附件22:仙林校区门前三包范围示意图</w:t>
      </w:r>
    </w:p>
    <w:p w14:paraId="6B37816E">
      <w:pPr>
        <w:rPr>
          <w:rFonts w:hint="eastAsia" w:ascii="仿宋" w:hAnsi="仿宋" w:eastAsia="仿宋" w:cs="仿宋"/>
          <w:sz w:val="24"/>
          <w:szCs w:val="24"/>
          <w:lang w:eastAsia="zh-Hans"/>
        </w:rPr>
      </w:pPr>
      <w:r>
        <w:rPr>
          <w:rFonts w:hint="eastAsia" w:ascii="仿宋" w:hAnsi="仿宋" w:eastAsia="仿宋" w:cs="仿宋"/>
          <w:sz w:val="24"/>
          <w:szCs w:val="24"/>
          <w:lang w:eastAsia="zh-Hans"/>
        </w:rPr>
        <w:t>1、</w:t>
      </w:r>
      <w:r>
        <w:rPr>
          <w:rFonts w:hint="eastAsia" w:ascii="仿宋" w:hAnsi="仿宋" w:eastAsia="仿宋" w:cs="仿宋"/>
          <w:sz w:val="24"/>
          <w:szCs w:val="24"/>
          <w:lang w:val="en-US" w:eastAsia="zh-Hans"/>
        </w:rPr>
        <w:t>学生公寓门前三包范围</w:t>
      </w:r>
      <w:r>
        <w:rPr>
          <w:rFonts w:hint="eastAsia" w:ascii="仿宋" w:hAnsi="仿宋" w:eastAsia="仿宋" w:cs="仿宋"/>
          <w:sz w:val="24"/>
          <w:szCs w:val="24"/>
          <w:lang w:eastAsia="zh-Hans"/>
        </w:rPr>
        <w:t>：</w:t>
      </w:r>
    </w:p>
    <w:p w14:paraId="3D9D07F8">
      <w:pPr>
        <w:rPr>
          <w:rFonts w:hint="eastAsia" w:ascii="仿宋" w:hAnsi="仿宋" w:eastAsia="仿宋" w:cs="仿宋"/>
          <w:sz w:val="24"/>
          <w:szCs w:val="24"/>
          <w:lang w:val="en-US" w:eastAsia="zh-Hans"/>
        </w:rPr>
      </w:pPr>
      <w:r>
        <w:rPr>
          <w:rFonts w:hint="eastAsia" w:ascii="仿宋" w:hAnsi="仿宋" w:eastAsia="仿宋" w:cs="仿宋"/>
          <w:sz w:val="24"/>
          <w:szCs w:val="24"/>
          <w:lang w:eastAsia="zh-Hans"/>
        </w:rPr>
        <w:t>（1）</w:t>
      </w:r>
      <w:r>
        <w:rPr>
          <w:rFonts w:hint="eastAsia" w:ascii="仿宋" w:hAnsi="仿宋" w:eastAsia="仿宋" w:cs="仿宋"/>
          <w:sz w:val="24"/>
          <w:szCs w:val="24"/>
          <w:lang w:val="en-US" w:eastAsia="zh-Hans"/>
        </w:rPr>
        <w:t>宿管站外围对接支干道清扫</w:t>
      </w:r>
      <w:r>
        <w:rPr>
          <w:sz w:val="24"/>
        </w:rPr>
        <mc:AlternateContent>
          <mc:Choice Requires="wps">
            <w:drawing>
              <wp:anchor distT="0" distB="0" distL="114300" distR="114300" simplePos="0" relativeHeight="251660288" behindDoc="0" locked="0" layoutInCell="1" allowOverlap="1">
                <wp:simplePos x="0" y="0"/>
                <wp:positionH relativeFrom="column">
                  <wp:posOffset>-4445</wp:posOffset>
                </wp:positionH>
                <wp:positionV relativeFrom="paragraph">
                  <wp:posOffset>1502410</wp:posOffset>
                </wp:positionV>
                <wp:extent cx="1317625" cy="458470"/>
                <wp:effectExtent l="29210" t="6350" r="9525" b="7620"/>
                <wp:wrapNone/>
                <wp:docPr id="50" name="任意多边形 50"/>
                <wp:cNvGraphicFramePr/>
                <a:graphic xmlns:a="http://schemas.openxmlformats.org/drawingml/2006/main">
                  <a:graphicData uri="http://schemas.microsoft.com/office/word/2010/wordprocessingShape">
                    <wps:wsp>
                      <wps:cNvSpPr/>
                      <wps:spPr>
                        <a:xfrm>
                          <a:off x="0" y="0"/>
                          <a:ext cx="1317625" cy="458470"/>
                        </a:xfrm>
                        <a:custGeom>
                          <a:avLst/>
                          <a:gdLst>
                            <a:gd name="connisteX0" fmla="*/ 826941 w 1317335"/>
                            <a:gd name="connsiteY0" fmla="*/ 0 h 458575"/>
                            <a:gd name="connisteX1" fmla="*/ 995851 w 1317335"/>
                            <a:gd name="connsiteY1" fmla="*/ 55880 h 458575"/>
                            <a:gd name="connisteX2" fmla="*/ 1127931 w 1317335"/>
                            <a:gd name="connsiteY2" fmla="*/ 143510 h 458575"/>
                            <a:gd name="connisteX3" fmla="*/ 1244136 w 1317335"/>
                            <a:gd name="connsiteY3" fmla="*/ 327660 h 458575"/>
                            <a:gd name="connisteX4" fmla="*/ 1304461 w 1317335"/>
                            <a:gd name="connsiteY4" fmla="*/ 436880 h 458575"/>
                            <a:gd name="connisteX5" fmla="*/ 1039666 w 1317335"/>
                            <a:gd name="connsiteY5" fmla="*/ 457200 h 458575"/>
                            <a:gd name="connisteX6" fmla="*/ 337991 w 1317335"/>
                            <a:gd name="connsiteY6" fmla="*/ 428625 h 458575"/>
                            <a:gd name="connisteX7" fmla="*/ 49066 w 1317335"/>
                            <a:gd name="connsiteY7" fmla="*/ 403860 h 458575"/>
                            <a:gd name="connisteX8" fmla="*/ 806 w 1317335"/>
                            <a:gd name="connsiteY8" fmla="*/ 400685 h 45857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Lst>
                          <a:rect l="l" t="t" r="r" b="b"/>
                          <a:pathLst>
                            <a:path w="1317336" h="458575">
                              <a:moveTo>
                                <a:pt x="826941" y="0"/>
                              </a:moveTo>
                              <a:cubicBezTo>
                                <a:pt x="858056" y="9525"/>
                                <a:pt x="935526" y="27305"/>
                                <a:pt x="995851" y="55880"/>
                              </a:cubicBezTo>
                              <a:cubicBezTo>
                                <a:pt x="1056176" y="84455"/>
                                <a:pt x="1078401" y="88900"/>
                                <a:pt x="1127931" y="143510"/>
                              </a:cubicBezTo>
                              <a:cubicBezTo>
                                <a:pt x="1177461" y="198120"/>
                                <a:pt x="1208576" y="269240"/>
                                <a:pt x="1244136" y="327660"/>
                              </a:cubicBezTo>
                              <a:cubicBezTo>
                                <a:pt x="1279696" y="386080"/>
                                <a:pt x="1345101" y="410845"/>
                                <a:pt x="1304461" y="436880"/>
                              </a:cubicBezTo>
                              <a:cubicBezTo>
                                <a:pt x="1263821" y="462915"/>
                                <a:pt x="1232706" y="459105"/>
                                <a:pt x="1039666" y="457200"/>
                              </a:cubicBezTo>
                              <a:cubicBezTo>
                                <a:pt x="846626" y="455295"/>
                                <a:pt x="536111" y="439420"/>
                                <a:pt x="337991" y="428625"/>
                              </a:cubicBezTo>
                              <a:cubicBezTo>
                                <a:pt x="139871" y="417830"/>
                                <a:pt x="116376" y="409575"/>
                                <a:pt x="49066" y="403860"/>
                              </a:cubicBezTo>
                              <a:cubicBezTo>
                                <a:pt x="-18244" y="398145"/>
                                <a:pt x="4616" y="400685"/>
                                <a:pt x="806" y="400685"/>
                              </a:cubicBezTo>
                            </a:path>
                          </a:pathLst>
                        </a:custGeom>
                        <a:noFill/>
                        <a:ln>
                          <a:solidFill>
                            <a:srgbClr val="FF0000"/>
                          </a:solidFill>
                          <a:prstDash val="solid"/>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0.35pt;margin-top:118.3pt;height:36.1pt;width:103.75pt;z-index:251660288;mso-width-relative:page;mso-height-relative:page;" filled="f" stroked="t" coordsize="1317336,458575" o:gfxdata="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" path="m826941,0c858056,9525,935526,27305,995851,55880c1056176,84455,1078401,88900,1127931,143510c1177461,198120,1208576,269240,1244136,327660c1279696,386080,1345101,410845,1304461,436880c1263821,462915,1232706,459105,1039666,457200c846626,455295,536111,439420,337991,428625c139871,417830,116376,409575,49066,403860c-18244,398145,4616,400685,806,400685e">
                <v:path o:connectlocs="827123,0;996070,55867;1128179,143477;1244409,327584;1304748,436779;1039894,457095;338065,428526;49076,403767;806,400593" o:connectangles="0,0,0,0,0,0,0,0,0"/>
                <v:fill on="f" focussize="0,0"/>
                <v:stroke weight="1pt" color="#FF0000 [2404]" miterlimit="8" joinstyle="miter"/>
                <v:imagedata o:title=""/>
                <o:lock v:ext="edit" aspectratio="f"/>
              </v:shape>
            </w:pict>
          </mc:Fallback>
        </mc:AlternateContent>
      </w:r>
      <w:r>
        <w:rPr>
          <w:sz w:val="24"/>
        </w:rPr>
        <mc:AlternateContent>
          <mc:Choice Requires="wps">
            <w:drawing>
              <wp:anchor distT="0" distB="0" distL="114300" distR="114300" simplePos="0" relativeHeight="251659264" behindDoc="0" locked="0" layoutInCell="1" allowOverlap="1">
                <wp:simplePos x="0" y="0"/>
                <wp:positionH relativeFrom="column">
                  <wp:posOffset>28575</wp:posOffset>
                </wp:positionH>
                <wp:positionV relativeFrom="paragraph">
                  <wp:posOffset>1477645</wp:posOffset>
                </wp:positionV>
                <wp:extent cx="737870" cy="293370"/>
                <wp:effectExtent l="1905" t="6350" r="6985" b="20320"/>
                <wp:wrapNone/>
                <wp:docPr id="47" name="任意多边形 47"/>
                <wp:cNvGraphicFramePr/>
                <a:graphic xmlns:a="http://schemas.openxmlformats.org/drawingml/2006/main">
                  <a:graphicData uri="http://schemas.microsoft.com/office/word/2010/wordprocessingShape">
                    <wps:wsp>
                      <wps:cNvSpPr/>
                      <wps:spPr>
                        <a:xfrm>
                          <a:off x="0" y="0"/>
                          <a:ext cx="737870" cy="293370"/>
                        </a:xfrm>
                        <a:custGeom>
                          <a:avLst/>
                          <a:gdLst>
                            <a:gd name="connisteX0" fmla="*/ 0 w 737870"/>
                            <a:gd name="connsiteY0" fmla="*/ 293370 h 293370"/>
                            <a:gd name="connisteX1" fmla="*/ 200660 w 737870"/>
                            <a:gd name="connsiteY1" fmla="*/ 233045 h 293370"/>
                            <a:gd name="connisteX2" fmla="*/ 408940 w 737870"/>
                            <a:gd name="connsiteY2" fmla="*/ 160655 h 293370"/>
                            <a:gd name="connisteX3" fmla="*/ 501015 w 737870"/>
                            <a:gd name="connsiteY3" fmla="*/ 104775 h 293370"/>
                            <a:gd name="connisteX4" fmla="*/ 529590 w 737870"/>
                            <a:gd name="connsiteY4" fmla="*/ 40640 h 293370"/>
                            <a:gd name="connisteX5" fmla="*/ 641350 w 737870"/>
                            <a:gd name="connsiteY5" fmla="*/ 8255 h 293370"/>
                            <a:gd name="connisteX6" fmla="*/ 737870 w 737870"/>
                            <a:gd name="connsiteY6" fmla="*/ 0 h 29337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Lst>
                          <a:rect l="l" t="t" r="r" b="b"/>
                          <a:pathLst>
                            <a:path w="737870" h="293370">
                              <a:moveTo>
                                <a:pt x="0" y="293370"/>
                              </a:moveTo>
                              <a:cubicBezTo>
                                <a:pt x="36195" y="282575"/>
                                <a:pt x="118745" y="259715"/>
                                <a:pt x="200660" y="233045"/>
                              </a:cubicBezTo>
                              <a:cubicBezTo>
                                <a:pt x="282575" y="206375"/>
                                <a:pt x="348615" y="186055"/>
                                <a:pt x="408940" y="160655"/>
                              </a:cubicBezTo>
                              <a:cubicBezTo>
                                <a:pt x="469265" y="135255"/>
                                <a:pt x="476885" y="128905"/>
                                <a:pt x="501015" y="104775"/>
                              </a:cubicBezTo>
                              <a:cubicBezTo>
                                <a:pt x="525145" y="80645"/>
                                <a:pt x="501650" y="59690"/>
                                <a:pt x="529590" y="40640"/>
                              </a:cubicBezTo>
                              <a:cubicBezTo>
                                <a:pt x="557530" y="21590"/>
                                <a:pt x="599440" y="16510"/>
                                <a:pt x="641350" y="8255"/>
                              </a:cubicBezTo>
                              <a:cubicBezTo>
                                <a:pt x="683260" y="0"/>
                                <a:pt x="720725" y="1270"/>
                                <a:pt x="737870" y="0"/>
                              </a:cubicBezTo>
                            </a:path>
                          </a:pathLst>
                        </a:cu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2.25pt;margin-top:116.35pt;height:23.1pt;width:58.1pt;z-index:251659264;mso-width-relative:page;mso-height-relative:page;" filled="f" stroked="t" coordsize="737870,293370" o:gfxdata="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" path="m0,293370c36195,282575,118745,259715,200660,233045c282575,206375,348615,186055,408940,160655c469265,135255,476885,128905,501015,104775c525145,80645,501650,59690,529590,40640c557530,21590,599440,16510,641350,8255c683260,0,720725,1270,737870,0e">
                <v:path o:connectlocs="0,293370;200660,233045;408940,160655;501015,104775;529590,40640;641350,8255;737870,0" o:connectangles="0,0,0,0,0,0,0"/>
                <v:fill on="f" focussize="0,0"/>
                <v:stroke weight="1pt" color="#FF0000 [2404]" miterlimit="8" joinstyle="miter"/>
                <v:imagedata o:title=""/>
                <o:lock v:ext="edit" aspectratio="f"/>
              </v:shape>
            </w:pict>
          </mc:Fallback>
        </mc:AlternateContent>
      </w:r>
      <w:r>
        <w:rPr>
          <w:sz w:val="24"/>
        </w:rPr>
        <mc:AlternateContent>
          <mc:Choice Requires="wps">
            <w:drawing>
              <wp:anchor distT="0" distB="0" distL="114300" distR="114300" simplePos="0" relativeHeight="251662336" behindDoc="0" locked="0" layoutInCell="1" allowOverlap="1">
                <wp:simplePos x="0" y="0"/>
                <wp:positionH relativeFrom="column">
                  <wp:posOffset>1681480</wp:posOffset>
                </wp:positionH>
                <wp:positionV relativeFrom="paragraph">
                  <wp:posOffset>1313815</wp:posOffset>
                </wp:positionV>
                <wp:extent cx="765810" cy="316865"/>
                <wp:effectExtent l="2540" t="5715" r="8890" b="12700"/>
                <wp:wrapNone/>
                <wp:docPr id="54" name="直接连接符 54"/>
                <wp:cNvGraphicFramePr/>
                <a:graphic xmlns:a="http://schemas.openxmlformats.org/drawingml/2006/main">
                  <a:graphicData uri="http://schemas.microsoft.com/office/word/2010/wordprocessingShape">
                    <wps:wsp>
                      <wps:cNvCnPr/>
                      <wps:spPr>
                        <a:xfrm flipH="1">
                          <a:off x="0" y="0"/>
                          <a:ext cx="765810" cy="316865"/>
                        </a:xfrm>
                        <a:prstGeom prst="line">
                          <a:avLst/>
                        </a:prstGeom>
                        <a:ln>
                          <a:solidFill>
                            <a:srgbClr val="FF0000"/>
                          </a:solidFill>
                          <a:prstDash val="soli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margin-left:132.4pt;margin-top:103.45pt;height:24.95pt;width:60.3pt;z-index:251662336;mso-width-relative:page;mso-height-relative:page;" filled="f" stroked="t" coordsize="21600,21600" o:gfxdata="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vySsTaAAAACwEAAA8AAAAAAAAAAQAgAAAAIgAAAGRycy9kb3ducmV2LnhtbFBL&#10;AQIUABQAAAAIAIdO4kBW5Oh19AEAAMIDAAAOAAAAAAAAAAEAIAAAACkBAABkcnMvZTJvRG9jLnht&#10;bFBLBQYAAAAABgAGAFkBAACPBQAAAAA=&#10;">
                <v:fill on="f" focussize="0,0"/>
                <v:stroke weight="1pt" color="#FF0000 [3204]" miterlimit="8" joinstyle="miter"/>
                <v:imagedata o:title=""/>
                <o:lock v:ext="edit" aspectratio="f"/>
              </v:line>
            </w:pict>
          </mc:Fallback>
        </mc:AlternateContent>
      </w:r>
      <w:r>
        <w:rPr>
          <w:sz w:val="24"/>
        </w:rPr>
        <mc:AlternateContent>
          <mc:Choice Requires="wps">
            <w:drawing>
              <wp:anchor distT="0" distB="0" distL="114300" distR="114300" simplePos="0" relativeHeight="251664384" behindDoc="0" locked="0" layoutInCell="1" allowOverlap="1">
                <wp:simplePos x="0" y="0"/>
                <wp:positionH relativeFrom="column">
                  <wp:posOffset>3548380</wp:posOffset>
                </wp:positionH>
                <wp:positionV relativeFrom="paragraph">
                  <wp:posOffset>1279525</wp:posOffset>
                </wp:positionV>
                <wp:extent cx="727075" cy="527050"/>
                <wp:effectExtent l="3810" t="5080" r="15875" b="16510"/>
                <wp:wrapNone/>
                <wp:docPr id="51" name="直接连接符 51"/>
                <wp:cNvGraphicFramePr/>
                <a:graphic xmlns:a="http://schemas.openxmlformats.org/drawingml/2006/main">
                  <a:graphicData uri="http://schemas.microsoft.com/office/word/2010/wordprocessingShape">
                    <wps:wsp>
                      <wps:cNvCnPr/>
                      <wps:spPr>
                        <a:xfrm flipH="1">
                          <a:off x="0" y="0"/>
                          <a:ext cx="727075" cy="527050"/>
                        </a:xfrm>
                        <a:prstGeom prst="line">
                          <a:avLst/>
                        </a:prstGeom>
                        <a:ln>
                          <a:solidFill>
                            <a:srgbClr val="FF0000"/>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margin-left:279.4pt;margin-top:100.75pt;height:41.5pt;width:57.25pt;z-index:251664384;mso-width-relative:page;mso-height-relative:page;" filled="f" stroked="t" coordsize="21600,21600" o:gfxdata="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sMuQx9oAAAALAQAADwAAAAAAAAABACAAAAAiAAAAZHJzL2Rvd25yZXYueG1sUEsB&#10;AhQAFAAAAAgAh07iQAtvvjXzAQAAwgMAAA4AAAAAAAAAAQAgAAAAKQEAAGRycy9lMm9Eb2MueG1s&#10;UEsFBgAAAAAGAAYAWQEAAI4FAAAAAA==&#10;">
                <v:fill on="f" focussize="0,0"/>
                <v:stroke weight="1pt" color="#FF0000 [3204]" miterlimit="8" joinstyle="miter"/>
                <v:imagedata o:title=""/>
                <o:lock v:ext="edit" aspectratio="f"/>
              </v:line>
            </w:pict>
          </mc:Fallback>
        </mc:AlternateContent>
      </w:r>
      <w:r>
        <w:rPr>
          <w:sz w:val="24"/>
        </w:rPr>
        <mc:AlternateContent>
          <mc:Choice Requires="wps">
            <w:drawing>
              <wp:anchor distT="0" distB="0" distL="114300" distR="114300" simplePos="0" relativeHeight="251661312" behindDoc="0" locked="0" layoutInCell="1" allowOverlap="1">
                <wp:simplePos x="0" y="0"/>
                <wp:positionH relativeFrom="column">
                  <wp:posOffset>2651125</wp:posOffset>
                </wp:positionH>
                <wp:positionV relativeFrom="paragraph">
                  <wp:posOffset>1301750</wp:posOffset>
                </wp:positionV>
                <wp:extent cx="685800" cy="769620"/>
                <wp:effectExtent l="4445" t="4445" r="10795" b="18415"/>
                <wp:wrapNone/>
                <wp:docPr id="53" name="直接连接符 53"/>
                <wp:cNvGraphicFramePr/>
                <a:graphic xmlns:a="http://schemas.openxmlformats.org/drawingml/2006/main">
                  <a:graphicData uri="http://schemas.microsoft.com/office/word/2010/wordprocessingShape">
                    <wps:wsp>
                      <wps:cNvCnPr/>
                      <wps:spPr>
                        <a:xfrm>
                          <a:off x="0" y="0"/>
                          <a:ext cx="685800" cy="769620"/>
                        </a:xfrm>
                        <a:prstGeom prst="line">
                          <a:avLst/>
                        </a:prstGeom>
                        <a:ln>
                          <a:solidFill>
                            <a:srgbClr val="FF0000"/>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08.75pt;margin-top:102.5pt;height:60.6pt;width:54pt;z-index:251661312;mso-width-relative:page;mso-height-relative:page;" filled="f" stroked="t" coordsize="21600,21600" o:gfxdata="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HrnBqfaAAAACwEAAA8AAAAAAAAAAQAgAAAAIgAAAGRycy9kb3ducmV2LnhtbFBLAQIUABQAAAAI&#10;AIdO4kArv6Xp6wEAALgDAAAOAAAAAAAAAAEAIAAAACkBAABkcnMvZTJvRG9jLnhtbFBLBQYAAAAA&#10;BgAGAFkBAACGBQAAAAA=&#10;">
                <v:fill on="f" focussize="0,0"/>
                <v:stroke weight="1pt" color="#FF0000 [3204]" miterlimit="8" joinstyle="miter"/>
                <v:imagedata o:title=""/>
                <o:lock v:ext="edit" aspectratio="f"/>
              </v:line>
            </w:pict>
          </mc:Fallback>
        </mc:AlternateContent>
      </w:r>
    </w:p>
    <w:tbl>
      <w:tblPr>
        <w:tblStyle w:val="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639"/>
        <w:gridCol w:w="2917"/>
        <w:gridCol w:w="2966"/>
      </w:tblGrid>
      <w:tr w14:paraId="0F33EF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39" w:type="dxa"/>
            <w:tcBorders>
              <w:tl2br w:val="nil"/>
              <w:tr2bl w:val="nil"/>
            </w:tcBorders>
          </w:tcPr>
          <w:p w14:paraId="38AA4956">
            <w:pPr>
              <w:rPr>
                <w:rFonts w:hint="eastAsia" w:ascii="仿宋" w:hAnsi="仿宋" w:eastAsia="仿宋" w:cs="仿宋"/>
                <w:sz w:val="24"/>
                <w:szCs w:val="24"/>
                <w:vertAlign w:val="baseline"/>
                <w:lang w:val="en-US" w:eastAsia="zh-Hans"/>
              </w:rPr>
            </w:pPr>
            <w:r>
              <w:rPr>
                <w:sz w:val="24"/>
              </w:rPr>
              <mc:AlternateContent>
                <mc:Choice Requires="wps">
                  <w:drawing>
                    <wp:anchor distT="0" distB="0" distL="114300" distR="114300" simplePos="0" relativeHeight="251677696" behindDoc="0" locked="0" layoutInCell="1" allowOverlap="1">
                      <wp:simplePos x="0" y="0"/>
                      <wp:positionH relativeFrom="column">
                        <wp:posOffset>501015</wp:posOffset>
                      </wp:positionH>
                      <wp:positionV relativeFrom="paragraph">
                        <wp:posOffset>1447800</wp:posOffset>
                      </wp:positionV>
                      <wp:extent cx="527050" cy="5715"/>
                      <wp:effectExtent l="0" t="49530" r="6350" b="51435"/>
                      <wp:wrapNone/>
                      <wp:docPr id="71" name="直接箭头连接符 71"/>
                      <wp:cNvGraphicFramePr/>
                      <a:graphic xmlns:a="http://schemas.openxmlformats.org/drawingml/2006/main">
                        <a:graphicData uri="http://schemas.microsoft.com/office/word/2010/wordprocessingShape">
                          <wps:wsp>
                            <wps:cNvCnPr/>
                            <wps:spPr>
                              <a:xfrm flipV="1">
                                <a:off x="0" y="0"/>
                                <a:ext cx="527050" cy="5715"/>
                              </a:xfrm>
                              <a:prstGeom prst="straightConnector1">
                                <a:avLst/>
                              </a:prstGeom>
                              <a:ln>
                                <a:solidFill>
                                  <a:srgbClr val="FF0000"/>
                                </a:solidFill>
                                <a:headEnd type="arrow"/>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39.45pt;margin-top:114pt;height:0.45pt;width:41.5pt;z-index:251677696;mso-width-relative:page;mso-height-relative:page;" filled="f" stroked="t" coordsize="21600,21600" o:gfxdata="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FumPWAAAACgEAAA8AAAAA&#10;AAAAAQAgAAAAIgAAAGRycy9kb3ducmV2LnhtbFBLAQIUABQAAAAIAIdO4kDprBdBFgIAAAYEAAAO&#10;AAAAAAAAAAEAIAAAACUBAABkcnMvZTJvRG9jLnhtbFBLBQYAAAAABgAGAFkBAACtBQAAAAA=&#10;">
                      <v:fill on="f" focussize="0,0"/>
                      <v:stroke weight="1pt" color="#FF0000 [3204]" miterlimit="8" joinstyle="miter" startarrow="open" endarrow="open"/>
                      <v:imagedata o:title=""/>
                      <o:lock v:ext="edit" aspectratio="f"/>
                    </v:shape>
                  </w:pict>
                </mc:Fallback>
              </mc:AlternateContent>
            </w:r>
            <w:r>
              <w:rPr>
                <w:rFonts w:hint="eastAsia" w:ascii="仿宋" w:hAnsi="仿宋" w:eastAsia="仿宋" w:cs="仿宋"/>
                <w:sz w:val="24"/>
                <w:szCs w:val="24"/>
              </w:rPr>
              <w:drawing>
                <wp:inline distT="0" distB="0" distL="114300" distR="114300">
                  <wp:extent cx="1722120" cy="2297430"/>
                  <wp:effectExtent l="0" t="0" r="0" b="381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4"/>
                          <a:stretch>
                            <a:fillRect/>
                          </a:stretch>
                        </pic:blipFill>
                        <pic:spPr>
                          <a:xfrm>
                            <a:off x="0" y="0"/>
                            <a:ext cx="1722120" cy="2297430"/>
                          </a:xfrm>
                          <a:prstGeom prst="rect">
                            <a:avLst/>
                          </a:prstGeom>
                          <a:noFill/>
                          <a:ln>
                            <a:noFill/>
                          </a:ln>
                        </pic:spPr>
                      </pic:pic>
                    </a:graphicData>
                  </a:graphic>
                </wp:inline>
              </w:drawing>
            </w:r>
          </w:p>
        </w:tc>
        <w:tc>
          <w:tcPr>
            <w:tcW w:w="2917" w:type="dxa"/>
            <w:tcBorders>
              <w:tl2br w:val="nil"/>
              <w:tr2bl w:val="nil"/>
            </w:tcBorders>
          </w:tcPr>
          <w:p w14:paraId="25402DF2">
            <w:pPr>
              <w:rPr>
                <w:rFonts w:hint="eastAsia" w:ascii="仿宋" w:hAnsi="仿宋" w:eastAsia="仿宋" w:cs="仿宋"/>
                <w:sz w:val="24"/>
                <w:szCs w:val="24"/>
                <w:vertAlign w:val="baseline"/>
                <w:lang w:val="en-US" w:eastAsia="zh-Hans"/>
              </w:rPr>
            </w:pPr>
            <w:r>
              <w:rPr>
                <w:sz w:val="24"/>
              </w:rPr>
              <mc:AlternateContent>
                <mc:Choice Requires="wps">
                  <w:drawing>
                    <wp:anchor distT="0" distB="0" distL="114300" distR="114300" simplePos="0" relativeHeight="251678720" behindDoc="0" locked="0" layoutInCell="1" allowOverlap="1">
                      <wp:simplePos x="0" y="0"/>
                      <wp:positionH relativeFrom="column">
                        <wp:posOffset>525145</wp:posOffset>
                      </wp:positionH>
                      <wp:positionV relativeFrom="paragraph">
                        <wp:posOffset>1371600</wp:posOffset>
                      </wp:positionV>
                      <wp:extent cx="527050" cy="5715"/>
                      <wp:effectExtent l="0" t="49530" r="6350" b="51435"/>
                      <wp:wrapNone/>
                      <wp:docPr id="72" name="直接箭头连接符 72"/>
                      <wp:cNvGraphicFramePr/>
                      <a:graphic xmlns:a="http://schemas.openxmlformats.org/drawingml/2006/main">
                        <a:graphicData uri="http://schemas.microsoft.com/office/word/2010/wordprocessingShape">
                          <wps:wsp>
                            <wps:cNvCnPr/>
                            <wps:spPr>
                              <a:xfrm flipV="1">
                                <a:off x="0" y="0"/>
                                <a:ext cx="527050" cy="5715"/>
                              </a:xfrm>
                              <a:prstGeom prst="straightConnector1">
                                <a:avLst/>
                              </a:prstGeom>
                              <a:ln>
                                <a:solidFill>
                                  <a:srgbClr val="FF0000"/>
                                </a:solidFill>
                                <a:headEnd type="arrow"/>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41.35pt;margin-top:108pt;height:0.45pt;width:41.5pt;z-index:251678720;mso-width-relative:page;mso-height-relative:page;" filled="f" stroked="t" coordsize="21600,21600" o:gfxdata="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7BlKb1wAAAAoBAAAPAAAA&#10;AAAAAAEAIAAAACIAAABkcnMvZG93bnJldi54bWxQSwECFAAUAAAACACHTuJASGx7hRYCAAAGBAAA&#10;DgAAAAAAAAABACAAAAAmAQAAZHJzL2Uyb0RvYy54bWxQSwUGAAAAAAYABgBZAQAArgUAAAAA&#10;">
                      <v:fill on="f" focussize="0,0"/>
                      <v:stroke weight="1pt" color="#FF0000 [3204]" miterlimit="8" joinstyle="miter" startarrow="open" endarrow="open"/>
                      <v:imagedata o:title=""/>
                      <o:lock v:ext="edit" aspectratio="f"/>
                    </v:shape>
                  </w:pict>
                </mc:Fallback>
              </mc:AlternateContent>
            </w:r>
            <w:r>
              <w:rPr>
                <w:rFonts w:hint="eastAsia" w:ascii="仿宋" w:hAnsi="仿宋" w:eastAsia="仿宋" w:cs="仿宋"/>
                <w:sz w:val="24"/>
                <w:szCs w:val="24"/>
              </w:rPr>
              <w:drawing>
                <wp:inline distT="0" distB="0" distL="114300" distR="114300">
                  <wp:extent cx="1723390" cy="2299335"/>
                  <wp:effectExtent l="0" t="0" r="13970" b="190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5"/>
                          <a:stretch>
                            <a:fillRect/>
                          </a:stretch>
                        </pic:blipFill>
                        <pic:spPr>
                          <a:xfrm>
                            <a:off x="0" y="0"/>
                            <a:ext cx="1723390" cy="2299335"/>
                          </a:xfrm>
                          <a:prstGeom prst="rect">
                            <a:avLst/>
                          </a:prstGeom>
                          <a:noFill/>
                          <a:ln>
                            <a:noFill/>
                          </a:ln>
                        </pic:spPr>
                      </pic:pic>
                    </a:graphicData>
                  </a:graphic>
                </wp:inline>
              </w:drawing>
            </w:r>
          </w:p>
        </w:tc>
        <w:tc>
          <w:tcPr>
            <w:tcW w:w="2966" w:type="dxa"/>
            <w:tcBorders>
              <w:tl2br w:val="nil"/>
              <w:tr2bl w:val="nil"/>
            </w:tcBorders>
          </w:tcPr>
          <w:p w14:paraId="720853DE">
            <w:pPr>
              <w:rPr>
                <w:rFonts w:hint="eastAsia" w:ascii="仿宋" w:hAnsi="仿宋" w:eastAsia="仿宋" w:cs="仿宋"/>
                <w:sz w:val="24"/>
                <w:szCs w:val="24"/>
              </w:rPr>
            </w:pPr>
            <w:r>
              <w:rPr>
                <w:sz w:val="24"/>
              </w:rPr>
              <mc:AlternateContent>
                <mc:Choice Requires="wps">
                  <w:drawing>
                    <wp:anchor distT="0" distB="0" distL="114300" distR="114300" simplePos="0" relativeHeight="251679744" behindDoc="0" locked="0" layoutInCell="1" allowOverlap="1">
                      <wp:simplePos x="0" y="0"/>
                      <wp:positionH relativeFrom="column">
                        <wp:posOffset>536575</wp:posOffset>
                      </wp:positionH>
                      <wp:positionV relativeFrom="paragraph">
                        <wp:posOffset>1400810</wp:posOffset>
                      </wp:positionV>
                      <wp:extent cx="527050" cy="5715"/>
                      <wp:effectExtent l="0" t="49530" r="6350" b="51435"/>
                      <wp:wrapNone/>
                      <wp:docPr id="73" name="直接箭头连接符 73"/>
                      <wp:cNvGraphicFramePr/>
                      <a:graphic xmlns:a="http://schemas.openxmlformats.org/drawingml/2006/main">
                        <a:graphicData uri="http://schemas.microsoft.com/office/word/2010/wordprocessingShape">
                          <wps:wsp>
                            <wps:cNvCnPr/>
                            <wps:spPr>
                              <a:xfrm flipV="1">
                                <a:off x="0" y="0"/>
                                <a:ext cx="527050" cy="5715"/>
                              </a:xfrm>
                              <a:prstGeom prst="straightConnector1">
                                <a:avLst/>
                              </a:prstGeom>
                              <a:ln>
                                <a:solidFill>
                                  <a:srgbClr val="FF0000"/>
                                </a:solidFill>
                                <a:headEnd type="arrow"/>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42.25pt;margin-top:110.3pt;height:0.45pt;width:41.5pt;z-index:251679744;mso-width-relative:page;mso-height-relative:page;" filled="f" stroked="t" coordsize="21600,21600" o:gfxdata="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IS2IvYAAAACgEAAA8A&#10;AAAAAAAAAQAgAAAAIgAAAGRycy9kb3ducmV2LnhtbFBLAQIUABQAAAAIAIdO4kDX06DGFwIAAAYE&#10;AAAOAAAAAAAAAAEAIAAAACcBAABkcnMvZTJvRG9jLnhtbFBLBQYAAAAABgAGAFkBAACwBQAAAAA=&#10;">
                      <v:fill on="f" focussize="0,0"/>
                      <v:stroke weight="1pt" color="#FF0000 [3204]" miterlimit="8" joinstyle="miter" startarrow="open" endarrow="open"/>
                      <v:imagedata o:title=""/>
                      <o:lock v:ext="edit" aspectratio="f"/>
                    </v:shape>
                  </w:pict>
                </mc:Fallback>
              </mc:AlternateContent>
            </w:r>
            <w:r>
              <w:rPr>
                <w:sz w:val="24"/>
              </w:rPr>
              <mc:AlternateContent>
                <mc:Choice Requires="wps">
                  <w:drawing>
                    <wp:anchor distT="0" distB="0" distL="114300" distR="114300" simplePos="0" relativeHeight="251663360" behindDoc="0" locked="0" layoutInCell="1" allowOverlap="1">
                      <wp:simplePos x="0" y="0"/>
                      <wp:positionH relativeFrom="column">
                        <wp:posOffset>899795</wp:posOffset>
                      </wp:positionH>
                      <wp:positionV relativeFrom="paragraph">
                        <wp:posOffset>1069975</wp:posOffset>
                      </wp:positionV>
                      <wp:extent cx="691515" cy="645160"/>
                      <wp:effectExtent l="4445" t="4445" r="5080" b="5715"/>
                      <wp:wrapNone/>
                      <wp:docPr id="46" name="直接连接符 46"/>
                      <wp:cNvGraphicFramePr/>
                      <a:graphic xmlns:a="http://schemas.openxmlformats.org/drawingml/2006/main">
                        <a:graphicData uri="http://schemas.microsoft.com/office/word/2010/wordprocessingShape">
                          <wps:wsp>
                            <wps:cNvCnPr/>
                            <wps:spPr>
                              <a:xfrm>
                                <a:off x="0" y="0"/>
                                <a:ext cx="691515" cy="645160"/>
                              </a:xfrm>
                              <a:prstGeom prst="line">
                                <a:avLst/>
                              </a:prstGeom>
                              <a:ln>
                                <a:solidFill>
                                  <a:srgbClr val="FF0000"/>
                                </a:solidFill>
                                <a:prstDash val="soli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70.85pt;margin-top:84.25pt;height:50.8pt;width:54.45pt;z-index:251663360;mso-width-relative:page;mso-height-relative:page;" filled="f" stroked="t" coordsize="21600,21600" o:gfxdata="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doci/aAAAACwEAAA8AAAAAAAAAAQAgAAAAIgAAAGRycy9kb3ducmV2LnhtbFBLAQIUABQA&#10;AAAIAIdO4kDp4xhX7gEAALgDAAAOAAAAAAAAAAEAIAAAACkBAABkcnMvZTJvRG9jLnhtbFBLBQYA&#10;AAAABgAGAFkBAACJBQAAAAA=&#10;">
                      <v:fill on="f" focussize="0,0"/>
                      <v:stroke weight="1pt" color="#FF0000 [3204]" miterlimit="8" joinstyle="miter"/>
                      <v:imagedata o:title=""/>
                      <o:lock v:ext="edit" aspectratio="f"/>
                    </v:line>
                  </w:pict>
                </mc:Fallback>
              </mc:AlternateContent>
            </w:r>
            <w:r>
              <w:rPr>
                <w:rFonts w:hint="eastAsia" w:ascii="仿宋" w:hAnsi="仿宋" w:eastAsia="仿宋" w:cs="仿宋"/>
                <w:sz w:val="24"/>
                <w:szCs w:val="24"/>
              </w:rPr>
              <w:drawing>
                <wp:inline distT="0" distB="0" distL="114300" distR="114300">
                  <wp:extent cx="1717675" cy="2291080"/>
                  <wp:effectExtent l="0" t="0" r="4445" b="1016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6"/>
                          <a:stretch>
                            <a:fillRect/>
                          </a:stretch>
                        </pic:blipFill>
                        <pic:spPr>
                          <a:xfrm>
                            <a:off x="0" y="0"/>
                            <a:ext cx="1717675" cy="2291080"/>
                          </a:xfrm>
                          <a:prstGeom prst="rect">
                            <a:avLst/>
                          </a:prstGeom>
                          <a:noFill/>
                          <a:ln>
                            <a:noFill/>
                          </a:ln>
                        </pic:spPr>
                      </pic:pic>
                    </a:graphicData>
                  </a:graphic>
                </wp:inline>
              </w:drawing>
            </w:r>
          </w:p>
        </w:tc>
      </w:tr>
      <w:tr w14:paraId="5F36ED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39" w:type="dxa"/>
            <w:tcBorders>
              <w:tl2br w:val="nil"/>
              <w:tr2bl w:val="nil"/>
            </w:tcBorders>
          </w:tcPr>
          <w:p w14:paraId="43B5E540">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Hans"/>
              </w:rPr>
              <w:t>西苑</w:t>
            </w:r>
            <w:r>
              <w:rPr>
                <w:rFonts w:hint="eastAsia" w:ascii="仿宋" w:hAnsi="仿宋" w:eastAsia="仿宋" w:cs="仿宋"/>
                <w:sz w:val="24"/>
                <w:szCs w:val="24"/>
                <w:lang w:val="en-US" w:eastAsia="zh-CN"/>
              </w:rPr>
              <w:t>学舍</w:t>
            </w:r>
          </w:p>
        </w:tc>
        <w:tc>
          <w:tcPr>
            <w:tcW w:w="2917" w:type="dxa"/>
            <w:tcBorders>
              <w:tl2br w:val="nil"/>
              <w:tr2bl w:val="nil"/>
            </w:tcBorders>
          </w:tcPr>
          <w:p w14:paraId="0A2A4630">
            <w:pPr>
              <w:jc w:val="center"/>
              <w:rPr>
                <w:rFonts w:hint="eastAsia" w:ascii="仿宋" w:hAnsi="仿宋" w:eastAsia="仿宋" w:cs="仿宋"/>
                <w:sz w:val="24"/>
                <w:szCs w:val="24"/>
                <w:lang w:val="en-US" w:eastAsia="zh-Hans"/>
              </w:rPr>
            </w:pPr>
            <w:r>
              <w:rPr>
                <w:rFonts w:hint="eastAsia" w:ascii="仿宋" w:hAnsi="仿宋" w:eastAsia="仿宋" w:cs="仿宋"/>
                <w:sz w:val="24"/>
                <w:szCs w:val="24"/>
                <w:lang w:val="en-US" w:eastAsia="zh-Hans"/>
              </w:rPr>
              <w:t>中苑</w:t>
            </w:r>
            <w:r>
              <w:rPr>
                <w:rFonts w:hint="eastAsia" w:ascii="仿宋" w:hAnsi="仿宋" w:eastAsia="仿宋" w:cs="仿宋"/>
                <w:sz w:val="24"/>
                <w:szCs w:val="24"/>
                <w:lang w:val="en-US" w:eastAsia="zh-CN"/>
              </w:rPr>
              <w:t>学舍</w:t>
            </w:r>
          </w:p>
        </w:tc>
        <w:tc>
          <w:tcPr>
            <w:tcW w:w="2966" w:type="dxa"/>
            <w:tcBorders>
              <w:tl2br w:val="nil"/>
              <w:tr2bl w:val="nil"/>
            </w:tcBorders>
          </w:tcPr>
          <w:p w14:paraId="53C95B7F">
            <w:pPr>
              <w:jc w:val="center"/>
              <w:rPr>
                <w:rFonts w:hint="eastAsia" w:ascii="仿宋" w:hAnsi="仿宋" w:eastAsia="仿宋" w:cs="仿宋"/>
                <w:sz w:val="24"/>
                <w:szCs w:val="24"/>
                <w:lang w:val="en-US" w:eastAsia="zh-Hans"/>
              </w:rPr>
            </w:pPr>
            <w:r>
              <w:rPr>
                <w:rFonts w:hint="eastAsia" w:ascii="仿宋" w:hAnsi="仿宋" w:eastAsia="仿宋" w:cs="仿宋"/>
                <w:sz w:val="24"/>
                <w:szCs w:val="24"/>
                <w:lang w:val="en-US" w:eastAsia="zh-Hans"/>
              </w:rPr>
              <w:t>北苑</w:t>
            </w:r>
            <w:r>
              <w:rPr>
                <w:rFonts w:hint="eastAsia" w:ascii="仿宋" w:hAnsi="仿宋" w:eastAsia="仿宋" w:cs="仿宋"/>
                <w:sz w:val="24"/>
                <w:szCs w:val="24"/>
                <w:lang w:val="en-US" w:eastAsia="zh-CN"/>
              </w:rPr>
              <w:t>学舍</w:t>
            </w:r>
          </w:p>
        </w:tc>
      </w:tr>
    </w:tbl>
    <w:p w14:paraId="7DB66647">
      <w:pPr>
        <w:rPr>
          <w:rFonts w:hint="eastAsia" w:ascii="仿宋" w:hAnsi="仿宋" w:eastAsia="仿宋" w:cs="仿宋"/>
          <w:sz w:val="24"/>
          <w:szCs w:val="24"/>
          <w:lang w:val="en-US" w:eastAsia="zh-Hans"/>
        </w:rPr>
      </w:pPr>
      <w:r>
        <w:rPr>
          <w:rFonts w:hint="eastAsia" w:ascii="仿宋" w:hAnsi="仿宋" w:eastAsia="仿宋" w:cs="仿宋"/>
          <w:sz w:val="24"/>
          <w:szCs w:val="24"/>
          <w:lang w:eastAsia="zh-Hans"/>
        </w:rPr>
        <w:t>（2）</w:t>
      </w:r>
      <w:r>
        <w:rPr>
          <w:rFonts w:hint="eastAsia" w:ascii="仿宋" w:hAnsi="仿宋" w:eastAsia="仿宋" w:cs="仿宋"/>
          <w:sz w:val="24"/>
          <w:szCs w:val="24"/>
          <w:lang w:val="en-US" w:eastAsia="zh-Hans"/>
        </w:rPr>
        <w:t>宿管站间支干道清扫</w:t>
      </w:r>
    </w:p>
    <w:tbl>
      <w:tblPr>
        <w:tblStyle w:val="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639"/>
        <w:gridCol w:w="2917"/>
        <w:gridCol w:w="2966"/>
      </w:tblGrid>
      <w:tr w14:paraId="0F38BF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39" w:type="dxa"/>
            <w:tcBorders>
              <w:tl2br w:val="nil"/>
              <w:tr2bl w:val="nil"/>
            </w:tcBorders>
          </w:tcPr>
          <w:p w14:paraId="44714E2E">
            <w:pPr>
              <w:rPr>
                <w:rFonts w:hint="eastAsia" w:ascii="仿宋" w:hAnsi="仿宋" w:eastAsia="仿宋" w:cs="仿宋"/>
                <w:sz w:val="24"/>
                <w:szCs w:val="24"/>
                <w:vertAlign w:val="baseline"/>
                <w:lang w:val="en-US" w:eastAsia="zh-Hans"/>
              </w:rPr>
            </w:pPr>
            <w:r>
              <w:rPr>
                <w:sz w:val="24"/>
              </w:rPr>
              <mc:AlternateContent>
                <mc:Choice Requires="wps">
                  <w:drawing>
                    <wp:anchor distT="0" distB="0" distL="114300" distR="114300" simplePos="0" relativeHeight="251667456" behindDoc="0" locked="0" layoutInCell="1" allowOverlap="1">
                      <wp:simplePos x="0" y="0"/>
                      <wp:positionH relativeFrom="column">
                        <wp:posOffset>477520</wp:posOffset>
                      </wp:positionH>
                      <wp:positionV relativeFrom="paragraph">
                        <wp:posOffset>1208405</wp:posOffset>
                      </wp:positionV>
                      <wp:extent cx="527050" cy="5715"/>
                      <wp:effectExtent l="0" t="49530" r="6350" b="51435"/>
                      <wp:wrapNone/>
                      <wp:docPr id="58" name="直接箭头连接符 58"/>
                      <wp:cNvGraphicFramePr/>
                      <a:graphic xmlns:a="http://schemas.openxmlformats.org/drawingml/2006/main">
                        <a:graphicData uri="http://schemas.microsoft.com/office/word/2010/wordprocessingShape">
                          <wps:wsp>
                            <wps:cNvCnPr/>
                            <wps:spPr>
                              <a:xfrm flipV="1">
                                <a:off x="1620520" y="5509895"/>
                                <a:ext cx="527050" cy="5715"/>
                              </a:xfrm>
                              <a:prstGeom prst="straightConnector1">
                                <a:avLst/>
                              </a:prstGeom>
                              <a:ln>
                                <a:solidFill>
                                  <a:srgbClr val="FF0000"/>
                                </a:solidFill>
                                <a:headEnd type="arrow"/>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37.6pt;margin-top:95.15pt;height:0.45pt;width:41.5pt;z-index:251667456;mso-width-relative:page;mso-height-relative:page;" filled="f" stroked="t" coordsize="21600,21600" o:gfxdata="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oNqD/&#10;1wAAAAoBAAAPAAAAAAAAAAEAIAAAACIAAABkcnMvZG93bnJldi54bWxQSwECFAAUAAAACACHTuJA&#10;gwHC2SICAAASBAAADgAAAAAAAAABACAAAAAmAQAAZHJzL2Uyb0RvYy54bWxQSwUGAAAAAAYABgBZ&#10;AQAAugUAAAAA&#10;">
                      <v:fill on="f" focussize="0,0"/>
                      <v:stroke weight="1pt" color="#FF0000 [3204]" miterlimit="8" joinstyle="miter" startarrow="open" endarrow="open"/>
                      <v:imagedata o:title=""/>
                      <o:lock v:ext="edit" aspectratio="f"/>
                    </v:shape>
                  </w:pict>
                </mc:Fallback>
              </mc:AlternateContent>
            </w:r>
            <w:r>
              <w:rPr>
                <w:rFonts w:hint="eastAsia" w:ascii="仿宋" w:hAnsi="仿宋" w:eastAsia="仿宋" w:cs="仿宋"/>
                <w:sz w:val="24"/>
                <w:szCs w:val="24"/>
              </w:rPr>
              <w:drawing>
                <wp:inline distT="0" distB="0" distL="114300" distR="114300">
                  <wp:extent cx="1548765" cy="2065655"/>
                  <wp:effectExtent l="0" t="0" r="5715" b="6985"/>
                  <wp:docPr id="3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9"/>
                          <pic:cNvPicPr>
                            <a:picLocks noChangeAspect="1"/>
                          </pic:cNvPicPr>
                        </pic:nvPicPr>
                        <pic:blipFill>
                          <a:blip r:embed="rId7"/>
                          <a:stretch>
                            <a:fillRect/>
                          </a:stretch>
                        </pic:blipFill>
                        <pic:spPr>
                          <a:xfrm>
                            <a:off x="0" y="0"/>
                            <a:ext cx="1548765" cy="2065655"/>
                          </a:xfrm>
                          <a:prstGeom prst="rect">
                            <a:avLst/>
                          </a:prstGeom>
                          <a:noFill/>
                          <a:ln>
                            <a:noFill/>
                          </a:ln>
                        </pic:spPr>
                      </pic:pic>
                    </a:graphicData>
                  </a:graphic>
                </wp:inline>
              </w:drawing>
            </w:r>
            <w:r>
              <w:rPr>
                <w:sz w:val="24"/>
              </w:rPr>
              <mc:AlternateContent>
                <mc:Choice Requires="wps">
                  <w:drawing>
                    <wp:anchor distT="0" distB="0" distL="114300" distR="114300" simplePos="0" relativeHeight="251666432" behindDoc="0" locked="0" layoutInCell="1" allowOverlap="1">
                      <wp:simplePos x="0" y="0"/>
                      <wp:positionH relativeFrom="column">
                        <wp:posOffset>43180</wp:posOffset>
                      </wp:positionH>
                      <wp:positionV relativeFrom="paragraph">
                        <wp:posOffset>977265</wp:posOffset>
                      </wp:positionV>
                      <wp:extent cx="715645" cy="357505"/>
                      <wp:effectExtent l="2540" t="5715" r="13335" b="17780"/>
                      <wp:wrapNone/>
                      <wp:docPr id="57" name="直接连接符 57"/>
                      <wp:cNvGraphicFramePr/>
                      <a:graphic xmlns:a="http://schemas.openxmlformats.org/drawingml/2006/main">
                        <a:graphicData uri="http://schemas.microsoft.com/office/word/2010/wordprocessingShape">
                          <wps:wsp>
                            <wps:cNvCnPr/>
                            <wps:spPr>
                              <a:xfrm flipH="1">
                                <a:off x="0" y="0"/>
                                <a:ext cx="715645" cy="357505"/>
                              </a:xfrm>
                              <a:prstGeom prst="line">
                                <a:avLst/>
                              </a:prstGeom>
                              <a:ln>
                                <a:solidFill>
                                  <a:srgbClr val="FF0000"/>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margin-left:3.4pt;margin-top:76.95pt;height:28.15pt;width:56.35pt;z-index:251666432;mso-width-relative:page;mso-height-relative:page;" filled="f" stroked="t" coordsize="21600,21600" o:gfxdata="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p82Th9gAAAAJAQAADwAAAAAAAAABACAAAAAiAAAAZHJzL2Rvd25yZXYueG1sUEsB&#10;AhQAFAAAAAgAh07iQGZIr/L1AQAAwgMAAA4AAAAAAAAAAQAgAAAAJwEAAGRycy9lMm9Eb2MueG1s&#10;UEsFBgAAAAAGAAYAWQEAAI4FAAAAAA==&#10;">
                      <v:fill on="f" focussize="0,0"/>
                      <v:stroke weight="1pt" color="#FF0000 [3204]" miterlimit="8" joinstyle="miter"/>
                      <v:imagedata o:title=""/>
                      <o:lock v:ext="edit" aspectratio="f"/>
                    </v:line>
                  </w:pict>
                </mc:Fallback>
              </mc:AlternateContent>
            </w:r>
            <w:r>
              <w:rPr>
                <w:sz w:val="24"/>
              </w:rPr>
              <mc:AlternateContent>
                <mc:Choice Requires="wps">
                  <w:drawing>
                    <wp:anchor distT="0" distB="0" distL="114300" distR="114300" simplePos="0" relativeHeight="251665408" behindDoc="0" locked="0" layoutInCell="1" allowOverlap="1">
                      <wp:simplePos x="0" y="0"/>
                      <wp:positionH relativeFrom="column">
                        <wp:posOffset>846455</wp:posOffset>
                      </wp:positionH>
                      <wp:positionV relativeFrom="paragraph">
                        <wp:posOffset>959485</wp:posOffset>
                      </wp:positionV>
                      <wp:extent cx="656590" cy="497840"/>
                      <wp:effectExtent l="3810" t="5080" r="10160" b="15240"/>
                      <wp:wrapNone/>
                      <wp:docPr id="56" name="直接连接符 56"/>
                      <wp:cNvGraphicFramePr/>
                      <a:graphic xmlns:a="http://schemas.openxmlformats.org/drawingml/2006/main">
                        <a:graphicData uri="http://schemas.microsoft.com/office/word/2010/wordprocessingShape">
                          <wps:wsp>
                            <wps:cNvCnPr/>
                            <wps:spPr>
                              <a:xfrm>
                                <a:off x="0" y="0"/>
                                <a:ext cx="656590" cy="497840"/>
                              </a:xfrm>
                              <a:prstGeom prst="line">
                                <a:avLst/>
                              </a:prstGeom>
                              <a:ln>
                                <a:solidFill>
                                  <a:srgbClr val="FF0000"/>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66.65pt;margin-top:75.55pt;height:39.2pt;width:51.7pt;z-index:251665408;mso-width-relative:page;mso-height-relative:page;" filled="f" stroked="t" coordsize="21600,21600" o:gfxdata="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892Ca9oAAAALAQAADwAAAAAAAAABACAAAAAiAAAAZHJzL2Rvd25yZXYueG1sUEsBAhQAFAAA&#10;AAgAh07iQHhWKY7tAQAAuAMAAA4AAAAAAAAAAQAgAAAAKQEAAGRycy9lMm9Eb2MueG1sUEsFBgAA&#10;AAAGAAYAWQEAAIgFAAAAAA==&#10;">
                      <v:fill on="f" focussize="0,0"/>
                      <v:stroke weight="1pt" color="#FF0000 [3204]" miterlimit="8" joinstyle="miter"/>
                      <v:imagedata o:title=""/>
                      <o:lock v:ext="edit" aspectratio="f"/>
                    </v:line>
                  </w:pict>
                </mc:Fallback>
              </mc:AlternateContent>
            </w:r>
          </w:p>
        </w:tc>
        <w:tc>
          <w:tcPr>
            <w:tcW w:w="2917" w:type="dxa"/>
            <w:tcBorders>
              <w:tl2br w:val="nil"/>
              <w:tr2bl w:val="nil"/>
            </w:tcBorders>
          </w:tcPr>
          <w:p w14:paraId="5F121D8A">
            <w:pPr>
              <w:rPr>
                <w:rFonts w:hint="eastAsia" w:ascii="仿宋" w:hAnsi="仿宋" w:eastAsia="仿宋" w:cs="仿宋"/>
                <w:sz w:val="24"/>
                <w:szCs w:val="24"/>
                <w:vertAlign w:val="baseline"/>
                <w:lang w:val="en-US" w:eastAsia="zh-Hans"/>
              </w:rPr>
            </w:pPr>
            <w:r>
              <w:rPr>
                <w:sz w:val="24"/>
              </w:rPr>
              <mc:AlternateContent>
                <mc:Choice Requires="wps">
                  <w:drawing>
                    <wp:anchor distT="0" distB="0" distL="114300" distR="114300" simplePos="0" relativeHeight="251669504" behindDoc="0" locked="0" layoutInCell="1" allowOverlap="1">
                      <wp:simplePos x="0" y="0"/>
                      <wp:positionH relativeFrom="column">
                        <wp:posOffset>38100</wp:posOffset>
                      </wp:positionH>
                      <wp:positionV relativeFrom="paragraph">
                        <wp:posOffset>1111885</wp:posOffset>
                      </wp:positionV>
                      <wp:extent cx="715645" cy="357505"/>
                      <wp:effectExtent l="2540" t="5715" r="13335" b="17780"/>
                      <wp:wrapNone/>
                      <wp:docPr id="60" name="直接连接符 60"/>
                      <wp:cNvGraphicFramePr/>
                      <a:graphic xmlns:a="http://schemas.openxmlformats.org/drawingml/2006/main">
                        <a:graphicData uri="http://schemas.microsoft.com/office/word/2010/wordprocessingShape">
                          <wps:wsp>
                            <wps:cNvCnPr/>
                            <wps:spPr>
                              <a:xfrm flipH="1">
                                <a:off x="0" y="0"/>
                                <a:ext cx="715645" cy="357505"/>
                              </a:xfrm>
                              <a:prstGeom prst="line">
                                <a:avLst/>
                              </a:prstGeom>
                              <a:ln>
                                <a:solidFill>
                                  <a:srgbClr val="FF0000"/>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margin-left:3pt;margin-top:87.55pt;height:28.15pt;width:56.35pt;z-index:251669504;mso-width-relative:page;mso-height-relative:page;" filled="f" stroked="t" coordsize="21600,21600" o:gfxdata="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ptUpp2AAAAAkBAAAPAAAAAAAAAAEAIAAAACIAAABkcnMvZG93bnJldi54bWxQSwEC&#10;FAAUAAAACACHTuJACuOyXvQBAADCAwAADgAAAAAAAAABACAAAAAnAQAAZHJzL2Uyb0RvYy54bWxQ&#10;SwUGAAAAAAYABgBZAQAAjQUAAAAA&#10;">
                      <v:fill on="f" focussize="0,0"/>
                      <v:stroke weight="1pt" color="#FF0000 [3204]" miterlimit="8" joinstyle="miter"/>
                      <v:imagedata o:title=""/>
                      <o:lock v:ext="edit" aspectratio="f"/>
                    </v:line>
                  </w:pict>
                </mc:Fallback>
              </mc:AlternateContent>
            </w:r>
            <w:r>
              <w:rPr>
                <w:sz w:val="24"/>
              </w:rPr>
              <mc:AlternateContent>
                <mc:Choice Requires="wps">
                  <w:drawing>
                    <wp:anchor distT="0" distB="0" distL="114300" distR="114300" simplePos="0" relativeHeight="251670528" behindDoc="0" locked="0" layoutInCell="1" allowOverlap="1">
                      <wp:simplePos x="0" y="0"/>
                      <wp:positionH relativeFrom="column">
                        <wp:posOffset>536575</wp:posOffset>
                      </wp:positionH>
                      <wp:positionV relativeFrom="paragraph">
                        <wp:posOffset>1302385</wp:posOffset>
                      </wp:positionV>
                      <wp:extent cx="527050" cy="5715"/>
                      <wp:effectExtent l="0" t="49530" r="6350" b="51435"/>
                      <wp:wrapNone/>
                      <wp:docPr id="59" name="直接箭头连接符 59"/>
                      <wp:cNvGraphicFramePr/>
                      <a:graphic xmlns:a="http://schemas.openxmlformats.org/drawingml/2006/main">
                        <a:graphicData uri="http://schemas.microsoft.com/office/word/2010/wordprocessingShape">
                          <wps:wsp>
                            <wps:cNvCnPr/>
                            <wps:spPr>
                              <a:xfrm flipV="1">
                                <a:off x="0" y="0"/>
                                <a:ext cx="527050" cy="5715"/>
                              </a:xfrm>
                              <a:prstGeom prst="straightConnector1">
                                <a:avLst/>
                              </a:prstGeom>
                              <a:ln>
                                <a:solidFill>
                                  <a:srgbClr val="FF0000"/>
                                </a:solidFill>
                                <a:headEnd type="arrow"/>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42.25pt;margin-top:102.55pt;height:0.45pt;width:41.5pt;z-index:251670528;mso-width-relative:page;mso-height-relative:page;" filled="f" stroked="t" coordsize="21600,21600" o:gfxdata="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YkbKz9cAAAAKAQAADwAA&#10;AAAAAAABACAAAAAiAAAAZHJzL2Rvd25yZXYueG1sUEsBAhQAFAAAAAgAh07iQAbwv/MXAgAABgQA&#10;AA4AAAAAAAAAAQAgAAAAJgEAAGRycy9lMm9Eb2MueG1sUEsFBgAAAAAGAAYAWQEAAK8FAAAAAA==&#10;">
                      <v:fill on="f" focussize="0,0"/>
                      <v:stroke weight="1pt" color="#FF0000 [3204]" miterlimit="8" joinstyle="miter" startarrow="open" endarrow="open"/>
                      <v:imagedata o:title=""/>
                      <o:lock v:ext="edit" aspectratio="f"/>
                    </v:shape>
                  </w:pict>
                </mc:Fallback>
              </mc:AlternateContent>
            </w:r>
            <w:r>
              <w:rPr>
                <w:sz w:val="24"/>
              </w:rPr>
              <mc:AlternateContent>
                <mc:Choice Requires="wps">
                  <w:drawing>
                    <wp:anchor distT="0" distB="0" distL="114300" distR="114300" simplePos="0" relativeHeight="251668480" behindDoc="0" locked="0" layoutInCell="1" allowOverlap="1">
                      <wp:simplePos x="0" y="0"/>
                      <wp:positionH relativeFrom="column">
                        <wp:posOffset>937895</wp:posOffset>
                      </wp:positionH>
                      <wp:positionV relativeFrom="paragraph">
                        <wp:posOffset>1096645</wp:posOffset>
                      </wp:positionV>
                      <wp:extent cx="744220" cy="393065"/>
                      <wp:effectExtent l="3175" t="5715" r="14605" b="12700"/>
                      <wp:wrapNone/>
                      <wp:docPr id="61" name="直接连接符 61"/>
                      <wp:cNvGraphicFramePr/>
                      <a:graphic xmlns:a="http://schemas.openxmlformats.org/drawingml/2006/main">
                        <a:graphicData uri="http://schemas.microsoft.com/office/word/2010/wordprocessingShape">
                          <wps:wsp>
                            <wps:cNvCnPr/>
                            <wps:spPr>
                              <a:xfrm>
                                <a:off x="0" y="0"/>
                                <a:ext cx="744220" cy="393065"/>
                              </a:xfrm>
                              <a:prstGeom prst="line">
                                <a:avLst/>
                              </a:prstGeom>
                              <a:ln>
                                <a:solidFill>
                                  <a:srgbClr val="FF0000"/>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73.85pt;margin-top:86.35pt;height:30.95pt;width:58.6pt;z-index:251668480;mso-width-relative:page;mso-height-relative:page;" filled="f" stroked="t" coordsize="21600,21600" o:gfxdata="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JZJT2zZAAAACwEAAA8AAAAAAAAAAQAgAAAAIgAAAGRycy9kb3ducmV2LnhtbFBLAQIUABQAAAAI&#10;AIdO4kAOeQqu7AEAALgDAAAOAAAAAAAAAAEAIAAAACgBAABkcnMvZTJvRG9jLnhtbFBLBQYAAAAA&#10;BgAGAFkBAACGBQAAAAA=&#10;">
                      <v:fill on="f" focussize="0,0"/>
                      <v:stroke weight="1pt" color="#FF0000 [3204]" miterlimit="8" joinstyle="miter"/>
                      <v:imagedata o:title=""/>
                      <o:lock v:ext="edit" aspectratio="f"/>
                    </v:line>
                  </w:pict>
                </mc:Fallback>
              </mc:AlternateContent>
            </w:r>
            <w:r>
              <w:rPr>
                <w:rFonts w:hint="eastAsia" w:ascii="仿宋" w:hAnsi="仿宋" w:eastAsia="仿宋" w:cs="仿宋"/>
                <w:sz w:val="24"/>
                <w:szCs w:val="24"/>
              </w:rPr>
              <w:drawing>
                <wp:inline distT="0" distB="0" distL="114300" distR="114300">
                  <wp:extent cx="1719580" cy="2075815"/>
                  <wp:effectExtent l="0" t="0" r="2540" b="12065"/>
                  <wp:docPr id="3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
                          <pic:cNvPicPr>
                            <a:picLocks noChangeAspect="1"/>
                          </pic:cNvPicPr>
                        </pic:nvPicPr>
                        <pic:blipFill>
                          <a:blip r:embed="rId8"/>
                          <a:srcRect b="9484"/>
                          <a:stretch>
                            <a:fillRect/>
                          </a:stretch>
                        </pic:blipFill>
                        <pic:spPr>
                          <a:xfrm>
                            <a:off x="0" y="0"/>
                            <a:ext cx="1719580" cy="2075815"/>
                          </a:xfrm>
                          <a:prstGeom prst="rect">
                            <a:avLst/>
                          </a:prstGeom>
                          <a:noFill/>
                          <a:ln>
                            <a:noFill/>
                          </a:ln>
                        </pic:spPr>
                      </pic:pic>
                    </a:graphicData>
                  </a:graphic>
                </wp:inline>
              </w:drawing>
            </w:r>
          </w:p>
        </w:tc>
        <w:tc>
          <w:tcPr>
            <w:tcW w:w="2966" w:type="dxa"/>
            <w:tcBorders>
              <w:tl2br w:val="nil"/>
              <w:tr2bl w:val="nil"/>
            </w:tcBorders>
          </w:tcPr>
          <w:p w14:paraId="6530BA24">
            <w:pPr>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1743710" cy="2122170"/>
                  <wp:effectExtent l="0" t="0" r="8890" b="11430"/>
                  <wp:docPr id="3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
                          <pic:cNvPicPr>
                            <a:picLocks noChangeAspect="1"/>
                          </pic:cNvPicPr>
                        </pic:nvPicPr>
                        <pic:blipFill>
                          <a:blip r:embed="rId9"/>
                          <a:srcRect b="8738"/>
                          <a:stretch>
                            <a:fillRect/>
                          </a:stretch>
                        </pic:blipFill>
                        <pic:spPr>
                          <a:xfrm>
                            <a:off x="0" y="0"/>
                            <a:ext cx="1743710" cy="2122170"/>
                          </a:xfrm>
                          <a:prstGeom prst="rect">
                            <a:avLst/>
                          </a:prstGeom>
                          <a:noFill/>
                          <a:ln>
                            <a:noFill/>
                          </a:ln>
                        </pic:spPr>
                      </pic:pic>
                    </a:graphicData>
                  </a:graphic>
                </wp:inline>
              </w:drawing>
            </w:r>
            <w:r>
              <w:rPr>
                <w:sz w:val="24"/>
              </w:rPr>
              <mc:AlternateContent>
                <mc:Choice Requires="wps">
                  <w:drawing>
                    <wp:anchor distT="0" distB="0" distL="114300" distR="114300" simplePos="0" relativeHeight="251672576" behindDoc="0" locked="0" layoutInCell="1" allowOverlap="1">
                      <wp:simplePos x="0" y="0"/>
                      <wp:positionH relativeFrom="column">
                        <wp:posOffset>14605</wp:posOffset>
                      </wp:positionH>
                      <wp:positionV relativeFrom="paragraph">
                        <wp:posOffset>938530</wp:posOffset>
                      </wp:positionV>
                      <wp:extent cx="553720" cy="267970"/>
                      <wp:effectExtent l="2540" t="5715" r="7620" b="15875"/>
                      <wp:wrapNone/>
                      <wp:docPr id="63" name="直接连接符 63"/>
                      <wp:cNvGraphicFramePr/>
                      <a:graphic xmlns:a="http://schemas.openxmlformats.org/drawingml/2006/main">
                        <a:graphicData uri="http://schemas.microsoft.com/office/word/2010/wordprocessingShape">
                          <wps:wsp>
                            <wps:cNvCnPr/>
                            <wps:spPr>
                              <a:xfrm flipH="1">
                                <a:off x="0" y="0"/>
                                <a:ext cx="553720" cy="267970"/>
                              </a:xfrm>
                              <a:prstGeom prst="line">
                                <a:avLst/>
                              </a:prstGeom>
                              <a:ln>
                                <a:solidFill>
                                  <a:srgbClr val="FF0000"/>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margin-left:1.15pt;margin-top:73.9pt;height:21.1pt;width:43.6pt;z-index:251672576;mso-width-relative:page;mso-height-relative:page;" filled="f" stroked="t" coordsize="21600,21600" o:gfxdata="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SmgYctcAAAAIAQAADwAAAAAAAAABACAAAAAiAAAAZHJzL2Rvd25yZXYueG1sUEsB&#10;AhQAFAAAAAgAh07iQLpv6dP2AQAAwgMAAA4AAAAAAAAAAQAgAAAAJgEAAGRycy9lMm9Eb2MueG1s&#10;UEsFBgAAAAAGAAYAWQEAAI4FAAAAAA==&#10;">
                      <v:fill on="f" focussize="0,0"/>
                      <v:stroke weight="1pt" color="#FF0000 [3204]" miterlimit="8" joinstyle="miter"/>
                      <v:imagedata o:title=""/>
                      <o:lock v:ext="edit" aspectratio="f"/>
                    </v:line>
                  </w:pict>
                </mc:Fallback>
              </mc:AlternateContent>
            </w:r>
            <w:r>
              <w:rPr>
                <w:sz w:val="24"/>
              </w:rPr>
              <mc:AlternateContent>
                <mc:Choice Requires="wps">
                  <w:drawing>
                    <wp:anchor distT="0" distB="0" distL="114300" distR="114300" simplePos="0" relativeHeight="251671552" behindDoc="0" locked="0" layoutInCell="1" allowOverlap="1">
                      <wp:simplePos x="0" y="0"/>
                      <wp:positionH relativeFrom="column">
                        <wp:posOffset>885190</wp:posOffset>
                      </wp:positionH>
                      <wp:positionV relativeFrom="paragraph">
                        <wp:posOffset>915035</wp:posOffset>
                      </wp:positionV>
                      <wp:extent cx="835025" cy="343535"/>
                      <wp:effectExtent l="2540" t="5715" r="15875" b="16510"/>
                      <wp:wrapNone/>
                      <wp:docPr id="64" name="直接连接符 64"/>
                      <wp:cNvGraphicFramePr/>
                      <a:graphic xmlns:a="http://schemas.openxmlformats.org/drawingml/2006/main">
                        <a:graphicData uri="http://schemas.microsoft.com/office/word/2010/wordprocessingShape">
                          <wps:wsp>
                            <wps:cNvCnPr/>
                            <wps:spPr>
                              <a:xfrm>
                                <a:off x="0" y="0"/>
                                <a:ext cx="835025" cy="343535"/>
                              </a:xfrm>
                              <a:prstGeom prst="line">
                                <a:avLst/>
                              </a:prstGeom>
                              <a:ln>
                                <a:solidFill>
                                  <a:srgbClr val="FF0000"/>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69.7pt;margin-top:72.05pt;height:27.05pt;width:65.75pt;z-index:251671552;mso-width-relative:page;mso-height-relative:page;" filled="f" stroked="t" coordsize="21600,21600" o:gfxdata="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Ox/2ljbAAAACwEAAA8AAAAAAAAAAQAgAAAAIgAAAGRycy9kb3ducmV2LnhtbFBLAQIUABQA&#10;AAAIAIdO4kDiYJ/q7QEAALgDAAAOAAAAAAAAAAEAIAAAACoBAABkcnMvZTJvRG9jLnhtbFBLBQYA&#10;AAAABgAGAFkBAACJBQAAAAA=&#10;">
                      <v:fill on="f" focussize="0,0"/>
                      <v:stroke weight="1pt" color="#FF0000 [3204]" miterlimit="8" joinstyle="miter"/>
                      <v:imagedata o:title=""/>
                      <o:lock v:ext="edit" aspectratio="f"/>
                    </v:line>
                  </w:pict>
                </mc:Fallback>
              </mc:AlternateContent>
            </w:r>
            <w:r>
              <w:rPr>
                <w:sz w:val="24"/>
              </w:rPr>
              <mc:AlternateContent>
                <mc:Choice Requires="wps">
                  <w:drawing>
                    <wp:anchor distT="0" distB="0" distL="114300" distR="114300" simplePos="0" relativeHeight="251673600" behindDoc="0" locked="0" layoutInCell="1" allowOverlap="1">
                      <wp:simplePos x="0" y="0"/>
                      <wp:positionH relativeFrom="column">
                        <wp:posOffset>419735</wp:posOffset>
                      </wp:positionH>
                      <wp:positionV relativeFrom="paragraph">
                        <wp:posOffset>1091565</wp:posOffset>
                      </wp:positionV>
                      <wp:extent cx="723265" cy="5080"/>
                      <wp:effectExtent l="0" t="50165" r="8255" b="51435"/>
                      <wp:wrapNone/>
                      <wp:docPr id="62" name="直接箭头连接符 62"/>
                      <wp:cNvGraphicFramePr/>
                      <a:graphic xmlns:a="http://schemas.openxmlformats.org/drawingml/2006/main">
                        <a:graphicData uri="http://schemas.microsoft.com/office/word/2010/wordprocessingShape">
                          <wps:wsp>
                            <wps:cNvCnPr/>
                            <wps:spPr>
                              <a:xfrm>
                                <a:off x="0" y="0"/>
                                <a:ext cx="723265" cy="5080"/>
                              </a:xfrm>
                              <a:prstGeom prst="straightConnector1">
                                <a:avLst/>
                              </a:prstGeom>
                              <a:ln>
                                <a:solidFill>
                                  <a:srgbClr val="FF0000"/>
                                </a:solidFill>
                                <a:headEnd type="arrow"/>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33.05pt;margin-top:85.95pt;height:0.4pt;width:56.95pt;z-index:251673600;mso-width-relative:page;mso-height-relative:page;" filled="f" stroked="t" coordsize="21600,21600" o:gfxdata="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lOJ/otYAAAAKAQAADwAAAAAAAAAB&#10;ACAAAAAiAAAAZHJzL2Rvd25yZXYueG1sUEsBAhQAFAAAAAgAh07iQBA1kbASAgAA/AMAAA4AAAAA&#10;AAAAAQAgAAAAJQEAAGRycy9lMm9Eb2MueG1sUEsFBgAAAAAGAAYAWQEAAKkFAAAAAA==&#10;">
                      <v:fill on="f" focussize="0,0"/>
                      <v:stroke weight="1pt" color="#FF0000 [3204]" miterlimit="8" joinstyle="miter" startarrow="open" endarrow="open"/>
                      <v:imagedata o:title=""/>
                      <o:lock v:ext="edit" aspectratio="f"/>
                    </v:shape>
                  </w:pict>
                </mc:Fallback>
              </mc:AlternateContent>
            </w:r>
          </w:p>
        </w:tc>
      </w:tr>
      <w:tr w14:paraId="30FDF2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39" w:type="dxa"/>
            <w:tcBorders>
              <w:tl2br w:val="nil"/>
              <w:tr2bl w:val="nil"/>
            </w:tcBorders>
            <w:vAlign w:val="top"/>
          </w:tcPr>
          <w:p w14:paraId="4E1C891E">
            <w:pPr>
              <w:jc w:val="center"/>
              <w:rPr>
                <w:rFonts w:hint="eastAsia" w:ascii="仿宋" w:hAnsi="仿宋" w:eastAsia="仿宋" w:cs="仿宋"/>
                <w:kern w:val="2"/>
                <w:sz w:val="24"/>
                <w:szCs w:val="24"/>
                <w:lang w:val="en-US" w:eastAsia="zh-Hans" w:bidi="ar-SA"/>
              </w:rPr>
            </w:pPr>
            <w:r>
              <w:rPr>
                <w:rFonts w:hint="eastAsia" w:ascii="仿宋" w:hAnsi="仿宋" w:eastAsia="仿宋" w:cs="仿宋"/>
                <w:sz w:val="24"/>
                <w:szCs w:val="24"/>
                <w:lang w:val="en-US" w:eastAsia="zh-Hans"/>
              </w:rPr>
              <w:t>西苑</w:t>
            </w:r>
            <w:r>
              <w:rPr>
                <w:rFonts w:hint="eastAsia" w:ascii="仿宋" w:hAnsi="仿宋" w:eastAsia="仿宋" w:cs="仿宋"/>
                <w:sz w:val="24"/>
                <w:szCs w:val="24"/>
                <w:lang w:val="en-US" w:eastAsia="zh-CN"/>
              </w:rPr>
              <w:t>学舍</w:t>
            </w:r>
          </w:p>
        </w:tc>
        <w:tc>
          <w:tcPr>
            <w:tcW w:w="2917" w:type="dxa"/>
            <w:tcBorders>
              <w:tl2br w:val="nil"/>
              <w:tr2bl w:val="nil"/>
            </w:tcBorders>
            <w:vAlign w:val="top"/>
          </w:tcPr>
          <w:p w14:paraId="264AFE7B">
            <w:pPr>
              <w:jc w:val="center"/>
              <w:rPr>
                <w:rFonts w:hint="eastAsia" w:ascii="仿宋" w:hAnsi="仿宋" w:eastAsia="仿宋" w:cs="仿宋"/>
                <w:kern w:val="2"/>
                <w:sz w:val="24"/>
                <w:szCs w:val="24"/>
                <w:lang w:val="en-US" w:eastAsia="zh-Hans" w:bidi="ar-SA"/>
              </w:rPr>
            </w:pPr>
            <w:r>
              <w:rPr>
                <w:rFonts w:hint="eastAsia" w:ascii="仿宋" w:hAnsi="仿宋" w:eastAsia="仿宋" w:cs="仿宋"/>
                <w:sz w:val="24"/>
                <w:szCs w:val="24"/>
                <w:lang w:val="en-US" w:eastAsia="zh-Hans"/>
              </w:rPr>
              <w:t>中苑</w:t>
            </w:r>
            <w:r>
              <w:rPr>
                <w:rFonts w:hint="eastAsia" w:ascii="仿宋" w:hAnsi="仿宋" w:eastAsia="仿宋" w:cs="仿宋"/>
                <w:sz w:val="24"/>
                <w:szCs w:val="24"/>
                <w:lang w:val="en-US" w:eastAsia="zh-CN"/>
              </w:rPr>
              <w:t>学舍</w:t>
            </w:r>
          </w:p>
        </w:tc>
        <w:tc>
          <w:tcPr>
            <w:tcW w:w="2966" w:type="dxa"/>
            <w:tcBorders>
              <w:tl2br w:val="nil"/>
              <w:tr2bl w:val="nil"/>
            </w:tcBorders>
            <w:vAlign w:val="top"/>
          </w:tcPr>
          <w:p w14:paraId="52BC84ED">
            <w:pPr>
              <w:jc w:val="center"/>
              <w:rPr>
                <w:rFonts w:hint="eastAsia" w:ascii="仿宋" w:hAnsi="仿宋" w:eastAsia="仿宋" w:cs="仿宋"/>
                <w:kern w:val="2"/>
                <w:sz w:val="24"/>
                <w:szCs w:val="24"/>
                <w:lang w:val="en-US" w:eastAsia="zh-Hans" w:bidi="ar-SA"/>
              </w:rPr>
            </w:pPr>
            <w:r>
              <w:rPr>
                <w:rFonts w:hint="eastAsia" w:ascii="仿宋" w:hAnsi="仿宋" w:eastAsia="仿宋" w:cs="仿宋"/>
                <w:sz w:val="24"/>
                <w:szCs w:val="24"/>
                <w:lang w:val="en-US" w:eastAsia="zh-Hans"/>
              </w:rPr>
              <w:t>北苑</w:t>
            </w:r>
            <w:r>
              <w:rPr>
                <w:rFonts w:hint="eastAsia" w:ascii="仿宋" w:hAnsi="仿宋" w:eastAsia="仿宋" w:cs="仿宋"/>
                <w:sz w:val="24"/>
                <w:szCs w:val="24"/>
                <w:lang w:val="en-US" w:eastAsia="zh-CN"/>
              </w:rPr>
              <w:t>学舍</w:t>
            </w:r>
          </w:p>
        </w:tc>
      </w:tr>
    </w:tbl>
    <w:p w14:paraId="04D475B2">
      <w:pPr>
        <w:rPr>
          <w:rFonts w:hint="eastAsia" w:ascii="仿宋" w:hAnsi="仿宋" w:eastAsia="仿宋" w:cs="仿宋"/>
          <w:sz w:val="24"/>
          <w:szCs w:val="24"/>
          <w:lang w:eastAsia="zh-Hans"/>
        </w:rPr>
      </w:pPr>
      <w:r>
        <w:rPr>
          <w:rFonts w:hint="eastAsia" w:ascii="仿宋" w:hAnsi="仿宋" w:eastAsia="仿宋" w:cs="仿宋"/>
          <w:sz w:val="24"/>
          <w:szCs w:val="24"/>
          <w:lang w:eastAsia="zh-Hans"/>
        </w:rPr>
        <w:t>2、</w:t>
      </w:r>
      <w:r>
        <w:rPr>
          <w:rFonts w:hint="eastAsia" w:ascii="仿宋" w:hAnsi="仿宋" w:eastAsia="仿宋" w:cs="仿宋"/>
          <w:sz w:val="24"/>
          <w:szCs w:val="24"/>
          <w:lang w:val="en-US" w:eastAsia="zh-Hans"/>
        </w:rPr>
        <w:t>学生食堂门前三包范围</w:t>
      </w: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门前延伸至广场</w:t>
      </w:r>
      <w:r>
        <w:rPr>
          <w:rFonts w:hint="eastAsia" w:ascii="仿宋" w:hAnsi="仿宋" w:eastAsia="仿宋" w:cs="仿宋"/>
          <w:sz w:val="24"/>
          <w:szCs w:val="24"/>
          <w:lang w:val="en-US" w:eastAsia="zh-CN"/>
        </w:rPr>
        <w:t>（道路）</w:t>
      </w:r>
      <w:r>
        <w:rPr>
          <w:rFonts w:hint="eastAsia" w:ascii="仿宋" w:hAnsi="仿宋" w:eastAsia="仿宋" w:cs="仿宋"/>
          <w:sz w:val="24"/>
          <w:szCs w:val="24"/>
          <w:lang w:val="en-US" w:eastAsia="zh-Hans"/>
        </w:rPr>
        <w:t>路牙石边界</w:t>
      </w:r>
    </w:p>
    <w:tbl>
      <w:tblPr>
        <w:tblStyle w:val="6"/>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71"/>
        <w:gridCol w:w="4251"/>
      </w:tblGrid>
      <w:tr w14:paraId="0EEF71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74" w:type="pct"/>
            <w:tcBorders>
              <w:tl2br w:val="nil"/>
              <w:tr2bl w:val="nil"/>
            </w:tcBorders>
          </w:tcPr>
          <w:p w14:paraId="6B0FD48A">
            <w:pPr>
              <w:rPr>
                <w:rFonts w:hint="eastAsia" w:ascii="仿宋" w:hAnsi="仿宋" w:eastAsia="仿宋" w:cs="仿宋"/>
                <w:sz w:val="24"/>
                <w:szCs w:val="24"/>
                <w:vertAlign w:val="baseline"/>
                <w:lang w:val="en-US" w:eastAsia="zh-Hans"/>
              </w:rPr>
            </w:pPr>
            <w:r>
              <w:rPr>
                <w:sz w:val="24"/>
              </w:rPr>
              <mc:AlternateContent>
                <mc:Choice Requires="wps">
                  <w:drawing>
                    <wp:anchor distT="0" distB="0" distL="114300" distR="114300" simplePos="0" relativeHeight="251695104" behindDoc="0" locked="0" layoutInCell="1" allowOverlap="1">
                      <wp:simplePos x="0" y="0"/>
                      <wp:positionH relativeFrom="column">
                        <wp:posOffset>-23495</wp:posOffset>
                      </wp:positionH>
                      <wp:positionV relativeFrom="paragraph">
                        <wp:posOffset>1489710</wp:posOffset>
                      </wp:positionV>
                      <wp:extent cx="2597150" cy="240030"/>
                      <wp:effectExtent l="7620" t="6985" r="16510" b="12065"/>
                      <wp:wrapNone/>
                      <wp:docPr id="110" name="任意多边形 110"/>
                      <wp:cNvGraphicFramePr/>
                      <a:graphic xmlns:a="http://schemas.openxmlformats.org/drawingml/2006/main">
                        <a:graphicData uri="http://schemas.microsoft.com/office/word/2010/wordprocessingShape">
                          <wps:wsp>
                            <wps:cNvSpPr/>
                            <wps:spPr>
                              <a:xfrm>
                                <a:off x="1119505" y="8314055"/>
                                <a:ext cx="2597150" cy="240030"/>
                              </a:xfrm>
                              <a:custGeom>
                                <a:avLst/>
                                <a:gdLst>
                                  <a:gd name="connisteX0" fmla="*/ 29210 w 2597150"/>
                                  <a:gd name="connsiteY0" fmla="*/ 52705 h 240030"/>
                                  <a:gd name="connisteX1" fmla="*/ 697865 w 2597150"/>
                                  <a:gd name="connsiteY1" fmla="*/ 52705 h 240030"/>
                                  <a:gd name="connisteX2" fmla="*/ 774065 w 2597150"/>
                                  <a:gd name="connsiteY2" fmla="*/ 52705 h 240030"/>
                                  <a:gd name="connisteX3" fmla="*/ 1565275 w 2597150"/>
                                  <a:gd name="connsiteY3" fmla="*/ 5715 h 240030"/>
                                  <a:gd name="connisteX4" fmla="*/ 2514600 w 2597150"/>
                                  <a:gd name="connsiteY4" fmla="*/ 5715 h 240030"/>
                                  <a:gd name="connisteX5" fmla="*/ 2597150 w 2597150"/>
                                  <a:gd name="connsiteY5" fmla="*/ 0 h 240030"/>
                                  <a:gd name="connisteX6" fmla="*/ 2585085 w 2597150"/>
                                  <a:gd name="connsiteY6" fmla="*/ 163830 h 240030"/>
                                  <a:gd name="connisteX7" fmla="*/ 603885 w 2597150"/>
                                  <a:gd name="connsiteY7" fmla="*/ 228600 h 240030"/>
                                  <a:gd name="connisteX8" fmla="*/ 0 w 2597150"/>
                                  <a:gd name="connsiteY8" fmla="*/ 240030 h 240030"/>
                                  <a:gd name="connisteX9" fmla="*/ 29210 w 2597150"/>
                                  <a:gd name="connsiteY9" fmla="*/ 52705 h 24003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Lst>
                                <a:rect l="l" t="t" r="r" b="b"/>
                                <a:pathLst>
                                  <a:path w="2597150" h="240030">
                                    <a:moveTo>
                                      <a:pt x="29210" y="52705"/>
                                    </a:moveTo>
                                    <a:lnTo>
                                      <a:pt x="697865" y="52705"/>
                                    </a:lnTo>
                                    <a:lnTo>
                                      <a:pt x="774065" y="52705"/>
                                    </a:lnTo>
                                    <a:lnTo>
                                      <a:pt x="1565275" y="5715"/>
                                    </a:lnTo>
                                    <a:lnTo>
                                      <a:pt x="2514600" y="5715"/>
                                    </a:lnTo>
                                    <a:lnTo>
                                      <a:pt x="2597150" y="0"/>
                                    </a:lnTo>
                                    <a:lnTo>
                                      <a:pt x="2585085" y="163830"/>
                                    </a:lnTo>
                                    <a:lnTo>
                                      <a:pt x="603885" y="228600"/>
                                    </a:lnTo>
                                    <a:lnTo>
                                      <a:pt x="0" y="240030"/>
                                    </a:lnTo>
                                    <a:lnTo>
                                      <a:pt x="29210" y="52705"/>
                                    </a:lnTo>
                                    <a:close/>
                                  </a:path>
                                </a:pathLst>
                              </a:cu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1.85pt;margin-top:117.3pt;height:18.9pt;width:204.5pt;z-index:251695104;mso-width-relative:page;mso-height-relative:page;" filled="f" stroked="t" coordsize="2597150,240030" o:gfxdata="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" path="m29210,52705l697865,52705,774065,52705,1565275,5715,2514600,5715,2597150,0,2585085,163830,603885,228600,0,240030,29210,52705xe">
                      <v:path o:connectlocs="29210,52705;697865,52705;774065,52705;1565275,5715;2514600,5715;2597150,0;2585085,163830;603885,228600;0,240030;29210,52705" o:connectangles="0,0,0,0,0,0,0,0,0,0"/>
                      <v:fill on="f" focussize="0,0"/>
                      <v:stroke weight="1pt" color="#FF0000 [2404]" miterlimit="8" joinstyle="miter"/>
                      <v:imagedata o:title=""/>
                      <o:lock v:ext="edit" aspectratio="f"/>
                    </v:shape>
                  </w:pict>
                </mc:Fallback>
              </mc:AlternateContent>
            </w:r>
            <w:r>
              <w:rPr>
                <w:sz w:val="24"/>
              </w:rPr>
              <w:drawing>
                <wp:inline distT="0" distB="0" distL="114300" distR="114300">
                  <wp:extent cx="2567940" cy="1925320"/>
                  <wp:effectExtent l="0" t="0" r="7620" b="10160"/>
                  <wp:docPr id="109" name="图片 109" descr="027dbd21ad1e15740794401ecf939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027dbd21ad1e15740794401ecf9396c"/>
                          <pic:cNvPicPr>
                            <a:picLocks noChangeAspect="1"/>
                          </pic:cNvPicPr>
                        </pic:nvPicPr>
                        <pic:blipFill>
                          <a:blip r:embed="rId10"/>
                          <a:stretch>
                            <a:fillRect/>
                          </a:stretch>
                        </pic:blipFill>
                        <pic:spPr>
                          <a:xfrm>
                            <a:off x="0" y="0"/>
                            <a:ext cx="2567940" cy="1925320"/>
                          </a:xfrm>
                          <a:prstGeom prst="rect">
                            <a:avLst/>
                          </a:prstGeom>
                        </pic:spPr>
                      </pic:pic>
                    </a:graphicData>
                  </a:graphic>
                </wp:inline>
              </w:drawing>
            </w:r>
            <w:r>
              <w:rPr>
                <w:sz w:val="24"/>
              </w:rPr>
              <mc:AlternateContent>
                <mc:Choice Requires="wps">
                  <w:drawing>
                    <wp:anchor distT="0" distB="0" distL="114300" distR="114300" simplePos="0" relativeHeight="251674624" behindDoc="0" locked="0" layoutInCell="1" allowOverlap="1">
                      <wp:simplePos x="0" y="0"/>
                      <wp:positionH relativeFrom="column">
                        <wp:posOffset>979170</wp:posOffset>
                      </wp:positionH>
                      <wp:positionV relativeFrom="paragraph">
                        <wp:posOffset>1507490</wp:posOffset>
                      </wp:positionV>
                      <wp:extent cx="99695" cy="187325"/>
                      <wp:effectExtent l="3810" t="3175" r="18415" b="7620"/>
                      <wp:wrapNone/>
                      <wp:docPr id="68" name="直接箭头连接符 68"/>
                      <wp:cNvGraphicFramePr/>
                      <a:graphic xmlns:a="http://schemas.openxmlformats.org/drawingml/2006/main">
                        <a:graphicData uri="http://schemas.microsoft.com/office/word/2010/wordprocessingShape">
                          <wps:wsp>
                            <wps:cNvCnPr/>
                            <wps:spPr>
                              <a:xfrm flipH="1">
                                <a:off x="0" y="0"/>
                                <a:ext cx="99695" cy="187325"/>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77.1pt;margin-top:118.7pt;height:14.75pt;width:7.85pt;z-index:251674624;mso-width-relative:page;mso-height-relative:page;" filled="f" stroked="t" coordsize="21600,21600" o:gfxdata="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Boav3YAAAACwEAAA8AAAAA&#10;AAAAAQAgAAAAIgAAAGRycy9kb3ducmV2LnhtbFBLAQIUABQAAAAIAIdO4kBxOIChFAIAAO4DAAAO&#10;AAAAAAAAAAEAIAAAACcBAABkcnMvZTJvRG9jLnhtbFBLBQYAAAAABgAGAFkBAACtBQAAAAA=&#10;">
                      <v:fill on="f" focussize="0,0"/>
                      <v:stroke weight="1pt" color="#FF0000 [3204]" miterlimit="8" joinstyle="miter" endarrow="open"/>
                      <v:imagedata o:title=""/>
                      <o:lock v:ext="edit" aspectratio="f"/>
                    </v:shape>
                  </w:pict>
                </mc:Fallback>
              </mc:AlternateContent>
            </w:r>
          </w:p>
        </w:tc>
        <w:tc>
          <w:tcPr>
            <w:tcW w:w="2625" w:type="pct"/>
            <w:tcBorders>
              <w:tl2br w:val="nil"/>
              <w:tr2bl w:val="nil"/>
            </w:tcBorders>
          </w:tcPr>
          <w:p w14:paraId="06BF8537">
            <w:pPr>
              <w:rPr>
                <w:rFonts w:hint="eastAsia" w:ascii="仿宋" w:hAnsi="仿宋" w:eastAsia="仿宋" w:cs="仿宋"/>
                <w:sz w:val="24"/>
                <w:szCs w:val="24"/>
                <w:vertAlign w:val="baseline"/>
                <w:lang w:val="en-US" w:eastAsia="zh-Hans"/>
              </w:rPr>
            </w:pPr>
            <w:r>
              <w:rPr>
                <w:sz w:val="24"/>
              </w:rPr>
              <mc:AlternateContent>
                <mc:Choice Requires="wps">
                  <w:drawing>
                    <wp:anchor distT="0" distB="0" distL="114300" distR="114300" simplePos="0" relativeHeight="251676672" behindDoc="0" locked="0" layoutInCell="1" allowOverlap="1">
                      <wp:simplePos x="0" y="0"/>
                      <wp:positionH relativeFrom="column">
                        <wp:posOffset>1145540</wp:posOffset>
                      </wp:positionH>
                      <wp:positionV relativeFrom="paragraph">
                        <wp:posOffset>1238250</wp:posOffset>
                      </wp:positionV>
                      <wp:extent cx="357505" cy="334010"/>
                      <wp:effectExtent l="4445" t="4445" r="3810" b="12065"/>
                      <wp:wrapNone/>
                      <wp:docPr id="70" name="直接箭头连接符 70"/>
                      <wp:cNvGraphicFramePr/>
                      <a:graphic xmlns:a="http://schemas.openxmlformats.org/drawingml/2006/main">
                        <a:graphicData uri="http://schemas.microsoft.com/office/word/2010/wordprocessingShape">
                          <wps:wsp>
                            <wps:cNvCnPr/>
                            <wps:spPr>
                              <a:xfrm>
                                <a:off x="0" y="0"/>
                                <a:ext cx="357505" cy="334010"/>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90.2pt;margin-top:97.5pt;height:26.3pt;width:28.15pt;z-index:251676672;mso-width-relative:page;mso-height-relative:page;" filled="f" stroked="t" coordsize="21600,21600" o:gfxdata="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yswybYAAAACwEAAA8AAAAAAAAAAQAgAAAA&#10;IgAAAGRycy9kb3ducmV2LnhtbFBLAQIUABQAAAAIAIdO4kAK9ehqCwIAAOUDAAAOAAAAAAAAAAEA&#10;IAAAACcBAABkcnMvZTJvRG9jLnhtbFBLBQYAAAAABgAGAFkBAACkBQAAAAA=&#10;">
                      <v:fill on="f" focussize="0,0"/>
                      <v:stroke weight="1pt" color="#FF0000 [3204]"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675648" behindDoc="0" locked="0" layoutInCell="1" allowOverlap="1">
                      <wp:simplePos x="0" y="0"/>
                      <wp:positionH relativeFrom="column">
                        <wp:posOffset>14605</wp:posOffset>
                      </wp:positionH>
                      <wp:positionV relativeFrom="paragraph">
                        <wp:posOffset>1126490</wp:posOffset>
                      </wp:positionV>
                      <wp:extent cx="2620010" cy="838200"/>
                      <wp:effectExtent l="6350" t="6350" r="10160" b="8890"/>
                      <wp:wrapNone/>
                      <wp:docPr id="69" name="任意多边形 69"/>
                      <wp:cNvGraphicFramePr/>
                      <a:graphic xmlns:a="http://schemas.openxmlformats.org/drawingml/2006/main">
                        <a:graphicData uri="http://schemas.microsoft.com/office/word/2010/wordprocessingShape">
                          <wps:wsp>
                            <wps:cNvSpPr/>
                            <wps:spPr>
                              <a:xfrm>
                                <a:off x="3874135" y="7950835"/>
                                <a:ext cx="2620010" cy="838200"/>
                              </a:xfrm>
                              <a:custGeom>
                                <a:avLst/>
                                <a:gdLst>
                                  <a:gd name="connisteX0" fmla="*/ 105410 w 2620010"/>
                                  <a:gd name="connsiteY0" fmla="*/ 0 h 838200"/>
                                  <a:gd name="connisteX1" fmla="*/ 785495 w 2620010"/>
                                  <a:gd name="connsiteY1" fmla="*/ 41275 h 838200"/>
                                  <a:gd name="connisteX2" fmla="*/ 849630 w 2620010"/>
                                  <a:gd name="connsiteY2" fmla="*/ 41275 h 838200"/>
                                  <a:gd name="connisteX3" fmla="*/ 1647190 w 2620010"/>
                                  <a:gd name="connsiteY3" fmla="*/ 12065 h 838200"/>
                                  <a:gd name="connisteX4" fmla="*/ 2104390 w 2620010"/>
                                  <a:gd name="connsiteY4" fmla="*/ 35560 h 838200"/>
                                  <a:gd name="connisteX5" fmla="*/ 2567305 w 2620010"/>
                                  <a:gd name="connsiteY5" fmla="*/ 82550 h 838200"/>
                                  <a:gd name="connisteX6" fmla="*/ 2620010 w 2620010"/>
                                  <a:gd name="connsiteY6" fmla="*/ 311150 h 838200"/>
                                  <a:gd name="connisteX7" fmla="*/ 2596515 w 2620010"/>
                                  <a:gd name="connsiteY7" fmla="*/ 369570 h 838200"/>
                                  <a:gd name="connisteX8" fmla="*/ 5715 w 2620010"/>
                                  <a:gd name="connsiteY8" fmla="*/ 838200 h 838200"/>
                                  <a:gd name="connisteX9" fmla="*/ 0 w 2620010"/>
                                  <a:gd name="connsiteY9" fmla="*/ 41275 h 838200"/>
                                  <a:gd name="connisteX10" fmla="*/ 275590 w 2620010"/>
                                  <a:gd name="connsiteY10" fmla="*/ 12065 h 83820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Lst>
                                <a:rect l="l" t="t" r="r" b="b"/>
                                <a:pathLst>
                                  <a:path w="2620010" h="838200">
                                    <a:moveTo>
                                      <a:pt x="105410" y="0"/>
                                    </a:moveTo>
                                    <a:lnTo>
                                      <a:pt x="785495" y="41275"/>
                                    </a:lnTo>
                                    <a:lnTo>
                                      <a:pt x="849630" y="41275"/>
                                    </a:lnTo>
                                    <a:lnTo>
                                      <a:pt x="1647190" y="12065"/>
                                    </a:lnTo>
                                    <a:lnTo>
                                      <a:pt x="2104390" y="35560"/>
                                    </a:lnTo>
                                    <a:lnTo>
                                      <a:pt x="2567305" y="82550"/>
                                    </a:lnTo>
                                    <a:lnTo>
                                      <a:pt x="2620010" y="311150"/>
                                    </a:lnTo>
                                    <a:lnTo>
                                      <a:pt x="2596515" y="369570"/>
                                    </a:lnTo>
                                    <a:lnTo>
                                      <a:pt x="5715" y="838200"/>
                                    </a:lnTo>
                                    <a:lnTo>
                                      <a:pt x="0" y="41275"/>
                                    </a:lnTo>
                                    <a:lnTo>
                                      <a:pt x="275590" y="12065"/>
                                    </a:lnTo>
                                  </a:path>
                                </a:pathLst>
                              </a:cu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1.15pt;margin-top:88.7pt;height:66pt;width:206.3pt;z-index:251675648;mso-width-relative:page;mso-height-relative:page;" filled="f" stroked="t" coordsize="2620010,838200" o:gfxdata="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" path="m105410,0l785495,41275,849630,41275,1647190,12065,2104390,35560,2567305,82550,2620010,311150,2596515,369570,5715,838200,0,41275,275590,12065e">
                      <v:path o:connectlocs="105410,0;785495,41275;849630,41275;1647190,12065;2104390,35560;2567305,82550;2620010,311150;2596515,369570;5715,838200;0,41275;275590,12065" o:connectangles="0,0,0,0,0,0,0,0,0,0,0"/>
                      <v:fill on="f" focussize="0,0"/>
                      <v:stroke weight="1pt" color="#FF0000 [2404]" miterlimit="8" joinstyle="miter"/>
                      <v:imagedata o:title=""/>
                      <o:lock v:ext="edit" aspectratio="f"/>
                    </v:shape>
                  </w:pict>
                </mc:Fallback>
              </mc:AlternateContent>
            </w:r>
            <w:r>
              <w:rPr>
                <w:rFonts w:hint="eastAsia" w:ascii="仿宋" w:hAnsi="仿宋" w:eastAsia="仿宋" w:cs="仿宋"/>
                <w:sz w:val="24"/>
                <w:szCs w:val="24"/>
              </w:rPr>
              <w:drawing>
                <wp:inline distT="0" distB="0" distL="114300" distR="114300">
                  <wp:extent cx="2612390" cy="1958975"/>
                  <wp:effectExtent l="0" t="0" r="8890" b="6985"/>
                  <wp:docPr id="4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1"/>
                          <pic:cNvPicPr>
                            <a:picLocks noChangeAspect="1"/>
                          </pic:cNvPicPr>
                        </pic:nvPicPr>
                        <pic:blipFill>
                          <a:blip r:embed="rId11"/>
                          <a:stretch>
                            <a:fillRect/>
                          </a:stretch>
                        </pic:blipFill>
                        <pic:spPr>
                          <a:xfrm>
                            <a:off x="0" y="0"/>
                            <a:ext cx="2612390" cy="1958975"/>
                          </a:xfrm>
                          <a:prstGeom prst="rect">
                            <a:avLst/>
                          </a:prstGeom>
                          <a:noFill/>
                          <a:ln>
                            <a:noFill/>
                          </a:ln>
                        </pic:spPr>
                      </pic:pic>
                    </a:graphicData>
                  </a:graphic>
                </wp:inline>
              </w:drawing>
            </w:r>
          </w:p>
        </w:tc>
      </w:tr>
      <w:tr w14:paraId="7580C9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74" w:type="pct"/>
            <w:tcBorders>
              <w:tl2br w:val="nil"/>
              <w:tr2bl w:val="nil"/>
            </w:tcBorders>
          </w:tcPr>
          <w:p w14:paraId="192A2E20">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Hans"/>
              </w:rPr>
              <w:t>西苑</w:t>
            </w:r>
            <w:r>
              <w:rPr>
                <w:rFonts w:hint="eastAsia" w:ascii="仿宋" w:hAnsi="仿宋" w:eastAsia="仿宋" w:cs="仿宋"/>
                <w:sz w:val="24"/>
                <w:szCs w:val="24"/>
                <w:lang w:val="en-US" w:eastAsia="zh-CN"/>
              </w:rPr>
              <w:t>食堂</w:t>
            </w:r>
          </w:p>
        </w:tc>
        <w:tc>
          <w:tcPr>
            <w:tcW w:w="2625" w:type="pct"/>
            <w:tcBorders>
              <w:tl2br w:val="nil"/>
              <w:tr2bl w:val="nil"/>
            </w:tcBorders>
          </w:tcPr>
          <w:p w14:paraId="7A2E8341">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Hans"/>
              </w:rPr>
              <w:t>中苑</w:t>
            </w:r>
            <w:r>
              <w:rPr>
                <w:rFonts w:hint="eastAsia" w:ascii="仿宋" w:hAnsi="仿宋" w:eastAsia="仿宋" w:cs="仿宋"/>
                <w:sz w:val="24"/>
                <w:szCs w:val="24"/>
                <w:lang w:val="en-US" w:eastAsia="zh-CN"/>
              </w:rPr>
              <w:t>食堂</w:t>
            </w:r>
          </w:p>
        </w:tc>
      </w:tr>
      <w:tr w14:paraId="74481F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74" w:type="pct"/>
            <w:tcBorders>
              <w:tl2br w:val="nil"/>
              <w:tr2bl w:val="nil"/>
            </w:tcBorders>
          </w:tcPr>
          <w:p w14:paraId="79A83F49">
            <w:pPr>
              <w:jc w:val="center"/>
              <w:rPr>
                <w:rFonts w:hint="eastAsia" w:ascii="仿宋" w:hAnsi="仿宋" w:eastAsia="仿宋" w:cs="仿宋"/>
                <w:sz w:val="24"/>
                <w:szCs w:val="24"/>
                <w:lang w:val="en-US" w:eastAsia="zh-Hans"/>
              </w:rPr>
            </w:pPr>
            <w:r>
              <w:rPr>
                <w:sz w:val="24"/>
              </w:rPr>
              <mc:AlternateContent>
                <mc:Choice Requires="wps">
                  <w:drawing>
                    <wp:anchor distT="0" distB="0" distL="114300" distR="114300" simplePos="0" relativeHeight="251681792" behindDoc="0" locked="0" layoutInCell="1" allowOverlap="1">
                      <wp:simplePos x="0" y="0"/>
                      <wp:positionH relativeFrom="column">
                        <wp:posOffset>1359535</wp:posOffset>
                      </wp:positionH>
                      <wp:positionV relativeFrom="paragraph">
                        <wp:posOffset>1561465</wp:posOffset>
                      </wp:positionV>
                      <wp:extent cx="216535" cy="257810"/>
                      <wp:effectExtent l="5080" t="3810" r="6985" b="12700"/>
                      <wp:wrapNone/>
                      <wp:docPr id="75" name="直接箭头连接符 75"/>
                      <wp:cNvGraphicFramePr/>
                      <a:graphic xmlns:a="http://schemas.openxmlformats.org/drawingml/2006/main">
                        <a:graphicData uri="http://schemas.microsoft.com/office/word/2010/wordprocessingShape">
                          <wps:wsp>
                            <wps:cNvCnPr/>
                            <wps:spPr>
                              <a:xfrm>
                                <a:off x="0" y="0"/>
                                <a:ext cx="216535" cy="257810"/>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07.05pt;margin-top:122.95pt;height:20.3pt;width:17.05pt;z-index:251681792;mso-width-relative:page;mso-height-relative:page;" filled="f" stroked="t" coordsize="21600,21600" o:gfxdata="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49DT+2AAAAAsBAAAPAAAAAAAAAAEAIAAA&#10;ACIAAABkcnMvZG93bnJldi54bWxQSwECFAAUAAAACACHTuJAzE+CBQwCAADlAwAADgAAAAAAAAAB&#10;ACAAAAAnAQAAZHJzL2Uyb0RvYy54bWxQSwUGAAAAAAYABgBZAQAApQUAAAAA&#10;">
                      <v:fill on="f" focussize="0,0"/>
                      <v:stroke weight="1pt" color="#FF0000 [3204]"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680768" behindDoc="0" locked="0" layoutInCell="1" allowOverlap="1">
                      <wp:simplePos x="0" y="0"/>
                      <wp:positionH relativeFrom="column">
                        <wp:posOffset>11430</wp:posOffset>
                      </wp:positionH>
                      <wp:positionV relativeFrom="paragraph">
                        <wp:posOffset>1305560</wp:posOffset>
                      </wp:positionV>
                      <wp:extent cx="2637790" cy="821055"/>
                      <wp:effectExtent l="10160" t="8255" r="19050" b="8890"/>
                      <wp:wrapNone/>
                      <wp:docPr id="74" name="任意多边形 74"/>
                      <wp:cNvGraphicFramePr/>
                      <a:graphic xmlns:a="http://schemas.openxmlformats.org/drawingml/2006/main">
                        <a:graphicData uri="http://schemas.microsoft.com/office/word/2010/wordprocessingShape">
                          <wps:wsp>
                            <wps:cNvSpPr/>
                            <wps:spPr>
                              <a:xfrm>
                                <a:off x="1154430" y="2219960"/>
                                <a:ext cx="2637790" cy="821055"/>
                              </a:xfrm>
                              <a:custGeom>
                                <a:avLst/>
                                <a:gdLst>
                                  <a:gd name="connisteX0" fmla="*/ 275590 w 2637790"/>
                                  <a:gd name="connsiteY0" fmla="*/ 59055 h 821055"/>
                                  <a:gd name="connisteX1" fmla="*/ 345440 w 2637790"/>
                                  <a:gd name="connsiteY1" fmla="*/ 99060 h 821055"/>
                                  <a:gd name="connisteX2" fmla="*/ 1353820 w 2637790"/>
                                  <a:gd name="connsiteY2" fmla="*/ 193675 h 821055"/>
                                  <a:gd name="connisteX3" fmla="*/ 1998345 w 2637790"/>
                                  <a:gd name="connsiteY3" fmla="*/ 257810 h 821055"/>
                                  <a:gd name="connisteX4" fmla="*/ 2637790 w 2637790"/>
                                  <a:gd name="connsiteY4" fmla="*/ 281940 h 821055"/>
                                  <a:gd name="connisteX5" fmla="*/ 2631440 w 2637790"/>
                                  <a:gd name="connsiteY5" fmla="*/ 821055 h 821055"/>
                                  <a:gd name="connisteX6" fmla="*/ 474345 w 2637790"/>
                                  <a:gd name="connsiteY6" fmla="*/ 340360 h 821055"/>
                                  <a:gd name="connisteX7" fmla="*/ 69850 w 2637790"/>
                                  <a:gd name="connsiteY7" fmla="*/ 181610 h 821055"/>
                                  <a:gd name="connisteX8" fmla="*/ 0 w 2637790"/>
                                  <a:gd name="connsiteY8" fmla="*/ 0 h 821055"/>
                                  <a:gd name="connisteX9" fmla="*/ 240030 w 2637790"/>
                                  <a:gd name="connsiteY9" fmla="*/ 41275 h 82105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Lst>
                                <a:rect l="l" t="t" r="r" b="b"/>
                                <a:pathLst>
                                  <a:path w="2637790" h="821055">
                                    <a:moveTo>
                                      <a:pt x="275590" y="59055"/>
                                    </a:moveTo>
                                    <a:lnTo>
                                      <a:pt x="345440" y="99060"/>
                                    </a:lnTo>
                                    <a:lnTo>
                                      <a:pt x="1353820" y="193675"/>
                                    </a:lnTo>
                                    <a:lnTo>
                                      <a:pt x="1998345" y="257810"/>
                                    </a:lnTo>
                                    <a:lnTo>
                                      <a:pt x="2637790" y="281940"/>
                                    </a:lnTo>
                                    <a:lnTo>
                                      <a:pt x="2631440" y="821055"/>
                                    </a:lnTo>
                                    <a:lnTo>
                                      <a:pt x="474345" y="340360"/>
                                    </a:lnTo>
                                    <a:lnTo>
                                      <a:pt x="69850" y="181610"/>
                                    </a:lnTo>
                                    <a:lnTo>
                                      <a:pt x="0" y="0"/>
                                    </a:lnTo>
                                    <a:lnTo>
                                      <a:pt x="240030" y="41275"/>
                                    </a:lnTo>
                                  </a:path>
                                </a:pathLst>
                              </a:cu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0.9pt;margin-top:102.8pt;height:64.65pt;width:207.7pt;z-index:251680768;mso-width-relative:page;mso-height-relative:page;" filled="f" stroked="t" coordsize="2637790,821055" o:gfxdata="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" path="m275590,59055l345440,99060,1353820,193675,1998345,257810,2637790,281940,2631440,821055,474345,340360,69850,181610,0,0,240030,41275e">
                      <v:path o:connectlocs="275590,59055;345440,99060;1353820,193675;1998345,257810;2637790,281940;2631440,821055;474345,340360;69850,181610;0,0;240030,41275" o:connectangles="0,0,0,0,0,0,0,0,0,0"/>
                      <v:fill on="f" focussize="0,0"/>
                      <v:stroke weight="1pt" color="#FF0000 [2404]" miterlimit="8" joinstyle="miter"/>
                      <v:imagedata o:title=""/>
                      <o:lock v:ext="edit" aspectratio="f"/>
                    </v:shape>
                  </w:pict>
                </mc:Fallback>
              </mc:AlternateContent>
            </w:r>
            <w:r>
              <w:rPr>
                <w:rFonts w:hint="eastAsia" w:ascii="仿宋" w:hAnsi="仿宋" w:eastAsia="仿宋" w:cs="仿宋"/>
                <w:sz w:val="24"/>
                <w:szCs w:val="24"/>
              </w:rPr>
              <w:drawing>
                <wp:inline distT="0" distB="0" distL="114300" distR="114300">
                  <wp:extent cx="2949575" cy="2211070"/>
                  <wp:effectExtent l="0" t="0" r="6985" b="13970"/>
                  <wp:docPr id="4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2"/>
                          <pic:cNvPicPr>
                            <a:picLocks noChangeAspect="1"/>
                          </pic:cNvPicPr>
                        </pic:nvPicPr>
                        <pic:blipFill>
                          <a:blip r:embed="rId12"/>
                          <a:stretch>
                            <a:fillRect/>
                          </a:stretch>
                        </pic:blipFill>
                        <pic:spPr>
                          <a:xfrm>
                            <a:off x="0" y="0"/>
                            <a:ext cx="2949575" cy="2211070"/>
                          </a:xfrm>
                          <a:prstGeom prst="rect">
                            <a:avLst/>
                          </a:prstGeom>
                          <a:noFill/>
                          <a:ln>
                            <a:noFill/>
                          </a:ln>
                        </pic:spPr>
                      </pic:pic>
                    </a:graphicData>
                  </a:graphic>
                </wp:inline>
              </w:drawing>
            </w:r>
          </w:p>
        </w:tc>
        <w:tc>
          <w:tcPr>
            <w:tcW w:w="2625" w:type="pct"/>
            <w:tcBorders>
              <w:tl2br w:val="nil"/>
              <w:tr2bl w:val="nil"/>
            </w:tcBorders>
          </w:tcPr>
          <w:p w14:paraId="119DCD09">
            <w:pPr>
              <w:jc w:val="center"/>
              <w:rPr>
                <w:rFonts w:hint="eastAsia" w:ascii="仿宋" w:hAnsi="仿宋" w:eastAsia="仿宋" w:cs="仿宋"/>
                <w:sz w:val="24"/>
                <w:szCs w:val="24"/>
                <w:lang w:val="en-US" w:eastAsia="zh-Hans"/>
              </w:rPr>
            </w:pPr>
            <w:r>
              <w:rPr>
                <w:sz w:val="24"/>
              </w:rPr>
              <mc:AlternateContent>
                <mc:Choice Requires="wps">
                  <w:drawing>
                    <wp:anchor distT="0" distB="0" distL="114300" distR="114300" simplePos="0" relativeHeight="251683840" behindDoc="0" locked="0" layoutInCell="1" allowOverlap="1">
                      <wp:simplePos x="0" y="0"/>
                      <wp:positionH relativeFrom="column">
                        <wp:posOffset>2059940</wp:posOffset>
                      </wp:positionH>
                      <wp:positionV relativeFrom="paragraph">
                        <wp:posOffset>1584960</wp:posOffset>
                      </wp:positionV>
                      <wp:extent cx="216535" cy="257810"/>
                      <wp:effectExtent l="5080" t="3810" r="6985" b="12700"/>
                      <wp:wrapNone/>
                      <wp:docPr id="77" name="直接箭头连接符 77"/>
                      <wp:cNvGraphicFramePr/>
                      <a:graphic xmlns:a="http://schemas.openxmlformats.org/drawingml/2006/main">
                        <a:graphicData uri="http://schemas.microsoft.com/office/word/2010/wordprocessingShape">
                          <wps:wsp>
                            <wps:cNvCnPr/>
                            <wps:spPr>
                              <a:xfrm>
                                <a:off x="0" y="0"/>
                                <a:ext cx="216535" cy="257810"/>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62.2pt;margin-top:124.8pt;height:20.3pt;width:17.05pt;z-index:251683840;mso-width-relative:page;mso-height-relative:page;" filled="f" stroked="t" coordsize="21600,21600" o:gfxdata="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ezLA/ZAAAACwEAAA8AAAAAAAAAAQAg&#10;AAAAIgAAAGRycy9kb3ducmV2LnhtbFBLAQIUABQAAAAIAIdO4kAHsNiPDQIAAOUDAAAOAAAAAAAA&#10;AAEAIAAAACgBAABkcnMvZTJvRG9jLnhtbFBLBQYAAAAABgAGAFkBAACnBQAAAAA=&#10;">
                      <v:fill on="f" focussize="0,0"/>
                      <v:stroke weight="1pt" color="#FF0000 [3204]"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682816" behindDoc="0" locked="0" layoutInCell="1" allowOverlap="1">
                      <wp:simplePos x="0" y="0"/>
                      <wp:positionH relativeFrom="column">
                        <wp:posOffset>31750</wp:posOffset>
                      </wp:positionH>
                      <wp:positionV relativeFrom="paragraph">
                        <wp:posOffset>1315085</wp:posOffset>
                      </wp:positionV>
                      <wp:extent cx="2597150" cy="603250"/>
                      <wp:effectExtent l="9525" t="6985" r="14605" b="14605"/>
                      <wp:wrapNone/>
                      <wp:docPr id="76" name="任意多边形 76"/>
                      <wp:cNvGraphicFramePr/>
                      <a:graphic xmlns:a="http://schemas.openxmlformats.org/drawingml/2006/main">
                        <a:graphicData uri="http://schemas.microsoft.com/office/word/2010/wordprocessingShape">
                          <wps:wsp>
                            <wps:cNvSpPr/>
                            <wps:spPr>
                              <a:xfrm>
                                <a:off x="3891280" y="2229485"/>
                                <a:ext cx="2597150" cy="603250"/>
                              </a:xfrm>
                              <a:custGeom>
                                <a:avLst/>
                                <a:gdLst>
                                  <a:gd name="connisteX0" fmla="*/ 59055 w 2597150"/>
                                  <a:gd name="connsiteY0" fmla="*/ 0 h 603250"/>
                                  <a:gd name="connisteX1" fmla="*/ 1266190 w 2597150"/>
                                  <a:gd name="connsiteY1" fmla="*/ 133985 h 603250"/>
                                  <a:gd name="connisteX2" fmla="*/ 2221865 w 2597150"/>
                                  <a:gd name="connsiteY2" fmla="*/ 228600 h 603250"/>
                                  <a:gd name="connisteX3" fmla="*/ 2298065 w 2597150"/>
                                  <a:gd name="connsiteY3" fmla="*/ 240030 h 603250"/>
                                  <a:gd name="connisteX4" fmla="*/ 2597150 w 2597150"/>
                                  <a:gd name="connsiteY4" fmla="*/ 222250 h 603250"/>
                                  <a:gd name="connisteX5" fmla="*/ 2597150 w 2597150"/>
                                  <a:gd name="connsiteY5" fmla="*/ 591185 h 603250"/>
                                  <a:gd name="connisteX6" fmla="*/ 2345055 w 2597150"/>
                                  <a:gd name="connsiteY6" fmla="*/ 603250 h 603250"/>
                                  <a:gd name="connisteX7" fmla="*/ 1776095 w 2597150"/>
                                  <a:gd name="connsiteY7" fmla="*/ 468630 h 603250"/>
                                  <a:gd name="connisteX8" fmla="*/ 387350 w 2597150"/>
                                  <a:gd name="connsiteY8" fmla="*/ 198755 h 603250"/>
                                  <a:gd name="connisteX9" fmla="*/ 0 w 2597150"/>
                                  <a:gd name="connsiteY9" fmla="*/ 105410 h 603250"/>
                                  <a:gd name="connisteX10" fmla="*/ 59055 w 2597150"/>
                                  <a:gd name="connsiteY10" fmla="*/ 0 h 60325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Lst>
                                <a:rect l="l" t="t" r="r" b="b"/>
                                <a:pathLst>
                                  <a:path w="2597150" h="603250">
                                    <a:moveTo>
                                      <a:pt x="59055" y="0"/>
                                    </a:moveTo>
                                    <a:lnTo>
                                      <a:pt x="1266190" y="133985"/>
                                    </a:lnTo>
                                    <a:lnTo>
                                      <a:pt x="2221865" y="228600"/>
                                    </a:lnTo>
                                    <a:lnTo>
                                      <a:pt x="2298065" y="240030"/>
                                    </a:lnTo>
                                    <a:lnTo>
                                      <a:pt x="2597150" y="222250"/>
                                    </a:lnTo>
                                    <a:lnTo>
                                      <a:pt x="2597150" y="591185"/>
                                    </a:lnTo>
                                    <a:lnTo>
                                      <a:pt x="2345055" y="603250"/>
                                    </a:lnTo>
                                    <a:lnTo>
                                      <a:pt x="1776095" y="468630"/>
                                    </a:lnTo>
                                    <a:lnTo>
                                      <a:pt x="387350" y="198755"/>
                                    </a:lnTo>
                                    <a:lnTo>
                                      <a:pt x="0" y="105410"/>
                                    </a:lnTo>
                                    <a:lnTo>
                                      <a:pt x="59055" y="0"/>
                                    </a:lnTo>
                                    <a:close/>
                                  </a:path>
                                </a:pathLst>
                              </a:cu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2.5pt;margin-top:103.55pt;height:47.5pt;width:204.5pt;z-index:251682816;mso-width-relative:page;mso-height-relative:page;" filled="f" stroked="t" coordsize="2597150,603250" o:gfxdata="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" path="m59055,0l1266190,133985,2221865,228600,2298065,240030,2597150,222250,2597150,591185,2345055,603250,1776095,468630,387350,198755,0,105410,59055,0xe">
                      <v:path o:connectlocs="59055,0;1266190,133985;2221865,228600;2298065,240030;2597150,222250;2597150,591185;2345055,603250;1776095,468630;387350,198755;0,105410;59055,0" o:connectangles="0,0,0,0,0,0,0,0,0,0,0"/>
                      <v:fill on="f" focussize="0,0"/>
                      <v:stroke weight="1pt" color="#FF0000 [2404]" miterlimit="8" joinstyle="miter"/>
                      <v:imagedata o:title=""/>
                      <o:lock v:ext="edit" aspectratio="f"/>
                    </v:shape>
                  </w:pict>
                </mc:Fallback>
              </mc:AlternateContent>
            </w:r>
            <w:r>
              <w:rPr>
                <w:rFonts w:hint="eastAsia" w:ascii="仿宋" w:hAnsi="仿宋" w:eastAsia="仿宋" w:cs="仿宋"/>
                <w:sz w:val="24"/>
                <w:szCs w:val="24"/>
              </w:rPr>
              <w:drawing>
                <wp:inline distT="0" distB="0" distL="114300" distR="114300">
                  <wp:extent cx="2932430" cy="2198370"/>
                  <wp:effectExtent l="0" t="0" r="8890" b="11430"/>
                  <wp:docPr id="4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3"/>
                          <pic:cNvPicPr>
                            <a:picLocks noChangeAspect="1"/>
                          </pic:cNvPicPr>
                        </pic:nvPicPr>
                        <pic:blipFill>
                          <a:blip r:embed="rId13"/>
                          <a:stretch>
                            <a:fillRect/>
                          </a:stretch>
                        </pic:blipFill>
                        <pic:spPr>
                          <a:xfrm>
                            <a:off x="0" y="0"/>
                            <a:ext cx="2932430" cy="2198370"/>
                          </a:xfrm>
                          <a:prstGeom prst="rect">
                            <a:avLst/>
                          </a:prstGeom>
                          <a:noFill/>
                          <a:ln>
                            <a:noFill/>
                          </a:ln>
                        </pic:spPr>
                      </pic:pic>
                    </a:graphicData>
                  </a:graphic>
                </wp:inline>
              </w:drawing>
            </w:r>
          </w:p>
        </w:tc>
      </w:tr>
      <w:tr w14:paraId="55FE51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74" w:type="pct"/>
            <w:tcBorders>
              <w:tl2br w:val="nil"/>
              <w:tr2bl w:val="nil"/>
            </w:tcBorders>
          </w:tcPr>
          <w:p w14:paraId="1BE5AF6B">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Hans"/>
              </w:rPr>
              <w:t>东苑</w:t>
            </w:r>
            <w:r>
              <w:rPr>
                <w:rFonts w:hint="eastAsia" w:ascii="仿宋" w:hAnsi="仿宋" w:eastAsia="仿宋" w:cs="仿宋"/>
                <w:sz w:val="24"/>
                <w:szCs w:val="24"/>
                <w:lang w:val="en-US" w:eastAsia="zh-CN"/>
              </w:rPr>
              <w:t>食堂</w:t>
            </w:r>
          </w:p>
        </w:tc>
        <w:tc>
          <w:tcPr>
            <w:tcW w:w="2625" w:type="pct"/>
            <w:tcBorders>
              <w:tl2br w:val="nil"/>
              <w:tr2bl w:val="nil"/>
            </w:tcBorders>
          </w:tcPr>
          <w:p w14:paraId="5C23BF90">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Hans"/>
              </w:rPr>
              <w:t>北苑</w:t>
            </w:r>
            <w:r>
              <w:rPr>
                <w:rFonts w:hint="eastAsia" w:ascii="仿宋" w:hAnsi="仿宋" w:eastAsia="仿宋" w:cs="仿宋"/>
                <w:sz w:val="24"/>
                <w:szCs w:val="24"/>
                <w:lang w:val="en-US" w:eastAsia="zh-CN"/>
              </w:rPr>
              <w:t>食堂</w:t>
            </w:r>
          </w:p>
        </w:tc>
      </w:tr>
      <w:tr w14:paraId="2F5AAF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74" w:type="pct"/>
            <w:tcBorders>
              <w:tl2br w:val="nil"/>
              <w:tr2bl w:val="nil"/>
            </w:tcBorders>
          </w:tcPr>
          <w:p w14:paraId="1842D0B1">
            <w:pPr>
              <w:jc w:val="center"/>
              <w:rPr>
                <w:rFonts w:hint="eastAsia" w:ascii="仿宋" w:hAnsi="仿宋" w:eastAsia="仿宋" w:cs="仿宋"/>
                <w:sz w:val="24"/>
                <w:szCs w:val="24"/>
                <w:lang w:val="en-US" w:eastAsia="zh-CN"/>
              </w:rPr>
            </w:pPr>
            <w:r>
              <w:rPr>
                <w:sz w:val="24"/>
              </w:rPr>
              <mc:AlternateContent>
                <mc:Choice Requires="wps">
                  <w:drawing>
                    <wp:anchor distT="0" distB="0" distL="114300" distR="114300" simplePos="0" relativeHeight="251691008" behindDoc="0" locked="0" layoutInCell="1" allowOverlap="1">
                      <wp:simplePos x="0" y="0"/>
                      <wp:positionH relativeFrom="column">
                        <wp:posOffset>1560195</wp:posOffset>
                      </wp:positionH>
                      <wp:positionV relativeFrom="paragraph">
                        <wp:posOffset>1714500</wp:posOffset>
                      </wp:positionV>
                      <wp:extent cx="527050" cy="5715"/>
                      <wp:effectExtent l="0" t="49530" r="6350" b="51435"/>
                      <wp:wrapNone/>
                      <wp:docPr id="93" name="直接箭头连接符 93"/>
                      <wp:cNvGraphicFramePr/>
                      <a:graphic xmlns:a="http://schemas.openxmlformats.org/drawingml/2006/main">
                        <a:graphicData uri="http://schemas.microsoft.com/office/word/2010/wordprocessingShape">
                          <wps:wsp>
                            <wps:cNvCnPr/>
                            <wps:spPr>
                              <a:xfrm flipV="1">
                                <a:off x="0" y="0"/>
                                <a:ext cx="527050" cy="5715"/>
                              </a:xfrm>
                              <a:prstGeom prst="straightConnector1">
                                <a:avLst/>
                              </a:prstGeom>
                              <a:ln>
                                <a:solidFill>
                                  <a:srgbClr val="FF0000"/>
                                </a:solidFill>
                                <a:headEnd type="arrow"/>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22.85pt;margin-top:135pt;height:0.45pt;width:41.5pt;z-index:251691008;mso-width-relative:page;mso-height-relative:page;" filled="f" stroked="t" coordsize="21600,21600" o:gfxdata="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lLsefYAAAACwEAAA8A&#10;AAAAAAAAAQAgAAAAIgAAAGRycy9kb3ducmV2LnhtbFBLAQIUABQAAAAIAIdO4kA4jYLuFwIAAAYE&#10;AAAOAAAAAAAAAAEAIAAAACcBAABkcnMvZTJvRG9jLnhtbFBLBQYAAAAABgAGAFkBAACwBQAAAAA=&#10;">
                      <v:fill on="f" focussize="0,0"/>
                      <v:stroke weight="1pt" color="#FF0000 [3204]" miterlimit="8" joinstyle="miter" startarrow="open" endarrow="open"/>
                      <v:imagedata o:title=""/>
                      <o:lock v:ext="edit" aspectratio="f"/>
                    </v:shape>
                  </w:pict>
                </mc:Fallback>
              </mc:AlternateContent>
            </w:r>
            <w:r>
              <w:rPr>
                <w:sz w:val="24"/>
              </w:rPr>
              <mc:AlternateContent>
                <mc:Choice Requires="wps">
                  <w:drawing>
                    <wp:anchor distT="0" distB="0" distL="114300" distR="114300" simplePos="0" relativeHeight="251689984" behindDoc="0" locked="0" layoutInCell="1" allowOverlap="1">
                      <wp:simplePos x="0" y="0"/>
                      <wp:positionH relativeFrom="column">
                        <wp:posOffset>2028190</wp:posOffset>
                      </wp:positionH>
                      <wp:positionV relativeFrom="paragraph">
                        <wp:posOffset>1417955</wp:posOffset>
                      </wp:positionV>
                      <wp:extent cx="528320" cy="560705"/>
                      <wp:effectExtent l="4445" t="4445" r="15875" b="13970"/>
                      <wp:wrapNone/>
                      <wp:docPr id="92" name="直接连接符 92"/>
                      <wp:cNvGraphicFramePr/>
                      <a:graphic xmlns:a="http://schemas.openxmlformats.org/drawingml/2006/main">
                        <a:graphicData uri="http://schemas.microsoft.com/office/word/2010/wordprocessingShape">
                          <wps:wsp>
                            <wps:cNvCnPr/>
                            <wps:spPr>
                              <a:xfrm>
                                <a:off x="0" y="0"/>
                                <a:ext cx="528320" cy="560705"/>
                              </a:xfrm>
                              <a:prstGeom prst="line">
                                <a:avLst/>
                              </a:prstGeom>
                              <a:ln>
                                <a:solidFill>
                                  <a:srgbClr val="FF0000"/>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59.7pt;margin-top:111.65pt;height:44.15pt;width:41.6pt;z-index:251689984;mso-width-relative:page;mso-height-relative:page;" filled="f" stroked="t" coordsize="21600,21600" o:gfxdata="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S9uc62gAAAAsBAAAPAAAAAAAAAAEAIAAAACIAAABkcnMvZG93bnJldi54bWxQSwECFAAUAAAA&#10;CACHTuJAYrZhTewBAAC4AwAADgAAAAAAAAABACAAAAApAQAAZHJzL2Uyb0RvYy54bWxQSwUGAAAA&#10;AAYABgBZAQAAhwUAAAAA&#10;">
                      <v:fill on="f" focussize="0,0"/>
                      <v:stroke weight="1pt" color="#FF0000 [3204]" miterlimit="8" joinstyle="miter"/>
                      <v:imagedata o:title=""/>
                      <o:lock v:ext="edit" aspectratio="f"/>
                    </v:line>
                  </w:pict>
                </mc:Fallback>
              </mc:AlternateContent>
            </w:r>
            <w:r>
              <w:rPr>
                <w:sz w:val="24"/>
              </w:rPr>
              <mc:AlternateContent>
                <mc:Choice Requires="wps">
                  <w:drawing>
                    <wp:anchor distT="0" distB="0" distL="114300" distR="114300" simplePos="0" relativeHeight="251688960" behindDoc="0" locked="0" layoutInCell="1" allowOverlap="1">
                      <wp:simplePos x="0" y="0"/>
                      <wp:positionH relativeFrom="column">
                        <wp:posOffset>705485</wp:posOffset>
                      </wp:positionH>
                      <wp:positionV relativeFrom="paragraph">
                        <wp:posOffset>1456055</wp:posOffset>
                      </wp:positionV>
                      <wp:extent cx="1017905" cy="516890"/>
                      <wp:effectExtent l="3175" t="5715" r="15240" b="10795"/>
                      <wp:wrapNone/>
                      <wp:docPr id="91" name="直接连接符 91"/>
                      <wp:cNvGraphicFramePr/>
                      <a:graphic xmlns:a="http://schemas.openxmlformats.org/drawingml/2006/main">
                        <a:graphicData uri="http://schemas.microsoft.com/office/word/2010/wordprocessingShape">
                          <wps:wsp>
                            <wps:cNvCnPr/>
                            <wps:spPr>
                              <a:xfrm flipH="1">
                                <a:off x="2768600" y="4803140"/>
                                <a:ext cx="1017905" cy="516890"/>
                              </a:xfrm>
                              <a:prstGeom prst="line">
                                <a:avLst/>
                              </a:prstGeom>
                              <a:ln>
                                <a:solidFill>
                                  <a:srgbClr val="FF0000"/>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margin-left:55.55pt;margin-top:114.65pt;height:40.7pt;width:80.15pt;z-index:251688960;mso-width-relative:page;mso-height-relative:page;" filled="f" stroked="t" coordsize="21600,21600" o:gfxdata="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0qvhMtkAAAALAQAADwAAAAAAAAABACAAAAAiAAAAZHJz&#10;L2Rvd25yZXYueG1sUEsBAhQAFAAAAAgAh07iQEenlEQDAgAAzwMAAA4AAAAAAAAAAQAgAAAAKAEA&#10;AGRycy9lMm9Eb2MueG1sUEsFBgAAAAAGAAYAWQEAAJ0FAAAAAA==&#10;">
                      <v:fill on="f" focussize="0,0"/>
                      <v:stroke weight="1pt" color="#FF0000 [3204]" miterlimit="8" joinstyle="miter"/>
                      <v:imagedata o:title=""/>
                      <o:lock v:ext="edit" aspectratio="f"/>
                    </v:line>
                  </w:pict>
                </mc:Fallback>
              </mc:AlternateContent>
            </w:r>
            <w:r>
              <w:rPr>
                <w:rFonts w:hint="eastAsia" w:ascii="仿宋" w:hAnsi="仿宋" w:eastAsia="仿宋" w:cs="仿宋"/>
                <w:sz w:val="24"/>
                <w:szCs w:val="24"/>
                <w:lang w:val="en-US" w:eastAsia="zh-CN"/>
              </w:rPr>
              <w:drawing>
                <wp:inline distT="0" distB="0" distL="114300" distR="114300">
                  <wp:extent cx="2586355" cy="2063750"/>
                  <wp:effectExtent l="0" t="0" r="4445" b="8890"/>
                  <wp:docPr id="90" name="图片 90" descr="f3843c221ec41335d8cdadaca8720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f3843c221ec41335d8cdadaca8720f3"/>
                          <pic:cNvPicPr>
                            <a:picLocks noChangeAspect="1"/>
                          </pic:cNvPicPr>
                        </pic:nvPicPr>
                        <pic:blipFill>
                          <a:blip r:embed="rId14"/>
                          <a:srcRect t="23599" b="31536"/>
                          <a:stretch>
                            <a:fillRect/>
                          </a:stretch>
                        </pic:blipFill>
                        <pic:spPr>
                          <a:xfrm>
                            <a:off x="0" y="0"/>
                            <a:ext cx="2586355" cy="2063750"/>
                          </a:xfrm>
                          <a:prstGeom prst="rect">
                            <a:avLst/>
                          </a:prstGeom>
                        </pic:spPr>
                      </pic:pic>
                    </a:graphicData>
                  </a:graphic>
                </wp:inline>
              </w:drawing>
            </w:r>
          </w:p>
        </w:tc>
        <w:tc>
          <w:tcPr>
            <w:tcW w:w="2625" w:type="pct"/>
            <w:tcBorders>
              <w:tl2br w:val="nil"/>
              <w:tr2bl w:val="nil"/>
            </w:tcBorders>
          </w:tcPr>
          <w:p w14:paraId="322C3B65">
            <w:pPr>
              <w:jc w:val="center"/>
              <w:rPr>
                <w:rFonts w:hint="eastAsia" w:ascii="仿宋" w:hAnsi="仿宋" w:eastAsia="仿宋" w:cs="仿宋"/>
                <w:sz w:val="24"/>
                <w:szCs w:val="24"/>
                <w:lang w:val="en-US" w:eastAsia="zh-CN"/>
              </w:rPr>
            </w:pPr>
            <w:r>
              <w:rPr>
                <w:sz w:val="24"/>
              </w:rPr>
              <mc:AlternateContent>
                <mc:Choice Requires="wps">
                  <w:drawing>
                    <wp:anchor distT="0" distB="0" distL="114300" distR="114300" simplePos="0" relativeHeight="251693056" behindDoc="0" locked="0" layoutInCell="1" allowOverlap="1">
                      <wp:simplePos x="0" y="0"/>
                      <wp:positionH relativeFrom="column">
                        <wp:posOffset>1444625</wp:posOffset>
                      </wp:positionH>
                      <wp:positionV relativeFrom="paragraph">
                        <wp:posOffset>1308735</wp:posOffset>
                      </wp:positionV>
                      <wp:extent cx="790575" cy="621030"/>
                      <wp:effectExtent l="3810" t="5080" r="13335" b="13970"/>
                      <wp:wrapNone/>
                      <wp:docPr id="107" name="直接连接符 107"/>
                      <wp:cNvGraphicFramePr/>
                      <a:graphic xmlns:a="http://schemas.openxmlformats.org/drawingml/2006/main">
                        <a:graphicData uri="http://schemas.microsoft.com/office/word/2010/wordprocessingShape">
                          <wps:wsp>
                            <wps:cNvCnPr/>
                            <wps:spPr>
                              <a:xfrm>
                                <a:off x="0" y="0"/>
                                <a:ext cx="790575" cy="621030"/>
                              </a:xfrm>
                              <a:prstGeom prst="line">
                                <a:avLst/>
                              </a:prstGeom>
                              <a:ln>
                                <a:solidFill>
                                  <a:srgbClr val="FF0000"/>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13.75pt;margin-top:103.05pt;height:48.9pt;width:62.25pt;z-index:251693056;mso-width-relative:page;mso-height-relative:page;" filled="f" stroked="t" coordsize="21600,21600" o:gfxdata="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q6MbraAAAACwEAAA8AAAAAAAAAAQAgAAAAIgAAAGRycy9kb3ducmV2LnhtbFBLAQIUABQA&#10;AAAIAIdO4kDEV3TX7gEAALoDAAAOAAAAAAAAAAEAIAAAACkBAABkcnMvZTJvRG9jLnhtbFBLBQYA&#10;AAAABgAGAFkBAACJBQAAAAA=&#10;">
                      <v:fill on="f" focussize="0,0"/>
                      <v:stroke weight="1pt" color="#FF0000 [3204]" miterlimit="8" joinstyle="miter"/>
                      <v:imagedata o:title=""/>
                      <o:lock v:ext="edit" aspectratio="f"/>
                    </v:line>
                  </w:pict>
                </mc:Fallback>
              </mc:AlternateContent>
            </w:r>
            <w:r>
              <w:rPr>
                <w:sz w:val="24"/>
              </w:rPr>
              <mc:AlternateContent>
                <mc:Choice Requires="wps">
                  <w:drawing>
                    <wp:anchor distT="0" distB="0" distL="114300" distR="114300" simplePos="0" relativeHeight="251694080" behindDoc="0" locked="0" layoutInCell="1" allowOverlap="1">
                      <wp:simplePos x="0" y="0"/>
                      <wp:positionH relativeFrom="column">
                        <wp:posOffset>988060</wp:posOffset>
                      </wp:positionH>
                      <wp:positionV relativeFrom="paragraph">
                        <wp:posOffset>1551305</wp:posOffset>
                      </wp:positionV>
                      <wp:extent cx="527050" cy="5715"/>
                      <wp:effectExtent l="0" t="49530" r="6350" b="51435"/>
                      <wp:wrapNone/>
                      <wp:docPr id="106" name="直接箭头连接符 106"/>
                      <wp:cNvGraphicFramePr/>
                      <a:graphic xmlns:a="http://schemas.openxmlformats.org/drawingml/2006/main">
                        <a:graphicData uri="http://schemas.microsoft.com/office/word/2010/wordprocessingShape">
                          <wps:wsp>
                            <wps:cNvCnPr/>
                            <wps:spPr>
                              <a:xfrm flipV="1">
                                <a:off x="0" y="0"/>
                                <a:ext cx="527050" cy="5715"/>
                              </a:xfrm>
                              <a:prstGeom prst="straightConnector1">
                                <a:avLst/>
                              </a:prstGeom>
                              <a:ln>
                                <a:solidFill>
                                  <a:srgbClr val="FF0000"/>
                                </a:solidFill>
                                <a:headEnd type="arrow"/>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77.8pt;margin-top:122.15pt;height:0.45pt;width:41.5pt;z-index:251694080;mso-width-relative:page;mso-height-relative:page;" filled="f" stroked="t" coordsize="21600,21600" o:gfxdata="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Gqkv02QAAAAsBAAAP&#10;AAAAAAAAAAEAIAAAACIAAABkcnMvZG93bnJldi54bWxQSwECFAAUAAAACACHTuJAJkgC3xcCAAAI&#10;BAAADgAAAAAAAAABACAAAAAoAQAAZHJzL2Uyb0RvYy54bWxQSwUGAAAAAAYABgBZAQAAsQUAAAAA&#10;">
                      <v:fill on="f" focussize="0,0"/>
                      <v:stroke weight="1pt" color="#FF0000 [3204]" miterlimit="8" joinstyle="miter" startarrow="open" endarrow="open"/>
                      <v:imagedata o:title=""/>
                      <o:lock v:ext="edit" aspectratio="f"/>
                    </v:shape>
                  </w:pict>
                </mc:Fallback>
              </mc:AlternateContent>
            </w:r>
            <w:r>
              <w:rPr>
                <w:sz w:val="24"/>
              </w:rPr>
              <mc:AlternateContent>
                <mc:Choice Requires="wps">
                  <w:drawing>
                    <wp:anchor distT="0" distB="0" distL="114300" distR="114300" simplePos="0" relativeHeight="251692032" behindDoc="0" locked="0" layoutInCell="1" allowOverlap="1">
                      <wp:simplePos x="0" y="0"/>
                      <wp:positionH relativeFrom="column">
                        <wp:posOffset>318770</wp:posOffset>
                      </wp:positionH>
                      <wp:positionV relativeFrom="paragraph">
                        <wp:posOffset>1233170</wp:posOffset>
                      </wp:positionV>
                      <wp:extent cx="708025" cy="696595"/>
                      <wp:effectExtent l="4445" t="4445" r="19050" b="15240"/>
                      <wp:wrapNone/>
                      <wp:docPr id="108" name="直接连接符 108"/>
                      <wp:cNvGraphicFramePr/>
                      <a:graphic xmlns:a="http://schemas.openxmlformats.org/drawingml/2006/main">
                        <a:graphicData uri="http://schemas.microsoft.com/office/word/2010/wordprocessingShape">
                          <wps:wsp>
                            <wps:cNvCnPr/>
                            <wps:spPr>
                              <a:xfrm flipH="1">
                                <a:off x="0" y="0"/>
                                <a:ext cx="708025" cy="696595"/>
                              </a:xfrm>
                              <a:prstGeom prst="line">
                                <a:avLst/>
                              </a:prstGeom>
                              <a:ln>
                                <a:solidFill>
                                  <a:srgbClr val="FF0000"/>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margin-left:25.1pt;margin-top:97.1pt;height:54.85pt;width:55.75pt;z-index:251692032;mso-width-relative:page;mso-height-relative:page;" filled="f" stroked="t" coordsize="21600,21600" o:gfxdata="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UZtVPZAAAACgEAAA8AAAAAAAAAAQAgAAAAIgAAAGRycy9kb3ducmV2LnhtbFBL&#10;AQIUABQAAAAIAIdO4kCdW0Yk9QEAAMQDAAAOAAAAAAAAAAEAIAAAACgBAABkcnMvZTJvRG9jLnht&#10;bFBLBQYAAAAABgAGAFkBAACPBQAAAAA=&#10;">
                      <v:fill on="f" focussize="0,0"/>
                      <v:stroke weight="1pt" color="#FF0000 [3204]" miterlimit="8" joinstyle="miter"/>
                      <v:imagedata o:title=""/>
                      <o:lock v:ext="edit" aspectratio="f"/>
                    </v:line>
                  </w:pict>
                </mc:Fallback>
              </mc:AlternateContent>
            </w:r>
            <w:r>
              <w:rPr>
                <w:rFonts w:hint="eastAsia" w:ascii="仿宋" w:hAnsi="仿宋" w:eastAsia="仿宋" w:cs="仿宋"/>
                <w:sz w:val="24"/>
                <w:szCs w:val="24"/>
                <w:lang w:val="en-US" w:eastAsia="zh-CN"/>
              </w:rPr>
              <w:drawing>
                <wp:inline distT="0" distB="0" distL="114300" distR="114300">
                  <wp:extent cx="2555240" cy="2071370"/>
                  <wp:effectExtent l="0" t="0" r="5080" b="1270"/>
                  <wp:docPr id="105" name="图片 105" descr="0e36813834328f5bf68ac15a6ad0d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0e36813834328f5bf68ac15a6ad0d97"/>
                          <pic:cNvPicPr>
                            <a:picLocks noChangeAspect="1"/>
                          </pic:cNvPicPr>
                        </pic:nvPicPr>
                        <pic:blipFill>
                          <a:blip r:embed="rId15"/>
                          <a:srcRect t="18614" b="20607"/>
                          <a:stretch>
                            <a:fillRect/>
                          </a:stretch>
                        </pic:blipFill>
                        <pic:spPr>
                          <a:xfrm>
                            <a:off x="0" y="0"/>
                            <a:ext cx="2555240" cy="2071370"/>
                          </a:xfrm>
                          <a:prstGeom prst="rect">
                            <a:avLst/>
                          </a:prstGeom>
                        </pic:spPr>
                      </pic:pic>
                    </a:graphicData>
                  </a:graphic>
                </wp:inline>
              </w:drawing>
            </w:r>
          </w:p>
        </w:tc>
      </w:tr>
      <w:tr w14:paraId="67A846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74" w:type="pct"/>
            <w:tcBorders>
              <w:tl2br w:val="nil"/>
              <w:tr2bl w:val="nil"/>
            </w:tcBorders>
          </w:tcPr>
          <w:p w14:paraId="26DAE56F">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东苑食堂后门</w:t>
            </w:r>
          </w:p>
        </w:tc>
        <w:tc>
          <w:tcPr>
            <w:tcW w:w="2625" w:type="pct"/>
            <w:tcBorders>
              <w:tl2br w:val="nil"/>
              <w:tr2bl w:val="nil"/>
            </w:tcBorders>
          </w:tcPr>
          <w:p w14:paraId="4E82ED0A">
            <w:pPr>
              <w:jc w:val="center"/>
              <w:rPr>
                <w:rFonts w:hint="eastAsia" w:ascii="仿宋" w:hAnsi="仿宋" w:eastAsia="仿宋" w:cs="仿宋"/>
                <w:sz w:val="24"/>
                <w:szCs w:val="24"/>
                <w:lang w:val="en-US" w:eastAsia="zh-Hans"/>
              </w:rPr>
            </w:pPr>
            <w:r>
              <w:rPr>
                <w:rFonts w:hint="eastAsia" w:ascii="仿宋" w:hAnsi="仿宋" w:eastAsia="仿宋" w:cs="仿宋"/>
                <w:sz w:val="24"/>
                <w:szCs w:val="24"/>
                <w:lang w:val="en-US" w:eastAsia="zh-CN"/>
              </w:rPr>
              <w:t>北苑食堂后门</w:t>
            </w:r>
          </w:p>
        </w:tc>
      </w:tr>
    </w:tbl>
    <w:p w14:paraId="1C0E424B">
      <w:pPr>
        <w:jc w:val="left"/>
        <w:rPr>
          <w:rFonts w:hint="eastAsia" w:ascii="仿宋" w:hAnsi="仿宋" w:eastAsia="仿宋" w:cs="仿宋"/>
          <w:sz w:val="24"/>
          <w:szCs w:val="24"/>
          <w:lang w:eastAsia="zh-CN"/>
        </w:rPr>
      </w:pPr>
      <w:r>
        <w:rPr>
          <w:rFonts w:hint="eastAsia" w:ascii="仿宋" w:hAnsi="仿宋" w:eastAsia="仿宋" w:cs="仿宋"/>
          <w:sz w:val="24"/>
          <w:szCs w:val="24"/>
          <w:lang w:eastAsia="zh-Hans"/>
        </w:rPr>
        <w:t>3、</w:t>
      </w:r>
      <w:r>
        <w:rPr>
          <w:rFonts w:hint="eastAsia" w:ascii="仿宋" w:hAnsi="仿宋" w:eastAsia="仿宋" w:cs="仿宋"/>
          <w:sz w:val="24"/>
          <w:szCs w:val="24"/>
          <w:lang w:val="en-US" w:eastAsia="zh-Hans"/>
        </w:rPr>
        <w:t>资产公司经营户门前三包范围</w:t>
      </w: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门前延伸至广场</w:t>
      </w:r>
      <w:r>
        <w:rPr>
          <w:rFonts w:hint="eastAsia" w:ascii="仿宋" w:hAnsi="仿宋" w:eastAsia="仿宋" w:cs="仿宋"/>
          <w:sz w:val="24"/>
          <w:szCs w:val="24"/>
          <w:lang w:val="en-US" w:eastAsia="zh-CN"/>
        </w:rPr>
        <w:t>（道路）</w:t>
      </w:r>
      <w:r>
        <w:rPr>
          <w:rFonts w:hint="eastAsia" w:ascii="仿宋" w:hAnsi="仿宋" w:eastAsia="仿宋" w:cs="仿宋"/>
          <w:sz w:val="24"/>
          <w:szCs w:val="24"/>
          <w:lang w:val="en-US" w:eastAsia="zh-Hans"/>
        </w:rPr>
        <w:t>路牙石边界</w:t>
      </w:r>
    </w:p>
    <w:tbl>
      <w:tblPr>
        <w:tblStyle w:val="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308"/>
        <w:gridCol w:w="4214"/>
      </w:tblGrid>
      <w:tr w14:paraId="14601B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00" w:type="dxa"/>
            <w:tcBorders>
              <w:tl2br w:val="nil"/>
              <w:tr2bl w:val="nil"/>
            </w:tcBorders>
          </w:tcPr>
          <w:p w14:paraId="6AE42C62">
            <w:pPr>
              <w:rPr>
                <w:rFonts w:hint="eastAsia" w:ascii="仿宋" w:hAnsi="仿宋" w:eastAsia="仿宋" w:cs="仿宋"/>
                <w:sz w:val="24"/>
                <w:szCs w:val="24"/>
                <w:vertAlign w:val="baseline"/>
                <w:lang w:eastAsia="zh-Hans"/>
              </w:rPr>
            </w:pPr>
            <w:r>
              <w:rPr>
                <w:sz w:val="24"/>
              </w:rPr>
              <mc:AlternateContent>
                <mc:Choice Requires="wps">
                  <w:drawing>
                    <wp:anchor distT="0" distB="0" distL="114300" distR="114300" simplePos="0" relativeHeight="251685888" behindDoc="0" locked="0" layoutInCell="1" allowOverlap="1">
                      <wp:simplePos x="0" y="0"/>
                      <wp:positionH relativeFrom="column">
                        <wp:posOffset>1353820</wp:posOffset>
                      </wp:positionH>
                      <wp:positionV relativeFrom="paragraph">
                        <wp:posOffset>1318260</wp:posOffset>
                      </wp:positionV>
                      <wp:extent cx="17145" cy="252730"/>
                      <wp:effectExtent l="39370" t="635" r="50165" b="5715"/>
                      <wp:wrapNone/>
                      <wp:docPr id="79" name="直接箭头连接符 79"/>
                      <wp:cNvGraphicFramePr/>
                      <a:graphic xmlns:a="http://schemas.openxmlformats.org/drawingml/2006/main">
                        <a:graphicData uri="http://schemas.microsoft.com/office/word/2010/wordprocessingShape">
                          <wps:wsp>
                            <wps:cNvCnPr/>
                            <wps:spPr>
                              <a:xfrm>
                                <a:off x="0" y="0"/>
                                <a:ext cx="17145" cy="252730"/>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06.6pt;margin-top:103.8pt;height:19.9pt;width:1.35pt;z-index:251685888;mso-width-relative:page;mso-height-relative:page;" filled="f" stroked="t" coordsize="21600,21600" o:gfxdata="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U3eK/YAAAACwEAAA8AAAAAAAAAAQAgAAAA&#10;IgAAAGRycy9kb3ducmV2LnhtbFBLAQIUABQAAAAIAIdO4kBGdF7yCwIAAOQDAAAOAAAAAAAAAAEA&#10;IAAAACcBAABkcnMvZTJvRG9jLnhtbFBLBQYAAAAABgAGAFkBAACkBQAAAAA=&#10;">
                      <v:fill on="f" focussize="0,0"/>
                      <v:stroke weight="1pt" color="#FF0000 [3204]"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684864" behindDoc="0" locked="0" layoutInCell="1" allowOverlap="1">
                      <wp:simplePos x="0" y="0"/>
                      <wp:positionH relativeFrom="column">
                        <wp:posOffset>-635</wp:posOffset>
                      </wp:positionH>
                      <wp:positionV relativeFrom="paragraph">
                        <wp:posOffset>1205865</wp:posOffset>
                      </wp:positionV>
                      <wp:extent cx="2632075" cy="374650"/>
                      <wp:effectExtent l="6350" t="0" r="13335" b="6350"/>
                      <wp:wrapNone/>
                      <wp:docPr id="78" name="任意多边形 78"/>
                      <wp:cNvGraphicFramePr/>
                      <a:graphic xmlns:a="http://schemas.openxmlformats.org/drawingml/2006/main">
                        <a:graphicData uri="http://schemas.microsoft.com/office/word/2010/wordprocessingShape">
                          <wps:wsp>
                            <wps:cNvSpPr/>
                            <wps:spPr>
                              <a:xfrm>
                                <a:off x="1142365" y="4947920"/>
                                <a:ext cx="2632075" cy="374650"/>
                              </a:xfrm>
                              <a:custGeom>
                                <a:avLst/>
                                <a:gdLst>
                                  <a:gd name="connisteX0" fmla="*/ 128905 w 2632075"/>
                                  <a:gd name="connsiteY0" fmla="*/ 12065 h 374650"/>
                                  <a:gd name="connisteX1" fmla="*/ 199390 w 2632075"/>
                                  <a:gd name="connsiteY1" fmla="*/ 12065 h 374650"/>
                                  <a:gd name="connisteX2" fmla="*/ 1442085 w 2632075"/>
                                  <a:gd name="connsiteY2" fmla="*/ 82550 h 374650"/>
                                  <a:gd name="connisteX3" fmla="*/ 2479675 w 2632075"/>
                                  <a:gd name="connsiteY3" fmla="*/ 53340 h 374650"/>
                                  <a:gd name="connisteX4" fmla="*/ 2626360 w 2632075"/>
                                  <a:gd name="connsiteY4" fmla="*/ 46990 h 374650"/>
                                  <a:gd name="connisteX5" fmla="*/ 2632075 w 2632075"/>
                                  <a:gd name="connsiteY5" fmla="*/ 322580 h 374650"/>
                                  <a:gd name="connisteX6" fmla="*/ 668655 w 2632075"/>
                                  <a:gd name="connsiteY6" fmla="*/ 374650 h 374650"/>
                                  <a:gd name="connisteX7" fmla="*/ 0 w 2632075"/>
                                  <a:gd name="connsiteY7" fmla="*/ 351790 h 374650"/>
                                  <a:gd name="connisteX8" fmla="*/ 5715 w 2632075"/>
                                  <a:gd name="connsiteY8" fmla="*/ 93980 h 374650"/>
                                  <a:gd name="connisteX9" fmla="*/ 5715 w 2632075"/>
                                  <a:gd name="connsiteY9" fmla="*/ 0 h 37465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Lst>
                                <a:rect l="l" t="t" r="r" b="b"/>
                                <a:pathLst>
                                  <a:path w="2632075" h="374650">
                                    <a:moveTo>
                                      <a:pt x="128905" y="12065"/>
                                    </a:moveTo>
                                    <a:lnTo>
                                      <a:pt x="199390" y="12065"/>
                                    </a:lnTo>
                                    <a:lnTo>
                                      <a:pt x="1442085" y="82550"/>
                                    </a:lnTo>
                                    <a:lnTo>
                                      <a:pt x="2479675" y="53340"/>
                                    </a:lnTo>
                                    <a:lnTo>
                                      <a:pt x="2626360" y="46990"/>
                                    </a:lnTo>
                                    <a:lnTo>
                                      <a:pt x="2632075" y="322580"/>
                                    </a:lnTo>
                                    <a:lnTo>
                                      <a:pt x="668655" y="374650"/>
                                    </a:lnTo>
                                    <a:lnTo>
                                      <a:pt x="0" y="351790"/>
                                    </a:lnTo>
                                    <a:lnTo>
                                      <a:pt x="5715" y="93980"/>
                                    </a:lnTo>
                                    <a:lnTo>
                                      <a:pt x="5715" y="0"/>
                                    </a:lnTo>
                                  </a:path>
                                </a:pathLst>
                              </a:cu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0.05pt;margin-top:94.95pt;height:29.5pt;width:207.25pt;z-index:251684864;mso-width-relative:page;mso-height-relative:page;" filled="f" stroked="t" coordsize="2632075,374650" o:gfxdata="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" path="m128905,12065l199390,12065,1442085,82550,2479675,53340,2626360,46990,2632075,322580,668655,374650,0,351790,5715,93980,5715,0e">
                      <v:path o:connectlocs="128905,12065;199390,12065;1442085,82550;2479675,53340;2626360,46990;2632075,322580;668655,374650;0,351790;5715,93980;5715,0" o:connectangles="0,0,0,0,0,0,0,0,0,0"/>
                      <v:fill on="f" focussize="0,0"/>
                      <v:stroke weight="1pt" color="#FF0000 [2404]" miterlimit="8" joinstyle="miter"/>
                      <v:imagedata o:title=""/>
                      <o:lock v:ext="edit" aspectratio="f"/>
                    </v:shape>
                  </w:pict>
                </mc:Fallback>
              </mc:AlternateContent>
            </w:r>
            <w:r>
              <w:rPr>
                <w:rFonts w:hint="eastAsia" w:ascii="仿宋" w:hAnsi="仿宋" w:eastAsia="仿宋" w:cs="仿宋"/>
                <w:sz w:val="24"/>
                <w:szCs w:val="24"/>
              </w:rPr>
              <w:drawing>
                <wp:inline distT="0" distB="0" distL="114300" distR="114300">
                  <wp:extent cx="2626360" cy="1969770"/>
                  <wp:effectExtent l="0" t="0" r="10160" b="11430"/>
                  <wp:docPr id="4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4"/>
                          <pic:cNvPicPr>
                            <a:picLocks noChangeAspect="1"/>
                          </pic:cNvPicPr>
                        </pic:nvPicPr>
                        <pic:blipFill>
                          <a:blip r:embed="rId16"/>
                          <a:stretch>
                            <a:fillRect/>
                          </a:stretch>
                        </pic:blipFill>
                        <pic:spPr>
                          <a:xfrm>
                            <a:off x="0" y="0"/>
                            <a:ext cx="2626360" cy="1969770"/>
                          </a:xfrm>
                          <a:prstGeom prst="rect">
                            <a:avLst/>
                          </a:prstGeom>
                          <a:noFill/>
                          <a:ln>
                            <a:noFill/>
                          </a:ln>
                        </pic:spPr>
                      </pic:pic>
                    </a:graphicData>
                  </a:graphic>
                </wp:inline>
              </w:drawing>
            </w:r>
          </w:p>
        </w:tc>
        <w:tc>
          <w:tcPr>
            <w:tcW w:w="4222" w:type="dxa"/>
            <w:tcBorders>
              <w:tl2br w:val="nil"/>
              <w:tr2bl w:val="nil"/>
            </w:tcBorders>
          </w:tcPr>
          <w:p w14:paraId="2D8ECB68">
            <w:pPr>
              <w:rPr>
                <w:rFonts w:hint="eastAsia" w:ascii="仿宋" w:hAnsi="仿宋" w:eastAsia="仿宋" w:cs="仿宋"/>
                <w:sz w:val="24"/>
                <w:szCs w:val="24"/>
              </w:rPr>
            </w:pPr>
            <w:r>
              <w:rPr>
                <w:sz w:val="24"/>
              </w:rPr>
              <mc:AlternateContent>
                <mc:Choice Requires="wps">
                  <w:drawing>
                    <wp:anchor distT="0" distB="0" distL="114300" distR="114300" simplePos="0" relativeHeight="251687936" behindDoc="0" locked="0" layoutInCell="1" allowOverlap="1">
                      <wp:simplePos x="0" y="0"/>
                      <wp:positionH relativeFrom="column">
                        <wp:posOffset>1184275</wp:posOffset>
                      </wp:positionH>
                      <wp:positionV relativeFrom="paragraph">
                        <wp:posOffset>1289050</wp:posOffset>
                      </wp:positionV>
                      <wp:extent cx="580390" cy="328295"/>
                      <wp:effectExtent l="3175" t="5715" r="10795" b="1270"/>
                      <wp:wrapNone/>
                      <wp:docPr id="81" name="直接箭头连接符 81"/>
                      <wp:cNvGraphicFramePr/>
                      <a:graphic xmlns:a="http://schemas.openxmlformats.org/drawingml/2006/main">
                        <a:graphicData uri="http://schemas.microsoft.com/office/word/2010/wordprocessingShape">
                          <wps:wsp>
                            <wps:cNvCnPr/>
                            <wps:spPr>
                              <a:xfrm>
                                <a:off x="0" y="0"/>
                                <a:ext cx="580390" cy="328295"/>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93.25pt;margin-top:101.5pt;height:25.85pt;width:45.7pt;z-index:251687936;mso-width-relative:page;mso-height-relative:page;" filled="f" stroked="t" coordsize="21600,21600" o:gfxdata="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GhtVbtcAAAALAQAADwAAAAAAAAABACAAAAAi&#10;AAAAZHJzL2Rvd25yZXYueG1sUEsBAhQAFAAAAAgAh07iQAWzgcELAgAA5QMAAA4AAAAAAAAAAQAg&#10;AAAAJgEAAGRycy9lMm9Eb2MueG1sUEsFBgAAAAAGAAYAWQEAAKMFAAAAAA==&#10;">
                      <v:fill on="f" focussize="0,0"/>
                      <v:stroke weight="1pt" color="#FF0000 [3204]"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686912" behindDoc="0" locked="0" layoutInCell="1" allowOverlap="1">
                      <wp:simplePos x="0" y="0"/>
                      <wp:positionH relativeFrom="column">
                        <wp:posOffset>-5080</wp:posOffset>
                      </wp:positionH>
                      <wp:positionV relativeFrom="paragraph">
                        <wp:posOffset>1107440</wp:posOffset>
                      </wp:positionV>
                      <wp:extent cx="2590800" cy="831850"/>
                      <wp:effectExtent l="6350" t="6350" r="8890" b="15240"/>
                      <wp:wrapNone/>
                      <wp:docPr id="80" name="任意多边形 80"/>
                      <wp:cNvGraphicFramePr/>
                      <a:graphic xmlns:a="http://schemas.openxmlformats.org/drawingml/2006/main">
                        <a:graphicData uri="http://schemas.microsoft.com/office/word/2010/wordprocessingShape">
                          <wps:wsp>
                            <wps:cNvSpPr/>
                            <wps:spPr>
                              <a:xfrm>
                                <a:off x="3868420" y="4849495"/>
                                <a:ext cx="2590800" cy="831850"/>
                              </a:xfrm>
                              <a:custGeom>
                                <a:avLst/>
                                <a:gdLst>
                                  <a:gd name="connisteX0" fmla="*/ 34925 w 2590800"/>
                                  <a:gd name="connsiteY0" fmla="*/ 351790 h 831850"/>
                                  <a:gd name="connisteX1" fmla="*/ 105410 w 2590800"/>
                                  <a:gd name="connsiteY1" fmla="*/ 304800 h 831850"/>
                                  <a:gd name="connisteX2" fmla="*/ 181610 w 2590800"/>
                                  <a:gd name="connsiteY2" fmla="*/ 269875 h 831850"/>
                                  <a:gd name="connisteX3" fmla="*/ 486410 w 2590800"/>
                                  <a:gd name="connsiteY3" fmla="*/ 170180 h 831850"/>
                                  <a:gd name="connisteX4" fmla="*/ 697230 w 2590800"/>
                                  <a:gd name="connsiteY4" fmla="*/ 0 h 831850"/>
                                  <a:gd name="connisteX5" fmla="*/ 1136650 w 2590800"/>
                                  <a:gd name="connsiteY5" fmla="*/ 23495 h 831850"/>
                                  <a:gd name="connisteX6" fmla="*/ 1535430 w 2590800"/>
                                  <a:gd name="connsiteY6" fmla="*/ 11430 h 831850"/>
                                  <a:gd name="connisteX7" fmla="*/ 2590800 w 2590800"/>
                                  <a:gd name="connsiteY7" fmla="*/ 269875 h 831850"/>
                                  <a:gd name="connisteX8" fmla="*/ 2578735 w 2590800"/>
                                  <a:gd name="connsiteY8" fmla="*/ 825500 h 831850"/>
                                  <a:gd name="connisteX9" fmla="*/ 5715 w 2590800"/>
                                  <a:gd name="connsiteY9" fmla="*/ 831850 h 831850"/>
                                  <a:gd name="connisteX10" fmla="*/ 0 w 2590800"/>
                                  <a:gd name="connsiteY10" fmla="*/ 368300 h 83185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Lst>
                                <a:rect l="l" t="t" r="r" b="b"/>
                                <a:pathLst>
                                  <a:path w="2590800" h="831850">
                                    <a:moveTo>
                                      <a:pt x="34925" y="351790"/>
                                    </a:moveTo>
                                    <a:lnTo>
                                      <a:pt x="105410" y="304800"/>
                                    </a:lnTo>
                                    <a:lnTo>
                                      <a:pt x="181610" y="269875"/>
                                    </a:lnTo>
                                    <a:lnTo>
                                      <a:pt x="486410" y="170180"/>
                                    </a:lnTo>
                                    <a:lnTo>
                                      <a:pt x="697230" y="0"/>
                                    </a:lnTo>
                                    <a:lnTo>
                                      <a:pt x="1136650" y="23495"/>
                                    </a:lnTo>
                                    <a:lnTo>
                                      <a:pt x="1535430" y="11430"/>
                                    </a:lnTo>
                                    <a:lnTo>
                                      <a:pt x="2590800" y="269875"/>
                                    </a:lnTo>
                                    <a:lnTo>
                                      <a:pt x="2578735" y="825500"/>
                                    </a:lnTo>
                                    <a:lnTo>
                                      <a:pt x="5715" y="831850"/>
                                    </a:lnTo>
                                    <a:lnTo>
                                      <a:pt x="0" y="368300"/>
                                    </a:lnTo>
                                  </a:path>
                                </a:pathLst>
                              </a:cu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0.4pt;margin-top:87.2pt;height:65.5pt;width:204pt;z-index:251686912;mso-width-relative:page;mso-height-relative:page;" filled="f" stroked="t" coordsize="2590800,831850" o:gfxdata="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" path="m34925,351790l105410,304800,181610,269875,486410,170180,697230,0,1136650,23495,1535430,11430,2590800,269875,2578735,825500,5715,831850,0,368300e">
                      <v:path o:connectlocs="34925,351790;105410,304800;181610,269875;486410,170180;697230,0;1136650,23495;1535430,11430;2590800,269875;2578735,825500;5715,831850;0,368300" o:connectangles="0,0,0,0,0,0,0,0,0,0,0"/>
                      <v:fill on="f" focussize="0,0"/>
                      <v:stroke weight="1pt" color="#FF0000 [2404]" miterlimit="8" joinstyle="miter"/>
                      <v:imagedata o:title=""/>
                      <o:lock v:ext="edit" aspectratio="f"/>
                    </v:shape>
                  </w:pict>
                </mc:Fallback>
              </mc:AlternateContent>
            </w:r>
            <w:r>
              <w:rPr>
                <w:rFonts w:hint="eastAsia" w:ascii="仿宋" w:hAnsi="仿宋" w:eastAsia="仿宋" w:cs="仿宋"/>
                <w:sz w:val="24"/>
                <w:szCs w:val="24"/>
              </w:rPr>
              <w:drawing>
                <wp:inline distT="0" distB="0" distL="114300" distR="114300">
                  <wp:extent cx="2570480" cy="1927860"/>
                  <wp:effectExtent l="0" t="0" r="5080" b="7620"/>
                  <wp:docPr id="4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5"/>
                          <pic:cNvPicPr>
                            <a:picLocks noChangeAspect="1"/>
                          </pic:cNvPicPr>
                        </pic:nvPicPr>
                        <pic:blipFill>
                          <a:blip r:embed="rId17"/>
                          <a:stretch>
                            <a:fillRect/>
                          </a:stretch>
                        </pic:blipFill>
                        <pic:spPr>
                          <a:xfrm>
                            <a:off x="0" y="0"/>
                            <a:ext cx="2570480" cy="1927860"/>
                          </a:xfrm>
                          <a:prstGeom prst="rect">
                            <a:avLst/>
                          </a:prstGeom>
                          <a:noFill/>
                          <a:ln>
                            <a:noFill/>
                          </a:ln>
                        </pic:spPr>
                      </pic:pic>
                    </a:graphicData>
                  </a:graphic>
                </wp:inline>
              </w:drawing>
            </w:r>
          </w:p>
        </w:tc>
      </w:tr>
      <w:tr w14:paraId="30F398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00" w:type="dxa"/>
            <w:tcBorders>
              <w:tl2br w:val="nil"/>
              <w:tr2bl w:val="nil"/>
            </w:tcBorders>
          </w:tcPr>
          <w:p w14:paraId="3AAB41CE">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Hans"/>
              </w:rPr>
              <w:t>北苑</w:t>
            </w:r>
            <w:r>
              <w:rPr>
                <w:rFonts w:hint="eastAsia" w:ascii="仿宋" w:hAnsi="仿宋" w:eastAsia="仿宋" w:cs="仿宋"/>
                <w:sz w:val="24"/>
                <w:szCs w:val="24"/>
                <w:lang w:val="en-US" w:eastAsia="zh-CN"/>
              </w:rPr>
              <w:t>门面房</w:t>
            </w:r>
          </w:p>
        </w:tc>
        <w:tc>
          <w:tcPr>
            <w:tcW w:w="4222" w:type="dxa"/>
            <w:tcBorders>
              <w:tl2br w:val="nil"/>
              <w:tr2bl w:val="nil"/>
            </w:tcBorders>
          </w:tcPr>
          <w:p w14:paraId="772283B6">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Hans"/>
              </w:rPr>
              <w:t>栖园宾馆</w:t>
            </w:r>
            <w:r>
              <w:rPr>
                <w:rFonts w:hint="eastAsia" w:ascii="仿宋" w:hAnsi="仿宋" w:eastAsia="仿宋" w:cs="仿宋"/>
                <w:sz w:val="24"/>
                <w:szCs w:val="24"/>
                <w:lang w:val="en-US" w:eastAsia="zh-CN"/>
              </w:rPr>
              <w:t>南门</w:t>
            </w:r>
          </w:p>
        </w:tc>
      </w:tr>
    </w:tbl>
    <w:p w14:paraId="30938925">
      <w:pPr>
        <w:spacing w:line="440" w:lineRule="exact"/>
        <w:ind w:firstLine="0" w:firstLineChars="0"/>
        <w:jc w:val="left"/>
        <w:rPr>
          <w:rFonts w:hint="default" w:ascii="仿宋" w:hAnsi="仿宋" w:eastAsia="仿宋" w:cs="仿宋"/>
          <w:b/>
          <w:bCs w:val="0"/>
          <w:i w:val="0"/>
          <w:iCs w:val="0"/>
          <w:color w:val="auto"/>
          <w:kern w:val="2"/>
          <w:sz w:val="28"/>
          <w:szCs w:val="28"/>
          <w:highlight w:val="none"/>
          <w:u w:val="none"/>
          <w:lang w:val="en-US" w:eastAsia="zh-Hans" w:bidi="ar"/>
        </w:rPr>
      </w:pPr>
    </w:p>
    <w:p w14:paraId="7923EAA0">
      <w:pPr>
        <w:spacing w:line="440" w:lineRule="exact"/>
        <w:ind w:firstLine="0" w:firstLineChars="0"/>
        <w:jc w:val="left"/>
        <w:rPr>
          <w:rFonts w:hint="default" w:ascii="仿宋" w:hAnsi="仿宋" w:eastAsia="仿宋" w:cs="仿宋"/>
          <w:b/>
          <w:bCs w:val="0"/>
          <w:i w:val="0"/>
          <w:iCs w:val="0"/>
          <w:color w:val="auto"/>
          <w:kern w:val="2"/>
          <w:sz w:val="28"/>
          <w:szCs w:val="28"/>
          <w:highlight w:val="none"/>
          <w:u w:val="none"/>
          <w:lang w:val="en-US" w:eastAsia="zh-Hans" w:bidi="ar"/>
        </w:rPr>
      </w:pPr>
    </w:p>
    <w:p w14:paraId="0FD56FEB">
      <w:pPr>
        <w:spacing w:line="440" w:lineRule="exact"/>
        <w:ind w:firstLine="0" w:firstLineChars="0"/>
        <w:jc w:val="left"/>
        <w:rPr>
          <w:rFonts w:hint="default" w:ascii="仿宋" w:hAnsi="仿宋" w:eastAsia="仿宋" w:cs="仿宋"/>
          <w:b/>
          <w:bCs w:val="0"/>
          <w:i w:val="0"/>
          <w:iCs w:val="0"/>
          <w:color w:val="auto"/>
          <w:kern w:val="2"/>
          <w:sz w:val="28"/>
          <w:szCs w:val="28"/>
          <w:highlight w:val="none"/>
          <w:u w:val="none"/>
          <w:lang w:val="en-US" w:eastAsia="zh-Hans" w:bidi="ar"/>
        </w:rPr>
      </w:pPr>
    </w:p>
    <w:p w14:paraId="732C35D5">
      <w:pPr>
        <w:spacing w:line="440" w:lineRule="exact"/>
        <w:ind w:firstLine="0" w:firstLineChars="0"/>
        <w:jc w:val="left"/>
        <w:rPr>
          <w:rFonts w:hint="default" w:ascii="仿宋" w:hAnsi="仿宋" w:eastAsia="仿宋" w:cs="仿宋"/>
          <w:b/>
          <w:bCs w:val="0"/>
          <w:i w:val="0"/>
          <w:iCs w:val="0"/>
          <w:color w:val="auto"/>
          <w:kern w:val="2"/>
          <w:sz w:val="28"/>
          <w:szCs w:val="28"/>
          <w:highlight w:val="none"/>
          <w:u w:val="none"/>
          <w:lang w:val="en-US" w:eastAsia="zh-Hans" w:bidi="ar"/>
        </w:rPr>
      </w:pPr>
    </w:p>
    <w:p w14:paraId="503AD812">
      <w:pPr>
        <w:spacing w:line="440" w:lineRule="exact"/>
        <w:ind w:firstLine="0" w:firstLineChars="0"/>
        <w:jc w:val="left"/>
        <w:rPr>
          <w:rFonts w:hint="eastAsia" w:ascii="仿宋" w:hAnsi="仿宋" w:eastAsia="仿宋" w:cs="仿宋"/>
          <w:b/>
          <w:bCs w:val="0"/>
          <w:i w:val="0"/>
          <w:iCs w:val="0"/>
          <w:color w:val="auto"/>
          <w:kern w:val="2"/>
          <w:sz w:val="28"/>
          <w:szCs w:val="28"/>
          <w:highlight w:val="none"/>
          <w:u w:val="none"/>
          <w:lang w:val="en-US" w:eastAsia="zh-CN" w:bidi="ar"/>
        </w:rPr>
      </w:pPr>
    </w:p>
    <w:p w14:paraId="2DB162C7">
      <w:pPr>
        <w:spacing w:line="440" w:lineRule="exact"/>
        <w:ind w:firstLine="0" w:firstLineChars="0"/>
        <w:jc w:val="left"/>
        <w:rPr>
          <w:rFonts w:hint="eastAsia" w:ascii="仿宋" w:hAnsi="仿宋" w:eastAsia="仿宋" w:cs="仿宋"/>
          <w:b/>
          <w:bCs w:val="0"/>
          <w:i w:val="0"/>
          <w:iCs w:val="0"/>
          <w:color w:val="auto"/>
          <w:kern w:val="2"/>
          <w:sz w:val="28"/>
          <w:szCs w:val="28"/>
          <w:highlight w:val="none"/>
          <w:u w:val="none"/>
          <w:lang w:val="en-US" w:eastAsia="zh-CN" w:bidi="ar"/>
        </w:rPr>
      </w:pPr>
    </w:p>
    <w:p w14:paraId="0CC39170">
      <w:r>
        <w:rPr>
          <w:rFonts w:hint="eastAsia" w:ascii="仿宋" w:hAnsi="仿宋" w:eastAsia="仿宋" w:cs="仿宋"/>
          <w:b/>
          <w:bCs w:val="0"/>
          <w:i w:val="0"/>
          <w:iCs w:val="0"/>
          <w:color w:val="auto"/>
          <w:kern w:val="2"/>
          <w:sz w:val="28"/>
          <w:szCs w:val="28"/>
          <w:highlight w:val="none"/>
          <w:u w:val="none"/>
          <w:lang w:val="en-US" w:eastAsia="zh-CN" w:bidi="ar"/>
        </w:rPr>
        <w:drawing>
          <wp:anchor distT="0" distB="0" distL="114300" distR="114300" simplePos="0" relativeHeight="251696128" behindDoc="0" locked="0" layoutInCell="1" allowOverlap="1">
            <wp:simplePos x="0" y="0"/>
            <wp:positionH relativeFrom="column">
              <wp:posOffset>0</wp:posOffset>
            </wp:positionH>
            <wp:positionV relativeFrom="paragraph">
              <wp:posOffset>67945</wp:posOffset>
            </wp:positionV>
            <wp:extent cx="5789295" cy="6646545"/>
            <wp:effectExtent l="0" t="0" r="1905" b="13335"/>
            <wp:wrapSquare wrapText="bothSides"/>
            <wp:docPr id="83" name="图片 83" descr="a50359a5f60c677a8c69c54ca879dea"/>
            <wp:cNvGraphicFramePr/>
            <a:graphic xmlns:a="http://schemas.openxmlformats.org/drawingml/2006/main">
              <a:graphicData uri="http://schemas.openxmlformats.org/drawingml/2006/picture">
                <pic:pic xmlns:pic="http://schemas.openxmlformats.org/drawingml/2006/picture">
                  <pic:nvPicPr>
                    <pic:cNvPr id="83" name="图片 83" descr="a50359a5f60c677a8c69c54ca879dea"/>
                    <pic:cNvPicPr/>
                  </pic:nvPicPr>
                  <pic:blipFill>
                    <a:blip r:embed="rId18"/>
                    <a:stretch>
                      <a:fillRect/>
                    </a:stretch>
                  </pic:blipFill>
                  <pic:spPr>
                    <a:xfrm>
                      <a:off x="0" y="0"/>
                      <a:ext cx="5789295" cy="6646545"/>
                    </a:xfrm>
                    <a:prstGeom prst="rect">
                      <a:avLst/>
                    </a:prstGeom>
                  </pic:spPr>
                </pic:pic>
              </a:graphicData>
            </a:graphic>
          </wp:anchor>
        </w:drawing>
      </w:r>
      <w:r>
        <w:rPr>
          <w:rFonts w:hint="eastAsia" w:ascii="仿宋" w:hAnsi="仿宋" w:eastAsia="仿宋" w:cs="仿宋"/>
          <w:b w:val="0"/>
          <w:bCs/>
          <w:i w:val="0"/>
          <w:iCs w:val="0"/>
          <w:color w:val="auto"/>
          <w:kern w:val="2"/>
          <w:sz w:val="24"/>
          <w:szCs w:val="24"/>
          <w:highlight w:val="none"/>
          <w:u w:val="none"/>
          <w:lang w:val="en-US" w:eastAsia="zh-CN" w:bidi="ar"/>
        </w:rPr>
        <w:t>西苑超市广场</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63"/>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05E3"/>
    <w:rsid w:val="0006343B"/>
    <w:rsid w:val="006405E3"/>
    <w:rsid w:val="006B207E"/>
    <w:rsid w:val="009341C9"/>
    <w:rsid w:val="47560B8F"/>
    <w:rsid w:val="6E623D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iPriority="99" w:semiHidden="0"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lock Text"/>
    <w:basedOn w:val="1"/>
    <w:unhideWhenUsed/>
    <w:qFormat/>
    <w:uiPriority w:val="99"/>
    <w:pPr>
      <w:ind w:left="1440" w:leftChars="700" w:right="700" w:rightChars="700"/>
    </w:pPr>
  </w:style>
  <w:style w:type="paragraph" w:styleId="3">
    <w:name w:val="footer"/>
    <w:basedOn w:val="1"/>
    <w:link w:val="9"/>
    <w:unhideWhenUsed/>
    <w:uiPriority w:val="99"/>
    <w:pPr>
      <w:tabs>
        <w:tab w:val="center" w:pos="4153"/>
        <w:tab w:val="right" w:pos="8306"/>
      </w:tabs>
      <w:snapToGrid w:val="0"/>
      <w:jc w:val="left"/>
    </w:pPr>
    <w:rPr>
      <w:sz w:val="18"/>
      <w:szCs w:val="18"/>
    </w:rPr>
  </w:style>
  <w:style w:type="paragraph" w:styleId="4">
    <w:name w:val="header"/>
    <w:basedOn w:val="1"/>
    <w:link w:val="8"/>
    <w:unhideWhenUsed/>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页眉 字符"/>
    <w:basedOn w:val="7"/>
    <w:link w:val="4"/>
    <w:qFormat/>
    <w:uiPriority w:val="99"/>
    <w:rPr>
      <w:sz w:val="18"/>
      <w:szCs w:val="18"/>
    </w:rPr>
  </w:style>
  <w:style w:type="character" w:customStyle="1" w:styleId="9">
    <w:name w:val="页脚 字符"/>
    <w:basedOn w:val="7"/>
    <w:link w:val="3"/>
    <w:uiPriority w:val="99"/>
    <w:rPr>
      <w:sz w:val="18"/>
      <w:szCs w:val="18"/>
    </w:rPr>
  </w:style>
  <w:style w:type="paragraph" w:customStyle="1" w:styleId="10">
    <w:name w:val="Heading 4"/>
    <w:next w:val="1"/>
    <w:unhideWhenUsed/>
    <w:qFormat/>
    <w:uiPriority w:val="0"/>
    <w:pPr>
      <w:widowControl w:val="0"/>
      <w:spacing w:after="120" w:line="360" w:lineRule="auto"/>
      <w:outlineLvl w:val="3"/>
    </w:pPr>
    <w:rPr>
      <w:rFonts w:ascii="Times New Roman" w:hAnsi="Times New Roman" w:eastAsia="宋体" w:cs="Times New Roman"/>
      <w:sz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56</Pages>
  <Words>27043</Words>
  <Characters>27405</Characters>
  <Lines>283</Lines>
  <Paragraphs>79</Paragraphs>
  <TotalTime>2</TotalTime>
  <ScaleCrop>false</ScaleCrop>
  <LinksUpToDate>false</LinksUpToDate>
  <CharactersWithSpaces>28098</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2025-06-11T06:33:00Z</dcterms:created>
  <dc:creator>方应群</dc:creator>
  <cp:lastModifiedBy>Administrator</cp:lastModifiedBy>
  <dcterms:modified xsi:type="dcterms:W3CDTF">2025-06-27T13:38:53Z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eyJoZGlkIjoiODkzNjc5ZjdhNzllZDFiNzQ4ZGJiNDM2N2UxOWNiYzAifQ==</vt:lpwstr>
  </property>
  <property fmtid="{D5CDD505-2E9C-101B-9397-08002B2CF9AE}" pid="3" name="KSOProductBuildVer">
    <vt:lpwstr>2052-12.1.0.21541</vt:lpwstr>
  </property>
  <property fmtid="{D5CDD505-2E9C-101B-9397-08002B2CF9AE}" pid="4" name="ICV">
    <vt:lpwstr>E72799896DB4435397B4B8ADB5315E81_13</vt:lpwstr>
  </property>
</Properties>
</file>