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9FB0E">
      <w:pPr>
        <w:spacing w:line="360" w:lineRule="auto"/>
        <w:rPr>
          <w:rFonts w:hint="eastAsia" w:ascii="宋体" w:hAnsi="宋体"/>
          <w:color w:val="000000"/>
          <w:sz w:val="36"/>
        </w:rPr>
      </w:pPr>
    </w:p>
    <w:p w14:paraId="150FE88B">
      <w:pPr>
        <w:spacing w:line="360" w:lineRule="auto"/>
        <w:jc w:val="center"/>
        <w:rPr>
          <w:rFonts w:hint="eastAsia" w:ascii="宋体" w:hAnsi="宋体"/>
          <w:b/>
          <w:color w:val="000000"/>
          <w:sz w:val="84"/>
          <w:szCs w:val="84"/>
        </w:rPr>
      </w:pPr>
    </w:p>
    <w:p w14:paraId="4EE0C201">
      <w:pPr>
        <w:spacing w:line="360" w:lineRule="auto"/>
        <w:jc w:val="center"/>
        <w:rPr>
          <w:rFonts w:hint="eastAsia" w:ascii="宋体" w:hAnsi="宋体"/>
          <w:b/>
          <w:color w:val="000000"/>
          <w:sz w:val="84"/>
          <w:szCs w:val="84"/>
        </w:rPr>
      </w:pPr>
      <w:r>
        <w:rPr>
          <w:rFonts w:hint="eastAsia" w:ascii="宋体" w:hAnsi="宋体"/>
          <w:b/>
          <w:color w:val="000000"/>
          <w:sz w:val="84"/>
          <w:szCs w:val="84"/>
        </w:rPr>
        <w:t>昆山市政府采购</w:t>
      </w:r>
    </w:p>
    <w:p w14:paraId="12E419DE">
      <w:pPr>
        <w:tabs>
          <w:tab w:val="center" w:pos="4623"/>
          <w:tab w:val="right" w:pos="9128"/>
        </w:tabs>
        <w:spacing w:line="360" w:lineRule="auto"/>
        <w:jc w:val="left"/>
        <w:rPr>
          <w:rFonts w:hint="eastAsia" w:ascii="宋体" w:hAnsi="宋体"/>
          <w:b/>
          <w:color w:val="000000"/>
          <w:sz w:val="84"/>
          <w:szCs w:val="84"/>
        </w:rPr>
      </w:pPr>
      <w:r>
        <w:rPr>
          <w:rFonts w:hint="eastAsia" w:ascii="宋体" w:hAnsi="宋体"/>
          <w:b/>
          <w:color w:val="000000"/>
          <w:sz w:val="84"/>
          <w:szCs w:val="84"/>
        </w:rPr>
        <w:tab/>
      </w:r>
      <w:r>
        <w:rPr>
          <w:rFonts w:hint="eastAsia" w:ascii="宋体" w:hAnsi="宋体"/>
          <w:b/>
          <w:color w:val="000000"/>
          <w:sz w:val="84"/>
          <w:szCs w:val="84"/>
        </w:rPr>
        <w:t>竞争性谈判文件</w:t>
      </w:r>
      <w:r>
        <w:rPr>
          <w:rFonts w:hint="eastAsia" w:ascii="宋体" w:hAnsi="宋体"/>
          <w:b/>
          <w:color w:val="000000"/>
          <w:sz w:val="84"/>
          <w:szCs w:val="84"/>
        </w:rPr>
        <w:tab/>
      </w:r>
    </w:p>
    <w:p w14:paraId="21AA8BAD">
      <w:pPr>
        <w:spacing w:line="360" w:lineRule="auto"/>
        <w:jc w:val="center"/>
        <w:rPr>
          <w:rFonts w:hint="eastAsia" w:ascii="宋体" w:hAnsi="宋体"/>
          <w:color w:val="000000"/>
          <w:sz w:val="72"/>
        </w:rPr>
      </w:pPr>
    </w:p>
    <w:p w14:paraId="1A3474AD">
      <w:pPr>
        <w:spacing w:line="360" w:lineRule="auto"/>
        <w:jc w:val="center"/>
        <w:rPr>
          <w:rFonts w:hint="eastAsia" w:ascii="宋体" w:hAnsi="宋体"/>
          <w:color w:val="000000"/>
          <w:sz w:val="72"/>
        </w:rPr>
      </w:pPr>
    </w:p>
    <w:p w14:paraId="1387EBCC">
      <w:pPr>
        <w:spacing w:line="360" w:lineRule="auto"/>
        <w:jc w:val="left"/>
        <w:rPr>
          <w:rFonts w:hint="eastAsia" w:ascii="宋体" w:hAnsi="宋体"/>
          <w:color w:val="000000"/>
          <w:sz w:val="32"/>
          <w:szCs w:val="44"/>
        </w:rPr>
      </w:pPr>
    </w:p>
    <w:p w14:paraId="555AB6D5">
      <w:pPr>
        <w:spacing w:line="360" w:lineRule="auto"/>
        <w:jc w:val="left"/>
        <w:rPr>
          <w:rFonts w:hint="eastAsia" w:ascii="宋体" w:hAnsi="宋体" w:eastAsia="宋体"/>
          <w:color w:val="000000"/>
          <w:sz w:val="32"/>
          <w:szCs w:val="32"/>
          <w:lang w:eastAsia="zh-CN"/>
        </w:rPr>
      </w:pPr>
      <w:r>
        <w:rPr>
          <w:rFonts w:hint="eastAsia" w:ascii="宋体" w:hAnsi="宋体"/>
          <w:color w:val="000000"/>
          <w:sz w:val="32"/>
          <w:szCs w:val="32"/>
        </w:rPr>
        <w:t>项目编号：</w:t>
      </w:r>
      <w:r>
        <w:rPr>
          <w:rFonts w:hint="eastAsia" w:ascii="宋体" w:hAnsi="宋体"/>
          <w:color w:val="000000"/>
          <w:sz w:val="32"/>
          <w:szCs w:val="32"/>
          <w:lang w:eastAsia="zh-CN"/>
        </w:rPr>
        <w:t>JSZC-320583-JSYM-T2025-0013</w:t>
      </w:r>
    </w:p>
    <w:p w14:paraId="06041C05">
      <w:pPr>
        <w:spacing w:line="360" w:lineRule="auto"/>
        <w:jc w:val="left"/>
        <w:rPr>
          <w:rFonts w:hint="eastAsia" w:ascii="宋体" w:hAnsi="宋体" w:eastAsia="宋体"/>
          <w:color w:val="000000"/>
          <w:sz w:val="32"/>
          <w:szCs w:val="32"/>
          <w:lang w:eastAsia="zh-CN"/>
        </w:rPr>
      </w:pPr>
      <w:r>
        <w:rPr>
          <w:rFonts w:hint="eastAsia" w:ascii="宋体" w:hAnsi="宋体"/>
          <w:color w:val="000000"/>
          <w:sz w:val="32"/>
          <w:szCs w:val="32"/>
        </w:rPr>
        <w:t>项目名称：</w:t>
      </w:r>
      <w:r>
        <w:rPr>
          <w:rFonts w:hint="eastAsia" w:ascii="宋体" w:hAnsi="宋体"/>
          <w:color w:val="000000"/>
          <w:sz w:val="32"/>
          <w:szCs w:val="32"/>
          <w:lang w:eastAsia="zh-CN"/>
        </w:rPr>
        <w:t>昆山市ZP06单元详细规划</w:t>
      </w:r>
    </w:p>
    <w:p w14:paraId="266901BE">
      <w:pPr>
        <w:spacing w:line="360" w:lineRule="auto"/>
        <w:jc w:val="left"/>
        <w:rPr>
          <w:rFonts w:hint="eastAsia" w:ascii="宋体" w:hAnsi="宋体"/>
          <w:color w:val="000000"/>
          <w:sz w:val="32"/>
          <w:szCs w:val="32"/>
        </w:rPr>
      </w:pPr>
      <w:r>
        <w:rPr>
          <w:rFonts w:hint="eastAsia" w:ascii="宋体" w:hAnsi="宋体"/>
          <w:color w:val="000000"/>
          <w:sz w:val="32"/>
          <w:szCs w:val="32"/>
        </w:rPr>
        <w:t>项目类别：服务类</w:t>
      </w:r>
    </w:p>
    <w:p w14:paraId="655EF25E">
      <w:pPr>
        <w:spacing w:line="360" w:lineRule="auto"/>
        <w:ind w:left="1600" w:hanging="1600"/>
        <w:jc w:val="left"/>
        <w:rPr>
          <w:rFonts w:hint="eastAsia" w:ascii="宋体" w:hAnsi="宋体" w:eastAsia="宋体"/>
          <w:color w:val="000000"/>
          <w:sz w:val="32"/>
          <w:szCs w:val="32"/>
          <w:lang w:eastAsia="zh-CN"/>
        </w:rPr>
      </w:pPr>
      <w:r>
        <w:rPr>
          <w:rFonts w:hint="eastAsia" w:ascii="宋体" w:hAnsi="宋体"/>
          <w:color w:val="000000"/>
          <w:sz w:val="32"/>
          <w:szCs w:val="32"/>
        </w:rPr>
        <w:t>采购单位：</w:t>
      </w:r>
      <w:r>
        <w:rPr>
          <w:rFonts w:hint="eastAsia" w:ascii="宋体" w:hAnsi="宋体"/>
          <w:color w:val="000000"/>
          <w:sz w:val="32"/>
          <w:szCs w:val="32"/>
          <w:lang w:eastAsia="zh-CN"/>
        </w:rPr>
        <w:t>昆山市张浦镇人民政府（昆山市张浦镇建设管理办公室）</w:t>
      </w:r>
    </w:p>
    <w:p w14:paraId="16981C4B">
      <w:pPr>
        <w:spacing w:line="360" w:lineRule="auto"/>
        <w:ind w:left="2240" w:hanging="2240"/>
        <w:jc w:val="left"/>
        <w:rPr>
          <w:rFonts w:hint="eastAsia" w:ascii="宋体" w:hAnsi="宋体" w:eastAsia="宋体"/>
          <w:color w:val="000000"/>
          <w:sz w:val="32"/>
          <w:szCs w:val="32"/>
          <w:lang w:eastAsia="zh-CN"/>
        </w:rPr>
      </w:pPr>
      <w:r>
        <w:rPr>
          <w:rFonts w:hint="eastAsia" w:ascii="宋体" w:hAnsi="宋体"/>
          <w:color w:val="000000"/>
          <w:sz w:val="32"/>
          <w:szCs w:val="32"/>
        </w:rPr>
        <w:t>采购代理机构：</w:t>
      </w:r>
      <w:r>
        <w:rPr>
          <w:rFonts w:hint="eastAsia" w:ascii="宋体" w:hAnsi="宋体"/>
          <w:color w:val="000000"/>
          <w:sz w:val="32"/>
          <w:szCs w:val="32"/>
          <w:lang w:eastAsia="zh-CN"/>
        </w:rPr>
        <w:t>中诚运玛咨询股份有限公司</w:t>
      </w:r>
    </w:p>
    <w:p w14:paraId="29369907">
      <w:pPr>
        <w:spacing w:line="360" w:lineRule="auto"/>
        <w:jc w:val="left"/>
        <w:rPr>
          <w:rFonts w:hint="eastAsia" w:ascii="宋体" w:hAnsi="宋体"/>
          <w:color w:val="000000"/>
          <w:sz w:val="32"/>
          <w:szCs w:val="32"/>
        </w:rPr>
      </w:pPr>
      <w:r>
        <w:rPr>
          <w:rFonts w:hint="eastAsia" w:ascii="宋体" w:hAnsi="宋体"/>
          <w:color w:val="000000"/>
          <w:sz w:val="32"/>
          <w:szCs w:val="32"/>
        </w:rPr>
        <w:t>采购时间：2</w:t>
      </w:r>
      <w:r>
        <w:rPr>
          <w:rFonts w:ascii="宋体" w:hAnsi="宋体"/>
          <w:color w:val="000000"/>
          <w:sz w:val="32"/>
          <w:szCs w:val="32"/>
        </w:rPr>
        <w:t>02</w:t>
      </w:r>
      <w:r>
        <w:rPr>
          <w:rFonts w:hint="eastAsia" w:ascii="宋体" w:hAnsi="宋体"/>
          <w:color w:val="000000"/>
          <w:sz w:val="32"/>
          <w:szCs w:val="32"/>
        </w:rPr>
        <w:t>5年</w:t>
      </w:r>
      <w:r>
        <w:rPr>
          <w:rFonts w:hint="eastAsia" w:ascii="宋体" w:hAnsi="宋体"/>
          <w:color w:val="000000"/>
          <w:sz w:val="32"/>
          <w:szCs w:val="32"/>
          <w:lang w:val="en-US" w:eastAsia="zh-CN"/>
        </w:rPr>
        <w:t>9</w:t>
      </w:r>
      <w:r>
        <w:rPr>
          <w:rFonts w:hint="eastAsia" w:ascii="宋体" w:hAnsi="宋体"/>
          <w:color w:val="000000"/>
          <w:sz w:val="32"/>
          <w:szCs w:val="32"/>
        </w:rPr>
        <w:t>月</w:t>
      </w:r>
    </w:p>
    <w:p w14:paraId="541D7E8B">
      <w:pPr>
        <w:pStyle w:val="34"/>
        <w:tabs>
          <w:tab w:val="right" w:leader="dot" w:pos="9118"/>
        </w:tabs>
        <w:jc w:val="center"/>
        <w:rPr>
          <w:rFonts w:hint="eastAsia" w:ascii="宋体" w:hAnsi="宋体"/>
          <w:b/>
          <w:bCs/>
          <w:szCs w:val="30"/>
        </w:rPr>
        <w:sectPr>
          <w:headerReference r:id="rId4" w:type="first"/>
          <w:headerReference r:id="rId3" w:type="default"/>
          <w:footerReference r:id="rId5" w:type="default"/>
          <w:footerReference r:id="rId6" w:type="even"/>
          <w:pgSz w:w="11906" w:h="16838"/>
          <w:pgMar w:top="1474" w:right="1247" w:bottom="1247" w:left="1531" w:header="851" w:footer="680" w:gutter="0"/>
          <w:cols w:space="425" w:num="1"/>
          <w:titlePg/>
          <w:docGrid w:linePitch="360" w:charSpace="0"/>
        </w:sectPr>
      </w:pPr>
      <w:bookmarkStart w:id="0" w:name="_Toc135142671"/>
      <w:bookmarkStart w:id="1" w:name="_Toc62807503"/>
      <w:bookmarkStart w:id="2" w:name="_Toc62807496"/>
      <w:bookmarkStart w:id="3" w:name="_Toc477184526"/>
      <w:bookmarkStart w:id="4" w:name="_Toc63583485"/>
      <w:bookmarkStart w:id="5" w:name="_Toc477184667"/>
      <w:bookmarkStart w:id="6" w:name="_Toc33452244"/>
    </w:p>
    <w:p w14:paraId="49C52B1F">
      <w:pPr>
        <w:pStyle w:val="34"/>
        <w:tabs>
          <w:tab w:val="right" w:leader="dot" w:pos="9118"/>
        </w:tabs>
        <w:jc w:val="center"/>
        <w:rPr>
          <w:rStyle w:val="320"/>
          <w:sz w:val="32"/>
          <w:szCs w:val="32"/>
        </w:rPr>
      </w:pPr>
      <w:bookmarkStart w:id="7" w:name="_Toc173229830"/>
      <w:bookmarkStart w:id="8" w:name="_Toc161067498"/>
      <w:bookmarkStart w:id="9" w:name="_Toc161126682"/>
      <w:r>
        <w:rPr>
          <w:rStyle w:val="320"/>
          <w:rFonts w:hint="eastAsia"/>
          <w:sz w:val="32"/>
          <w:szCs w:val="32"/>
        </w:rPr>
        <w:t>目 录</w:t>
      </w:r>
    </w:p>
    <w:p w14:paraId="57EF8334">
      <w:pPr>
        <w:pStyle w:val="34"/>
        <w:tabs>
          <w:tab w:val="right" w:leader="dot" w:pos="9118"/>
        </w:tabs>
        <w:spacing w:line="360" w:lineRule="auto"/>
        <w:rPr>
          <w:rFonts w:hint="eastAsia" w:asciiTheme="minorHAnsi" w:hAnsiTheme="minorHAnsi" w:eastAsiaTheme="minorEastAsia" w:cstheme="minorBidi"/>
          <w:sz w:val="21"/>
          <w:szCs w:val="22"/>
        </w:rPr>
      </w:pPr>
      <w:r>
        <w:rPr>
          <w:rStyle w:val="320"/>
          <w:sz w:val="32"/>
          <w:szCs w:val="32"/>
        </w:rPr>
        <w:fldChar w:fldCharType="begin"/>
      </w:r>
      <w:r>
        <w:rPr>
          <w:rStyle w:val="320"/>
          <w:sz w:val="32"/>
          <w:szCs w:val="32"/>
        </w:rPr>
        <w:instrText xml:space="preserve"> TOC \o "1-1" \h \z \u </w:instrText>
      </w:r>
      <w:r>
        <w:rPr>
          <w:rStyle w:val="320"/>
          <w:sz w:val="32"/>
          <w:szCs w:val="32"/>
        </w:rPr>
        <w:fldChar w:fldCharType="separate"/>
      </w:r>
      <w:r>
        <w:fldChar w:fldCharType="begin"/>
      </w:r>
      <w:r>
        <w:instrText xml:space="preserve"> HYPERLINK \l "_Toc195539947" \o "#_Toc195539947" </w:instrText>
      </w:r>
      <w:r>
        <w:fldChar w:fldCharType="separate"/>
      </w:r>
      <w:r>
        <w:rPr>
          <w:rStyle w:val="64"/>
        </w:rPr>
        <w:t>第一章 竞争性谈判邀请函</w:t>
      </w:r>
      <w:r>
        <w:tab/>
      </w:r>
      <w:r>
        <w:fldChar w:fldCharType="begin"/>
      </w:r>
      <w:r>
        <w:instrText xml:space="preserve"> PAGEREF _Toc195539947 \h </w:instrText>
      </w:r>
      <w:r>
        <w:fldChar w:fldCharType="separate"/>
      </w:r>
      <w:r>
        <w:t>3</w:t>
      </w:r>
      <w:r>
        <w:fldChar w:fldCharType="end"/>
      </w:r>
      <w:r>
        <w:fldChar w:fldCharType="end"/>
      </w:r>
    </w:p>
    <w:p w14:paraId="040D1677">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"_Toc195539948" \o "#_Toc195539948" </w:instrText>
      </w:r>
      <w:r>
        <w:fldChar w:fldCharType="separate"/>
      </w:r>
      <w:r>
        <w:rPr>
          <w:rStyle w:val="64"/>
        </w:rPr>
        <w:t>第二章 响应须知</w:t>
      </w:r>
      <w:r>
        <w:tab/>
      </w:r>
      <w:r>
        <w:fldChar w:fldCharType="begin"/>
      </w:r>
      <w:r>
        <w:instrText xml:space="preserve"> PAGEREF _Toc195539948 \h </w:instrText>
      </w:r>
      <w:r>
        <w:fldChar w:fldCharType="separate"/>
      </w:r>
      <w:r>
        <w:t>6</w:t>
      </w:r>
      <w:r>
        <w:fldChar w:fldCharType="end"/>
      </w:r>
      <w:r>
        <w:fldChar w:fldCharType="end"/>
      </w:r>
    </w:p>
    <w:p w14:paraId="00A016FB">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"_Toc195539949" \o "#_Toc195539949" </w:instrText>
      </w:r>
      <w:r>
        <w:fldChar w:fldCharType="separate"/>
      </w:r>
      <w:r>
        <w:rPr>
          <w:rStyle w:val="64"/>
        </w:rPr>
        <w:t>第三章 采购需求</w:t>
      </w:r>
      <w:r>
        <w:tab/>
      </w:r>
      <w:r>
        <w:fldChar w:fldCharType="begin"/>
      </w:r>
      <w:r>
        <w:instrText xml:space="preserve"> PAGEREF _Toc195539949 \h </w:instrText>
      </w:r>
      <w:r>
        <w:fldChar w:fldCharType="separate"/>
      </w:r>
      <w:r>
        <w:t>10</w:t>
      </w:r>
      <w:r>
        <w:fldChar w:fldCharType="end"/>
      </w:r>
      <w:r>
        <w:fldChar w:fldCharType="end"/>
      </w:r>
    </w:p>
    <w:p w14:paraId="56A9FC3C">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"_Toc195539950" \o "#_Toc195539950" </w:instrText>
      </w:r>
      <w:r>
        <w:fldChar w:fldCharType="separate"/>
      </w:r>
      <w:r>
        <w:rPr>
          <w:rStyle w:val="64"/>
        </w:rPr>
        <w:t>第四章 评审程序</w:t>
      </w:r>
      <w:r>
        <w:tab/>
      </w:r>
      <w:r>
        <w:fldChar w:fldCharType="begin"/>
      </w:r>
      <w:r>
        <w:instrText xml:space="preserve"> PAGEREF _Toc195539950 \h </w:instrText>
      </w:r>
      <w:r>
        <w:fldChar w:fldCharType="separate"/>
      </w:r>
      <w:r>
        <w:t>18</w:t>
      </w:r>
      <w:r>
        <w:fldChar w:fldCharType="end"/>
      </w:r>
      <w:r>
        <w:fldChar w:fldCharType="end"/>
      </w:r>
    </w:p>
    <w:p w14:paraId="0854C91B">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"_Toc195539951" \o "#_Toc195539951" </w:instrText>
      </w:r>
      <w:r>
        <w:fldChar w:fldCharType="separate"/>
      </w:r>
      <w:r>
        <w:rPr>
          <w:rStyle w:val="64"/>
        </w:rPr>
        <w:t>第五章 评审方法</w:t>
      </w:r>
      <w:r>
        <w:tab/>
      </w:r>
      <w:r>
        <w:fldChar w:fldCharType="begin"/>
      </w:r>
      <w:r>
        <w:instrText xml:space="preserve"> PAGEREF _Toc195539951 \h </w:instrText>
      </w:r>
      <w:r>
        <w:fldChar w:fldCharType="separate"/>
      </w:r>
      <w:r>
        <w:t>23</w:t>
      </w:r>
      <w:r>
        <w:fldChar w:fldCharType="end"/>
      </w:r>
      <w:r>
        <w:fldChar w:fldCharType="end"/>
      </w:r>
    </w:p>
    <w:p w14:paraId="100FB311">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"_Toc195539952" \o "#_Toc195539952" </w:instrText>
      </w:r>
      <w:r>
        <w:fldChar w:fldCharType="separate"/>
      </w:r>
      <w:r>
        <w:rPr>
          <w:rStyle w:val="64"/>
        </w:rPr>
        <w:t>第六章 采购合同文本</w:t>
      </w:r>
      <w:r>
        <w:tab/>
      </w:r>
      <w:r>
        <w:fldChar w:fldCharType="begin"/>
      </w:r>
      <w:r>
        <w:instrText xml:space="preserve"> PAGEREF _Toc195539952 \h </w:instrText>
      </w:r>
      <w:r>
        <w:fldChar w:fldCharType="separate"/>
      </w:r>
      <w:r>
        <w:t>25</w:t>
      </w:r>
      <w:r>
        <w:fldChar w:fldCharType="end"/>
      </w:r>
      <w:r>
        <w:fldChar w:fldCharType="end"/>
      </w:r>
    </w:p>
    <w:p w14:paraId="43E16F64">
      <w:pPr>
        <w:pStyle w:val="34"/>
        <w:tabs>
          <w:tab w:val="right" w:leader="dot" w:pos="9118"/>
        </w:tabs>
        <w:spacing w:line="360" w:lineRule="auto"/>
        <w:rPr>
          <w:rFonts w:hint="eastAsia" w:asciiTheme="minorHAnsi" w:hAnsiTheme="minorHAnsi" w:eastAsiaTheme="minorEastAsia" w:cstheme="minorBidi"/>
          <w:sz w:val="21"/>
          <w:szCs w:val="22"/>
        </w:rPr>
      </w:pPr>
      <w:r>
        <w:fldChar w:fldCharType="begin"/>
      </w:r>
      <w:r>
        <w:instrText xml:space="preserve"> HYPERLINK \l "_Toc195539953" \o "#_Toc195539953" </w:instrText>
      </w:r>
      <w:r>
        <w:fldChar w:fldCharType="separate"/>
      </w:r>
      <w:r>
        <w:rPr>
          <w:rStyle w:val="64"/>
        </w:rPr>
        <w:t>第七章 响应文件格式</w:t>
      </w:r>
      <w:r>
        <w:tab/>
      </w:r>
      <w:r>
        <w:fldChar w:fldCharType="begin"/>
      </w:r>
      <w:r>
        <w:instrText xml:space="preserve"> PAGEREF _Toc195539953 \h </w:instrText>
      </w:r>
      <w:r>
        <w:fldChar w:fldCharType="separate"/>
      </w:r>
      <w:r>
        <w:t>30</w:t>
      </w:r>
      <w:r>
        <w:fldChar w:fldCharType="end"/>
      </w:r>
      <w:r>
        <w:fldChar w:fldCharType="end"/>
      </w:r>
    </w:p>
    <w:p w14:paraId="3CAA7EFB">
      <w:pPr>
        <w:spacing w:line="360" w:lineRule="auto"/>
        <w:rPr>
          <w:rStyle w:val="320"/>
          <w:sz w:val="32"/>
          <w:szCs w:val="32"/>
        </w:rPr>
        <w:sectPr>
          <w:pgSz w:w="11906" w:h="16838"/>
          <w:pgMar w:top="1474" w:right="1247" w:bottom="1247" w:left="1531" w:header="851" w:footer="680" w:gutter="0"/>
          <w:cols w:space="425" w:num="1"/>
          <w:docGrid w:linePitch="360" w:charSpace="0"/>
        </w:sectPr>
      </w:pPr>
      <w:r>
        <w:rPr>
          <w:rStyle w:val="320"/>
          <w:sz w:val="32"/>
          <w:szCs w:val="32"/>
        </w:rPr>
        <w:fldChar w:fldCharType="end"/>
      </w:r>
    </w:p>
    <w:p w14:paraId="47E1D019">
      <w:pPr>
        <w:pStyle w:val="2"/>
        <w:spacing w:line="360" w:lineRule="auto"/>
        <w:jc w:val="center"/>
        <w:rPr>
          <w:rStyle w:val="320"/>
          <w:sz w:val="32"/>
          <w:szCs w:val="32"/>
        </w:rPr>
      </w:pPr>
      <w:bookmarkStart w:id="10" w:name="_Toc195539947"/>
      <w:r>
        <w:rPr>
          <w:rStyle w:val="320"/>
          <w:rFonts w:hint="eastAsia"/>
          <w:sz w:val="32"/>
          <w:szCs w:val="32"/>
        </w:rPr>
        <w:t>第一章 竞争性谈判邀请函</w:t>
      </w:r>
      <w:bookmarkEnd w:id="0"/>
      <w:bookmarkEnd w:id="1"/>
      <w:bookmarkEnd w:id="2"/>
      <w:bookmarkEnd w:id="3"/>
      <w:bookmarkEnd w:id="4"/>
      <w:bookmarkEnd w:id="5"/>
      <w:bookmarkEnd w:id="6"/>
      <w:bookmarkEnd w:id="7"/>
      <w:bookmarkEnd w:id="8"/>
      <w:bookmarkEnd w:id="9"/>
      <w:bookmarkEnd w:id="10"/>
    </w:p>
    <w:p w14:paraId="2A3FDB44">
      <w:pPr>
        <w:spacing w:line="360" w:lineRule="auto"/>
        <w:ind w:firstLine="420"/>
        <w:rPr>
          <w:rFonts w:hint="eastAsia" w:ascii="宋体" w:hAnsi="宋体"/>
          <w:szCs w:val="21"/>
        </w:rPr>
      </w:pPr>
      <w:r>
        <w:rPr>
          <w:rFonts w:hint="eastAsia" w:ascii="宋体" w:hAnsi="宋体"/>
          <w:szCs w:val="21"/>
          <w:lang w:eastAsia="zh-CN"/>
        </w:rPr>
        <w:t>中诚运玛咨询股份有限公司</w:t>
      </w:r>
      <w:r>
        <w:rPr>
          <w:rFonts w:hint="eastAsia" w:ascii="宋体" w:hAnsi="宋体"/>
          <w:szCs w:val="21"/>
        </w:rPr>
        <w:t>受</w:t>
      </w:r>
      <w:r>
        <w:rPr>
          <w:rFonts w:hint="eastAsia" w:ascii="宋体" w:hAnsi="宋体"/>
          <w:szCs w:val="21"/>
          <w:lang w:eastAsia="zh-CN"/>
        </w:rPr>
        <w:t>昆山市张浦镇人民政府（昆山市张浦镇建设管理办公室）</w:t>
      </w:r>
      <w:r>
        <w:rPr>
          <w:rFonts w:hint="eastAsia" w:ascii="宋体" w:hAnsi="宋体"/>
          <w:szCs w:val="21"/>
        </w:rPr>
        <w:t>的委托，为其拟采购的</w:t>
      </w:r>
      <w:r>
        <w:rPr>
          <w:rFonts w:hint="eastAsia" w:ascii="宋体" w:hAnsi="宋体"/>
          <w:szCs w:val="21"/>
          <w:lang w:eastAsia="zh-CN"/>
        </w:rPr>
        <w:t>昆山市ZP06单元详细规划</w:t>
      </w:r>
      <w:r>
        <w:rPr>
          <w:rFonts w:hint="eastAsia" w:ascii="宋体" w:hAnsi="宋体"/>
          <w:szCs w:val="21"/>
        </w:rPr>
        <w:t>组织竞争性</w:t>
      </w:r>
      <w:r>
        <w:rPr>
          <w:rFonts w:ascii="宋体" w:hAnsi="宋体"/>
          <w:szCs w:val="21"/>
        </w:rPr>
        <w:t>谈判</w:t>
      </w:r>
      <w:r>
        <w:rPr>
          <w:rFonts w:hint="eastAsia" w:ascii="宋体" w:hAnsi="宋体"/>
          <w:szCs w:val="21"/>
        </w:rPr>
        <w:t>，欢迎符合条件的供应商前来参与。</w:t>
      </w:r>
    </w:p>
    <w:p w14:paraId="22E8E694">
      <w:pPr>
        <w:spacing w:line="360" w:lineRule="auto"/>
        <w:ind w:firstLine="422"/>
        <w:rPr>
          <w:rFonts w:hint="eastAsia" w:ascii="宋体" w:hAnsi="宋体"/>
          <w:b/>
          <w:bCs/>
          <w:szCs w:val="21"/>
        </w:rPr>
      </w:pPr>
      <w:r>
        <w:rPr>
          <w:rFonts w:hint="eastAsia" w:ascii="宋体" w:hAnsi="宋体"/>
          <w:b/>
          <w:bCs/>
          <w:szCs w:val="21"/>
        </w:rPr>
        <w:t>一、项目基本情况</w:t>
      </w:r>
    </w:p>
    <w:p w14:paraId="35585755">
      <w:pPr>
        <w:spacing w:line="360"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lang w:eastAsia="zh-CN"/>
          <w14:textFill>
            <w14:solidFill>
              <w14:schemeClr w14:val="tx1"/>
            </w14:solidFill>
          </w14:textFill>
        </w:rPr>
        <w:t>JSZC-320583-JSYM-T2025-0013</w:t>
      </w:r>
      <w:r>
        <w:rPr>
          <w:rFonts w:hint="eastAsia" w:ascii="宋体" w:hAnsi="宋体"/>
          <w:color w:val="000000" w:themeColor="text1"/>
          <w:szCs w:val="21"/>
          <w14:textFill>
            <w14:solidFill>
              <w14:schemeClr w14:val="tx1"/>
            </w14:solidFill>
          </w14:textFill>
        </w:rPr>
        <w:t>；</w:t>
      </w:r>
    </w:p>
    <w:p w14:paraId="0754BC5B">
      <w:pPr>
        <w:spacing w:line="360" w:lineRule="auto"/>
        <w:ind w:firstLine="420"/>
        <w:rPr>
          <w:rFonts w:hint="eastAsia" w:ascii="宋体" w:hAnsi="宋体"/>
          <w:szCs w:val="21"/>
        </w:rPr>
      </w:pPr>
      <w:r>
        <w:rPr>
          <w:rFonts w:hint="eastAsia" w:ascii="宋体" w:hAnsi="宋体"/>
          <w:szCs w:val="21"/>
        </w:rPr>
        <w:t>2</w:t>
      </w:r>
      <w:r>
        <w:rPr>
          <w:rFonts w:ascii="宋体" w:hAnsi="宋体"/>
          <w:szCs w:val="21"/>
        </w:rPr>
        <w:t>.</w:t>
      </w:r>
      <w:r>
        <w:rPr>
          <w:rFonts w:hint="eastAsia" w:ascii="宋体" w:hAnsi="宋体"/>
          <w:szCs w:val="21"/>
        </w:rPr>
        <w:t>项目名称：</w:t>
      </w:r>
      <w:r>
        <w:rPr>
          <w:rFonts w:hint="eastAsia" w:ascii="宋体" w:hAnsi="宋体"/>
          <w:szCs w:val="21"/>
          <w:lang w:eastAsia="zh-CN"/>
        </w:rPr>
        <w:t>昆山市ZP06单元详细规划</w:t>
      </w:r>
      <w:r>
        <w:rPr>
          <w:rFonts w:hint="eastAsia" w:ascii="宋体" w:hAnsi="宋体"/>
          <w:szCs w:val="21"/>
        </w:rPr>
        <w:t>；</w:t>
      </w:r>
    </w:p>
    <w:p w14:paraId="7ED71994">
      <w:pPr>
        <w:spacing w:line="360" w:lineRule="auto"/>
        <w:ind w:firstLine="420"/>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项目类别：服务类；</w:t>
      </w:r>
    </w:p>
    <w:p w14:paraId="7F29E438">
      <w:pPr>
        <w:spacing w:line="360" w:lineRule="auto"/>
        <w:ind w:firstLine="420"/>
        <w:rPr>
          <w:rFonts w:hint="eastAsia"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预算金额：</w:t>
      </w:r>
      <w:r>
        <w:rPr>
          <w:rFonts w:hint="eastAsia" w:ascii="宋体" w:hAnsi="宋体"/>
          <w:color w:val="000000"/>
          <w:szCs w:val="21"/>
        </w:rPr>
        <w:t>人民币</w:t>
      </w:r>
      <w:r>
        <w:rPr>
          <w:rFonts w:hint="eastAsia" w:ascii="宋体" w:hAnsi="宋体"/>
          <w:color w:val="000000"/>
          <w:szCs w:val="21"/>
          <w:lang w:val="en-US" w:eastAsia="zh-CN"/>
        </w:rPr>
        <w:t>壹佰壹拾贰万元整</w:t>
      </w:r>
      <w:r>
        <w:rPr>
          <w:rFonts w:hint="eastAsia" w:ascii="宋体" w:hAnsi="宋体"/>
          <w:color w:val="000000"/>
          <w:szCs w:val="21"/>
        </w:rPr>
        <w:t>（¥</w:t>
      </w:r>
      <w:r>
        <w:rPr>
          <w:rFonts w:hint="eastAsia" w:ascii="宋体" w:hAnsi="宋体"/>
          <w:color w:val="000000"/>
          <w:szCs w:val="21"/>
          <w:lang w:val="en-US" w:eastAsia="zh-CN"/>
        </w:rPr>
        <w:t>1120000</w:t>
      </w:r>
      <w:r>
        <w:rPr>
          <w:rFonts w:ascii="宋体" w:hAnsi="宋体"/>
          <w:color w:val="000000"/>
          <w:szCs w:val="21"/>
        </w:rPr>
        <w:t>.00</w:t>
      </w:r>
      <w:r>
        <w:rPr>
          <w:rFonts w:hint="eastAsia" w:ascii="宋体" w:hAnsi="宋体"/>
          <w:color w:val="000000"/>
          <w:szCs w:val="21"/>
        </w:rPr>
        <w:t>）</w:t>
      </w:r>
      <w:r>
        <w:rPr>
          <w:rFonts w:hint="eastAsia" w:ascii="宋体" w:hAnsi="宋体"/>
          <w:szCs w:val="21"/>
        </w:rPr>
        <w:t>；</w:t>
      </w:r>
    </w:p>
    <w:p w14:paraId="5D609818">
      <w:pPr>
        <w:spacing w:line="360" w:lineRule="auto"/>
        <w:ind w:firstLine="420"/>
        <w:rPr>
          <w:rFonts w:hint="eastAsia" w:ascii="宋体" w:hAnsi="宋体"/>
          <w:szCs w:val="21"/>
        </w:rPr>
      </w:pPr>
      <w:r>
        <w:rPr>
          <w:rFonts w:ascii="宋体" w:hAnsi="宋体"/>
          <w:szCs w:val="21"/>
        </w:rPr>
        <w:t>5.</w:t>
      </w:r>
      <w:r>
        <w:rPr>
          <w:rFonts w:hint="eastAsia" w:ascii="宋体" w:hAnsi="宋体"/>
          <w:szCs w:val="21"/>
        </w:rPr>
        <w:t>采购需求：详见第三章；</w:t>
      </w:r>
    </w:p>
    <w:p w14:paraId="29B2D02F">
      <w:pPr>
        <w:spacing w:line="360" w:lineRule="auto"/>
        <w:ind w:firstLine="420"/>
        <w:rPr>
          <w:rFonts w:hint="eastAsia" w:ascii="宋体" w:hAnsi="宋体"/>
          <w:szCs w:val="21"/>
        </w:rPr>
      </w:pPr>
      <w:r>
        <w:rPr>
          <w:rFonts w:ascii="宋体" w:hAnsi="宋体"/>
          <w:szCs w:val="21"/>
        </w:rPr>
        <w:t>6.</w:t>
      </w:r>
      <w:r>
        <w:rPr>
          <w:rFonts w:hint="eastAsia" w:ascii="宋体" w:hAnsi="宋体"/>
          <w:szCs w:val="21"/>
        </w:rPr>
        <w:t>合同履行期限</w:t>
      </w:r>
      <w:r>
        <w:rPr>
          <w:rFonts w:hint="eastAsia" w:ascii="宋体" w:hAnsi="宋体"/>
          <w:szCs w:val="21"/>
          <w:highlight w:val="none"/>
        </w:rPr>
        <w:t>：</w:t>
      </w:r>
      <w:r>
        <w:rPr>
          <w:rFonts w:hint="eastAsia" w:ascii="宋体" w:hAnsi="宋体" w:cs="宋体"/>
          <w:szCs w:val="21"/>
        </w:rPr>
        <w:t>合同签订后</w:t>
      </w:r>
      <w:r>
        <w:rPr>
          <w:rFonts w:hint="eastAsia" w:ascii="宋体" w:hAnsi="宋体" w:cs="宋体"/>
          <w:szCs w:val="21"/>
          <w:lang w:val="en-US" w:eastAsia="zh-CN"/>
        </w:rPr>
        <w:t>120个日历天</w:t>
      </w:r>
      <w:r>
        <w:rPr>
          <w:rFonts w:hint="eastAsia" w:ascii="宋体" w:hAnsi="宋体"/>
        </w:rPr>
        <w:t>（不包括项目公示期及成果审查时间）</w:t>
      </w:r>
      <w:r>
        <w:rPr>
          <w:rFonts w:hint="eastAsia" w:ascii="宋体" w:hAnsi="宋体"/>
          <w:szCs w:val="21"/>
          <w:highlight w:val="none"/>
        </w:rPr>
        <w:t>；</w:t>
      </w:r>
    </w:p>
    <w:p w14:paraId="093C4E9E">
      <w:pPr>
        <w:widowControl/>
        <w:shd w:val="clear" w:color="auto" w:fill="FFFFFF"/>
        <w:spacing w:line="360" w:lineRule="auto"/>
        <w:ind w:firstLine="420"/>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本项目不接受联合体响应。</w:t>
      </w:r>
    </w:p>
    <w:p w14:paraId="28B40023">
      <w:pPr>
        <w:spacing w:line="360" w:lineRule="auto"/>
        <w:ind w:firstLine="422"/>
        <w:rPr>
          <w:rFonts w:hint="eastAsia" w:ascii="宋体" w:hAnsi="宋体"/>
          <w:b/>
          <w:bCs/>
          <w:szCs w:val="21"/>
        </w:rPr>
      </w:pPr>
      <w:r>
        <w:rPr>
          <w:rFonts w:hint="eastAsia" w:ascii="宋体" w:hAnsi="宋体"/>
          <w:b/>
          <w:bCs/>
          <w:szCs w:val="21"/>
        </w:rPr>
        <w:t>二、申请人的资格要求</w:t>
      </w:r>
    </w:p>
    <w:p w14:paraId="5E23F913">
      <w:pPr>
        <w:spacing w:line="360" w:lineRule="auto"/>
        <w:ind w:firstLine="420"/>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满足《中华人民共和国政府采购法》第二十二条规定；</w:t>
      </w:r>
    </w:p>
    <w:p w14:paraId="374F5493">
      <w:pPr>
        <w:spacing w:line="360" w:lineRule="auto"/>
        <w:ind w:firstLine="420"/>
        <w:rPr>
          <w:rFonts w:hint="eastAsia" w:ascii="宋体" w:hAnsi="宋体"/>
          <w:bCs/>
          <w:szCs w:val="21"/>
        </w:rPr>
      </w:pPr>
      <w:r>
        <w:rPr>
          <w:rFonts w:hint="eastAsia" w:ascii="宋体" w:hAnsi="宋体"/>
          <w:szCs w:val="21"/>
        </w:rPr>
        <w:t>2</w:t>
      </w:r>
      <w:r>
        <w:rPr>
          <w:rFonts w:ascii="宋体" w:hAnsi="宋体"/>
          <w:szCs w:val="21"/>
        </w:rPr>
        <w:t>.</w:t>
      </w:r>
      <w:r>
        <w:rPr>
          <w:rFonts w:hint="eastAsia" w:ascii="宋体" w:hAnsi="宋体"/>
          <w:szCs w:val="21"/>
        </w:rPr>
        <w:t>落实政府采购政策需满足的资格要求：</w:t>
      </w:r>
      <w:r>
        <w:rPr>
          <w:rFonts w:hint="eastAsia" w:ascii="宋体" w:hAnsi="宋体"/>
          <w:b/>
          <w:szCs w:val="21"/>
        </w:rPr>
        <w:t>本项目专门面向中小企业采购</w:t>
      </w:r>
      <w:r>
        <w:rPr>
          <w:rFonts w:hint="eastAsia" w:ascii="宋体" w:hAnsi="宋体"/>
          <w:b/>
          <w:szCs w:val="21"/>
          <w:lang w:eastAsia="zh-CN"/>
        </w:rPr>
        <w:t>，</w:t>
      </w:r>
      <w:r>
        <w:rPr>
          <w:rFonts w:hint="eastAsia" w:ascii="宋体" w:hAnsi="宋体"/>
          <w:b/>
          <w:szCs w:val="21"/>
          <w:lang w:val="en-US" w:eastAsia="zh-CN"/>
        </w:rPr>
        <w:t>所属行业为：其他未列明的行业（</w:t>
      </w:r>
      <w:r>
        <w:rPr>
          <w:rFonts w:hint="eastAsia" w:ascii="宋体" w:hAnsi="宋体"/>
          <w:b/>
          <w:szCs w:val="21"/>
        </w:rPr>
        <w:t>残疾人福利性单位、监狱企业视同小型、微型企业</w:t>
      </w:r>
      <w:r>
        <w:rPr>
          <w:rFonts w:hint="eastAsia" w:ascii="宋体" w:hAnsi="宋体"/>
          <w:b/>
          <w:szCs w:val="21"/>
          <w:lang w:val="en-US" w:eastAsia="zh-CN"/>
        </w:rPr>
        <w:t>）。</w:t>
      </w:r>
    </w:p>
    <w:p w14:paraId="4444BF5D">
      <w:pPr>
        <w:spacing w:line="360" w:lineRule="auto"/>
        <w:ind w:firstLine="420"/>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本项目的特定资格条件：</w:t>
      </w:r>
      <w:r>
        <w:rPr>
          <w:rFonts w:hint="eastAsia" w:ascii="宋体" w:hAnsi="宋体" w:cs="宋体"/>
          <w:color w:val="000000"/>
          <w:szCs w:val="21"/>
        </w:rPr>
        <w:t>无；</w:t>
      </w:r>
    </w:p>
    <w:p w14:paraId="35458F2C">
      <w:pPr>
        <w:spacing w:line="360" w:lineRule="auto"/>
        <w:ind w:firstLine="420"/>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根据《中华人民共和国政府采购法》及相关法律法规，以及苏州市财政局《关于印发苏州市市级政府采购信用记录查询和使用工作试行办法的通知》（苏财购〔2017〕11号）文件的规定，采购代理机构将对供应商进行信用查询。对列入失信被执行人、重大税收违法案件当事人名单、政府采购严重违法失信行为记录名单的供应商，拒绝其参与政府采购活动。</w:t>
      </w:r>
      <w:bookmarkStart w:id="11" w:name="_Hlk160797058"/>
      <w:r>
        <w:rPr>
          <w:rFonts w:hint="eastAsia" w:ascii="宋体" w:hAnsi="宋体"/>
          <w:szCs w:val="21"/>
        </w:rPr>
        <w:t>以评标现场查询结果为准。</w:t>
      </w:r>
      <w:bookmarkEnd w:id="11"/>
    </w:p>
    <w:p w14:paraId="1029B86A">
      <w:pPr>
        <w:widowControl/>
        <w:shd w:val="clear" w:color="auto" w:fill="FFFFFF"/>
        <w:spacing w:line="360" w:lineRule="auto"/>
        <w:ind w:firstLine="422"/>
        <w:rPr>
          <w:rFonts w:hint="eastAsia" w:ascii="宋体" w:hAnsi="宋体" w:cs="宋体"/>
          <w:b/>
          <w:bCs/>
          <w:color w:val="000000"/>
          <w:szCs w:val="21"/>
        </w:rPr>
      </w:pPr>
      <w:r>
        <w:rPr>
          <w:rFonts w:hint="eastAsia" w:ascii="宋体" w:hAnsi="宋体" w:cs="宋体"/>
          <w:b/>
          <w:bCs/>
          <w:color w:val="000000"/>
          <w:szCs w:val="21"/>
        </w:rPr>
        <w:t>三、获取谈判文件</w:t>
      </w:r>
    </w:p>
    <w:p w14:paraId="29EB4176">
      <w:pPr>
        <w:widowControl/>
        <w:shd w:val="clear" w:color="auto" w:fill="FFFFFF"/>
        <w:spacing w:line="360" w:lineRule="auto"/>
        <w:ind w:firstLine="420"/>
        <w:rPr>
          <w:rFonts w:hint="eastAsia" w:ascii="宋体" w:hAnsi="宋体" w:cs="宋体"/>
          <w:color w:val="000000"/>
          <w:szCs w:val="21"/>
        </w:rPr>
      </w:pPr>
      <w:r>
        <w:rPr>
          <w:rFonts w:hint="eastAsia" w:ascii="宋体" w:hAnsi="宋体" w:cs="宋体"/>
          <w:color w:val="000000"/>
          <w:szCs w:val="21"/>
        </w:rPr>
        <w:t>1</w:t>
      </w:r>
      <w:r>
        <w:rPr>
          <w:rFonts w:ascii="宋体" w:hAnsi="宋体" w:cs="宋体"/>
          <w:color w:val="000000"/>
          <w:szCs w:val="21"/>
        </w:rPr>
        <w:t>.</w:t>
      </w:r>
      <w:r>
        <w:rPr>
          <w:rFonts w:hint="eastAsia" w:ascii="宋体" w:hAnsi="宋体" w:cs="宋体"/>
          <w:color w:val="000000"/>
          <w:szCs w:val="21"/>
        </w:rPr>
        <w:t>获取谈判文件时间：</w:t>
      </w:r>
      <w:r>
        <w:rPr>
          <w:rFonts w:hint="eastAsia" w:ascii="宋体" w:hAnsi="宋体"/>
          <w:bCs/>
          <w:color w:val="000000"/>
          <w:szCs w:val="21"/>
        </w:rPr>
        <w:t>上网之日起至</w:t>
      </w:r>
      <w:r>
        <w:rPr>
          <w:rFonts w:hint="eastAsia" w:ascii="宋体" w:hAnsi="宋体"/>
          <w:bCs/>
          <w:color w:val="FF0000"/>
          <w:szCs w:val="21"/>
        </w:rPr>
        <w:t>2025年</w:t>
      </w:r>
      <w:r>
        <w:rPr>
          <w:rFonts w:hint="eastAsia" w:ascii="宋体" w:hAnsi="宋体"/>
          <w:bCs/>
          <w:color w:val="FF0000"/>
          <w:szCs w:val="21"/>
          <w:lang w:val="en-US" w:eastAsia="zh-CN"/>
        </w:rPr>
        <w:t>9</w:t>
      </w:r>
      <w:r>
        <w:rPr>
          <w:rFonts w:hint="eastAsia" w:ascii="宋体" w:hAnsi="宋体"/>
          <w:bCs/>
          <w:color w:val="FF0000"/>
          <w:szCs w:val="21"/>
        </w:rPr>
        <w:t>月</w:t>
      </w:r>
      <w:r>
        <w:rPr>
          <w:rFonts w:hint="eastAsia" w:ascii="宋体" w:hAnsi="宋体"/>
          <w:bCs/>
          <w:color w:val="FF0000"/>
          <w:szCs w:val="21"/>
          <w:lang w:val="en-US" w:eastAsia="zh-CN"/>
        </w:rPr>
        <w:t>12</w:t>
      </w:r>
      <w:r>
        <w:rPr>
          <w:rFonts w:hint="eastAsia" w:ascii="宋体" w:hAnsi="宋体"/>
          <w:bCs/>
          <w:color w:val="FF0000"/>
          <w:szCs w:val="21"/>
        </w:rPr>
        <w:t>日</w:t>
      </w:r>
      <w:r>
        <w:rPr>
          <w:rFonts w:hint="eastAsia" w:ascii="宋体" w:hAnsi="宋体"/>
          <w:bCs/>
          <w:color w:val="FF0000"/>
          <w:szCs w:val="21"/>
          <w:lang w:val="en-US" w:eastAsia="zh-CN"/>
        </w:rPr>
        <w:t>24</w:t>
      </w:r>
      <w:r>
        <w:rPr>
          <w:rFonts w:hint="eastAsia" w:ascii="宋体" w:hAnsi="宋体"/>
          <w:bCs/>
          <w:color w:val="FF0000"/>
          <w:szCs w:val="21"/>
        </w:rPr>
        <w:t>:</w:t>
      </w:r>
      <w:r>
        <w:rPr>
          <w:rFonts w:hint="eastAsia" w:ascii="宋体" w:hAnsi="宋体"/>
          <w:bCs/>
          <w:color w:val="FF0000"/>
          <w:szCs w:val="21"/>
          <w:lang w:val="en-US" w:eastAsia="zh-CN"/>
        </w:rPr>
        <w:t>00</w:t>
      </w:r>
      <w:r>
        <w:rPr>
          <w:rFonts w:hint="eastAsia" w:ascii="宋体" w:hAnsi="宋体"/>
          <w:bCs/>
          <w:color w:val="000000" w:themeColor="text1"/>
          <w:szCs w:val="21"/>
          <w14:textFill>
            <w14:solidFill>
              <w14:schemeClr w14:val="tx1"/>
            </w14:solidFill>
          </w14:textFill>
        </w:rPr>
        <w:t>（北</w:t>
      </w:r>
      <w:r>
        <w:rPr>
          <w:rFonts w:hint="eastAsia" w:ascii="宋体" w:hAnsi="宋体"/>
          <w:bCs/>
          <w:color w:val="000000"/>
          <w:szCs w:val="21"/>
        </w:rPr>
        <w:t>京时间）；</w:t>
      </w:r>
    </w:p>
    <w:p w14:paraId="7FFF66E6">
      <w:pPr>
        <w:widowControl/>
        <w:shd w:val="clear" w:color="auto" w:fill="FFFFFF"/>
        <w:spacing w:line="360" w:lineRule="auto"/>
        <w:ind w:firstLine="420"/>
        <w:rPr>
          <w:rFonts w:hint="eastAsia" w:ascii="宋体" w:hAnsi="宋体" w:cs="宋体"/>
          <w:color w:val="000000"/>
          <w:szCs w:val="21"/>
        </w:rPr>
      </w:pPr>
      <w:r>
        <w:rPr>
          <w:rFonts w:hint="eastAsia" w:ascii="宋体" w:hAnsi="宋体" w:cs="宋体"/>
          <w:color w:val="000000"/>
          <w:szCs w:val="21"/>
        </w:rPr>
        <w:t>2</w:t>
      </w:r>
      <w:r>
        <w:rPr>
          <w:rFonts w:ascii="宋体" w:hAnsi="宋体" w:cs="宋体"/>
          <w:color w:val="000000"/>
          <w:szCs w:val="21"/>
        </w:rPr>
        <w:t>.</w:t>
      </w:r>
      <w:r>
        <w:rPr>
          <w:rFonts w:hint="eastAsia" w:ascii="宋体" w:hAnsi="宋体" w:cs="宋体"/>
          <w:color w:val="000000"/>
          <w:szCs w:val="21"/>
        </w:rPr>
        <w:t>获取谈判文件方式：登录“苏采云”系统自行下载本项目谈判文件；</w:t>
      </w:r>
    </w:p>
    <w:p w14:paraId="23D8FEC5">
      <w:pPr>
        <w:widowControl/>
        <w:shd w:val="clear" w:color="auto" w:fill="FFFFFF"/>
        <w:spacing w:line="360" w:lineRule="auto"/>
        <w:ind w:firstLine="420"/>
        <w:rPr>
          <w:rFonts w:hint="eastAsia" w:ascii="宋体" w:hAnsi="宋体" w:cs="宋体"/>
          <w:color w:val="000000"/>
          <w:szCs w:val="21"/>
        </w:rPr>
      </w:pPr>
      <w:r>
        <w:rPr>
          <w:rFonts w:hint="eastAsia" w:ascii="宋体" w:hAnsi="宋体" w:cs="宋体"/>
          <w:color w:val="000000"/>
          <w:szCs w:val="21"/>
        </w:rPr>
        <w:t>3</w:t>
      </w:r>
      <w:r>
        <w:rPr>
          <w:rFonts w:ascii="宋体" w:hAnsi="宋体" w:cs="宋体"/>
          <w:color w:val="000000"/>
          <w:szCs w:val="21"/>
        </w:rPr>
        <w:t>.</w:t>
      </w:r>
      <w:r>
        <w:rPr>
          <w:rFonts w:hint="eastAsia" w:ascii="宋体" w:hAnsi="宋体" w:cs="宋体"/>
          <w:color w:val="000000"/>
          <w:szCs w:val="21"/>
        </w:rPr>
        <w:t>谈判文件售价：0元。</w:t>
      </w:r>
    </w:p>
    <w:p w14:paraId="57574859">
      <w:pPr>
        <w:widowControl/>
        <w:shd w:val="clear" w:color="auto" w:fill="FFFFFF"/>
        <w:spacing w:line="360" w:lineRule="auto"/>
        <w:ind w:firstLine="422"/>
        <w:rPr>
          <w:rFonts w:hint="eastAsia" w:ascii="宋体" w:hAnsi="宋体" w:cs="宋体"/>
          <w:b/>
          <w:bCs/>
          <w:color w:val="000000"/>
          <w:szCs w:val="21"/>
        </w:rPr>
      </w:pPr>
      <w:r>
        <w:rPr>
          <w:rFonts w:hint="eastAsia" w:ascii="宋体" w:hAnsi="宋体" w:cs="宋体"/>
          <w:b/>
          <w:bCs/>
          <w:color w:val="000000"/>
          <w:szCs w:val="21"/>
        </w:rPr>
        <w:t>四、提交响应文件截止时间、开标时间和地点</w:t>
      </w:r>
    </w:p>
    <w:p w14:paraId="283ECB52">
      <w:pPr>
        <w:spacing w:line="360" w:lineRule="auto"/>
        <w:ind w:firstLine="420"/>
        <w:jc w:val="left"/>
        <w:rPr>
          <w:rFonts w:hint="eastAsia" w:ascii="宋体" w:hAnsi="宋体"/>
          <w:bCs/>
          <w:color w:val="000000"/>
          <w:szCs w:val="21"/>
        </w:rPr>
      </w:pPr>
      <w:r>
        <w:rPr>
          <w:rFonts w:hint="eastAsia" w:ascii="宋体" w:hAnsi="宋体"/>
          <w:bCs/>
          <w:color w:val="000000"/>
          <w:szCs w:val="21"/>
        </w:rPr>
        <w:t>本项目采用电子化采购模式，供应商须线上提交响应文件，并可通过远程开标方式完成开标。</w:t>
      </w:r>
    </w:p>
    <w:p w14:paraId="25637E30">
      <w:pPr>
        <w:spacing w:line="360" w:lineRule="auto"/>
        <w:ind w:firstLine="420"/>
        <w:rPr>
          <w:rFonts w:hint="eastAsia" w:ascii="宋体" w:hAnsi="宋体"/>
          <w:szCs w:val="21"/>
        </w:rPr>
      </w:pPr>
      <w:r>
        <w:rPr>
          <w:rFonts w:ascii="宋体" w:hAnsi="宋体"/>
          <w:szCs w:val="21"/>
        </w:rPr>
        <w:t>1.</w:t>
      </w:r>
      <w:r>
        <w:rPr>
          <w:rFonts w:hint="eastAsia" w:ascii="宋体" w:hAnsi="宋体"/>
          <w:szCs w:val="21"/>
        </w:rPr>
        <w:t>提交响应文件截止时间：</w:t>
      </w:r>
      <w:r>
        <w:rPr>
          <w:rFonts w:hint="eastAsia" w:ascii="宋体" w:hAnsi="宋体"/>
          <w:color w:val="FF0000"/>
          <w:szCs w:val="21"/>
        </w:rPr>
        <w:t>2025年</w:t>
      </w:r>
      <w:r>
        <w:rPr>
          <w:rFonts w:hint="eastAsia" w:ascii="宋体" w:hAnsi="宋体"/>
          <w:color w:val="FF0000"/>
          <w:szCs w:val="21"/>
          <w:lang w:val="en-US" w:eastAsia="zh-CN"/>
        </w:rPr>
        <w:t>9</w:t>
      </w:r>
      <w:r>
        <w:rPr>
          <w:rFonts w:hint="eastAsia" w:ascii="宋体" w:hAnsi="宋体"/>
          <w:color w:val="FF0000"/>
          <w:szCs w:val="21"/>
        </w:rPr>
        <w:t>月</w:t>
      </w:r>
      <w:r>
        <w:rPr>
          <w:rFonts w:hint="eastAsia" w:ascii="宋体" w:hAnsi="宋体"/>
          <w:color w:val="FF0000"/>
          <w:szCs w:val="21"/>
          <w:lang w:val="en-US" w:eastAsia="zh-CN"/>
        </w:rPr>
        <w:t>19</w:t>
      </w:r>
      <w:r>
        <w:rPr>
          <w:rFonts w:hint="eastAsia" w:ascii="宋体" w:hAnsi="宋体"/>
          <w:color w:val="FF0000"/>
          <w:szCs w:val="21"/>
        </w:rPr>
        <w:t>日</w:t>
      </w:r>
      <w:r>
        <w:rPr>
          <w:rFonts w:hint="eastAsia" w:ascii="宋体" w:hAnsi="宋体"/>
          <w:color w:val="FF0000"/>
          <w:szCs w:val="21"/>
          <w:lang w:val="en-US" w:eastAsia="zh-CN"/>
        </w:rPr>
        <w:t>10</w:t>
      </w:r>
      <w:r>
        <w:rPr>
          <w:rFonts w:hint="eastAsia" w:ascii="宋体" w:hAnsi="宋体"/>
          <w:color w:val="FF0000"/>
          <w:szCs w:val="21"/>
        </w:rPr>
        <w:t>:30</w:t>
      </w:r>
      <w:r>
        <w:rPr>
          <w:rFonts w:hint="eastAsia" w:ascii="宋体" w:hAnsi="宋体"/>
          <w:szCs w:val="21"/>
        </w:rPr>
        <w:t>（北京时间）；</w:t>
      </w:r>
    </w:p>
    <w:p w14:paraId="25240DD3">
      <w:pPr>
        <w:spacing w:line="360" w:lineRule="auto"/>
        <w:ind w:firstLine="420"/>
        <w:rPr>
          <w:rFonts w:hint="eastAsia" w:ascii="宋体" w:hAnsi="宋体"/>
          <w:szCs w:val="21"/>
        </w:rPr>
      </w:pPr>
      <w:r>
        <w:rPr>
          <w:rFonts w:ascii="宋体" w:hAnsi="宋体"/>
          <w:szCs w:val="21"/>
        </w:rPr>
        <w:t>2.</w:t>
      </w:r>
      <w:r>
        <w:rPr>
          <w:rFonts w:hint="eastAsia" w:ascii="宋体" w:hAnsi="宋体"/>
          <w:szCs w:val="21"/>
        </w:rPr>
        <w:t>远程开标时间：</w:t>
      </w:r>
      <w:r>
        <w:rPr>
          <w:rFonts w:hint="eastAsia" w:ascii="宋体" w:hAnsi="宋体"/>
          <w:color w:val="FF0000"/>
          <w:szCs w:val="21"/>
        </w:rPr>
        <w:t>2025年</w:t>
      </w:r>
      <w:r>
        <w:rPr>
          <w:rFonts w:hint="eastAsia" w:ascii="宋体" w:hAnsi="宋体"/>
          <w:color w:val="FF0000"/>
          <w:szCs w:val="21"/>
          <w:lang w:val="en-US" w:eastAsia="zh-CN"/>
        </w:rPr>
        <w:t>9</w:t>
      </w:r>
      <w:r>
        <w:rPr>
          <w:rFonts w:hint="eastAsia" w:ascii="宋体" w:hAnsi="宋体"/>
          <w:color w:val="FF0000"/>
          <w:szCs w:val="21"/>
        </w:rPr>
        <w:t>月</w:t>
      </w:r>
      <w:r>
        <w:rPr>
          <w:rFonts w:hint="eastAsia" w:ascii="宋体" w:hAnsi="宋体"/>
          <w:color w:val="FF0000"/>
          <w:szCs w:val="21"/>
          <w:lang w:val="en-US" w:eastAsia="zh-CN"/>
        </w:rPr>
        <w:t>19</w:t>
      </w:r>
      <w:r>
        <w:rPr>
          <w:rFonts w:hint="eastAsia" w:ascii="宋体" w:hAnsi="宋体"/>
          <w:color w:val="FF0000"/>
          <w:szCs w:val="21"/>
        </w:rPr>
        <w:t>日</w:t>
      </w:r>
      <w:r>
        <w:rPr>
          <w:rFonts w:hint="eastAsia" w:ascii="宋体" w:hAnsi="宋体"/>
          <w:color w:val="FF0000"/>
          <w:szCs w:val="21"/>
          <w:lang w:val="en-US" w:eastAsia="zh-CN"/>
        </w:rPr>
        <w:t>10</w:t>
      </w:r>
      <w:r>
        <w:rPr>
          <w:rFonts w:hint="eastAsia" w:ascii="宋体" w:hAnsi="宋体"/>
          <w:color w:val="FF0000"/>
          <w:szCs w:val="21"/>
        </w:rPr>
        <w:t>:30</w:t>
      </w:r>
      <w:r>
        <w:rPr>
          <w:rFonts w:hint="eastAsia" w:ascii="宋体" w:hAnsi="宋体"/>
          <w:szCs w:val="21"/>
        </w:rPr>
        <w:t>（北京时间）；</w:t>
      </w:r>
    </w:p>
    <w:p w14:paraId="2A937995">
      <w:pPr>
        <w:spacing w:line="360" w:lineRule="auto"/>
        <w:ind w:firstLine="420"/>
        <w:rPr>
          <w:rFonts w:hint="eastAsia" w:ascii="宋体" w:hAnsi="宋体"/>
          <w:szCs w:val="21"/>
        </w:rPr>
      </w:pPr>
      <w:r>
        <w:rPr>
          <w:rFonts w:ascii="宋体" w:hAnsi="宋体"/>
          <w:szCs w:val="21"/>
        </w:rPr>
        <w:t>3.</w:t>
      </w:r>
      <w:r>
        <w:rPr>
          <w:rFonts w:hint="eastAsia" w:ascii="宋体" w:hAnsi="宋体"/>
          <w:szCs w:val="21"/>
        </w:rPr>
        <w:t xml:space="preserve">远程CA解密时间：以开标时“苏采云”系统为准； </w:t>
      </w:r>
    </w:p>
    <w:p w14:paraId="39397937">
      <w:pPr>
        <w:spacing w:line="360" w:lineRule="auto"/>
        <w:ind w:firstLine="420"/>
        <w:rPr>
          <w:rFonts w:hint="eastAsia" w:ascii="宋体" w:hAnsi="宋体"/>
          <w:bCs/>
          <w:color w:val="000000"/>
          <w:szCs w:val="21"/>
        </w:rPr>
      </w:pPr>
      <w:r>
        <w:rPr>
          <w:rFonts w:ascii="宋体" w:hAnsi="宋体"/>
          <w:bCs/>
          <w:color w:val="000000"/>
          <w:szCs w:val="21"/>
        </w:rPr>
        <w:t>4.</w:t>
      </w:r>
      <w:r>
        <w:rPr>
          <w:rFonts w:hint="eastAsia" w:ascii="宋体" w:hAnsi="宋体"/>
          <w:bCs/>
          <w:color w:val="000000"/>
          <w:szCs w:val="21"/>
        </w:rPr>
        <w:t>开标地点：“苏采云”系统（网址：http://jszfcg.jsczt.cn/）。</w:t>
      </w:r>
    </w:p>
    <w:p w14:paraId="062FE81F">
      <w:pPr>
        <w:spacing w:line="360" w:lineRule="auto"/>
        <w:ind w:firstLine="422"/>
        <w:rPr>
          <w:rFonts w:hint="eastAsia" w:ascii="宋体" w:hAnsi="宋体"/>
          <w:b/>
          <w:color w:val="000000"/>
          <w:szCs w:val="21"/>
        </w:rPr>
      </w:pPr>
      <w:r>
        <w:rPr>
          <w:rFonts w:hint="eastAsia" w:ascii="宋体" w:hAnsi="宋体"/>
          <w:b/>
          <w:color w:val="000000"/>
          <w:szCs w:val="21"/>
        </w:rPr>
        <w:t>五、其他补充事宜</w:t>
      </w:r>
    </w:p>
    <w:p w14:paraId="659452D7">
      <w:pPr>
        <w:widowControl/>
        <w:shd w:val="clear" w:color="auto" w:fill="FFFFFF"/>
        <w:spacing w:line="360" w:lineRule="auto"/>
        <w:ind w:firstLine="420"/>
        <w:rPr>
          <w:rFonts w:hint="eastAsia" w:ascii="宋体" w:hAnsi="宋体"/>
          <w:color w:val="000000"/>
          <w:szCs w:val="21"/>
        </w:rPr>
      </w:pPr>
      <w:bookmarkStart w:id="12" w:name="OLE_LINK2"/>
      <w:bookmarkStart w:id="13" w:name="OLE_LINK8"/>
      <w:bookmarkStart w:id="14" w:name="_Toc477184668"/>
      <w:bookmarkStart w:id="15" w:name="_Toc477184527"/>
      <w:bookmarkStart w:id="16" w:name="_Toc477184669"/>
      <w:bookmarkStart w:id="17" w:name="_Toc477184528"/>
      <w:r>
        <w:rPr>
          <w:rFonts w:ascii="宋体" w:hAnsi="宋体"/>
          <w:color w:val="000000"/>
          <w:szCs w:val="21"/>
        </w:rPr>
        <w:t>1</w:t>
      </w:r>
      <w:r>
        <w:rPr>
          <w:rFonts w:hint="eastAsia" w:ascii="宋体" w:hAnsi="宋体"/>
          <w:color w:val="000000"/>
          <w:szCs w:val="21"/>
        </w:rPr>
        <w:t>.CA证书办理</w:t>
      </w:r>
    </w:p>
    <w:p w14:paraId="463589C4">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供应商参与政府采购活动需办理江苏省电子政务证书认证中心CA证书和方正国际软件（北京）有限公司电子签章。CA证书及电子签章的办理方法详见苏州市政府采购网—法规政策--《转发省财政厅关于更换全省政府采购交易系统CA数字证书和电子签章的通知》或者“苏采云”系统登录界面中的“新CA办理指南”。“苏采云”系统目前仅支持“苏采云”系统下的政务CA证书，江苏省内各地区办理的“苏采云”系统下的政务CA证书全省通用。苏州现场办理地址：苏州市姑苏区平泷路251号政务服务中心4楼公共交易中心窗口，咨询电话：0512-69820834。</w:t>
      </w:r>
    </w:p>
    <w:p w14:paraId="72DA7FDB">
      <w:pPr>
        <w:widowControl/>
        <w:shd w:val="clear" w:color="auto" w:fill="FFFFFF"/>
        <w:spacing w:line="360" w:lineRule="auto"/>
        <w:ind w:firstLine="420"/>
        <w:rPr>
          <w:rFonts w:hint="eastAsia" w:ascii="宋体" w:hAnsi="宋体"/>
          <w:color w:val="000000"/>
          <w:szCs w:val="21"/>
        </w:rPr>
      </w:pPr>
      <w:r>
        <w:rPr>
          <w:rFonts w:ascii="宋体" w:hAnsi="宋体"/>
          <w:color w:val="000000"/>
          <w:szCs w:val="21"/>
        </w:rPr>
        <w:t>2</w:t>
      </w:r>
      <w:r>
        <w:rPr>
          <w:rFonts w:hint="eastAsia" w:ascii="宋体" w:hAnsi="宋体"/>
          <w:color w:val="000000"/>
          <w:szCs w:val="21"/>
        </w:rPr>
        <w:t>.参与采购活动</w:t>
      </w:r>
    </w:p>
    <w:p w14:paraId="7D3C3BF7">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供应商插入CA证书登陆“苏采云”系统后选择具体项目，点击“我要参与”并签章提交《投标供应商确认函》，提交《投标供应商确认函》日期视同为依法获取采购文件日期。供应商须打印、保留《投标供应商确认函》，质疑时《投标供应商确认函》与质疑函一并提交；未依照采购公告要求提交《投标供应商确认函》的供应商，视为未参与该项政府采购活动，不具备对该政府采购项目提出质疑的法定权利，但因供应商资格条件或获取采购文件时间设定不符合有关法律法规规定等原因使供应商权益受损的除外。</w:t>
      </w:r>
    </w:p>
    <w:p w14:paraId="501EA911">
      <w:pPr>
        <w:widowControl/>
        <w:shd w:val="clear" w:color="auto" w:fill="FFFFFF"/>
        <w:spacing w:line="360" w:lineRule="auto"/>
        <w:ind w:firstLine="420"/>
        <w:rPr>
          <w:rFonts w:hint="eastAsia" w:ascii="宋体" w:hAnsi="宋体"/>
          <w:color w:val="000000"/>
          <w:szCs w:val="21"/>
        </w:rPr>
      </w:pPr>
      <w:r>
        <w:rPr>
          <w:rFonts w:ascii="宋体" w:hAnsi="宋体"/>
          <w:color w:val="000000"/>
          <w:szCs w:val="21"/>
        </w:rPr>
        <w:t>3</w:t>
      </w:r>
      <w:r>
        <w:rPr>
          <w:rFonts w:hint="eastAsia" w:ascii="宋体" w:hAnsi="宋体"/>
          <w:color w:val="000000"/>
          <w:szCs w:val="21"/>
        </w:rPr>
        <w:t>.电子投标准备</w:t>
      </w:r>
    </w:p>
    <w:p w14:paraId="01763F6F">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供应商在“苏采云”系统中操作成功参与项目后，必须在“已参与项目”界面中下载电子采购文件（后缀名为“.kedt”）并导入政府采购客户端工具后方可进行响应文件制作和提交（具体详见《苏采云系统供应商操作手册》，网址链接https://czju.suzhou.gov.cn/zfcg/html/content/20231220161910031.shtml）。</w:t>
      </w:r>
    </w:p>
    <w:p w14:paraId="469487E7">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在系统操作过程中如有疑问，请按以下方式联系：</w:t>
      </w:r>
    </w:p>
    <w:p w14:paraId="7B144561">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注册咨询：18261002950；</w:t>
      </w:r>
    </w:p>
    <w:p w14:paraId="3D2F88A9">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CA技术咨询电话：400-608-6099；</w:t>
      </w:r>
    </w:p>
    <w:p w14:paraId="0413621D">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签章使用问题：025-83633811、025-83633812、15380932027、15371015030；</w:t>
      </w:r>
    </w:p>
    <w:p w14:paraId="6B1BB40D">
      <w:pPr>
        <w:widowControl/>
        <w:shd w:val="clear" w:color="auto" w:fill="FFFFFF"/>
        <w:spacing w:line="360" w:lineRule="auto"/>
        <w:ind w:firstLine="420"/>
        <w:rPr>
          <w:rFonts w:hint="eastAsia" w:ascii="宋体" w:hAnsi="宋体"/>
          <w:color w:val="000000"/>
          <w:szCs w:val="21"/>
        </w:rPr>
      </w:pPr>
      <w:r>
        <w:rPr>
          <w:rFonts w:hint="eastAsia" w:ascii="宋体" w:hAnsi="宋体"/>
          <w:color w:val="000000"/>
          <w:szCs w:val="21"/>
        </w:rPr>
        <w:t>系统使用指导与咨询：联系电话：18261002950；QQ：3048755361、1315179389、895706745。</w:t>
      </w:r>
    </w:p>
    <w:p w14:paraId="1AEDD6C9">
      <w:pPr>
        <w:widowControl/>
        <w:shd w:val="clear" w:color="auto" w:fill="FFFFFF"/>
        <w:spacing w:line="360" w:lineRule="auto"/>
        <w:ind w:firstLine="420"/>
        <w:rPr>
          <w:rFonts w:hint="eastAsia" w:ascii="宋体" w:hAnsi="宋体"/>
          <w:color w:val="000000"/>
          <w:szCs w:val="21"/>
        </w:rPr>
      </w:pPr>
      <w:r>
        <w:rPr>
          <w:rFonts w:ascii="宋体" w:hAnsi="宋体"/>
          <w:color w:val="000000"/>
          <w:szCs w:val="21"/>
        </w:rPr>
        <w:t>4.远程开标支持计算机端，</w:t>
      </w:r>
      <w:r>
        <w:rPr>
          <w:rFonts w:hint="eastAsia" w:ascii="宋体" w:hAnsi="宋体"/>
          <w:color w:val="000000"/>
          <w:szCs w:val="21"/>
        </w:rPr>
        <w:t>响应</w:t>
      </w:r>
      <w:r>
        <w:rPr>
          <w:rFonts w:ascii="宋体" w:hAnsi="宋体"/>
          <w:color w:val="000000"/>
          <w:szCs w:val="21"/>
        </w:rPr>
        <w:t>人可根据“</w:t>
      </w:r>
      <w:r>
        <w:rPr>
          <w:rFonts w:hint="eastAsia" w:ascii="宋体" w:hAnsi="宋体"/>
          <w:color w:val="000000"/>
          <w:szCs w:val="21"/>
        </w:rPr>
        <w:t>《苏采云系统供应商操作手册》（网址链接https://czju.suzhou.gov.cn/zfcg/html/content/20231220161910031.shtml）</w:t>
      </w:r>
      <w:r>
        <w:rPr>
          <w:rFonts w:ascii="宋体" w:hAnsi="宋体"/>
          <w:color w:val="000000"/>
          <w:szCs w:val="21"/>
        </w:rPr>
        <w:t>进行操作。</w:t>
      </w:r>
    </w:p>
    <w:p w14:paraId="14F1E08F">
      <w:pPr>
        <w:spacing w:line="360" w:lineRule="auto"/>
        <w:ind w:firstLine="420"/>
        <w:jc w:val="left"/>
        <w:rPr>
          <w:rFonts w:hint="eastAsia" w:ascii="宋体" w:hAnsi="宋体"/>
          <w:color w:val="000000"/>
          <w:szCs w:val="21"/>
        </w:rPr>
      </w:pPr>
      <w:r>
        <w:rPr>
          <w:rFonts w:ascii="宋体" w:hAnsi="宋体"/>
          <w:color w:val="000000"/>
          <w:szCs w:val="21"/>
        </w:rPr>
        <w:t>5.远程开标设备必须符合配置要求（配置要求详见操作手册）。项目开标前，</w:t>
      </w:r>
      <w:r>
        <w:rPr>
          <w:rFonts w:hint="eastAsia" w:ascii="宋体" w:hAnsi="宋体"/>
          <w:color w:val="000000"/>
          <w:szCs w:val="21"/>
        </w:rPr>
        <w:t>响应</w:t>
      </w:r>
      <w:r>
        <w:rPr>
          <w:rFonts w:ascii="宋体" w:hAnsi="宋体"/>
          <w:color w:val="000000"/>
          <w:szCs w:val="21"/>
        </w:rPr>
        <w:t>人应当提前检查电力供应、网络环境和远程开标会议有关设施、设备的稳定性和安全性，并对必要的软件进行提前启动，</w:t>
      </w:r>
      <w:r>
        <w:rPr>
          <w:rFonts w:hint="eastAsia" w:ascii="宋体" w:hAnsi="宋体"/>
          <w:color w:val="000000"/>
          <w:szCs w:val="21"/>
        </w:rPr>
        <w:t>响应</w:t>
      </w:r>
      <w:r>
        <w:rPr>
          <w:rFonts w:ascii="宋体" w:hAnsi="宋体"/>
          <w:color w:val="000000"/>
          <w:szCs w:val="21"/>
        </w:rPr>
        <w:t>人因自身原因导致无法完成响应或者不能进行现场实时交互的，自行承担相应后果。</w:t>
      </w:r>
    </w:p>
    <w:p w14:paraId="784475A1">
      <w:pPr>
        <w:spacing w:line="360" w:lineRule="auto"/>
        <w:ind w:firstLine="420"/>
        <w:jc w:val="left"/>
        <w:rPr>
          <w:rFonts w:hint="eastAsia" w:ascii="宋体" w:hAnsi="宋体"/>
          <w:color w:val="000000"/>
          <w:szCs w:val="21"/>
        </w:rPr>
      </w:pPr>
      <w:r>
        <w:rPr>
          <w:rFonts w:ascii="宋体" w:hAnsi="宋体"/>
          <w:color w:val="000000"/>
          <w:szCs w:val="21"/>
        </w:rPr>
        <w:t>6.本项目以电子</w:t>
      </w:r>
      <w:r>
        <w:rPr>
          <w:rFonts w:hint="eastAsia" w:ascii="宋体" w:hAnsi="宋体"/>
          <w:color w:val="000000"/>
          <w:szCs w:val="21"/>
        </w:rPr>
        <w:t>响应文件</w:t>
      </w:r>
      <w:r>
        <w:rPr>
          <w:rFonts w:ascii="宋体" w:hAnsi="宋体"/>
          <w:color w:val="000000"/>
          <w:szCs w:val="21"/>
        </w:rPr>
        <w:t>的内容为准，不再收取纸质</w:t>
      </w:r>
      <w:r>
        <w:rPr>
          <w:rFonts w:hint="eastAsia" w:ascii="宋体" w:hAnsi="宋体"/>
          <w:color w:val="000000"/>
          <w:szCs w:val="21"/>
        </w:rPr>
        <w:t>响应文件</w:t>
      </w:r>
      <w:r>
        <w:rPr>
          <w:rFonts w:ascii="宋体" w:hAnsi="宋体"/>
          <w:color w:val="000000"/>
          <w:szCs w:val="21"/>
        </w:rPr>
        <w:t>及相关原件等纸质材料。</w:t>
      </w:r>
    </w:p>
    <w:p w14:paraId="7AF08E50">
      <w:pPr>
        <w:widowControl/>
        <w:shd w:val="clear" w:color="auto" w:fill="FFFFFF"/>
        <w:spacing w:line="360" w:lineRule="auto"/>
        <w:ind w:firstLine="420"/>
        <w:rPr>
          <w:rFonts w:hint="eastAsia" w:ascii="宋体" w:hAnsi="宋体"/>
          <w:color w:val="000000"/>
          <w:szCs w:val="21"/>
        </w:rPr>
      </w:pPr>
      <w:r>
        <w:rPr>
          <w:rFonts w:ascii="宋体" w:hAnsi="宋体"/>
          <w:color w:val="000000"/>
          <w:szCs w:val="21"/>
        </w:rPr>
        <w:t>7.</w:t>
      </w:r>
      <w:r>
        <w:rPr>
          <w:rFonts w:hint="eastAsia" w:ascii="宋体" w:hAnsi="宋体"/>
          <w:color w:val="000000"/>
          <w:szCs w:val="21"/>
          <w:lang w:eastAsia="zh-CN"/>
        </w:rPr>
        <w:t>昆山市张浦镇人民政府（昆山市张浦镇建设管理办公室）</w:t>
      </w:r>
      <w:r>
        <w:rPr>
          <w:rFonts w:ascii="宋体" w:hAnsi="宋体"/>
          <w:color w:val="000000"/>
          <w:szCs w:val="21"/>
        </w:rPr>
        <w:t>监督电话：0512-57310854。</w:t>
      </w:r>
    </w:p>
    <w:p w14:paraId="0309ED7A">
      <w:pPr>
        <w:spacing w:line="360" w:lineRule="auto"/>
        <w:ind w:firstLine="420"/>
        <w:jc w:val="left"/>
        <w:rPr>
          <w:rFonts w:hint="eastAsia" w:ascii="宋体" w:hAnsi="宋体"/>
          <w:color w:val="000000"/>
          <w:szCs w:val="21"/>
        </w:rPr>
      </w:pPr>
      <w:r>
        <w:rPr>
          <w:rFonts w:ascii="宋体" w:hAnsi="宋体"/>
          <w:color w:val="000000"/>
          <w:szCs w:val="21"/>
        </w:rPr>
        <w:t>8.</w:t>
      </w:r>
      <w:r>
        <w:rPr>
          <w:rFonts w:hint="eastAsia" w:ascii="宋体" w:hAnsi="宋体"/>
          <w:color w:val="000000"/>
          <w:szCs w:val="21"/>
        </w:rPr>
        <w:t xml:space="preserve"> 响应</w:t>
      </w:r>
      <w:r>
        <w:rPr>
          <w:rFonts w:ascii="宋体" w:hAnsi="宋体"/>
          <w:color w:val="000000"/>
          <w:szCs w:val="21"/>
        </w:rPr>
        <w:t>人在参加政府采购活动时须遵守《昆山市政府采购供应商诚信管理办法》的相关规定。</w:t>
      </w:r>
    </w:p>
    <w:p w14:paraId="0F339E3A">
      <w:pPr>
        <w:spacing w:line="360" w:lineRule="auto"/>
        <w:ind w:firstLine="420"/>
        <w:jc w:val="left"/>
        <w:rPr>
          <w:rFonts w:hint="eastAsia" w:ascii="宋体" w:hAnsi="宋体"/>
          <w:color w:val="000000"/>
          <w:szCs w:val="21"/>
        </w:rPr>
      </w:pPr>
      <w:r>
        <w:rPr>
          <w:rFonts w:ascii="宋体" w:hAnsi="宋体"/>
          <w:color w:val="000000"/>
          <w:szCs w:val="21"/>
        </w:rPr>
        <w:t>9.本项目由</w:t>
      </w:r>
      <w:r>
        <w:rPr>
          <w:rFonts w:hint="eastAsia" w:ascii="宋体" w:hAnsi="宋体"/>
          <w:color w:val="000000"/>
          <w:szCs w:val="21"/>
          <w:lang w:eastAsia="zh-CN"/>
        </w:rPr>
        <w:t>中诚运玛咨询股份有限公司</w:t>
      </w:r>
      <w:r>
        <w:rPr>
          <w:rFonts w:ascii="宋体" w:hAnsi="宋体"/>
          <w:color w:val="000000"/>
          <w:szCs w:val="21"/>
        </w:rPr>
        <w:t>代理，不收取投标保证金及代理服务费用。</w:t>
      </w:r>
      <w:bookmarkEnd w:id="12"/>
      <w:bookmarkEnd w:id="13"/>
    </w:p>
    <w:p w14:paraId="48BE9046">
      <w:pPr>
        <w:spacing w:line="360" w:lineRule="auto"/>
        <w:ind w:firstLine="422"/>
        <w:rPr>
          <w:rFonts w:hint="eastAsia" w:ascii="宋体" w:hAnsi="宋体"/>
          <w:b/>
          <w:bCs/>
          <w:szCs w:val="21"/>
        </w:rPr>
      </w:pPr>
      <w:r>
        <w:rPr>
          <w:rFonts w:hint="eastAsia" w:ascii="宋体" w:hAnsi="宋体"/>
          <w:b/>
          <w:bCs/>
          <w:szCs w:val="21"/>
        </w:rPr>
        <w:t>六、凡对本次采购提出询问，请按以下方式联系</w:t>
      </w:r>
    </w:p>
    <w:p w14:paraId="32E2BFE8">
      <w:pPr>
        <w:widowControl/>
        <w:shd w:val="clear" w:color="auto" w:fill="FFFFFF"/>
        <w:spacing w:line="360" w:lineRule="auto"/>
        <w:ind w:firstLine="420"/>
        <w:rPr>
          <w:rFonts w:hint="eastAsia" w:ascii="宋体" w:hAnsi="宋体" w:cs="宋体"/>
          <w:color w:val="000000"/>
          <w:szCs w:val="21"/>
        </w:rPr>
      </w:pPr>
      <w:r>
        <w:rPr>
          <w:rFonts w:hint="eastAsia" w:ascii="宋体" w:hAnsi="宋体" w:cs="宋体"/>
          <w:color w:val="000000"/>
          <w:szCs w:val="21"/>
        </w:rPr>
        <w:t>（一）采购人信息</w:t>
      </w:r>
    </w:p>
    <w:p w14:paraId="1BC0D10A">
      <w:pPr>
        <w:spacing w:line="360" w:lineRule="auto"/>
        <w:ind w:firstLine="420"/>
        <w:rPr>
          <w:rFonts w:hint="eastAsia" w:ascii="宋体" w:hAnsi="宋体"/>
          <w:szCs w:val="21"/>
        </w:rPr>
      </w:pPr>
      <w:r>
        <w:rPr>
          <w:rFonts w:hint="eastAsia" w:ascii="宋体" w:hAnsi="宋体"/>
          <w:szCs w:val="21"/>
        </w:rPr>
        <w:t>1.名称：</w:t>
      </w:r>
      <w:r>
        <w:rPr>
          <w:rFonts w:hint="eastAsia" w:ascii="宋体" w:hAnsi="宋体"/>
          <w:szCs w:val="21"/>
          <w:lang w:eastAsia="zh-CN"/>
        </w:rPr>
        <w:t>昆山市张浦镇人民政府（昆山市张浦镇建设管理办公室）</w:t>
      </w:r>
      <w:r>
        <w:rPr>
          <w:rFonts w:hint="eastAsia" w:ascii="宋体" w:hAnsi="宋体"/>
          <w:szCs w:val="21"/>
        </w:rPr>
        <w:t>；</w:t>
      </w:r>
    </w:p>
    <w:p w14:paraId="635AF279">
      <w:pPr>
        <w:spacing w:line="360" w:lineRule="auto"/>
        <w:ind w:firstLine="420"/>
        <w:rPr>
          <w:rFonts w:hint="eastAsia" w:ascii="宋体" w:hAnsi="宋体"/>
          <w:szCs w:val="21"/>
          <w:highlight w:val="none"/>
        </w:rPr>
      </w:pPr>
      <w:r>
        <w:rPr>
          <w:rFonts w:hint="eastAsia" w:ascii="宋体" w:hAnsi="宋体"/>
          <w:szCs w:val="21"/>
          <w:highlight w:val="none"/>
        </w:rPr>
        <w:t>2.地址：</w:t>
      </w:r>
      <w:r>
        <w:rPr>
          <w:rFonts w:hint="eastAsia" w:ascii="宋体" w:hAnsi="宋体"/>
          <w:szCs w:val="21"/>
          <w:highlight w:val="none"/>
          <w:lang w:val="en-US" w:eastAsia="zh-CN"/>
        </w:rPr>
        <w:t>昆山市张浦镇商鞅路</w:t>
      </w:r>
      <w:r>
        <w:rPr>
          <w:rFonts w:hint="eastAsia" w:ascii="宋体" w:hAnsi="宋体"/>
          <w:szCs w:val="21"/>
          <w:highlight w:val="none"/>
        </w:rPr>
        <w:t>；</w:t>
      </w:r>
    </w:p>
    <w:p w14:paraId="44803ECD">
      <w:pPr>
        <w:spacing w:line="360" w:lineRule="auto"/>
        <w:ind w:firstLine="420"/>
        <w:rPr>
          <w:rFonts w:hint="eastAsia" w:ascii="宋体" w:hAnsi="宋体"/>
          <w:szCs w:val="21"/>
          <w:highlight w:val="none"/>
        </w:rPr>
      </w:pPr>
      <w:r>
        <w:rPr>
          <w:rFonts w:hint="eastAsia" w:ascii="宋体" w:hAnsi="宋体"/>
          <w:szCs w:val="21"/>
          <w:highlight w:val="none"/>
        </w:rPr>
        <w:t>3.联系人：</w:t>
      </w:r>
      <w:r>
        <w:rPr>
          <w:rFonts w:hint="eastAsia" w:ascii="宋体" w:hAnsi="宋体"/>
          <w:szCs w:val="21"/>
          <w:highlight w:val="none"/>
          <w:lang w:val="en-US" w:eastAsia="zh-CN"/>
        </w:rPr>
        <w:t>方伟杰</w:t>
      </w:r>
      <w:r>
        <w:rPr>
          <w:rFonts w:ascii="宋体" w:hAnsi="宋体"/>
          <w:szCs w:val="21"/>
          <w:highlight w:val="none"/>
        </w:rPr>
        <w:t>；</w:t>
      </w:r>
    </w:p>
    <w:p w14:paraId="2A4E0988">
      <w:pPr>
        <w:spacing w:line="360" w:lineRule="auto"/>
        <w:ind w:firstLine="420"/>
        <w:rPr>
          <w:rFonts w:hint="eastAsia" w:ascii="宋体" w:hAnsi="宋体" w:eastAsia="宋体" w:cs="Times New Roman"/>
          <w:szCs w:val="21"/>
          <w:highlight w:val="none"/>
        </w:rPr>
      </w:pPr>
      <w:r>
        <w:rPr>
          <w:rFonts w:hint="eastAsia" w:ascii="宋体" w:hAnsi="宋体"/>
          <w:szCs w:val="21"/>
          <w:highlight w:val="none"/>
        </w:rPr>
        <w:t>4.</w:t>
      </w:r>
      <w:r>
        <w:rPr>
          <w:rFonts w:hint="eastAsia" w:ascii="宋体" w:hAnsi="宋体" w:eastAsia="宋体" w:cs="Times New Roman"/>
          <w:szCs w:val="21"/>
          <w:highlight w:val="none"/>
        </w:rPr>
        <w:t>联系方式：0512-</w:t>
      </w:r>
      <w:r>
        <w:rPr>
          <w:rFonts w:hint="eastAsia" w:ascii="宋体" w:hAnsi="宋体" w:eastAsia="宋体" w:cs="Times New Roman"/>
          <w:szCs w:val="21"/>
          <w:highlight w:val="none"/>
          <w:lang w:val="en-US" w:eastAsia="zh-CN"/>
        </w:rPr>
        <w:t>57448212</w:t>
      </w:r>
      <w:r>
        <w:rPr>
          <w:rFonts w:hint="eastAsia" w:ascii="宋体" w:hAnsi="宋体" w:eastAsia="宋体" w:cs="Times New Roman"/>
          <w:szCs w:val="21"/>
          <w:highlight w:val="none"/>
        </w:rPr>
        <w:t>。</w:t>
      </w:r>
    </w:p>
    <w:p w14:paraId="5EC9E476">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（二）采购代理机构信息</w:t>
      </w:r>
    </w:p>
    <w:p w14:paraId="2BC93FD7">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1.名称：</w:t>
      </w:r>
      <w:r>
        <w:rPr>
          <w:rFonts w:hint="eastAsia" w:ascii="宋体" w:hAnsi="宋体" w:eastAsia="宋体" w:cs="Times New Roman"/>
          <w:szCs w:val="21"/>
          <w:highlight w:val="none"/>
          <w:lang w:eastAsia="zh-CN"/>
        </w:rPr>
        <w:t>中诚运玛咨询股份有限公司</w:t>
      </w:r>
      <w:r>
        <w:rPr>
          <w:rFonts w:hint="eastAsia" w:ascii="宋体" w:hAnsi="宋体" w:eastAsia="宋体" w:cs="Times New Roman"/>
          <w:szCs w:val="21"/>
          <w:highlight w:val="none"/>
        </w:rPr>
        <w:t>；</w:t>
      </w:r>
    </w:p>
    <w:p w14:paraId="7EDAFF8D">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2.地址：昆山市玉山镇万步路221号1幢二楼205、206室；</w:t>
      </w:r>
    </w:p>
    <w:p w14:paraId="69B5F3D6">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3.联系人：</w:t>
      </w:r>
      <w:r>
        <w:rPr>
          <w:rFonts w:hint="eastAsia" w:ascii="宋体" w:hAnsi="宋体" w:eastAsia="宋体" w:cs="Times New Roman"/>
          <w:szCs w:val="21"/>
          <w:highlight w:val="none"/>
          <w:lang w:val="en-US" w:eastAsia="zh-CN"/>
        </w:rPr>
        <w:t>宋克明</w:t>
      </w:r>
      <w:r>
        <w:rPr>
          <w:rFonts w:hint="eastAsia" w:ascii="宋体" w:hAnsi="宋体" w:eastAsia="宋体" w:cs="Times New Roman"/>
          <w:szCs w:val="21"/>
          <w:highlight w:val="none"/>
        </w:rPr>
        <w:t>；</w:t>
      </w:r>
    </w:p>
    <w:p w14:paraId="32D285E2">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4.联系方式：13912697984。</w:t>
      </w:r>
    </w:p>
    <w:p w14:paraId="57BEC754">
      <w:pPr>
        <w:spacing w:line="360" w:lineRule="auto"/>
        <w:ind w:firstLine="420"/>
        <w:rPr>
          <w:rFonts w:hint="eastAsia" w:ascii="宋体" w:hAnsi="宋体" w:eastAsia="宋体" w:cs="Times New Roman"/>
          <w:szCs w:val="21"/>
          <w:highlight w:val="none"/>
        </w:rPr>
      </w:pPr>
      <w:r>
        <w:rPr>
          <w:rFonts w:hint="eastAsia" w:ascii="宋体" w:hAnsi="宋体" w:eastAsia="宋体" w:cs="Times New Roman"/>
          <w:szCs w:val="21"/>
          <w:highlight w:val="none"/>
        </w:rPr>
        <w:t>（三）昆山市政府采购监督电话：0512-57310854</w:t>
      </w:r>
    </w:p>
    <w:p w14:paraId="00C78382">
      <w:pPr>
        <w:spacing w:line="360" w:lineRule="auto"/>
        <w:ind w:firstLine="422"/>
        <w:rPr>
          <w:rFonts w:hint="eastAsia" w:ascii="宋体" w:hAnsi="宋体"/>
          <w:b/>
          <w:bCs/>
          <w:szCs w:val="21"/>
          <w:lang w:val="en-US" w:eastAsia="zh-CN"/>
        </w:rPr>
      </w:pPr>
      <w:r>
        <w:rPr>
          <w:rFonts w:hint="eastAsia" w:ascii="宋体" w:hAnsi="宋体"/>
          <w:b/>
          <w:bCs/>
          <w:szCs w:val="21"/>
        </w:rPr>
        <w:t>七、</w:t>
      </w:r>
      <w:r>
        <w:rPr>
          <w:rFonts w:hint="eastAsia" w:ascii="宋体" w:hAnsi="宋体"/>
          <w:b/>
          <w:bCs/>
          <w:szCs w:val="21"/>
          <w:lang w:val="en-US" w:eastAsia="zh-CN"/>
        </w:rPr>
        <w:t>其他</w:t>
      </w:r>
    </w:p>
    <w:p w14:paraId="56581424">
      <w:pPr>
        <w:spacing w:line="360" w:lineRule="auto"/>
        <w:ind w:firstLine="420"/>
        <w:rPr>
          <w:rFonts w:hint="eastAsia" w:ascii="宋体" w:hAnsi="宋体"/>
          <w:szCs w:val="21"/>
          <w:lang w:val="en-US" w:eastAsia="zh-CN"/>
        </w:rPr>
      </w:pPr>
      <w:r>
        <w:rPr>
          <w:rFonts w:hint="eastAsia" w:ascii="宋体" w:hAnsi="宋体"/>
          <w:szCs w:val="21"/>
        </w:rPr>
        <w:t>本项目获取招标文件截止日期之后仍可以下载招标文件，但截止日期之后下载的招标文件，视为非有效方式且不作为供应商权益受到损害的证明材料和依据。</w:t>
      </w:r>
    </w:p>
    <w:p w14:paraId="5DCB81D1">
      <w:pPr>
        <w:spacing w:line="360" w:lineRule="auto"/>
        <w:ind w:firstLine="422"/>
        <w:rPr>
          <w:rFonts w:hint="eastAsia" w:ascii="宋体" w:hAnsi="宋体"/>
          <w:b/>
          <w:bCs/>
          <w:szCs w:val="21"/>
        </w:rPr>
      </w:pPr>
    </w:p>
    <w:p w14:paraId="461EF122">
      <w:pPr>
        <w:spacing w:line="360" w:lineRule="auto"/>
        <w:ind w:firstLine="422"/>
        <w:rPr>
          <w:rFonts w:hint="eastAsia" w:ascii="宋体" w:hAnsi="宋体"/>
          <w:b/>
          <w:bCs/>
          <w:szCs w:val="21"/>
          <w:lang w:eastAsia="zh-CN"/>
        </w:rPr>
      </w:pPr>
    </w:p>
    <w:p w14:paraId="34B2C58D">
      <w:pPr>
        <w:spacing w:line="360" w:lineRule="auto"/>
        <w:ind w:firstLine="422"/>
        <w:rPr>
          <w:rFonts w:hint="eastAsia" w:ascii="宋体" w:hAnsi="宋体"/>
          <w:b/>
          <w:bCs/>
          <w:szCs w:val="21"/>
          <w:lang w:eastAsia="zh-CN"/>
        </w:rPr>
        <w:sectPr>
          <w:headerReference r:id="rId7" w:type="default"/>
          <w:footerReference r:id="rId8" w:type="default"/>
          <w:pgSz w:w="11906" w:h="16838"/>
          <w:pgMar w:top="1474" w:right="1247" w:bottom="1247" w:left="1531" w:header="851" w:footer="680" w:gutter="0"/>
          <w:cols w:space="425" w:num="1"/>
          <w:docGrid w:linePitch="360" w:charSpace="0"/>
        </w:sectPr>
      </w:pPr>
    </w:p>
    <w:bookmarkEnd w:id="14"/>
    <w:bookmarkEnd w:id="15"/>
    <w:bookmarkEnd w:id="16"/>
    <w:bookmarkEnd w:id="17"/>
    <w:p w14:paraId="477A5EFF">
      <w:pPr>
        <w:spacing w:line="360" w:lineRule="auto"/>
        <w:ind w:firstLine="422"/>
        <w:rPr>
          <w:rFonts w:hint="eastAsia" w:ascii="宋体" w:hAnsi="宋体"/>
          <w:b/>
          <w:bCs/>
          <w:szCs w:val="21"/>
          <w:lang w:eastAsia="zh-CN"/>
        </w:rPr>
      </w:pPr>
    </w:p>
    <w:p w14:paraId="097D5ED6">
      <w:pPr>
        <w:pStyle w:val="2"/>
        <w:spacing w:line="360" w:lineRule="auto"/>
        <w:jc w:val="center"/>
        <w:rPr>
          <w:rStyle w:val="320"/>
          <w:b w:val="0"/>
          <w:bCs w:val="0"/>
          <w:sz w:val="32"/>
          <w:szCs w:val="32"/>
        </w:rPr>
      </w:pPr>
      <w:bookmarkStart w:id="18" w:name="_Toc195539948"/>
      <w:bookmarkStart w:id="19" w:name="_Toc177569005"/>
      <w:bookmarkStart w:id="20" w:name="_Toc135142673"/>
      <w:bookmarkStart w:id="21" w:name="_Toc161126684"/>
      <w:bookmarkStart w:id="22" w:name="_Toc161067500"/>
      <w:bookmarkStart w:id="23" w:name="_Toc173229832"/>
      <w:r>
        <w:rPr>
          <w:rStyle w:val="320"/>
          <w:rFonts w:hint="eastAsia"/>
          <w:sz w:val="32"/>
          <w:szCs w:val="32"/>
        </w:rPr>
        <w:t>第二章 响应须知</w:t>
      </w:r>
      <w:bookmarkEnd w:id="18"/>
      <w:bookmarkEnd w:id="19"/>
    </w:p>
    <w:p w14:paraId="6FCA20E7">
      <w:pPr>
        <w:pStyle w:val="12"/>
        <w:spacing w:line="360" w:lineRule="auto"/>
        <w:ind w:firstLine="422"/>
        <w:rPr>
          <w:rFonts w:hint="eastAsia" w:ascii="宋体" w:hAnsi="宋体" w:eastAsia="宋体"/>
          <w:b/>
          <w:color w:val="000000"/>
          <w:sz w:val="21"/>
          <w:szCs w:val="21"/>
        </w:rPr>
      </w:pPr>
      <w:r>
        <w:rPr>
          <w:rFonts w:hint="eastAsia" w:ascii="宋体" w:hAnsi="宋体" w:eastAsia="宋体"/>
          <w:b/>
          <w:color w:val="000000"/>
          <w:sz w:val="21"/>
          <w:szCs w:val="21"/>
        </w:rPr>
        <w:t>一、采购说明</w:t>
      </w:r>
    </w:p>
    <w:p w14:paraId="13A8591F">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1.本谈判文件仅适用于</w:t>
      </w:r>
      <w:r>
        <w:rPr>
          <w:rFonts w:hint="eastAsia" w:ascii="宋体" w:hAnsi="宋体" w:eastAsia="宋体"/>
          <w:color w:val="000000"/>
          <w:sz w:val="21"/>
          <w:szCs w:val="21"/>
          <w:lang w:eastAsia="zh-CN"/>
        </w:rPr>
        <w:t>中诚运玛咨询股份有限公司</w:t>
      </w:r>
      <w:r>
        <w:rPr>
          <w:rFonts w:hint="eastAsia" w:ascii="宋体" w:hAnsi="宋体" w:eastAsia="宋体"/>
          <w:color w:val="000000"/>
          <w:sz w:val="21"/>
          <w:szCs w:val="21"/>
        </w:rPr>
        <w:t>组织的采购活动。</w:t>
      </w:r>
    </w:p>
    <w:p w14:paraId="369E1AE7">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2.本次采购活动及因本次采购活动产生的合同受中国法律制约和保护。</w:t>
      </w:r>
    </w:p>
    <w:p w14:paraId="2B28828F">
      <w:pPr>
        <w:pStyle w:val="12"/>
        <w:spacing w:line="360" w:lineRule="auto"/>
        <w:rPr>
          <w:rFonts w:hint="eastAsia" w:ascii="宋体" w:hAnsi="宋体" w:eastAsia="宋体"/>
          <w:color w:val="000000"/>
          <w:sz w:val="21"/>
          <w:szCs w:val="21"/>
        </w:rPr>
      </w:pPr>
      <w:r>
        <w:rPr>
          <w:rFonts w:hint="eastAsia" w:ascii="宋体" w:hAnsi="宋体" w:eastAsia="宋体"/>
          <w:sz w:val="21"/>
          <w:szCs w:val="21"/>
        </w:rPr>
        <w:t>3.本谈判文件的解释权属于</w:t>
      </w:r>
      <w:r>
        <w:rPr>
          <w:rFonts w:hint="eastAsia" w:ascii="宋体" w:hAnsi="宋体" w:eastAsia="宋体"/>
          <w:sz w:val="21"/>
          <w:szCs w:val="21"/>
          <w:lang w:eastAsia="zh-CN"/>
        </w:rPr>
        <w:t>中诚运玛咨询股份有限公司</w:t>
      </w:r>
      <w:r>
        <w:rPr>
          <w:rFonts w:hint="eastAsia" w:ascii="宋体" w:hAnsi="宋体" w:eastAsia="宋体"/>
          <w:sz w:val="21"/>
          <w:szCs w:val="21"/>
        </w:rPr>
        <w:t>。</w:t>
      </w:r>
    </w:p>
    <w:p w14:paraId="084EE87E">
      <w:pPr>
        <w:spacing w:line="360" w:lineRule="auto"/>
        <w:ind w:firstLine="422"/>
        <w:rPr>
          <w:rFonts w:hint="eastAsia" w:ascii="宋体" w:hAnsi="宋体"/>
          <w:b/>
          <w:color w:val="000000"/>
          <w:szCs w:val="21"/>
        </w:rPr>
      </w:pPr>
      <w:r>
        <w:rPr>
          <w:rFonts w:hint="eastAsia" w:ascii="宋体" w:hAnsi="宋体"/>
          <w:b/>
          <w:color w:val="000000"/>
          <w:szCs w:val="21"/>
        </w:rPr>
        <w:t>二、响应文件说明</w:t>
      </w:r>
    </w:p>
    <w:p w14:paraId="23BEA589">
      <w:pPr>
        <w:spacing w:line="360" w:lineRule="auto"/>
        <w:ind w:firstLine="422"/>
        <w:rPr>
          <w:rFonts w:hint="eastAsia" w:ascii="宋体" w:hAnsi="宋体"/>
          <w:b/>
          <w:color w:val="000000"/>
          <w:szCs w:val="21"/>
        </w:rPr>
      </w:pPr>
      <w:r>
        <w:rPr>
          <w:rFonts w:hint="eastAsia" w:ascii="宋体" w:hAnsi="宋体"/>
          <w:b/>
          <w:color w:val="000000"/>
          <w:szCs w:val="21"/>
        </w:rPr>
        <w:t>（一）响应文件计量单位和使用文字</w:t>
      </w:r>
    </w:p>
    <w:p w14:paraId="0C8A0D1D">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1.响应文件中所使用的计量单位，除谈判文件中有特殊要求外，应采用国家法定计量单位。</w:t>
      </w:r>
    </w:p>
    <w:p w14:paraId="5CA26F54">
      <w:pPr>
        <w:spacing w:line="360" w:lineRule="auto"/>
        <w:ind w:firstLine="420"/>
        <w:rPr>
          <w:rFonts w:hint="eastAsia" w:ascii="宋体" w:hAnsi="宋体"/>
          <w:color w:val="000000"/>
          <w:szCs w:val="21"/>
        </w:rPr>
      </w:pPr>
      <w:r>
        <w:rPr>
          <w:rFonts w:hint="eastAsia" w:ascii="宋体" w:hAnsi="宋体"/>
          <w:color w:val="000000"/>
          <w:szCs w:val="21"/>
        </w:rPr>
        <w:t>2.响应文件应使用中文编制，响应文件中必须使用其他文字的，必须附有中文译本，</w:t>
      </w:r>
      <w:r>
        <w:rPr>
          <w:rFonts w:hint="eastAsia" w:ascii="宋体"/>
          <w:szCs w:val="21"/>
          <w:lang w:val="zh-CN"/>
        </w:rPr>
        <w:t>对不同文本响应文件的解释发生异议的，以中文文本为准。</w:t>
      </w:r>
      <w:r>
        <w:rPr>
          <w:rFonts w:hint="eastAsia" w:ascii="宋体" w:hAnsi="宋体"/>
          <w:color w:val="000000"/>
          <w:szCs w:val="21"/>
        </w:rPr>
        <w:t>对于未附有中文译本和中文译本不准确的响应文件，由此引起的对供应商不利后果的，采购代理机构概不负责。</w:t>
      </w:r>
    </w:p>
    <w:p w14:paraId="29839BEA">
      <w:pPr>
        <w:spacing w:line="360" w:lineRule="auto"/>
        <w:ind w:firstLine="422"/>
        <w:rPr>
          <w:rFonts w:hint="eastAsia" w:ascii="宋体" w:hAnsi="宋体"/>
          <w:b/>
          <w:color w:val="000000"/>
          <w:szCs w:val="21"/>
        </w:rPr>
      </w:pPr>
      <w:r>
        <w:rPr>
          <w:rFonts w:hint="eastAsia" w:ascii="宋体" w:hAnsi="宋体"/>
          <w:b/>
          <w:color w:val="000000"/>
          <w:szCs w:val="21"/>
        </w:rPr>
        <w:t>（二）响应文件编制说明</w:t>
      </w:r>
    </w:p>
    <w:p w14:paraId="22718550">
      <w:pPr>
        <w:spacing w:line="360" w:lineRule="auto"/>
        <w:ind w:firstLine="420"/>
        <w:rPr>
          <w:rFonts w:hint="eastAsia" w:ascii="宋体" w:hAnsi="宋体"/>
          <w:color w:val="000000"/>
          <w:szCs w:val="21"/>
        </w:rPr>
      </w:pPr>
      <w:r>
        <w:rPr>
          <w:rFonts w:hint="eastAsia" w:ascii="宋体" w:hAnsi="宋体"/>
          <w:color w:val="000000"/>
          <w:szCs w:val="21"/>
        </w:rPr>
        <w:t>响应文件按谈判文件规定的格式制作，需盖章或签字之处，应加盖电子签章，如果未按要求制作上传，将被认定为未实质性响应谈判文件要求。</w:t>
      </w:r>
    </w:p>
    <w:p w14:paraId="727760BC">
      <w:pPr>
        <w:spacing w:line="360" w:lineRule="auto"/>
        <w:ind w:firstLine="422"/>
        <w:rPr>
          <w:rFonts w:hint="eastAsia" w:ascii="宋体" w:hAnsi="宋体"/>
          <w:b/>
          <w:color w:val="000000"/>
          <w:szCs w:val="21"/>
        </w:rPr>
      </w:pPr>
      <w:r>
        <w:rPr>
          <w:rFonts w:hint="eastAsia" w:ascii="宋体" w:hAnsi="宋体"/>
          <w:b/>
          <w:color w:val="000000"/>
          <w:szCs w:val="21"/>
        </w:rPr>
        <w:t>（三）响应文件的有效期</w:t>
      </w:r>
    </w:p>
    <w:p w14:paraId="0A63A92A">
      <w:pPr>
        <w:spacing w:line="360" w:lineRule="auto"/>
        <w:ind w:firstLine="420"/>
        <w:rPr>
          <w:rFonts w:hint="eastAsia" w:ascii="宋体" w:hAnsi="宋体"/>
          <w:color w:val="000000"/>
          <w:szCs w:val="21"/>
        </w:rPr>
      </w:pPr>
      <w:r>
        <w:rPr>
          <w:rFonts w:hint="eastAsia" w:ascii="宋体" w:hAnsi="宋体"/>
          <w:color w:val="000000"/>
          <w:szCs w:val="21"/>
        </w:rPr>
        <w:t>自开标日起三个月内，响应文件应保持有效。有效期短于这个规定期限的响应，将被认定为未实质性响应谈判文件要求。</w:t>
      </w:r>
    </w:p>
    <w:p w14:paraId="14186304">
      <w:pPr>
        <w:spacing w:line="360" w:lineRule="auto"/>
        <w:ind w:firstLine="422"/>
        <w:rPr>
          <w:rFonts w:hint="eastAsia" w:ascii="宋体" w:hAnsi="宋体"/>
          <w:b/>
          <w:color w:val="000000"/>
          <w:szCs w:val="21"/>
        </w:rPr>
      </w:pPr>
      <w:r>
        <w:rPr>
          <w:rFonts w:hint="eastAsia" w:ascii="宋体" w:hAnsi="宋体"/>
          <w:b/>
          <w:color w:val="000000"/>
          <w:szCs w:val="21"/>
        </w:rPr>
        <w:t>（四）响应报价</w:t>
      </w:r>
    </w:p>
    <w:p w14:paraId="2102A7AE">
      <w:pPr>
        <w:spacing w:line="360" w:lineRule="auto"/>
        <w:ind w:firstLine="420"/>
        <w:rPr>
          <w:rFonts w:hint="eastAsia" w:ascii="宋体" w:hAnsi="宋体"/>
          <w:color w:val="000000"/>
          <w:szCs w:val="21"/>
        </w:rPr>
      </w:pPr>
      <w:r>
        <w:rPr>
          <w:rFonts w:hint="eastAsia" w:ascii="宋体" w:hAnsi="宋体"/>
          <w:color w:val="000000"/>
          <w:szCs w:val="21"/>
        </w:rPr>
        <w:t>1.</w:t>
      </w:r>
      <w:r>
        <w:rPr>
          <w:rFonts w:hint="eastAsia" w:ascii="宋体" w:hAnsi="宋体"/>
          <w:color w:val="000000"/>
        </w:rPr>
        <w:t>供应商对本项目的报价</w:t>
      </w:r>
      <w:r>
        <w:rPr>
          <w:rFonts w:hint="eastAsia" w:ascii="宋体" w:hAnsi="宋体"/>
          <w:szCs w:val="21"/>
        </w:rPr>
        <w:t>应包</w:t>
      </w:r>
      <w:r>
        <w:rPr>
          <w:rFonts w:hint="eastAsia"/>
        </w:rPr>
        <w:t>含完成本项目发生的所有含税费用、支付给员工的工资和国家强制缴纳的各种社会保障资金，以及供应商认为需要的其他费用等</w:t>
      </w:r>
      <w:r>
        <w:rPr>
          <w:rFonts w:hint="eastAsia" w:ascii="宋体" w:hAnsi="宋体"/>
          <w:color w:val="000000"/>
          <w:szCs w:val="21"/>
        </w:rPr>
        <w:t>。除非因特殊原因并经双方协商同意，供应商不得再要求追加任何费用。</w:t>
      </w:r>
    </w:p>
    <w:p w14:paraId="16F4FF8A">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2.供应商应按《报价分析表》中的谈判项目计算单价和总价。《报价分析表》中的每一单项均应计算并填写单价和总价。</w:t>
      </w:r>
    </w:p>
    <w:p w14:paraId="34336FD7">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3.供应商应对谈判文件内所要采购的全部内容进行报价，只对其中部分内容报价的，将被认定其未实质性响应谈判文件。如果谈判文件要求分标段响应的，则供应商可以根据自身情况，选择响应其中部分或者全部标段，但各标段应分别计算填写单价和总价。</w:t>
      </w:r>
    </w:p>
    <w:p w14:paraId="48998886">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4.响应文件报价中的单价和总价全部采用人民币表示，除非另有规定。</w:t>
      </w:r>
    </w:p>
    <w:p w14:paraId="0B94F8E1">
      <w:pPr>
        <w:pStyle w:val="12"/>
        <w:spacing w:line="360" w:lineRule="auto"/>
        <w:ind w:firstLine="422"/>
        <w:rPr>
          <w:rFonts w:hint="eastAsia" w:ascii="宋体" w:hAnsi="宋体" w:eastAsia="宋体"/>
          <w:color w:val="000000"/>
          <w:sz w:val="21"/>
          <w:szCs w:val="21"/>
          <w:u w:val="single"/>
        </w:rPr>
      </w:pPr>
      <w:r>
        <w:rPr>
          <w:rFonts w:hint="eastAsia" w:ascii="宋体" w:hAnsi="宋体" w:eastAsia="宋体"/>
          <w:b/>
          <w:color w:val="000000"/>
          <w:sz w:val="21"/>
          <w:szCs w:val="21"/>
        </w:rPr>
        <w:t>5.竞争性谈判采取</w:t>
      </w:r>
      <w:r>
        <w:rPr>
          <w:rFonts w:hint="eastAsia" w:ascii="宋体" w:hAnsi="宋体" w:eastAsia="宋体"/>
          <w:b/>
          <w:color w:val="000000"/>
          <w:sz w:val="21"/>
          <w:szCs w:val="21"/>
          <w:highlight w:val="yellow"/>
        </w:rPr>
        <w:t>二次报价</w:t>
      </w:r>
      <w:r>
        <w:rPr>
          <w:rFonts w:hint="eastAsia" w:ascii="宋体" w:hAnsi="宋体" w:eastAsia="宋体"/>
          <w:b/>
          <w:color w:val="000000"/>
          <w:sz w:val="21"/>
          <w:szCs w:val="21"/>
        </w:rPr>
        <w:t>的方式</w:t>
      </w:r>
      <w:r>
        <w:rPr>
          <w:rFonts w:hint="eastAsia" w:ascii="宋体" w:hAnsi="宋体" w:eastAsia="宋体"/>
          <w:color w:val="000000"/>
          <w:sz w:val="21"/>
          <w:szCs w:val="21"/>
        </w:rPr>
        <w:t>，即提交响应文件中的报价为首次报价，</w:t>
      </w:r>
      <w:r>
        <w:rPr>
          <w:rFonts w:hint="eastAsia" w:ascii="宋体" w:hAnsi="宋体" w:eastAsia="宋体"/>
          <w:sz w:val="21"/>
          <w:szCs w:val="21"/>
        </w:rPr>
        <w:t>谈判结束后，所有</w:t>
      </w:r>
      <w:r>
        <w:rPr>
          <w:rFonts w:hint="eastAsia" w:ascii="宋体" w:hAnsi="宋体" w:eastAsia="宋体"/>
          <w:color w:val="000000"/>
          <w:sz w:val="21"/>
          <w:szCs w:val="21"/>
        </w:rPr>
        <w:t>继续参加谈判的供应商在规定时间内提交最后报价。</w:t>
      </w:r>
    </w:p>
    <w:p w14:paraId="0B971CC6">
      <w:pPr>
        <w:pStyle w:val="12"/>
        <w:spacing w:line="360" w:lineRule="auto"/>
        <w:rPr>
          <w:rFonts w:hint="eastAsia" w:ascii="宋体" w:hAnsi="宋体" w:eastAsia="宋体"/>
          <w:color w:val="000000"/>
          <w:sz w:val="21"/>
          <w:szCs w:val="21"/>
          <w:u w:val="single"/>
        </w:rPr>
      </w:pPr>
      <w:r>
        <w:rPr>
          <w:rFonts w:hint="eastAsia" w:ascii="宋体" w:hAnsi="宋体" w:eastAsia="宋体"/>
          <w:color w:val="000000"/>
          <w:sz w:val="21"/>
          <w:szCs w:val="21"/>
        </w:rPr>
        <w:t>6.竞争性谈判采取最低评标价法，即根据质量和服务均能满足采购文件实质性响应要求且最后报价最低的原则确定成交供应商。</w:t>
      </w:r>
    </w:p>
    <w:p w14:paraId="4EABF462">
      <w:pPr>
        <w:spacing w:line="360" w:lineRule="auto"/>
        <w:ind w:firstLine="422"/>
        <w:rPr>
          <w:rFonts w:hint="eastAsia" w:ascii="宋体" w:hAnsi="宋体"/>
          <w:b/>
          <w:color w:val="000000"/>
          <w:szCs w:val="21"/>
        </w:rPr>
      </w:pPr>
      <w:r>
        <w:rPr>
          <w:rFonts w:hint="eastAsia" w:ascii="宋体" w:hAnsi="宋体"/>
          <w:b/>
          <w:color w:val="000000"/>
          <w:szCs w:val="21"/>
        </w:rPr>
        <w:t>（五）响应文件的组成</w:t>
      </w:r>
    </w:p>
    <w:p w14:paraId="08FCBCD7">
      <w:pPr>
        <w:pStyle w:val="255"/>
        <w:numPr>
          <w:ilvl w:val="0"/>
          <w:numId w:val="12"/>
        </w:numPr>
        <w:spacing w:line="360" w:lineRule="auto"/>
        <w:ind w:firstLine="420"/>
        <w:rPr>
          <w:rFonts w:hint="eastAsia" w:ascii="宋体" w:hAnsi="宋体"/>
          <w:b/>
          <w:color w:val="000000"/>
          <w:szCs w:val="21"/>
        </w:rPr>
      </w:pPr>
      <w:r>
        <w:rPr>
          <w:rFonts w:hint="eastAsia" w:ascii="宋体" w:hAnsi="宋体"/>
          <w:b/>
          <w:color w:val="000000"/>
          <w:szCs w:val="21"/>
        </w:rPr>
        <w:t>封面</w:t>
      </w:r>
    </w:p>
    <w:p w14:paraId="4EE41182">
      <w:pPr>
        <w:pStyle w:val="255"/>
        <w:numPr>
          <w:ilvl w:val="0"/>
          <w:numId w:val="12"/>
        </w:numPr>
        <w:spacing w:line="360" w:lineRule="auto"/>
        <w:ind w:firstLine="420"/>
        <w:rPr>
          <w:rFonts w:hint="eastAsia" w:ascii="宋体" w:hAnsi="宋体"/>
          <w:b/>
          <w:color w:val="000000"/>
          <w:szCs w:val="21"/>
        </w:rPr>
      </w:pPr>
      <w:r>
        <w:rPr>
          <w:rFonts w:hint="eastAsia" w:ascii="宋体" w:hAnsi="宋体"/>
          <w:b/>
          <w:color w:val="000000"/>
          <w:szCs w:val="21"/>
        </w:rPr>
        <w:t>目录</w:t>
      </w:r>
    </w:p>
    <w:p w14:paraId="48428308">
      <w:pPr>
        <w:pStyle w:val="255"/>
        <w:numPr>
          <w:ilvl w:val="0"/>
          <w:numId w:val="12"/>
        </w:numPr>
        <w:spacing w:line="360" w:lineRule="auto"/>
        <w:ind w:firstLine="420"/>
        <w:rPr>
          <w:rFonts w:hint="eastAsia" w:ascii="宋体" w:hAnsi="宋体"/>
          <w:b/>
          <w:color w:val="000000"/>
          <w:szCs w:val="21"/>
        </w:rPr>
      </w:pPr>
      <w:r>
        <w:rPr>
          <w:rFonts w:hint="eastAsia" w:ascii="宋体" w:hAnsi="宋体"/>
          <w:b/>
          <w:color w:val="000000"/>
          <w:szCs w:val="21"/>
        </w:rPr>
        <w:t>开标一览表</w:t>
      </w:r>
      <w:r>
        <w:rPr>
          <w:rFonts w:hint="eastAsia" w:ascii="宋体" w:hAnsi="宋体"/>
          <w:b/>
          <w:color w:val="FF0000"/>
          <w:szCs w:val="21"/>
        </w:rPr>
        <w:t>（格式见第七章，必须提供否则将被认定为未实质性响应谈判文件要求）</w:t>
      </w:r>
    </w:p>
    <w:p w14:paraId="52C4FA28">
      <w:pPr>
        <w:pStyle w:val="255"/>
        <w:numPr>
          <w:ilvl w:val="0"/>
          <w:numId w:val="12"/>
        </w:numPr>
        <w:spacing w:line="360" w:lineRule="auto"/>
        <w:ind w:firstLine="420"/>
        <w:rPr>
          <w:rFonts w:hint="eastAsia" w:ascii="宋体" w:hAnsi="宋体"/>
          <w:b/>
          <w:color w:val="000000"/>
          <w:szCs w:val="21"/>
        </w:rPr>
      </w:pPr>
      <w:r>
        <w:rPr>
          <w:rFonts w:hint="eastAsia" w:ascii="宋体" w:hAnsi="宋体"/>
          <w:b/>
          <w:color w:val="000000"/>
          <w:szCs w:val="21"/>
        </w:rPr>
        <w:t>资格审查文件</w:t>
      </w:r>
    </w:p>
    <w:p w14:paraId="1DE60ED1">
      <w:pPr>
        <w:spacing w:line="360" w:lineRule="auto"/>
        <w:ind w:firstLine="422"/>
        <w:rPr>
          <w:rFonts w:hint="eastAsia" w:ascii="宋体" w:hAnsi="宋体"/>
          <w:color w:val="000000"/>
          <w:szCs w:val="21"/>
        </w:rPr>
      </w:pPr>
      <w:r>
        <w:rPr>
          <w:rFonts w:hint="eastAsia" w:ascii="宋体" w:hAnsi="宋体"/>
          <w:b/>
          <w:color w:val="FF0000"/>
          <w:szCs w:val="21"/>
        </w:rPr>
        <w:t>供应商必须提交“4.1-4.3”款规定的资料，否则将被认定为未实质性响应谈判文件要求或资格审查不合格。</w:t>
      </w:r>
    </w:p>
    <w:p w14:paraId="1AEC4AF4">
      <w:pPr>
        <w:spacing w:line="360" w:lineRule="auto"/>
        <w:ind w:firstLine="420"/>
        <w:rPr>
          <w:rFonts w:hint="eastAsia" w:ascii="宋体" w:hAnsi="宋体"/>
          <w:color w:val="000000"/>
          <w:szCs w:val="21"/>
        </w:rPr>
      </w:pPr>
      <w:r>
        <w:rPr>
          <w:rFonts w:hint="eastAsia" w:ascii="宋体" w:hAnsi="宋体"/>
          <w:color w:val="000000"/>
          <w:szCs w:val="21"/>
        </w:rPr>
        <w:t>4</w:t>
      </w:r>
      <w:r>
        <w:rPr>
          <w:rFonts w:ascii="宋体" w:hAnsi="宋体"/>
          <w:color w:val="000000"/>
          <w:szCs w:val="21"/>
        </w:rPr>
        <w:t>.1供应商情况表（格式见第</w:t>
      </w:r>
      <w:r>
        <w:rPr>
          <w:rFonts w:hint="eastAsia" w:ascii="宋体" w:hAnsi="宋体"/>
          <w:color w:val="000000"/>
          <w:szCs w:val="21"/>
        </w:rPr>
        <w:t>七</w:t>
      </w:r>
      <w:r>
        <w:rPr>
          <w:rFonts w:ascii="宋体" w:hAnsi="宋体"/>
          <w:color w:val="000000"/>
          <w:szCs w:val="21"/>
        </w:rPr>
        <w:t>章）；</w:t>
      </w:r>
    </w:p>
    <w:p w14:paraId="5578BA9F">
      <w:pPr>
        <w:spacing w:line="360" w:lineRule="auto"/>
        <w:ind w:firstLine="420"/>
        <w:rPr>
          <w:rFonts w:hint="eastAsia" w:ascii="宋体" w:hAnsi="宋体"/>
          <w:color w:val="000000"/>
          <w:szCs w:val="21"/>
        </w:rPr>
      </w:pPr>
      <w:r>
        <w:rPr>
          <w:rFonts w:ascii="宋体" w:hAnsi="宋体"/>
          <w:color w:val="000000"/>
          <w:szCs w:val="21"/>
        </w:rPr>
        <w:t>4.2</w:t>
      </w:r>
      <w:r>
        <w:rPr>
          <w:rFonts w:hint="eastAsia" w:ascii="宋体" w:hAnsi="宋体"/>
          <w:color w:val="000000"/>
          <w:szCs w:val="21"/>
        </w:rPr>
        <w:t>谈判响应函</w:t>
      </w:r>
      <w:r>
        <w:rPr>
          <w:rFonts w:ascii="宋体" w:hAnsi="宋体"/>
          <w:color w:val="000000"/>
          <w:szCs w:val="21"/>
        </w:rPr>
        <w:t>（格式见第</w:t>
      </w:r>
      <w:r>
        <w:rPr>
          <w:rFonts w:hint="eastAsia" w:ascii="宋体" w:hAnsi="宋体"/>
          <w:color w:val="000000"/>
          <w:szCs w:val="21"/>
        </w:rPr>
        <w:t>七</w:t>
      </w:r>
      <w:r>
        <w:rPr>
          <w:rFonts w:ascii="宋体" w:hAnsi="宋体"/>
          <w:color w:val="000000"/>
          <w:szCs w:val="21"/>
        </w:rPr>
        <w:t>章）；</w:t>
      </w:r>
    </w:p>
    <w:p w14:paraId="3936BF74">
      <w:pPr>
        <w:spacing w:line="360" w:lineRule="auto"/>
        <w:ind w:firstLine="420"/>
        <w:rPr>
          <w:rFonts w:hint="eastAsia" w:ascii="宋体" w:hAnsi="宋体"/>
          <w:color w:val="000000"/>
          <w:szCs w:val="21"/>
        </w:rPr>
      </w:pPr>
      <w:bookmarkStart w:id="24" w:name="_Hlk160023334"/>
      <w:r>
        <w:rPr>
          <w:rFonts w:ascii="宋体" w:hAnsi="宋体"/>
          <w:color w:val="000000"/>
          <w:szCs w:val="21"/>
        </w:rPr>
        <w:t>4.3供应商满足《中华人民共和国政府采购法》第二十二条规定</w:t>
      </w:r>
      <w:r>
        <w:rPr>
          <w:rFonts w:hint="eastAsia" w:ascii="宋体" w:hAnsi="宋体"/>
          <w:color w:val="000000"/>
          <w:szCs w:val="21"/>
        </w:rPr>
        <w:t>：</w:t>
      </w:r>
    </w:p>
    <w:p w14:paraId="4BD26445">
      <w:pPr>
        <w:spacing w:line="360" w:lineRule="auto"/>
        <w:ind w:firstLine="420"/>
        <w:rPr>
          <w:rFonts w:hint="eastAsia" w:ascii="宋体" w:hAnsi="宋体"/>
          <w:color w:val="000000"/>
          <w:szCs w:val="21"/>
        </w:rPr>
      </w:pPr>
      <w:r>
        <w:rPr>
          <w:rFonts w:ascii="宋体" w:hAnsi="宋体"/>
          <w:color w:val="000000"/>
          <w:szCs w:val="21"/>
        </w:rPr>
        <w:t>4.3.1具有独立承担民事责任的能力（提供法人或者其他组织的营业执照等证明文件、自然人的身份证明）；</w:t>
      </w:r>
    </w:p>
    <w:p w14:paraId="4AA9A644">
      <w:pPr>
        <w:spacing w:line="360" w:lineRule="auto"/>
        <w:ind w:firstLine="420"/>
        <w:rPr>
          <w:rFonts w:hint="eastAsia" w:ascii="宋体" w:hAnsi="宋体"/>
          <w:bCs/>
          <w:szCs w:val="21"/>
        </w:rPr>
      </w:pPr>
      <w:r>
        <w:rPr>
          <w:rFonts w:ascii="宋体" w:hAnsi="宋体"/>
          <w:color w:val="000000"/>
          <w:szCs w:val="21"/>
        </w:rPr>
        <w:t>4.3.2具有良好的商业信誉和健全的财务会计制度</w:t>
      </w:r>
      <w:r>
        <w:rPr>
          <w:rFonts w:ascii="宋体" w:hAnsi="宋体"/>
          <w:szCs w:val="21"/>
        </w:rPr>
        <w:t>（</w:t>
      </w:r>
      <w:r>
        <w:rPr>
          <w:rFonts w:hint="eastAsia" w:ascii="宋体" w:hAnsi="宋体"/>
          <w:szCs w:val="21"/>
        </w:rPr>
        <w:t>提供</w:t>
      </w:r>
      <w:r>
        <w:rPr>
          <w:rFonts w:ascii="宋体" w:hAnsi="宋体"/>
          <w:color w:val="000000"/>
          <w:szCs w:val="21"/>
        </w:rPr>
        <w:t>响应承诺函或</w:t>
      </w:r>
      <w:r>
        <w:rPr>
          <w:rFonts w:ascii="宋体" w:hAnsi="宋体"/>
          <w:szCs w:val="21"/>
        </w:rPr>
        <w:t>提供相应证明材料）；</w:t>
      </w:r>
    </w:p>
    <w:p w14:paraId="6435FD4A">
      <w:pPr>
        <w:spacing w:line="360" w:lineRule="auto"/>
        <w:ind w:firstLine="420"/>
        <w:rPr>
          <w:rFonts w:hint="eastAsia" w:ascii="宋体" w:hAnsi="宋体"/>
          <w:bCs/>
          <w:color w:val="000000"/>
          <w:szCs w:val="21"/>
        </w:rPr>
      </w:pPr>
      <w:r>
        <w:rPr>
          <w:rFonts w:ascii="宋体" w:hAnsi="宋体"/>
          <w:color w:val="000000"/>
          <w:szCs w:val="21"/>
        </w:rPr>
        <w:t>4.3.3具有履行合同所必需的设备和专业技术能力</w:t>
      </w:r>
      <w:r>
        <w:rPr>
          <w:rFonts w:ascii="宋体" w:hAnsi="宋体"/>
          <w:szCs w:val="21"/>
        </w:rPr>
        <w:t>（</w:t>
      </w:r>
      <w:r>
        <w:rPr>
          <w:rFonts w:hint="eastAsia" w:ascii="宋体" w:hAnsi="宋体"/>
          <w:szCs w:val="21"/>
        </w:rPr>
        <w:t>提供</w:t>
      </w:r>
      <w:r>
        <w:rPr>
          <w:rFonts w:ascii="宋体" w:hAnsi="宋体"/>
          <w:color w:val="000000"/>
          <w:szCs w:val="21"/>
        </w:rPr>
        <w:t>响应承诺函或</w:t>
      </w:r>
      <w:r>
        <w:rPr>
          <w:rFonts w:ascii="宋体" w:hAnsi="宋体"/>
          <w:szCs w:val="21"/>
        </w:rPr>
        <w:t>提供相应证明材料）</w:t>
      </w:r>
      <w:r>
        <w:rPr>
          <w:rFonts w:ascii="宋体" w:hAnsi="宋体"/>
          <w:color w:val="000000"/>
          <w:szCs w:val="21"/>
        </w:rPr>
        <w:t>；</w:t>
      </w:r>
    </w:p>
    <w:p w14:paraId="694DF750">
      <w:pPr>
        <w:spacing w:line="360" w:lineRule="auto"/>
        <w:ind w:firstLine="420"/>
        <w:rPr>
          <w:rFonts w:hint="eastAsia" w:ascii="宋体" w:hAnsi="宋体"/>
          <w:color w:val="000000"/>
          <w:szCs w:val="21"/>
        </w:rPr>
      </w:pPr>
      <w:r>
        <w:rPr>
          <w:rFonts w:ascii="宋体" w:hAnsi="宋体"/>
          <w:color w:val="000000"/>
          <w:szCs w:val="21"/>
        </w:rPr>
        <w:t>4.3.4具有依法缴纳税收和社会保障资金的良好记录（</w:t>
      </w:r>
      <w:r>
        <w:rPr>
          <w:rFonts w:hint="eastAsia" w:ascii="宋体" w:hAnsi="宋体"/>
          <w:color w:val="000000"/>
          <w:szCs w:val="21"/>
        </w:rPr>
        <w:t>提供</w:t>
      </w:r>
      <w:r>
        <w:rPr>
          <w:rFonts w:ascii="宋体" w:hAnsi="宋体"/>
          <w:color w:val="000000"/>
          <w:szCs w:val="21"/>
        </w:rPr>
        <w:t>响应承诺函或</w:t>
      </w:r>
      <w:r>
        <w:rPr>
          <w:rFonts w:ascii="宋体" w:hAnsi="宋体"/>
          <w:szCs w:val="21"/>
        </w:rPr>
        <w:t>提供相应证明材料</w:t>
      </w:r>
      <w:r>
        <w:rPr>
          <w:rFonts w:ascii="宋体" w:hAnsi="宋体"/>
          <w:color w:val="000000"/>
          <w:szCs w:val="21"/>
        </w:rPr>
        <w:t>）；</w:t>
      </w:r>
    </w:p>
    <w:p w14:paraId="4C21E5E2">
      <w:pPr>
        <w:spacing w:line="360" w:lineRule="auto"/>
        <w:ind w:firstLine="420"/>
        <w:rPr>
          <w:rFonts w:hint="eastAsia" w:ascii="宋体" w:hAnsi="宋体"/>
          <w:color w:val="000000"/>
          <w:szCs w:val="21"/>
        </w:rPr>
      </w:pPr>
      <w:r>
        <w:rPr>
          <w:rFonts w:ascii="宋体" w:hAnsi="宋体"/>
          <w:color w:val="000000"/>
          <w:szCs w:val="21"/>
        </w:rPr>
        <w:t>4.3.5参加政府采购活动前三年内，在经营活动中没有重大违法记录</w:t>
      </w:r>
      <w:r>
        <w:rPr>
          <w:rFonts w:ascii="宋体" w:hAnsi="宋体"/>
          <w:szCs w:val="21"/>
        </w:rPr>
        <w:t>（</w:t>
      </w:r>
      <w:r>
        <w:rPr>
          <w:rFonts w:hint="eastAsia" w:ascii="宋体" w:hAnsi="宋体"/>
          <w:szCs w:val="21"/>
        </w:rPr>
        <w:t>提供</w:t>
      </w:r>
      <w:r>
        <w:rPr>
          <w:rFonts w:ascii="宋体" w:hAnsi="宋体"/>
          <w:color w:val="000000"/>
          <w:szCs w:val="21"/>
        </w:rPr>
        <w:t>响应承诺函或</w:t>
      </w:r>
      <w:r>
        <w:rPr>
          <w:rFonts w:ascii="宋体" w:hAnsi="宋体"/>
          <w:szCs w:val="21"/>
        </w:rPr>
        <w:t>提供相应证明材料）</w:t>
      </w:r>
      <w:r>
        <w:rPr>
          <w:rFonts w:ascii="宋体" w:hAnsi="宋体"/>
          <w:color w:val="000000"/>
          <w:szCs w:val="21"/>
        </w:rPr>
        <w:t>；</w:t>
      </w:r>
      <w:bookmarkEnd w:id="24"/>
    </w:p>
    <w:p w14:paraId="12A536F9">
      <w:pPr>
        <w:spacing w:line="360" w:lineRule="auto"/>
        <w:ind w:firstLine="422"/>
        <w:rPr>
          <w:rFonts w:hint="eastAsia" w:ascii="宋体" w:hAnsi="宋体"/>
          <w:color w:val="000000"/>
          <w:szCs w:val="21"/>
        </w:rPr>
      </w:pPr>
      <w:r>
        <w:rPr>
          <w:rFonts w:hint="eastAsia" w:ascii="宋体" w:hAnsi="宋体"/>
          <w:b/>
          <w:color w:val="000000"/>
          <w:szCs w:val="21"/>
        </w:rPr>
        <w:t>4.4供应商符合相关扶持政策的证明材料</w:t>
      </w:r>
      <w:r>
        <w:rPr>
          <w:rFonts w:hint="eastAsia" w:ascii="宋体" w:hAnsi="宋体"/>
          <w:b/>
          <w:color w:val="FF0000"/>
          <w:szCs w:val="21"/>
        </w:rPr>
        <w:t>（如有落实政府采购政策需满足的资格条件，则必须按要求提供以下材料中的至少一份，否则将被认定为资格审查不合格）</w:t>
      </w:r>
      <w:r>
        <w:rPr>
          <w:rFonts w:hint="eastAsia" w:ascii="宋体" w:hAnsi="宋体"/>
          <w:color w:val="000000"/>
          <w:szCs w:val="21"/>
        </w:rPr>
        <w:t>：</w:t>
      </w:r>
    </w:p>
    <w:p w14:paraId="35A0AB21">
      <w:pPr>
        <w:spacing w:line="360" w:lineRule="auto"/>
        <w:ind w:left="422"/>
        <w:rPr>
          <w:rFonts w:hint="eastAsia" w:ascii="宋体" w:hAnsi="宋体"/>
          <w:color w:val="000000"/>
          <w:szCs w:val="21"/>
        </w:rPr>
      </w:pPr>
      <w:r>
        <w:rPr>
          <w:rFonts w:ascii="宋体" w:hAnsi="宋体"/>
          <w:color w:val="000000"/>
          <w:szCs w:val="21"/>
        </w:rPr>
        <w:t>4.4.1中小企业声明函（格式见第</w:t>
      </w:r>
      <w:r>
        <w:rPr>
          <w:rFonts w:hint="eastAsia" w:ascii="宋体" w:hAnsi="宋体"/>
          <w:color w:val="000000"/>
          <w:szCs w:val="21"/>
        </w:rPr>
        <w:t>七</w:t>
      </w:r>
      <w:r>
        <w:rPr>
          <w:rFonts w:ascii="宋体" w:hAnsi="宋体"/>
          <w:color w:val="000000"/>
          <w:szCs w:val="21"/>
        </w:rPr>
        <w:t>章）；</w:t>
      </w:r>
    </w:p>
    <w:p w14:paraId="065BFB34">
      <w:pPr>
        <w:spacing w:line="360" w:lineRule="auto"/>
        <w:ind w:left="422"/>
        <w:rPr>
          <w:rFonts w:hint="eastAsia" w:ascii="宋体" w:hAnsi="宋体"/>
          <w:color w:val="000000"/>
          <w:szCs w:val="21"/>
        </w:rPr>
      </w:pPr>
      <w:r>
        <w:rPr>
          <w:rFonts w:ascii="宋体" w:hAnsi="宋体"/>
          <w:color w:val="000000"/>
          <w:szCs w:val="21"/>
        </w:rPr>
        <w:t>4.4.2残疾人福利性单位声明函（格式见第</w:t>
      </w:r>
      <w:r>
        <w:rPr>
          <w:rFonts w:hint="eastAsia" w:ascii="宋体" w:hAnsi="宋体"/>
          <w:color w:val="000000"/>
          <w:szCs w:val="21"/>
        </w:rPr>
        <w:t>七</w:t>
      </w:r>
      <w:r>
        <w:rPr>
          <w:rFonts w:ascii="宋体" w:hAnsi="宋体"/>
          <w:color w:val="000000"/>
          <w:szCs w:val="21"/>
        </w:rPr>
        <w:t>章）；</w:t>
      </w:r>
    </w:p>
    <w:p w14:paraId="2C6CA26E">
      <w:pPr>
        <w:spacing w:line="360" w:lineRule="auto"/>
        <w:ind w:left="422"/>
        <w:rPr>
          <w:rFonts w:hint="eastAsia" w:ascii="宋体" w:hAnsi="宋体"/>
          <w:color w:val="000000"/>
          <w:szCs w:val="21"/>
        </w:rPr>
      </w:pPr>
      <w:r>
        <w:rPr>
          <w:rFonts w:ascii="宋体" w:hAnsi="宋体"/>
          <w:color w:val="000000"/>
          <w:szCs w:val="21"/>
        </w:rPr>
        <w:t>4.4.3监狱企业证明文件；</w:t>
      </w:r>
    </w:p>
    <w:p w14:paraId="0E560F4D">
      <w:pPr>
        <w:spacing w:line="360" w:lineRule="auto"/>
        <w:ind w:left="422"/>
        <w:rPr>
          <w:rFonts w:hint="eastAsia" w:ascii="宋体" w:hAnsi="宋体"/>
          <w:color w:val="000000"/>
          <w:szCs w:val="21"/>
        </w:rPr>
      </w:pPr>
      <w:r>
        <w:rPr>
          <w:rFonts w:hint="eastAsia" w:ascii="宋体" w:hAnsi="宋体"/>
          <w:color w:val="000000"/>
          <w:szCs w:val="21"/>
        </w:rPr>
        <w:t>4</w:t>
      </w:r>
      <w:r>
        <w:rPr>
          <w:rFonts w:ascii="宋体" w:hAnsi="宋体"/>
          <w:color w:val="000000"/>
          <w:szCs w:val="21"/>
        </w:rPr>
        <w:t>.5</w:t>
      </w:r>
      <w:r>
        <w:rPr>
          <w:rFonts w:hint="eastAsia" w:ascii="宋体" w:hAnsi="宋体"/>
          <w:color w:val="000000"/>
          <w:szCs w:val="21"/>
        </w:rPr>
        <w:t>特定资格条件的证明材料</w:t>
      </w:r>
      <w:bookmarkStart w:id="25" w:name="_Hlk160091709"/>
      <w:r>
        <w:rPr>
          <w:rFonts w:hint="eastAsia" w:ascii="宋体" w:hAnsi="宋体"/>
          <w:color w:val="000000"/>
          <w:szCs w:val="21"/>
        </w:rPr>
        <w:t>：无。</w:t>
      </w:r>
      <w:bookmarkStart w:id="26" w:name="_Hlk160522763"/>
    </w:p>
    <w:p w14:paraId="78188FA1">
      <w:pPr>
        <w:spacing w:line="360" w:lineRule="auto"/>
        <w:ind w:left="422"/>
        <w:rPr>
          <w:rFonts w:hint="eastAsia" w:ascii="宋体" w:hAnsi="宋体"/>
          <w:color w:val="000000"/>
          <w:szCs w:val="21"/>
        </w:rPr>
      </w:pPr>
      <w:r>
        <w:rPr>
          <w:rFonts w:ascii="宋体" w:hAnsi="宋体"/>
          <w:color w:val="000000"/>
          <w:szCs w:val="21"/>
        </w:rPr>
        <w:t>4.6</w:t>
      </w:r>
      <w:r>
        <w:rPr>
          <w:rFonts w:hint="eastAsia" w:ascii="宋体" w:hAnsi="宋体"/>
          <w:color w:val="000000"/>
          <w:szCs w:val="21"/>
        </w:rPr>
        <w:t>其它有关资格证明文件</w:t>
      </w:r>
      <w:bookmarkEnd w:id="26"/>
      <w:r>
        <w:rPr>
          <w:rFonts w:hint="eastAsia" w:ascii="宋体" w:hAnsi="宋体"/>
          <w:color w:val="000000"/>
          <w:szCs w:val="21"/>
        </w:rPr>
        <w:t>：无。</w:t>
      </w:r>
    </w:p>
    <w:p w14:paraId="4FA75012">
      <w:pPr>
        <w:spacing w:line="360" w:lineRule="auto"/>
        <w:ind w:left="422"/>
        <w:rPr>
          <w:rFonts w:hint="eastAsia" w:ascii="宋体" w:hAnsi="宋体"/>
          <w:color w:val="000000"/>
          <w:szCs w:val="21"/>
        </w:rPr>
      </w:pPr>
      <w:r>
        <w:rPr>
          <w:rFonts w:ascii="宋体" w:hAnsi="宋体"/>
          <w:color w:val="000000"/>
          <w:szCs w:val="21"/>
        </w:rPr>
        <w:t>4.7法定代表人授权委托书（如有授权，必须提供，格式见第</w:t>
      </w:r>
      <w:r>
        <w:rPr>
          <w:rFonts w:hint="eastAsia" w:ascii="宋体" w:hAnsi="宋体"/>
          <w:color w:val="000000"/>
          <w:szCs w:val="21"/>
        </w:rPr>
        <w:t>七</w:t>
      </w:r>
      <w:r>
        <w:rPr>
          <w:rFonts w:ascii="宋体" w:hAnsi="宋体"/>
          <w:color w:val="000000"/>
          <w:szCs w:val="21"/>
        </w:rPr>
        <w:t>章）</w:t>
      </w:r>
      <w:bookmarkEnd w:id="25"/>
    </w:p>
    <w:p w14:paraId="2754B7AA">
      <w:pPr>
        <w:pStyle w:val="255"/>
        <w:numPr>
          <w:ilvl w:val="0"/>
          <w:numId w:val="12"/>
        </w:numPr>
        <w:spacing w:line="360" w:lineRule="auto"/>
        <w:ind w:firstLine="420"/>
        <w:rPr>
          <w:rFonts w:hint="eastAsia" w:ascii="宋体" w:hAnsi="宋体"/>
          <w:b/>
          <w:color w:val="000000"/>
          <w:szCs w:val="21"/>
        </w:rPr>
      </w:pPr>
      <w:r>
        <w:rPr>
          <w:rFonts w:hint="eastAsia" w:ascii="宋体" w:hAnsi="宋体"/>
          <w:b/>
          <w:color w:val="000000"/>
          <w:szCs w:val="21"/>
        </w:rPr>
        <w:t>符合性审查文件</w:t>
      </w:r>
    </w:p>
    <w:p w14:paraId="66A83504">
      <w:pPr>
        <w:spacing w:line="360" w:lineRule="auto"/>
        <w:ind w:firstLine="420"/>
        <w:rPr>
          <w:rFonts w:hint="eastAsia" w:ascii="宋体" w:hAnsi="宋体"/>
          <w:color w:val="000000"/>
          <w:szCs w:val="21"/>
        </w:rPr>
      </w:pPr>
      <w:r>
        <w:rPr>
          <w:rFonts w:hint="eastAsia" w:ascii="宋体" w:hAnsi="宋体"/>
          <w:color w:val="000000"/>
          <w:szCs w:val="21"/>
        </w:rPr>
        <w:t>5.1报价分析表；</w:t>
      </w:r>
      <w:r>
        <w:rPr>
          <w:rFonts w:hint="eastAsia" w:ascii="宋体" w:hAnsi="宋体"/>
          <w:b/>
          <w:color w:val="FF0000"/>
          <w:szCs w:val="21"/>
        </w:rPr>
        <w:t>（格式见第七章，如有必须提供否则将被认定为未实质性响应谈判文件要求）</w:t>
      </w:r>
    </w:p>
    <w:p w14:paraId="403FA277">
      <w:pPr>
        <w:spacing w:line="360" w:lineRule="auto"/>
        <w:ind w:firstLine="420"/>
        <w:rPr>
          <w:rFonts w:hint="eastAsia" w:ascii="宋体" w:hAnsi="宋体"/>
          <w:b/>
          <w:color w:val="FF0000"/>
          <w:szCs w:val="21"/>
        </w:rPr>
      </w:pPr>
      <w:r>
        <w:rPr>
          <w:rFonts w:hint="eastAsia" w:ascii="宋体" w:hAnsi="宋体"/>
          <w:color w:val="000000"/>
          <w:szCs w:val="21"/>
        </w:rPr>
        <w:t>5.2响应及偏离表（技术要求）；</w:t>
      </w:r>
      <w:r>
        <w:rPr>
          <w:rFonts w:hint="eastAsia" w:ascii="宋体" w:hAnsi="宋体"/>
          <w:b/>
          <w:color w:val="FF0000"/>
          <w:szCs w:val="21"/>
        </w:rPr>
        <w:t>（格式见第七章，必须提供否则将被认定为未实质性响应谈判文件要求）</w:t>
      </w:r>
    </w:p>
    <w:p w14:paraId="0813A2DA">
      <w:pPr>
        <w:spacing w:line="360" w:lineRule="auto"/>
        <w:ind w:firstLine="420"/>
        <w:rPr>
          <w:rFonts w:hint="eastAsia" w:ascii="宋体" w:hAnsi="宋体"/>
          <w:b/>
          <w:color w:val="FF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响应及偏离表（商务要求）；</w:t>
      </w:r>
      <w:r>
        <w:rPr>
          <w:rFonts w:hint="eastAsia" w:ascii="宋体" w:hAnsi="宋体"/>
          <w:b/>
          <w:color w:val="FF0000"/>
          <w:szCs w:val="21"/>
        </w:rPr>
        <w:t>（格式见第七章，必须提供否则将被认定为未实质性响应谈判文件要求）</w:t>
      </w:r>
    </w:p>
    <w:p w14:paraId="465F4B6F">
      <w:pPr>
        <w:spacing w:line="360" w:lineRule="auto"/>
        <w:ind w:firstLine="420"/>
        <w:rPr>
          <w:b/>
          <w:bCs/>
          <w:color w:val="FF0000"/>
          <w:szCs w:val="21"/>
        </w:rPr>
      </w:pPr>
      <w:r>
        <w:rPr>
          <w:rFonts w:ascii="宋体" w:hAnsi="宋体"/>
          <w:color w:val="000000"/>
          <w:szCs w:val="21"/>
        </w:rPr>
        <w:t>5.4</w:t>
      </w:r>
      <w:r>
        <w:rPr>
          <w:rFonts w:hint="eastAsia" w:ascii="宋体" w:hAnsi="宋体"/>
          <w:color w:val="000000"/>
          <w:szCs w:val="21"/>
        </w:rPr>
        <w:t>项目</w:t>
      </w:r>
      <w:r>
        <w:rPr>
          <w:rFonts w:ascii="宋体" w:hAnsi="宋体"/>
          <w:color w:val="000000"/>
          <w:szCs w:val="21"/>
        </w:rPr>
        <w:t>人员配置表</w:t>
      </w:r>
      <w:r>
        <w:rPr>
          <w:rFonts w:hint="eastAsia" w:ascii="宋体" w:hAnsi="宋体"/>
          <w:color w:val="000000"/>
          <w:szCs w:val="21"/>
        </w:rPr>
        <w:t>；</w:t>
      </w:r>
      <w:r>
        <w:rPr>
          <w:rFonts w:hint="eastAsia"/>
          <w:b/>
          <w:bCs/>
          <w:color w:val="FF0000"/>
          <w:szCs w:val="21"/>
        </w:rPr>
        <w:t>（格式见第七章，</w:t>
      </w:r>
      <w:r>
        <w:rPr>
          <w:rFonts w:hint="eastAsia" w:ascii="宋体" w:hAnsi="宋体"/>
          <w:b/>
          <w:color w:val="FF0000"/>
          <w:szCs w:val="21"/>
        </w:rPr>
        <w:t>必须提供</w:t>
      </w:r>
      <w:r>
        <w:rPr>
          <w:rFonts w:ascii="宋体" w:hAnsi="宋体"/>
          <w:b/>
          <w:color w:val="FF0000"/>
          <w:szCs w:val="21"/>
        </w:rPr>
        <w:t>否则将被认定为未实质性</w:t>
      </w:r>
      <w:r>
        <w:rPr>
          <w:rFonts w:hint="eastAsia" w:ascii="宋体" w:hAnsi="宋体"/>
          <w:b/>
          <w:color w:val="FF0000"/>
          <w:szCs w:val="21"/>
        </w:rPr>
        <w:t>响应</w:t>
      </w:r>
      <w:r>
        <w:rPr>
          <w:rFonts w:ascii="宋体" w:hAnsi="宋体"/>
          <w:b/>
          <w:color w:val="FF0000"/>
          <w:szCs w:val="21"/>
        </w:rPr>
        <w:t>谈判文件要求</w:t>
      </w:r>
      <w:r>
        <w:rPr>
          <w:rFonts w:hint="eastAsia" w:ascii="宋体" w:hAnsi="宋体"/>
          <w:b/>
          <w:color w:val="FF0000"/>
          <w:szCs w:val="21"/>
        </w:rPr>
        <w:t>，</w:t>
      </w:r>
      <w:r>
        <w:rPr>
          <w:rFonts w:hint="eastAsia"/>
          <w:b/>
          <w:bCs/>
          <w:color w:val="FF0000"/>
          <w:szCs w:val="21"/>
        </w:rPr>
        <w:t>可附于响应及偏离表（技术要求）后）</w:t>
      </w:r>
    </w:p>
    <w:p w14:paraId="24C8DD99">
      <w:pPr>
        <w:spacing w:line="360" w:lineRule="auto"/>
        <w:ind w:firstLine="420"/>
        <w:rPr>
          <w:b/>
          <w:bCs/>
          <w:color w:val="FF0000"/>
          <w:szCs w:val="21"/>
        </w:rPr>
      </w:pPr>
      <w:r>
        <w:rPr>
          <w:rFonts w:ascii="宋体" w:hAnsi="宋体"/>
          <w:color w:val="000000"/>
          <w:szCs w:val="21"/>
        </w:rPr>
        <w:t>5.5</w:t>
      </w:r>
      <w:r>
        <w:rPr>
          <w:rFonts w:hint="eastAsia" w:ascii="宋体" w:hAnsi="宋体"/>
          <w:color w:val="000000"/>
          <w:szCs w:val="21"/>
        </w:rPr>
        <w:t>类似业绩一览表；</w:t>
      </w:r>
      <w:r>
        <w:rPr>
          <w:rFonts w:hint="eastAsia"/>
          <w:b/>
          <w:bCs/>
          <w:color w:val="FF0000"/>
          <w:szCs w:val="21"/>
        </w:rPr>
        <w:t>（格式见第七章，可附于响应及偏离表（商务要求）后）</w:t>
      </w:r>
    </w:p>
    <w:p w14:paraId="5C56F7EF">
      <w:pPr>
        <w:spacing w:line="360" w:lineRule="auto"/>
        <w:ind w:firstLine="420"/>
        <w:rPr>
          <w:rFonts w:hint="eastAsia" w:ascii="宋体" w:hAnsi="宋体"/>
          <w:color w:val="000000"/>
          <w:szCs w:val="21"/>
        </w:rPr>
      </w:pPr>
      <w:r>
        <w:rPr>
          <w:rFonts w:hint="eastAsia" w:ascii="宋体" w:hAnsi="宋体"/>
          <w:color w:val="000000"/>
          <w:szCs w:val="21"/>
        </w:rPr>
        <w:t>5</w:t>
      </w:r>
      <w:r>
        <w:rPr>
          <w:rFonts w:ascii="宋体" w:hAnsi="宋体"/>
          <w:color w:val="000000"/>
          <w:szCs w:val="21"/>
        </w:rPr>
        <w:t>.6</w:t>
      </w:r>
      <w:r>
        <w:rPr>
          <w:rFonts w:hint="eastAsia" w:ascii="宋体" w:hAnsi="宋体"/>
          <w:color w:val="000000"/>
          <w:szCs w:val="21"/>
        </w:rPr>
        <w:t>项目相关的符合性审查证明材料。</w:t>
      </w:r>
      <w:r>
        <w:rPr>
          <w:rFonts w:hint="eastAsia" w:ascii="宋体" w:hAnsi="宋体"/>
          <w:b/>
          <w:color w:val="FF0000"/>
          <w:szCs w:val="21"/>
        </w:rPr>
        <w:t>（如有实质性响应项要求提供的材料则必须提供相应材料，否则将被认定为未实质性响应招标文件要求）</w:t>
      </w:r>
    </w:p>
    <w:p w14:paraId="45B63AC4">
      <w:pPr>
        <w:pStyle w:val="255"/>
        <w:numPr>
          <w:ilvl w:val="0"/>
          <w:numId w:val="12"/>
        </w:numPr>
        <w:spacing w:line="360" w:lineRule="auto"/>
        <w:ind w:firstLine="420"/>
        <w:rPr>
          <w:rFonts w:hint="eastAsia" w:ascii="宋体" w:hAnsi="宋体"/>
          <w:b/>
          <w:bCs/>
          <w:szCs w:val="21"/>
        </w:rPr>
      </w:pPr>
      <w:r>
        <w:rPr>
          <w:rFonts w:hint="eastAsia" w:ascii="宋体" w:hAnsi="宋体"/>
          <w:b/>
          <w:bCs/>
          <w:szCs w:val="21"/>
        </w:rPr>
        <w:t>绿色采购</w:t>
      </w:r>
    </w:p>
    <w:p w14:paraId="6C56921E">
      <w:pPr>
        <w:spacing w:line="360" w:lineRule="auto"/>
        <w:ind w:firstLine="420"/>
        <w:rPr>
          <w:rFonts w:hint="eastAsia" w:ascii="宋体" w:hAnsi="宋体"/>
          <w:color w:val="000000"/>
          <w:szCs w:val="21"/>
        </w:rPr>
      </w:pPr>
      <w:r>
        <w:rPr>
          <w:rFonts w:ascii="宋体" w:hAnsi="宋体"/>
          <w:color w:val="000000"/>
          <w:szCs w:val="21"/>
        </w:rPr>
        <w:t>6</w:t>
      </w:r>
      <w:r>
        <w:rPr>
          <w:rFonts w:hint="eastAsia" w:ascii="宋体" w:hAnsi="宋体"/>
          <w:color w:val="000000"/>
          <w:szCs w:val="21"/>
        </w:rPr>
        <w:t>.1若本次采购货物中包含有《节能产品政府采购品目清单》中规定的政府强制采购产品的，供应商须在投标文件中提供产品有效期内的认证证书扫描件等相关证明材料，否则将被认定为未实质性响应招标文件要求。</w:t>
      </w:r>
    </w:p>
    <w:p w14:paraId="5572E86F">
      <w:pPr>
        <w:spacing w:line="360" w:lineRule="auto"/>
        <w:ind w:firstLine="420"/>
        <w:rPr>
          <w:rFonts w:hint="eastAsia" w:ascii="宋体" w:hAnsi="宋体"/>
          <w:color w:val="000000"/>
          <w:szCs w:val="21"/>
        </w:rPr>
      </w:pPr>
      <w:r>
        <w:rPr>
          <w:rFonts w:ascii="宋体" w:hAnsi="宋体"/>
          <w:color w:val="000000"/>
          <w:szCs w:val="21"/>
        </w:rPr>
        <w:t>6</w:t>
      </w:r>
      <w:r>
        <w:rPr>
          <w:rFonts w:hint="eastAsia" w:ascii="宋体" w:hAnsi="宋体"/>
          <w:color w:val="000000"/>
          <w:szCs w:val="21"/>
        </w:rPr>
        <w:t>.2为加快数据中心绿色转型，根据财政部、生态环境部、工业和信息化部关于印发《绿色数据中心政府采购需求标准（试行）》的通知（财库〔2023〕7号）文件规定，采购数据中心相关设备、运维服务，应当有利于节约能源、环境保护和资源循环利用，按照标准要求实施相关采购活动，供应商应提供符合标准要求的设备或服务。</w:t>
      </w:r>
    </w:p>
    <w:p w14:paraId="24AB6986">
      <w:pPr>
        <w:spacing w:line="360" w:lineRule="auto"/>
        <w:ind w:firstLine="420"/>
        <w:rPr>
          <w:rFonts w:hint="eastAsia" w:ascii="宋体" w:hAnsi="宋体"/>
          <w:color w:val="000000"/>
          <w:szCs w:val="21"/>
        </w:rPr>
      </w:pPr>
      <w:r>
        <w:rPr>
          <w:rFonts w:ascii="宋体" w:hAnsi="宋体"/>
          <w:color w:val="000000"/>
          <w:szCs w:val="21"/>
        </w:rPr>
        <w:t>6</w:t>
      </w:r>
      <w:r>
        <w:rPr>
          <w:rFonts w:hint="eastAsia" w:ascii="宋体" w:hAnsi="宋体"/>
          <w:color w:val="000000"/>
          <w:szCs w:val="21"/>
        </w:rPr>
        <w:t>.3为助力打好污染防治攻坚战，推广使用绿色包装，根据财政部办公厅、生态环境部办公厅、国家邮政局办公室关于印发《商品包装政府采购需求标准（试行）》、《快递包装政府采购需求标准（试行）》的通知（财办库〔2020〕123 号文）文件规定，供应商提供产品及相关快递服务的包装应符合标准要求。</w:t>
      </w:r>
    </w:p>
    <w:p w14:paraId="724609BA">
      <w:pPr>
        <w:pStyle w:val="255"/>
        <w:numPr>
          <w:ilvl w:val="0"/>
          <w:numId w:val="12"/>
        </w:numPr>
        <w:spacing w:line="360" w:lineRule="auto"/>
        <w:ind w:firstLine="420"/>
        <w:rPr>
          <w:rFonts w:hint="eastAsia" w:ascii="宋体" w:hAnsi="宋体"/>
          <w:b/>
          <w:szCs w:val="21"/>
        </w:rPr>
      </w:pPr>
      <w:r>
        <w:rPr>
          <w:rFonts w:hint="eastAsia" w:ascii="宋体" w:hAnsi="宋体"/>
          <w:b/>
          <w:bCs/>
          <w:szCs w:val="21"/>
        </w:rPr>
        <w:t>注意</w:t>
      </w:r>
      <w:r>
        <w:rPr>
          <w:rFonts w:hint="eastAsia" w:ascii="宋体" w:hAnsi="宋体"/>
          <w:b/>
          <w:szCs w:val="21"/>
        </w:rPr>
        <w:t xml:space="preserve">事项 </w:t>
      </w:r>
    </w:p>
    <w:p w14:paraId="00A23363">
      <w:pPr>
        <w:spacing w:line="360" w:lineRule="auto"/>
        <w:ind w:firstLine="422"/>
        <w:rPr>
          <w:rFonts w:hint="eastAsia" w:ascii="宋体" w:hAnsi="宋体"/>
          <w:b/>
          <w:szCs w:val="21"/>
        </w:rPr>
      </w:pPr>
      <w:r>
        <w:rPr>
          <w:rFonts w:hint="eastAsia" w:ascii="宋体" w:hAnsi="宋体"/>
          <w:b/>
          <w:szCs w:val="21"/>
        </w:rPr>
        <w:t>7.1资格审查文件中要求必须提供的材料，供应商必须提供并加盖公章，</w:t>
      </w:r>
      <w:r>
        <w:rPr>
          <w:rFonts w:hint="eastAsia" w:ascii="宋体" w:hAnsi="宋体"/>
          <w:b/>
          <w:color w:val="FF0000"/>
          <w:szCs w:val="21"/>
        </w:rPr>
        <w:t>否则将被认定为不符合资格审查要求</w:t>
      </w:r>
      <w:r>
        <w:rPr>
          <w:rFonts w:hint="eastAsia" w:ascii="宋体" w:hAnsi="宋体"/>
          <w:b/>
          <w:szCs w:val="21"/>
        </w:rPr>
        <w:t>。</w:t>
      </w:r>
    </w:p>
    <w:p w14:paraId="1853E66D">
      <w:pPr>
        <w:spacing w:line="360" w:lineRule="auto"/>
        <w:ind w:firstLine="422"/>
        <w:rPr>
          <w:rFonts w:hint="eastAsia" w:ascii="宋体" w:hAnsi="宋体"/>
          <w:b/>
          <w:szCs w:val="21"/>
        </w:rPr>
      </w:pPr>
      <w:r>
        <w:rPr>
          <w:rFonts w:hint="eastAsia" w:ascii="宋体" w:hAnsi="宋体"/>
          <w:b/>
          <w:szCs w:val="21"/>
        </w:rPr>
        <w:t>7.2符合性审查文件要求必须提供的材料，供应商必须提供并加盖公章，</w:t>
      </w:r>
      <w:r>
        <w:rPr>
          <w:rFonts w:hint="eastAsia" w:ascii="宋体" w:hAnsi="宋体"/>
          <w:b/>
          <w:color w:val="FF0000"/>
          <w:szCs w:val="21"/>
        </w:rPr>
        <w:t>否则将被认定为未实质性响应谈判文件要求</w:t>
      </w:r>
      <w:r>
        <w:rPr>
          <w:rFonts w:hint="eastAsia" w:ascii="宋体" w:hAnsi="宋体"/>
          <w:b/>
          <w:szCs w:val="21"/>
        </w:rPr>
        <w:t>。</w:t>
      </w:r>
    </w:p>
    <w:p w14:paraId="60C14B38">
      <w:pPr>
        <w:spacing w:line="360" w:lineRule="auto"/>
        <w:ind w:firstLine="422"/>
        <w:rPr>
          <w:rFonts w:hint="eastAsia" w:ascii="宋体" w:hAnsi="宋体"/>
          <w:b/>
          <w:szCs w:val="21"/>
        </w:rPr>
      </w:pPr>
      <w:r>
        <w:rPr>
          <w:rFonts w:hint="eastAsia" w:ascii="宋体" w:hAnsi="宋体"/>
          <w:b/>
          <w:szCs w:val="21"/>
        </w:rPr>
        <w:t>7.3制作电子投标文件时必须与投标文件制作软件目录一一对应，将相关资料上传至相应模块。</w:t>
      </w:r>
    </w:p>
    <w:p w14:paraId="3E995A43">
      <w:pPr>
        <w:spacing w:line="360" w:lineRule="auto"/>
        <w:ind w:firstLine="422"/>
        <w:rPr>
          <w:rFonts w:hint="eastAsia" w:ascii="宋体" w:hAnsi="宋体"/>
          <w:b/>
          <w:szCs w:val="21"/>
        </w:rPr>
      </w:pPr>
      <w:r>
        <w:rPr>
          <w:rFonts w:hint="eastAsia" w:ascii="宋体" w:hAnsi="宋体"/>
          <w:b/>
          <w:szCs w:val="21"/>
        </w:rPr>
        <w:t>7.4开评标过程中如有问题采购代理机构工作人员会及时通过《投标供应商确认函》留存的手机号与供应商联系。请供应商确保该手机号通讯畅通，否则导致的不利后果由供应商自行承担。</w:t>
      </w:r>
    </w:p>
    <w:p w14:paraId="2955B5EB">
      <w:pPr>
        <w:spacing w:line="360" w:lineRule="auto"/>
        <w:ind w:firstLine="420"/>
        <w:rPr>
          <w:rFonts w:hint="eastAsia" w:ascii="宋体" w:hAnsi="宋体"/>
          <w:color w:val="000000"/>
          <w:szCs w:val="21"/>
        </w:rPr>
      </w:pPr>
      <w:r>
        <w:rPr>
          <w:rFonts w:hint="eastAsia" w:ascii="宋体" w:hAnsi="宋体"/>
          <w:color w:val="000000"/>
          <w:szCs w:val="21"/>
        </w:rPr>
        <w:t>8.供应商根据谈判文件的规定和采购项目的实际情况，拟在中标后将中标项目的非主体、非关键性工作分包的，应当在投标文件中载明分包承担主体，分包承担主体应当具备相应资质条件且不得再次分包。</w:t>
      </w:r>
    </w:p>
    <w:p w14:paraId="2177E647">
      <w:pPr>
        <w:spacing w:line="360" w:lineRule="auto"/>
        <w:ind w:firstLine="422"/>
        <w:rPr>
          <w:rFonts w:hint="eastAsia" w:ascii="宋体" w:hAnsi="宋体"/>
          <w:b/>
          <w:color w:val="000000"/>
          <w:szCs w:val="21"/>
        </w:rPr>
      </w:pPr>
      <w:r>
        <w:rPr>
          <w:rFonts w:hint="eastAsia" w:ascii="宋体" w:hAnsi="宋体"/>
          <w:b/>
          <w:color w:val="000000"/>
          <w:szCs w:val="21"/>
        </w:rPr>
        <w:t>三、谈判文件的澄清和修改</w:t>
      </w:r>
    </w:p>
    <w:p w14:paraId="4BC8C6E1">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1.供应商在获取谈判文件后，若有疑问，应于提交响应文件截止时间前，向采购代理机构提出询问，采购代理机构将按规定予以答复。</w:t>
      </w:r>
    </w:p>
    <w:p w14:paraId="7D061234">
      <w:pPr>
        <w:spacing w:line="360" w:lineRule="auto"/>
        <w:ind w:firstLine="420"/>
        <w:rPr>
          <w:rFonts w:hint="eastAsia" w:ascii="宋体" w:hAnsi="宋体"/>
          <w:color w:val="000000"/>
          <w:szCs w:val="21"/>
        </w:rPr>
      </w:pPr>
      <w:r>
        <w:rPr>
          <w:rFonts w:hint="eastAsia" w:ascii="宋体" w:hAnsi="宋体"/>
          <w:color w:val="000000"/>
          <w:szCs w:val="21"/>
        </w:rPr>
        <w:t>2.在提交响应文件截止时间前，采购人或者采购代理机构可以对已发出的谈判文件进行必要的澄清或者修改，澄清或者修改的内容作为谈判文件的组成部分。</w:t>
      </w:r>
    </w:p>
    <w:p w14:paraId="2773F8A6">
      <w:pPr>
        <w:spacing w:line="360" w:lineRule="auto"/>
        <w:ind w:firstLine="420"/>
        <w:rPr>
          <w:rFonts w:hint="eastAsia" w:ascii="宋体" w:hAnsi="宋体"/>
          <w:color w:val="000000"/>
          <w:szCs w:val="21"/>
        </w:rPr>
      </w:pPr>
      <w:r>
        <w:rPr>
          <w:rFonts w:hint="eastAsia" w:ascii="宋体" w:hAnsi="宋体"/>
          <w:color w:val="000000"/>
          <w:szCs w:val="21"/>
        </w:rPr>
        <w:t>3.采购代理机构对谈判文件的澄清或者修改，将按规定在提交响应文件截止时间前以补充公告形式在法定的政府采购信息发布媒体上发布。</w:t>
      </w:r>
    </w:p>
    <w:p w14:paraId="710945EF">
      <w:pPr>
        <w:spacing w:line="360" w:lineRule="auto"/>
        <w:ind w:firstLine="420"/>
        <w:rPr>
          <w:rFonts w:hint="eastAsia" w:ascii="宋体" w:hAnsi="宋体"/>
        </w:rPr>
      </w:pPr>
      <w:r>
        <w:rPr>
          <w:rFonts w:hint="eastAsia" w:ascii="宋体" w:hAnsi="宋体"/>
        </w:rPr>
        <w:t>4.供应商应在</w:t>
      </w:r>
      <w:r>
        <w:rPr>
          <w:rFonts w:hint="eastAsia" w:ascii="宋体" w:hAnsi="宋体"/>
          <w:color w:val="000000"/>
          <w:szCs w:val="21"/>
        </w:rPr>
        <w:t>提交响应文件截止时间</w:t>
      </w:r>
      <w:r>
        <w:rPr>
          <w:rFonts w:hint="eastAsia" w:ascii="宋体" w:hAnsi="宋体"/>
        </w:rPr>
        <w:t>前关注原采购信息发布媒体上有无本项目的补充公告。</w:t>
      </w:r>
    </w:p>
    <w:p w14:paraId="225ABE98">
      <w:pPr>
        <w:spacing w:line="360" w:lineRule="auto"/>
        <w:ind w:firstLine="422"/>
        <w:rPr>
          <w:rFonts w:hint="eastAsia" w:ascii="宋体" w:hAnsi="宋体"/>
          <w:b/>
          <w:color w:val="000000"/>
          <w:szCs w:val="21"/>
        </w:rPr>
      </w:pPr>
      <w:r>
        <w:rPr>
          <w:rFonts w:hint="eastAsia" w:ascii="宋体" w:hAnsi="宋体"/>
          <w:b/>
          <w:color w:val="000000"/>
          <w:szCs w:val="21"/>
        </w:rPr>
        <w:t>四、响应文件的提交、撤回和修改</w:t>
      </w:r>
    </w:p>
    <w:p w14:paraId="2EFF24A9">
      <w:pPr>
        <w:spacing w:line="360" w:lineRule="auto"/>
        <w:ind w:firstLine="420"/>
        <w:rPr>
          <w:rFonts w:hint="eastAsia" w:ascii="宋体" w:hAnsi="宋体"/>
          <w:color w:val="000000"/>
          <w:szCs w:val="21"/>
        </w:rPr>
      </w:pPr>
      <w:r>
        <w:rPr>
          <w:rFonts w:hint="eastAsia" w:ascii="宋体" w:hAnsi="宋体"/>
          <w:color w:val="000000"/>
          <w:szCs w:val="21"/>
        </w:rPr>
        <w:t>1.响应文件应当在提交响应文件的截止时间前</w:t>
      </w:r>
      <w:r>
        <w:rPr>
          <w:rFonts w:hint="eastAsia" w:ascii="宋体" w:hAnsi="宋体" w:cs="宋体"/>
          <w:color w:val="000000" w:themeColor="text1"/>
          <w:szCs w:val="21"/>
          <w14:textFill>
            <w14:solidFill>
              <w14:schemeClr w14:val="tx1"/>
            </w14:solidFill>
          </w14:textFill>
        </w:rPr>
        <w:t>制作并上传电子投标文件</w:t>
      </w:r>
      <w:r>
        <w:rPr>
          <w:rFonts w:hint="eastAsia" w:ascii="宋体" w:hAnsi="宋体"/>
          <w:color w:val="000000"/>
          <w:szCs w:val="21"/>
        </w:rPr>
        <w:t>；</w:t>
      </w:r>
    </w:p>
    <w:p w14:paraId="5979DF40">
      <w:pPr>
        <w:spacing w:line="360" w:lineRule="auto"/>
        <w:ind w:firstLine="420"/>
        <w:rPr>
          <w:rFonts w:hint="eastAsia" w:ascii="宋体" w:hAnsi="宋体"/>
          <w:color w:val="000000"/>
          <w:szCs w:val="21"/>
        </w:rPr>
      </w:pPr>
      <w:r>
        <w:rPr>
          <w:rFonts w:hint="eastAsia" w:ascii="宋体" w:hAnsi="宋体"/>
          <w:color w:val="000000"/>
          <w:szCs w:val="21"/>
        </w:rPr>
        <w:t>2.在提交响应文件的截止时间前，供应商可以撤回或者修改响应文件，</w:t>
      </w:r>
      <w:bookmarkStart w:id="27" w:name="_Hlk155612446"/>
      <w:r>
        <w:rPr>
          <w:rFonts w:hint="eastAsia" w:ascii="宋体" w:hAnsi="宋体"/>
          <w:color w:val="000000"/>
          <w:szCs w:val="21"/>
        </w:rPr>
        <w:t>具体操作方法见《苏采云系统供应商操作手册》。</w:t>
      </w:r>
      <w:bookmarkEnd w:id="27"/>
    </w:p>
    <w:p w14:paraId="19CA4C69">
      <w:pPr>
        <w:spacing w:line="360" w:lineRule="auto"/>
        <w:ind w:firstLine="420"/>
        <w:jc w:val="left"/>
        <w:rPr>
          <w:rFonts w:hint="eastAsia"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供应商通过“苏采云”系统不见面开标大厅在线参与开标活动。（具体操作详见《苏采云系统供应商操作手册》，网址链接https://czju.suzhou.gov.cn/zfcg/html/content/20231220161910031.shtml）。</w:t>
      </w:r>
    </w:p>
    <w:p w14:paraId="275B625B">
      <w:pPr>
        <w:spacing w:line="360" w:lineRule="auto"/>
        <w:ind w:firstLine="422"/>
        <w:rPr>
          <w:rFonts w:hint="eastAsia" w:ascii="宋体" w:hAnsi="宋体"/>
          <w:b/>
          <w:color w:val="000000"/>
          <w:szCs w:val="21"/>
        </w:rPr>
      </w:pPr>
      <w:r>
        <w:rPr>
          <w:rFonts w:hint="eastAsia" w:ascii="宋体" w:hAnsi="宋体"/>
          <w:b/>
          <w:color w:val="000000"/>
          <w:szCs w:val="21"/>
        </w:rPr>
        <w:t>五、质疑</w:t>
      </w:r>
    </w:p>
    <w:p w14:paraId="163524F0">
      <w:pPr>
        <w:pStyle w:val="12"/>
        <w:spacing w:line="360" w:lineRule="auto"/>
        <w:rPr>
          <w:rFonts w:hint="eastAsia" w:ascii="宋体" w:hAnsi="宋体" w:eastAsia="宋体"/>
          <w:color w:val="000000"/>
          <w:sz w:val="21"/>
          <w:szCs w:val="21"/>
        </w:rPr>
      </w:pPr>
      <w:r>
        <w:rPr>
          <w:rFonts w:hint="eastAsia" w:ascii="宋体" w:hAnsi="宋体"/>
          <w:color w:val="000000"/>
          <w:sz w:val="21"/>
          <w:szCs w:val="21"/>
        </w:rPr>
        <w:t>1.</w:t>
      </w:r>
      <w:r>
        <w:rPr>
          <w:rFonts w:hint="eastAsia" w:ascii="宋体" w:hAnsi="宋体" w:eastAsia="宋体"/>
          <w:color w:val="000000"/>
          <w:sz w:val="21"/>
          <w:szCs w:val="21"/>
        </w:rPr>
        <w:t>供应商认为采购文件、采购过程、成交结果使自己的权益受到损害的，应在应知自己权益受到损害之日起七个工作日内，以书面形式向采购人、采购代理机构提出质疑。供应商应按照质疑函范本进行规范质疑（质疑函范本下载地址：</w:t>
      </w:r>
      <w:r>
        <w:rPr>
          <w:rFonts w:ascii="宋体" w:hAnsi="宋体" w:eastAsia="宋体"/>
          <w:color w:val="000000"/>
          <w:sz w:val="21"/>
          <w:szCs w:val="21"/>
        </w:rPr>
        <w:t>http://www.szzyjy.com.cn:8086/kssfzx/034004/034004002/20190929/5beba8e5-100a-4262-89c0-d476cc460507.html</w:t>
      </w:r>
      <w:r>
        <w:rPr>
          <w:rFonts w:hint="eastAsia" w:ascii="宋体" w:hAnsi="宋体" w:eastAsia="宋体"/>
          <w:color w:val="000000"/>
          <w:sz w:val="21"/>
          <w:szCs w:val="21"/>
        </w:rPr>
        <w:t>）。</w:t>
      </w:r>
    </w:p>
    <w:p w14:paraId="0EDDABB7">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供应商应当在法定质疑期内一次性提出针对同一采购程序环节的质疑。</w:t>
      </w:r>
    </w:p>
    <w:p w14:paraId="4863446B">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采购人、采购代理机构应当在收到供应商书面质疑后七个工作日内作出答复，并以书面形式通知质疑供应商和其他相关供应商。</w:t>
      </w:r>
    </w:p>
    <w:p w14:paraId="7E5373F7">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2.质疑函应包括以下主要内容，并按照</w:t>
      </w:r>
      <w:r>
        <w:rPr>
          <w:rFonts w:ascii="宋体" w:hAnsi="宋体" w:eastAsia="宋体"/>
          <w:color w:val="000000"/>
          <w:sz w:val="21"/>
          <w:szCs w:val="21"/>
        </w:rPr>
        <w:t>“</w:t>
      </w:r>
      <w:r>
        <w:rPr>
          <w:rFonts w:hint="eastAsia" w:ascii="宋体" w:hAnsi="宋体" w:eastAsia="宋体"/>
          <w:color w:val="000000"/>
          <w:sz w:val="21"/>
          <w:szCs w:val="21"/>
        </w:rPr>
        <w:t>谁主张、谁举证</w:t>
      </w:r>
      <w:r>
        <w:rPr>
          <w:rFonts w:ascii="宋体" w:hAnsi="宋体" w:eastAsia="宋体"/>
          <w:color w:val="000000"/>
          <w:sz w:val="21"/>
          <w:szCs w:val="21"/>
        </w:rPr>
        <w:t>”</w:t>
      </w:r>
      <w:r>
        <w:rPr>
          <w:rFonts w:hint="eastAsia" w:ascii="宋体" w:hAnsi="宋体" w:eastAsia="宋体"/>
          <w:color w:val="000000"/>
          <w:sz w:val="21"/>
          <w:szCs w:val="21"/>
        </w:rPr>
        <w:t>的原则，附上必要的证明材料。　　　　　　　</w:t>
      </w:r>
    </w:p>
    <w:p w14:paraId="6E48A68A">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2.1供应商的姓名或者名称、地址、邮编、联系人及联系电话；</w:t>
      </w:r>
    </w:p>
    <w:p w14:paraId="6A429F18">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2.2质疑项目名称、编号；</w:t>
      </w:r>
    </w:p>
    <w:p w14:paraId="665873B4">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2.3具体、明确的质疑事项和与质疑事项相关的请求；</w:t>
      </w:r>
    </w:p>
    <w:p w14:paraId="71FE10F8">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2.4具体的事实依据及相关证据材料；</w:t>
      </w:r>
    </w:p>
    <w:p w14:paraId="3AF4369A">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2.5必要的法律依据；</w:t>
      </w:r>
    </w:p>
    <w:p w14:paraId="742AA692">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2.6提出质疑的日期；</w:t>
      </w:r>
    </w:p>
    <w:p w14:paraId="7C4CEF1C">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.7</w:t>
      </w:r>
      <w:r>
        <w:rPr>
          <w:rFonts w:hint="eastAsia" w:ascii="宋体" w:hAnsi="宋体" w:eastAsia="宋体"/>
          <w:color w:val="000000"/>
          <w:sz w:val="21"/>
          <w:szCs w:val="21"/>
        </w:rPr>
        <w:t>依法获取谈判文件的证明（《投标供应商确认函》）</w:t>
      </w:r>
    </w:p>
    <w:p w14:paraId="22B54630">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8</w:t>
      </w:r>
      <w:r>
        <w:rPr>
          <w:rFonts w:hint="eastAsia" w:ascii="宋体" w:hAnsi="宋体" w:eastAsia="宋体"/>
          <w:color w:val="000000"/>
          <w:sz w:val="21"/>
          <w:szCs w:val="21"/>
        </w:rPr>
        <w:t>供应商为自然人的，应当由本人签字；供应商为法人或者其他组织的，应当由法定代表人、主要负责人、或者其授权代表签字或者盖章，并加盖公章。并附上公司营业执照、相关人员身份证明、已报名的证明材料等。</w:t>
      </w:r>
    </w:p>
    <w:p w14:paraId="208A59E0">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9</w:t>
      </w:r>
      <w:r>
        <w:rPr>
          <w:rFonts w:hint="eastAsia" w:ascii="宋体" w:hAnsi="宋体" w:eastAsia="宋体"/>
          <w:color w:val="000000"/>
          <w:sz w:val="21"/>
          <w:szCs w:val="21"/>
        </w:rPr>
        <w:t>供应商可以委托代理人进行质疑，其授权书应当载明代理人的姓名或者名称、代理事项、具体权限、期限和相关事项。供应商为自然人的，应当由本人签字；供应商为法人或者其他组织的，应当由法定代表人、主要负责人签字或者盖章，并加盖公章。</w:t>
      </w:r>
    </w:p>
    <w:p w14:paraId="38FCA6A1">
      <w:pPr>
        <w:pStyle w:val="12"/>
        <w:spacing w:line="360" w:lineRule="auto"/>
        <w:rPr>
          <w:rFonts w:hint="eastAsia" w:ascii="宋体" w:hAnsi="宋体" w:eastAsia="宋体"/>
          <w:color w:val="000000"/>
          <w:sz w:val="21"/>
          <w:szCs w:val="21"/>
        </w:rPr>
      </w:pPr>
      <w:r>
        <w:rPr>
          <w:rFonts w:hint="eastAsia" w:ascii="宋体" w:hAnsi="宋体" w:eastAsia="宋体"/>
          <w:color w:val="000000"/>
          <w:sz w:val="21"/>
          <w:szCs w:val="21"/>
        </w:rPr>
        <w:t>代理人提出质疑，应当提交供应商签署的授权委托书。</w:t>
      </w:r>
    </w:p>
    <w:p w14:paraId="604689E0">
      <w:pPr>
        <w:numPr>
          <w:ilvl w:val="0"/>
          <w:numId w:val="13"/>
        </w:numPr>
        <w:spacing w:line="360" w:lineRule="auto"/>
        <w:ind w:firstLine="422"/>
        <w:jc w:val="left"/>
        <w:rPr>
          <w:rFonts w:hint="eastAsia" w:ascii="宋体" w:hAnsi="宋体" w:eastAsia="宋体"/>
          <w:color w:val="000000"/>
          <w:sz w:val="21"/>
          <w:szCs w:val="21"/>
        </w:rPr>
      </w:pPr>
      <w:r>
        <w:rPr>
          <w:rFonts w:hint="eastAsia" w:ascii="宋体" w:hAnsi="宋体" w:eastAsia="宋体"/>
          <w:color w:val="000000"/>
          <w:sz w:val="21"/>
          <w:szCs w:val="21"/>
        </w:rPr>
        <w:t>供应商不得虚假质疑或者恶意质疑，并对质疑内容的真实性承担责任。供应商或者其他利害关系人通过捏造事实、伪造证明材料等方式提出质疑的，阻碍采购活动正常进行的，属于严重不良行为，采购代理机构将提请财政部门将其列入不良行为记录名单，并依法予以处罚。</w:t>
      </w:r>
    </w:p>
    <w:p w14:paraId="7C2F7583">
      <w:pPr>
        <w:numPr>
          <w:numId w:val="0"/>
        </w:numPr>
        <w:spacing w:line="360" w:lineRule="auto"/>
        <w:jc w:val="left"/>
        <w:rPr>
          <w:rFonts w:asciiTheme="minorEastAsia" w:hAnsiTheme="minorEastAsia" w:eastAsiaTheme="minorEastAsia"/>
          <w:b/>
          <w:szCs w:val="21"/>
        </w:rPr>
      </w:pPr>
      <w:r>
        <w:rPr>
          <w:rFonts w:hint="eastAsia" w:asciiTheme="minorEastAsia" w:hAnsiTheme="minorEastAsia" w:eastAsiaTheme="minorEastAsia"/>
          <w:b/>
          <w:szCs w:val="21"/>
        </w:rPr>
        <w:t>六、其他</w:t>
      </w:r>
    </w:p>
    <w:p w14:paraId="4D9185B8">
      <w:pPr>
        <w:pBdr>
          <w:top w:val="none" w:color="000000" w:sz="0" w:space="0"/>
          <w:left w:val="none" w:color="000000" w:sz="0" w:space="0"/>
          <w:bottom w:val="none" w:color="000000" w:sz="0" w:space="0"/>
          <w:right w:val="none" w:color="000000" w:sz="0" w:space="0"/>
        </w:pBdr>
        <w:spacing w:before="0" w:after="0"/>
        <w:ind w:left="0" w:right="0" w:firstLine="0"/>
        <w:jc w:val="both"/>
      </w:pPr>
      <w:r>
        <w:rPr>
          <w:rFonts w:hint="eastAsia" w:asciiTheme="minorEastAsia" w:hAnsiTheme="minorEastAsia" w:eastAsiaTheme="minorEastAsia"/>
          <w:szCs w:val="21"/>
        </w:rPr>
        <w:t>1.成交服务费：</w:t>
      </w:r>
      <w:r>
        <w:rPr>
          <w:rFonts w:hint="eastAsia" w:cs="宋体" w:asciiTheme="minorEastAsia" w:hAnsiTheme="minorEastAsia" w:eastAsiaTheme="minorEastAsia"/>
          <w:szCs w:val="21"/>
        </w:rPr>
        <w:t>成交单位</w:t>
      </w:r>
      <w:r>
        <w:rPr>
          <w:rFonts w:hint="eastAsia" w:cs="宋体" w:asciiTheme="minorEastAsia" w:hAnsiTheme="minorEastAsia" w:eastAsiaTheme="minorEastAsia"/>
          <w:szCs w:val="21"/>
          <w:lang w:val="zh-CN"/>
        </w:rPr>
        <w:t>根据每标段预算金额</w:t>
      </w:r>
      <w:r>
        <w:rPr>
          <w:rFonts w:hint="eastAsia" w:cs="宋体" w:asciiTheme="minorEastAsia" w:hAnsiTheme="minorEastAsia" w:eastAsiaTheme="minorEastAsia"/>
          <w:szCs w:val="21"/>
        </w:rPr>
        <w:t>按差额定率累进法</w:t>
      </w:r>
      <w:r>
        <w:rPr>
          <w:rFonts w:hint="eastAsia" w:cs="宋体" w:asciiTheme="minorEastAsia" w:hAnsiTheme="minorEastAsia" w:eastAsiaTheme="minorEastAsia"/>
          <w:szCs w:val="21"/>
          <w:lang w:val="zh-CN"/>
        </w:rPr>
        <w:t>计算并支付成交服务费：100万元以下部分收取1. 5%；100万元（含）-500万元部分收取1.1%；500万元（含）-1000万元部分收取0.8%；1000万元（含）～5000万元部分收取0.5%，5000万元（含）以上部分收取0.25%，不足叁仟元按叁仟元整收取）。</w:t>
      </w:r>
      <w:r>
        <w:rPr>
          <w:rFonts w:hint="eastAsia" w:cs="宋体" w:asciiTheme="minorEastAsia" w:hAnsiTheme="minorEastAsia" w:eastAsiaTheme="minorEastAsia"/>
          <w:szCs w:val="21"/>
        </w:rPr>
        <w:t>该费用应在领取成交通知书前付清。</w:t>
      </w:r>
    </w:p>
    <w:p w14:paraId="60AE5ED8">
      <w:pPr>
        <w:spacing w:line="360" w:lineRule="auto"/>
        <w:jc w:val="left"/>
        <w:rPr>
          <w:rFonts w:asciiTheme="minorEastAsia" w:hAnsiTheme="minorEastAsia" w:eastAsiaTheme="minorEastAsia"/>
          <w:szCs w:val="21"/>
        </w:rPr>
      </w:pPr>
      <w:bookmarkStart w:id="102" w:name="_GoBack"/>
      <w:bookmarkEnd w:id="102"/>
      <w:r>
        <w:rPr>
          <w:rFonts w:hint="eastAsia" w:asciiTheme="minorEastAsia" w:hAnsiTheme="minorEastAsia" w:eastAsiaTheme="minorEastAsia"/>
          <w:szCs w:val="21"/>
        </w:rPr>
        <w:t>2.成交后成交单位需提供与网上投标文件一致的书面投标文件，用于项目归档。</w:t>
      </w:r>
    </w:p>
    <w:p w14:paraId="2EF95351">
      <w:pPr>
        <w:pStyle w:val="12"/>
        <w:spacing w:line="360" w:lineRule="auto"/>
        <w:rPr>
          <w:rFonts w:hint="eastAsia" w:ascii="宋体" w:hAnsi="宋体" w:eastAsia="宋体"/>
          <w:color w:val="000000"/>
          <w:sz w:val="21"/>
          <w:szCs w:val="21"/>
        </w:rPr>
      </w:pPr>
    </w:p>
    <w:p w14:paraId="70015010">
      <w:pPr>
        <w:pStyle w:val="12"/>
        <w:spacing w:line="360" w:lineRule="auto"/>
        <w:rPr>
          <w:rFonts w:hint="eastAsia" w:ascii="宋体" w:hAnsi="宋体" w:eastAsia="宋体"/>
          <w:color w:val="000000"/>
          <w:sz w:val="21"/>
          <w:szCs w:val="21"/>
        </w:rPr>
      </w:pPr>
    </w:p>
    <w:p w14:paraId="50EF3D35">
      <w:pPr>
        <w:pStyle w:val="12"/>
        <w:spacing w:line="360" w:lineRule="auto"/>
        <w:rPr>
          <w:rFonts w:hint="eastAsia" w:ascii="宋体" w:hAnsi="宋体" w:eastAsia="宋体"/>
          <w:color w:val="000000"/>
          <w:sz w:val="21"/>
          <w:szCs w:val="21"/>
        </w:rPr>
      </w:pPr>
    </w:p>
    <w:p w14:paraId="6C306D94">
      <w:pPr>
        <w:pStyle w:val="12"/>
        <w:spacing w:line="360" w:lineRule="auto"/>
        <w:rPr>
          <w:rFonts w:hint="eastAsia" w:ascii="宋体" w:hAnsi="宋体" w:eastAsia="宋体"/>
          <w:color w:val="000000"/>
          <w:sz w:val="21"/>
          <w:szCs w:val="21"/>
        </w:rPr>
      </w:pPr>
    </w:p>
    <w:p w14:paraId="72895910">
      <w:pPr>
        <w:pStyle w:val="2"/>
        <w:spacing w:line="360" w:lineRule="auto"/>
        <w:jc w:val="center"/>
        <w:rPr>
          <w:rStyle w:val="320"/>
          <w:bCs w:val="0"/>
          <w:sz w:val="32"/>
          <w:szCs w:val="32"/>
        </w:rPr>
      </w:pPr>
      <w:bookmarkStart w:id="28" w:name="_Toc195539949"/>
      <w:r>
        <w:rPr>
          <w:rStyle w:val="320"/>
          <w:rFonts w:hint="eastAsia"/>
          <w:bCs w:val="0"/>
          <w:sz w:val="32"/>
          <w:szCs w:val="32"/>
        </w:rPr>
        <w:t xml:space="preserve">第三章 </w:t>
      </w:r>
      <w:bookmarkEnd w:id="20"/>
      <w:r>
        <w:rPr>
          <w:rStyle w:val="320"/>
          <w:rFonts w:hint="eastAsia"/>
          <w:bCs w:val="0"/>
          <w:sz w:val="32"/>
          <w:szCs w:val="32"/>
        </w:rPr>
        <w:t>采购需求</w:t>
      </w:r>
      <w:bookmarkEnd w:id="21"/>
      <w:bookmarkEnd w:id="22"/>
      <w:bookmarkEnd w:id="23"/>
      <w:bookmarkEnd w:id="28"/>
    </w:p>
    <w:p w14:paraId="2DCF1FA8">
      <w:pPr>
        <w:spacing w:line="360" w:lineRule="auto"/>
        <w:ind w:firstLine="422"/>
        <w:rPr>
          <w:rFonts w:hint="eastAsia" w:ascii="宋体" w:hAnsi="宋体"/>
          <w:b/>
          <w:color w:val="000000"/>
          <w:szCs w:val="21"/>
        </w:rPr>
      </w:pPr>
      <w:bookmarkStart w:id="29" w:name="_Toc62807505"/>
      <w:bookmarkStart w:id="30" w:name="_Toc33452246"/>
      <w:bookmarkStart w:id="31" w:name="_Toc62807498"/>
      <w:bookmarkStart w:id="32" w:name="_Toc63583487"/>
      <w:r>
        <w:rPr>
          <w:rFonts w:hint="eastAsia" w:ascii="宋体" w:hAnsi="宋体"/>
          <w:b/>
          <w:color w:val="000000"/>
          <w:szCs w:val="21"/>
          <w:highlight w:val="yellow"/>
        </w:rPr>
        <w:t>本章</w:t>
      </w:r>
      <w:r>
        <w:rPr>
          <w:rFonts w:ascii="宋体" w:hAnsi="宋体"/>
          <w:b/>
          <w:color w:val="000000"/>
          <w:szCs w:val="21"/>
          <w:highlight w:val="yellow"/>
        </w:rPr>
        <w:t>打</w:t>
      </w:r>
      <w:bookmarkStart w:id="33" w:name="_Hlk81407760"/>
      <w:r>
        <w:rPr>
          <w:rFonts w:ascii="宋体" w:hAnsi="宋体" w:cs="Segoe UI Symbol"/>
          <w:b/>
          <w:color w:val="000000"/>
          <w:szCs w:val="21"/>
          <w:highlight w:val="yellow"/>
        </w:rPr>
        <w:t>★</w:t>
      </w:r>
      <w:bookmarkEnd w:id="33"/>
      <w:r>
        <w:rPr>
          <w:rFonts w:ascii="宋体" w:hAnsi="宋体"/>
          <w:b/>
          <w:color w:val="000000"/>
          <w:szCs w:val="21"/>
          <w:highlight w:val="yellow"/>
        </w:rPr>
        <w:t>项为本项目</w:t>
      </w:r>
      <w:r>
        <w:rPr>
          <w:rFonts w:hint="eastAsia" w:ascii="宋体" w:hAnsi="宋体"/>
          <w:b/>
          <w:color w:val="000000"/>
          <w:szCs w:val="21"/>
          <w:highlight w:val="yellow"/>
        </w:rPr>
        <w:t>实质性响应项，供应商须在偏离表中如实填写响应情况，如有要求提供材料的，须按要求提供相应材料。偏离表未填写、负偏离、未提供所要求的材料的，将被视为无效响应。</w:t>
      </w:r>
    </w:p>
    <w:p w14:paraId="388D10EC">
      <w:pPr>
        <w:pStyle w:val="3"/>
        <w:spacing w:before="0" w:after="0" w:line="240" w:lineRule="auto"/>
        <w:ind w:firstLine="422"/>
        <w:rPr>
          <w:rFonts w:hint="eastAsia" w:ascii="宋体" w:hAnsi="宋体" w:eastAsia="宋体"/>
          <w:b w:val="0"/>
          <w:sz w:val="21"/>
          <w:szCs w:val="21"/>
        </w:rPr>
      </w:pPr>
      <w:bookmarkStart w:id="34" w:name="_Toc135142674"/>
      <w:r>
        <w:rPr>
          <w:rFonts w:hint="eastAsia" w:ascii="宋体" w:hAnsi="宋体" w:eastAsia="宋体"/>
          <w:sz w:val="21"/>
          <w:szCs w:val="21"/>
        </w:rPr>
        <w:t>一</w:t>
      </w:r>
      <w:r>
        <w:rPr>
          <w:rFonts w:ascii="宋体" w:hAnsi="宋体" w:eastAsia="宋体"/>
          <w:sz w:val="21"/>
          <w:szCs w:val="21"/>
        </w:rPr>
        <w:t>、</w:t>
      </w:r>
      <w:r>
        <w:rPr>
          <w:rFonts w:hint="eastAsia" w:ascii="宋体" w:hAnsi="宋体" w:eastAsia="宋体"/>
          <w:sz w:val="21"/>
          <w:szCs w:val="21"/>
        </w:rPr>
        <w:t>基本信息</w:t>
      </w:r>
    </w:p>
    <w:p w14:paraId="6727D994">
      <w:pPr>
        <w:spacing w:line="360"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lang w:eastAsia="zh-CN"/>
          <w14:textFill>
            <w14:solidFill>
              <w14:schemeClr w14:val="tx1"/>
            </w14:solidFill>
          </w14:textFill>
        </w:rPr>
        <w:t>JSZC-320583-JSYM-T2025-0013</w:t>
      </w:r>
      <w:r>
        <w:rPr>
          <w:rFonts w:hint="eastAsia" w:ascii="宋体" w:hAnsi="宋体"/>
          <w:color w:val="000000" w:themeColor="text1"/>
          <w:szCs w:val="21"/>
          <w14:textFill>
            <w14:solidFill>
              <w14:schemeClr w14:val="tx1"/>
            </w14:solidFill>
          </w14:textFill>
        </w:rPr>
        <w:t>；</w:t>
      </w:r>
    </w:p>
    <w:p w14:paraId="5F38AFD9">
      <w:pPr>
        <w:spacing w:line="360"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项目名称：</w:t>
      </w:r>
      <w:r>
        <w:rPr>
          <w:rFonts w:hint="eastAsia" w:ascii="宋体" w:hAnsi="宋体"/>
          <w:szCs w:val="21"/>
          <w:lang w:eastAsia="zh-CN"/>
        </w:rPr>
        <w:t>昆山市ZP06单元详细规划</w:t>
      </w:r>
      <w:r>
        <w:rPr>
          <w:rFonts w:hint="eastAsia" w:ascii="宋体" w:hAnsi="宋体"/>
          <w:szCs w:val="21"/>
        </w:rPr>
        <w:t>；</w:t>
      </w:r>
    </w:p>
    <w:p w14:paraId="01275B76">
      <w:pPr>
        <w:spacing w:line="360" w:lineRule="auto"/>
        <w:ind w:firstLine="422"/>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二、项目概况</w:t>
      </w:r>
    </w:p>
    <w:p w14:paraId="7E6D55B0">
      <w:pPr>
        <w:spacing w:line="360" w:lineRule="auto"/>
        <w:ind w:firstLine="420"/>
        <w:rPr>
          <w:rFonts w:ascii="宋体" w:hAnsi="宋体"/>
        </w:rPr>
      </w:pPr>
      <w:r>
        <w:rPr>
          <w:rFonts w:hint="eastAsia" w:ascii="宋体" w:hAnsi="宋体"/>
        </w:rPr>
        <w:t>1</w:t>
      </w:r>
      <w:r>
        <w:rPr>
          <w:rFonts w:hint="eastAsia" w:ascii="宋体" w:hAnsi="宋体"/>
          <w:lang w:eastAsia="zh-CN"/>
        </w:rPr>
        <w:t>.</w:t>
      </w:r>
      <w:r>
        <w:rPr>
          <w:rFonts w:hint="eastAsia" w:ascii="宋体" w:hAnsi="宋体"/>
        </w:rPr>
        <w:t>区位及规划范围</w:t>
      </w:r>
    </w:p>
    <w:p w14:paraId="11F542A1">
      <w:pPr>
        <w:spacing w:line="360" w:lineRule="auto"/>
        <w:ind w:firstLine="420"/>
        <w:rPr>
          <w:rFonts w:ascii="宋体" w:hAnsi="宋体"/>
        </w:rPr>
      </w:pPr>
      <w:r>
        <w:rPr>
          <w:rFonts w:hint="eastAsia" w:ascii="宋体" w:hAnsi="宋体"/>
        </w:rPr>
        <w:t>区位：本项目涉及昆山市</w:t>
      </w:r>
      <w:r>
        <w:rPr>
          <w:rFonts w:ascii="宋体" w:hAnsi="宋体"/>
        </w:rPr>
        <w:t>ZP06</w:t>
      </w:r>
      <w:r>
        <w:rPr>
          <w:rFonts w:hint="eastAsia" w:ascii="宋体" w:hAnsi="宋体"/>
        </w:rPr>
        <w:t>单元，具体为东至长江南路-吉山中心河，南至苏沪高速公路，西至双洋潭西岸-西万八江，北至双洋潭北岸-荷花双，总面积7.28平方公里。规划范围详见下图。</w:t>
      </w:r>
    </w:p>
    <w:p w14:paraId="7361E0F3">
      <w:pPr>
        <w:spacing w:line="360" w:lineRule="auto"/>
        <w:jc w:val="center"/>
        <w:rPr>
          <w:rFonts w:ascii="宋体" w:hAnsi="宋体"/>
        </w:rPr>
      </w:pPr>
      <w:r>
        <w:rPr>
          <w:rFonts w:ascii="宋体" w:hAnsi="宋体"/>
          <w:sz w:val="28"/>
        </w:rPr>
        <w:drawing>
          <wp:inline distT="0" distB="0" distL="0" distR="0">
            <wp:extent cx="3473450" cy="3011170"/>
            <wp:effectExtent l="0" t="0" r="1270" b="635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0"/>
                    <a:srcRect t="6230" b="1203"/>
                    <a:stretch>
                      <a:fillRect/>
                    </a:stretch>
                  </pic:blipFill>
                  <pic:spPr>
                    <a:xfrm>
                      <a:off x="0" y="0"/>
                      <a:ext cx="3498156" cy="3032129"/>
                    </a:xfrm>
                    <a:prstGeom prst="rect">
                      <a:avLst/>
                    </a:prstGeom>
                    <a:ln>
                      <a:noFill/>
                    </a:ln>
                  </pic:spPr>
                </pic:pic>
              </a:graphicData>
            </a:graphic>
          </wp:inline>
        </w:drawing>
      </w:r>
    </w:p>
    <w:p w14:paraId="1F078DB0">
      <w:pPr>
        <w:spacing w:line="360" w:lineRule="auto"/>
        <w:ind w:firstLine="420"/>
        <w:jc w:val="center"/>
        <w:rPr>
          <w:rFonts w:ascii="宋体" w:hAnsi="宋体"/>
        </w:rPr>
      </w:pPr>
      <w:r>
        <w:rPr>
          <w:rFonts w:hint="eastAsia" w:ascii="宋体" w:hAnsi="宋体"/>
        </w:rPr>
        <w:t xml:space="preserve">图 </w:t>
      </w:r>
      <w:r>
        <w:rPr>
          <w:rFonts w:ascii="宋体" w:hAnsi="宋体"/>
        </w:rPr>
        <w:t xml:space="preserve"> </w:t>
      </w:r>
      <w:r>
        <w:rPr>
          <w:rFonts w:hint="eastAsia" w:ascii="宋体" w:hAnsi="宋体"/>
        </w:rPr>
        <w:t>规划范围示意图</w:t>
      </w:r>
    </w:p>
    <w:p w14:paraId="2D7EDC05">
      <w:pPr>
        <w:spacing w:line="360" w:lineRule="auto"/>
        <w:ind w:firstLine="420"/>
        <w:rPr>
          <w:rFonts w:ascii="宋体" w:hAnsi="宋体"/>
        </w:rPr>
      </w:pPr>
      <w:r>
        <w:rPr>
          <w:rFonts w:hint="eastAsia" w:ascii="宋体" w:hAnsi="宋体"/>
        </w:rPr>
        <w:t>2</w:t>
      </w:r>
      <w:r>
        <w:rPr>
          <w:rFonts w:hint="eastAsia" w:ascii="宋体" w:hAnsi="宋体"/>
          <w:lang w:eastAsia="zh-CN"/>
        </w:rPr>
        <w:t>.</w:t>
      </w:r>
      <w:r>
        <w:rPr>
          <w:rFonts w:ascii="宋体" w:hAnsi="宋体"/>
        </w:rPr>
        <w:t>成果内容</w:t>
      </w:r>
    </w:p>
    <w:p w14:paraId="1D149D94">
      <w:pPr>
        <w:spacing w:line="360" w:lineRule="auto"/>
        <w:ind w:firstLine="420"/>
        <w:rPr>
          <w:rFonts w:ascii="宋体" w:hAnsi="宋体"/>
        </w:rPr>
      </w:pPr>
      <w:r>
        <w:rPr>
          <w:rFonts w:hint="eastAsia" w:ascii="宋体" w:hAnsi="宋体"/>
        </w:rPr>
        <w:t>本次单元</w:t>
      </w:r>
      <w:r>
        <w:rPr>
          <w:rFonts w:ascii="宋体" w:hAnsi="宋体"/>
        </w:rPr>
        <w:t>详细规划成果包括规划文本、图件（图纸、图则）</w:t>
      </w:r>
      <w:r>
        <w:rPr>
          <w:rFonts w:hint="eastAsia" w:ascii="宋体" w:hAnsi="宋体"/>
        </w:rPr>
        <w:t>、附件。</w:t>
      </w:r>
    </w:p>
    <w:p w14:paraId="185A758C">
      <w:pPr>
        <w:spacing w:line="360" w:lineRule="auto"/>
        <w:ind w:firstLine="420"/>
        <w:rPr>
          <w:rFonts w:ascii="宋体" w:hAnsi="宋体"/>
          <w:bCs/>
        </w:rPr>
      </w:pPr>
      <w:r>
        <w:rPr>
          <w:rFonts w:hint="eastAsia" w:ascii="宋体" w:hAnsi="宋体"/>
          <w:bCs/>
        </w:rPr>
        <w:t>2.1</w:t>
      </w:r>
      <w:r>
        <w:rPr>
          <w:rFonts w:ascii="宋体" w:hAnsi="宋体"/>
          <w:bCs/>
        </w:rPr>
        <w:t>文本</w:t>
      </w:r>
    </w:p>
    <w:p w14:paraId="10D6F6F5">
      <w:pPr>
        <w:spacing w:line="360" w:lineRule="auto"/>
        <w:ind w:firstLine="420"/>
        <w:rPr>
          <w:rFonts w:ascii="宋体" w:hAnsi="宋体"/>
        </w:rPr>
      </w:pPr>
      <w:r>
        <w:rPr>
          <w:rFonts w:ascii="宋体" w:hAnsi="宋体"/>
        </w:rPr>
        <w:t>规划文本应当以条文格式准确规范、简明扼要表述规划结论，明确规划强制性内容。</w:t>
      </w:r>
    </w:p>
    <w:p w14:paraId="3E309CEF">
      <w:pPr>
        <w:spacing w:line="360" w:lineRule="auto"/>
        <w:ind w:firstLine="420"/>
        <w:rPr>
          <w:rFonts w:ascii="宋体" w:hAnsi="宋体"/>
          <w:bCs/>
        </w:rPr>
      </w:pPr>
      <w:r>
        <w:rPr>
          <w:rFonts w:hint="eastAsia" w:ascii="宋体" w:hAnsi="宋体"/>
          <w:bCs/>
        </w:rPr>
        <w:t>2.2</w:t>
      </w:r>
      <w:r>
        <w:rPr>
          <w:rFonts w:ascii="宋体" w:hAnsi="宋体"/>
          <w:bCs/>
        </w:rPr>
        <w:t>图件</w:t>
      </w:r>
    </w:p>
    <w:p w14:paraId="42D4385A">
      <w:pPr>
        <w:spacing w:line="360" w:lineRule="auto"/>
        <w:ind w:firstLine="420"/>
        <w:rPr>
          <w:rFonts w:ascii="宋体" w:hAnsi="宋体"/>
        </w:rPr>
      </w:pPr>
      <w:r>
        <w:rPr>
          <w:rFonts w:ascii="宋体" w:hAnsi="宋体"/>
        </w:rPr>
        <w:t>图件包括图纸和图则两部分</w:t>
      </w:r>
      <w:r>
        <w:rPr>
          <w:rFonts w:hint="eastAsia" w:ascii="宋体" w:hAnsi="宋体"/>
        </w:rPr>
        <w:t>。</w:t>
      </w:r>
    </w:p>
    <w:p w14:paraId="043D535C">
      <w:pPr>
        <w:numPr>
          <w:ilvl w:val="0"/>
          <w:numId w:val="14"/>
        </w:numPr>
        <w:tabs>
          <w:tab w:val="left" w:pos="426"/>
        </w:tabs>
        <w:spacing w:line="360" w:lineRule="auto"/>
        <w:ind w:left="424" w:firstLine="2"/>
        <w:rPr>
          <w:rFonts w:ascii="宋体" w:hAnsi="宋体"/>
        </w:rPr>
      </w:pPr>
      <w:r>
        <w:rPr>
          <w:rFonts w:ascii="宋体" w:hAnsi="宋体"/>
        </w:rPr>
        <w:t>图纸</w:t>
      </w:r>
    </w:p>
    <w:p w14:paraId="74546867">
      <w:pPr>
        <w:spacing w:line="360" w:lineRule="auto"/>
        <w:ind w:firstLine="420"/>
        <w:rPr>
          <w:rFonts w:ascii="宋体" w:hAnsi="宋体"/>
        </w:rPr>
      </w:pPr>
      <w:r>
        <w:rPr>
          <w:rFonts w:ascii="宋体" w:hAnsi="宋体"/>
        </w:rPr>
        <w:t>主要包括国土空间利用现状图、空间潜力分析图、国土空间利用规划图、公共管理与公共服务设施规划图、“城市控制线”规划图等。</w:t>
      </w:r>
    </w:p>
    <w:p w14:paraId="12A8B217">
      <w:pPr>
        <w:numPr>
          <w:ilvl w:val="0"/>
          <w:numId w:val="14"/>
        </w:numPr>
        <w:spacing w:line="360" w:lineRule="auto"/>
        <w:ind w:left="426" w:firstLine="0"/>
        <w:rPr>
          <w:rFonts w:ascii="宋体" w:hAnsi="宋体"/>
        </w:rPr>
      </w:pPr>
      <w:r>
        <w:rPr>
          <w:rFonts w:ascii="宋体" w:hAnsi="宋体"/>
        </w:rPr>
        <w:t>图则</w:t>
      </w:r>
    </w:p>
    <w:p w14:paraId="3CFEFD49">
      <w:pPr>
        <w:spacing w:line="360" w:lineRule="auto"/>
        <w:ind w:firstLine="420"/>
        <w:rPr>
          <w:rFonts w:ascii="宋体" w:hAnsi="宋体"/>
        </w:rPr>
      </w:pPr>
      <w:r>
        <w:rPr>
          <w:rFonts w:hint="eastAsia" w:ascii="宋体" w:hAnsi="宋体"/>
        </w:rPr>
        <w:t>图示内容主要包括地块边界、建筑退线、机动车出入口方位、各类控制线、各类设施等;表格内容包括地块编号、地块用地分类代码地块面积、容积率、绿地率、建筑密度、建筑高度、备注信息等。</w:t>
      </w:r>
    </w:p>
    <w:p w14:paraId="04FC8D15">
      <w:pPr>
        <w:spacing w:line="360" w:lineRule="auto"/>
        <w:ind w:firstLine="420"/>
        <w:rPr>
          <w:rFonts w:ascii="宋体" w:hAnsi="宋体"/>
          <w:bCs/>
        </w:rPr>
      </w:pPr>
      <w:r>
        <w:rPr>
          <w:rFonts w:hint="eastAsia" w:ascii="宋体" w:hAnsi="宋体"/>
          <w:bCs/>
        </w:rPr>
        <w:t>2.</w:t>
      </w:r>
      <w:r>
        <w:rPr>
          <w:rFonts w:ascii="宋体" w:hAnsi="宋体"/>
          <w:bCs/>
        </w:rPr>
        <w:t>3</w:t>
      </w:r>
      <w:r>
        <w:rPr>
          <w:rFonts w:hint="eastAsia" w:ascii="宋体" w:hAnsi="宋体"/>
          <w:bCs/>
        </w:rPr>
        <w:t>附件</w:t>
      </w:r>
    </w:p>
    <w:p w14:paraId="566183CD">
      <w:pPr>
        <w:spacing w:line="360" w:lineRule="auto"/>
        <w:ind w:firstLine="420"/>
        <w:rPr>
          <w:rFonts w:hint="eastAsia" w:ascii="宋体" w:hAnsi="宋体"/>
        </w:rPr>
      </w:pPr>
      <w:r>
        <w:rPr>
          <w:rFonts w:hint="eastAsia" w:ascii="宋体" w:hAnsi="宋体"/>
        </w:rPr>
        <w:t>附件</w:t>
      </w:r>
      <w:r>
        <w:rPr>
          <w:rFonts w:ascii="宋体" w:hAnsi="宋体"/>
        </w:rPr>
        <w:t>包括</w:t>
      </w:r>
      <w:r>
        <w:rPr>
          <w:rFonts w:hint="eastAsia" w:ascii="宋体" w:hAnsi="宋体"/>
        </w:rPr>
        <w:t>说明书等。</w:t>
      </w:r>
    </w:p>
    <w:p w14:paraId="2DC5669F">
      <w:pPr>
        <w:spacing w:line="360" w:lineRule="auto"/>
        <w:ind w:firstLine="420"/>
        <w:rPr>
          <w:rFonts w:ascii="宋体" w:hAnsi="宋体"/>
        </w:rPr>
      </w:pPr>
      <w:r>
        <w:rPr>
          <w:rFonts w:hint="eastAsia" w:ascii="宋体" w:hAnsi="宋体"/>
        </w:rPr>
        <w:t>3</w:t>
      </w:r>
      <w:r>
        <w:rPr>
          <w:rFonts w:hint="eastAsia" w:ascii="宋体" w:hAnsi="宋体"/>
          <w:lang w:eastAsia="zh-CN"/>
        </w:rPr>
        <w:t>.</w:t>
      </w:r>
      <w:r>
        <w:rPr>
          <w:rFonts w:hint="eastAsia" w:ascii="宋体" w:hAnsi="宋体"/>
        </w:rPr>
        <w:t>项目进度安排</w:t>
      </w:r>
    </w:p>
    <w:p w14:paraId="73E29789">
      <w:pPr>
        <w:spacing w:line="360" w:lineRule="auto"/>
        <w:ind w:firstLine="405"/>
        <w:rPr>
          <w:rFonts w:ascii="宋体" w:hAnsi="宋体"/>
        </w:rPr>
      </w:pPr>
      <w:r>
        <w:rPr>
          <w:rFonts w:hint="eastAsia" w:ascii="宋体" w:hAnsi="宋体"/>
        </w:rPr>
        <w:t>本次项目共分</w:t>
      </w:r>
      <w:r>
        <w:rPr>
          <w:rFonts w:hint="eastAsia" w:ascii="宋体" w:hAnsi="宋体"/>
          <w:highlight w:val="none"/>
        </w:rPr>
        <w:t>为</w:t>
      </w:r>
      <w:r>
        <w:rPr>
          <w:rFonts w:ascii="宋体" w:hAnsi="宋体"/>
          <w:highlight w:val="none"/>
        </w:rPr>
        <w:t>4</w:t>
      </w:r>
      <w:r>
        <w:rPr>
          <w:rFonts w:hint="eastAsia" w:ascii="宋体" w:hAnsi="宋体"/>
          <w:highlight w:val="none"/>
        </w:rPr>
        <w:t>个</w:t>
      </w:r>
      <w:r>
        <w:rPr>
          <w:rFonts w:hint="eastAsia" w:ascii="宋体" w:hAnsi="宋体"/>
        </w:rPr>
        <w:t>阶段，项目周期为自合同签订起</w:t>
      </w:r>
      <w:r>
        <w:rPr>
          <w:rFonts w:ascii="宋体" w:hAnsi="宋体"/>
        </w:rPr>
        <w:t>120</w:t>
      </w:r>
      <w:r>
        <w:rPr>
          <w:rFonts w:hint="eastAsia" w:ascii="宋体" w:hAnsi="宋体"/>
        </w:rPr>
        <w:t>个日历天（不包括项目公示期及成果审查时间）。</w:t>
      </w:r>
    </w:p>
    <w:p w14:paraId="31D2F8BF">
      <w:pPr>
        <w:spacing w:line="360" w:lineRule="auto"/>
        <w:ind w:firstLine="405"/>
        <w:rPr>
          <w:rFonts w:ascii="宋体" w:hAnsi="宋体"/>
        </w:rPr>
      </w:pPr>
      <w:r>
        <w:rPr>
          <w:rFonts w:hint="eastAsia" w:ascii="宋体" w:hAnsi="宋体"/>
        </w:rPr>
        <w:t>初步成果阶段</w:t>
      </w:r>
      <w:r>
        <w:rPr>
          <w:rFonts w:ascii="宋体" w:hAnsi="宋体"/>
        </w:rPr>
        <w:t>30</w:t>
      </w:r>
      <w:r>
        <w:rPr>
          <w:rFonts w:hint="eastAsia" w:ascii="宋体" w:hAnsi="宋体"/>
        </w:rPr>
        <w:t>天，中期成果阶段</w:t>
      </w:r>
      <w:r>
        <w:rPr>
          <w:rFonts w:ascii="宋体" w:hAnsi="宋体"/>
        </w:rPr>
        <w:t>30</w:t>
      </w:r>
      <w:r>
        <w:rPr>
          <w:rFonts w:hint="eastAsia" w:ascii="宋体" w:hAnsi="宋体"/>
        </w:rPr>
        <w:t>天，论证成果阶段</w:t>
      </w:r>
      <w:r>
        <w:rPr>
          <w:rFonts w:ascii="宋体" w:hAnsi="宋体"/>
        </w:rPr>
        <w:t>30</w:t>
      </w:r>
      <w:r>
        <w:rPr>
          <w:rFonts w:hint="eastAsia" w:ascii="宋体" w:hAnsi="宋体"/>
        </w:rPr>
        <w:t>天，报批备案阶段3</w:t>
      </w:r>
      <w:r>
        <w:rPr>
          <w:rFonts w:ascii="宋体" w:hAnsi="宋体"/>
        </w:rPr>
        <w:t>0</w:t>
      </w:r>
      <w:r>
        <w:rPr>
          <w:rFonts w:hint="eastAsia" w:ascii="宋体" w:hAnsi="宋体"/>
        </w:rPr>
        <w:t>天。</w:t>
      </w:r>
    </w:p>
    <w:p w14:paraId="019D8D33">
      <w:pPr>
        <w:spacing w:line="360" w:lineRule="auto"/>
        <w:ind w:firstLine="422"/>
        <w:rPr>
          <w:rFonts w:hint="eastAsia" w:ascii="宋体" w:hAnsi="宋体"/>
          <w:b/>
          <w:bCs/>
          <w:color w:val="000000"/>
          <w:szCs w:val="21"/>
        </w:rPr>
      </w:pPr>
    </w:p>
    <w:p w14:paraId="416BCF13">
      <w:pPr>
        <w:spacing w:line="360" w:lineRule="auto"/>
        <w:ind w:firstLine="420"/>
        <w:rPr>
          <w:rFonts w:hint="eastAsia" w:ascii="宋体" w:hAnsi="宋体"/>
          <w:szCs w:val="21"/>
        </w:rPr>
      </w:pPr>
      <w:bookmarkStart w:id="35" w:name="_Toc161126685"/>
      <w:bookmarkStart w:id="36" w:name="_Toc161067501"/>
      <w:bookmarkStart w:id="37" w:name="_Toc173229833"/>
    </w:p>
    <w:p w14:paraId="78109A25">
      <w:pPr>
        <w:pStyle w:val="3"/>
        <w:spacing w:before="0" w:after="0" w:line="240" w:lineRule="auto"/>
        <w:ind w:firstLine="422"/>
        <w:rPr>
          <w:rFonts w:hint="eastAsia" w:ascii="宋体" w:hAnsi="宋体" w:eastAsia="宋体"/>
          <w:sz w:val="21"/>
          <w:szCs w:val="21"/>
        </w:rPr>
      </w:pPr>
      <w:r>
        <w:rPr>
          <w:rFonts w:hint="eastAsia" w:ascii="宋体" w:hAnsi="宋体" w:eastAsia="宋体"/>
          <w:sz w:val="21"/>
          <w:szCs w:val="21"/>
        </w:rPr>
        <w:t>★三、商务要求</w:t>
      </w:r>
    </w:p>
    <w:p w14:paraId="7D52A3B2">
      <w:pPr>
        <w:tabs>
          <w:tab w:val="left" w:pos="312"/>
        </w:tabs>
        <w:spacing w:line="360" w:lineRule="auto"/>
        <w:ind w:left="420"/>
        <w:jc w:val="left"/>
        <w:rPr>
          <w:rFonts w:hint="eastAsia" w:ascii="宋体" w:hAnsi="宋体" w:cs="宋体"/>
          <w:szCs w:val="21"/>
        </w:rPr>
      </w:pPr>
      <w:r>
        <w:rPr>
          <w:rFonts w:ascii="宋体" w:hAnsi="宋体" w:cs="宋体"/>
          <w:szCs w:val="21"/>
        </w:rPr>
        <w:t>1.</w:t>
      </w:r>
      <w:r>
        <w:rPr>
          <w:rFonts w:hint="eastAsia" w:ascii="宋体" w:hAnsi="宋体" w:cs="宋体"/>
          <w:szCs w:val="21"/>
        </w:rPr>
        <w:t>合同履约期限：合同签订后</w:t>
      </w:r>
      <w:r>
        <w:rPr>
          <w:rFonts w:hint="eastAsia" w:ascii="宋体" w:hAnsi="宋体" w:cs="宋体"/>
          <w:szCs w:val="21"/>
          <w:lang w:val="en-US" w:eastAsia="zh-CN"/>
        </w:rPr>
        <w:t>120个日历天</w:t>
      </w:r>
      <w:r>
        <w:rPr>
          <w:rFonts w:hint="eastAsia" w:ascii="宋体" w:hAnsi="宋体"/>
        </w:rPr>
        <w:t>（不包括项目公示期及成果审查时间）</w:t>
      </w:r>
      <w:r>
        <w:rPr>
          <w:rFonts w:hint="eastAsia" w:ascii="宋体" w:hAnsi="宋体" w:cs="宋体"/>
          <w:szCs w:val="21"/>
        </w:rPr>
        <w:t>；</w:t>
      </w:r>
    </w:p>
    <w:p w14:paraId="0EEC8EB1">
      <w:pPr>
        <w:spacing w:line="360" w:lineRule="auto"/>
        <w:ind w:firstLine="422"/>
        <w:rPr>
          <w:rFonts w:hint="eastAsia" w:ascii="宋体" w:hAnsi="宋体"/>
          <w:bCs/>
          <w:szCs w:val="21"/>
        </w:rPr>
      </w:pPr>
      <w:r>
        <w:rPr>
          <w:rFonts w:hint="eastAsia" w:ascii="宋体" w:hAnsi="宋体"/>
          <w:bCs/>
          <w:szCs w:val="21"/>
        </w:rPr>
        <w:t>2.付款方式</w:t>
      </w:r>
    </w:p>
    <w:p w14:paraId="5B338B8A">
      <w:pPr>
        <w:spacing w:line="360" w:lineRule="auto"/>
        <w:ind w:firstLine="422"/>
        <w:rPr>
          <w:rFonts w:hint="eastAsia" w:ascii="宋体" w:hAnsi="宋体"/>
          <w:bCs/>
          <w:szCs w:val="21"/>
          <w:highlight w:val="none"/>
        </w:rPr>
      </w:pPr>
      <w:r>
        <w:rPr>
          <w:rFonts w:hint="eastAsia" w:ascii="宋体" w:hAnsi="宋体"/>
          <w:bCs/>
          <w:szCs w:val="21"/>
          <w:highlight w:val="none"/>
        </w:rPr>
        <w:t>2.1预付款：待合同签订生效后，甲方支付合同总金额的</w:t>
      </w:r>
      <w:r>
        <w:rPr>
          <w:rFonts w:hint="eastAsia" w:ascii="宋体" w:hAnsi="宋体"/>
          <w:bCs/>
          <w:szCs w:val="21"/>
          <w:highlight w:val="none"/>
          <w:lang w:val="en-US" w:eastAsia="zh-CN"/>
        </w:rPr>
        <w:t>30%</w:t>
      </w:r>
      <w:r>
        <w:rPr>
          <w:rFonts w:hint="eastAsia" w:ascii="宋体" w:hAnsi="宋体"/>
          <w:bCs/>
          <w:szCs w:val="21"/>
          <w:highlight w:val="none"/>
        </w:rPr>
        <w:t>作为预付款，预付款将在待支付的进度款款项中扣除；</w:t>
      </w:r>
    </w:p>
    <w:p w14:paraId="62B2415F">
      <w:pPr>
        <w:spacing w:line="360" w:lineRule="auto"/>
        <w:ind w:firstLine="420"/>
        <w:rPr>
          <w:rFonts w:hint="eastAsia" w:ascii="宋体" w:hAnsi="宋体"/>
          <w:bCs/>
          <w:szCs w:val="21"/>
          <w:highlight w:val="none"/>
          <w:lang w:val="en-US" w:eastAsia="zh-CN"/>
        </w:rPr>
      </w:pPr>
      <w:r>
        <w:rPr>
          <w:rFonts w:hint="eastAsia" w:ascii="宋体" w:hAnsi="宋体"/>
          <w:bCs/>
          <w:szCs w:val="21"/>
          <w:highlight w:val="none"/>
        </w:rPr>
        <w:t>2.2进度款：</w:t>
      </w:r>
      <w:r>
        <w:rPr>
          <w:rFonts w:hint="eastAsia" w:ascii="宋体" w:hAnsi="宋体"/>
          <w:bCs/>
          <w:szCs w:val="21"/>
          <w:highlight w:val="none"/>
          <w:lang w:val="en-US" w:eastAsia="zh-CN"/>
        </w:rPr>
        <w:t>项目完成后付至合同金额的70%，余款一年内付清。</w:t>
      </w:r>
    </w:p>
    <w:p w14:paraId="24BF167C">
      <w:pPr>
        <w:spacing w:line="360" w:lineRule="auto"/>
        <w:ind w:firstLine="420"/>
        <w:rPr>
          <w:rFonts w:hint="default"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四、其他说明</w:t>
      </w:r>
    </w:p>
    <w:p w14:paraId="1310A179">
      <w:pPr>
        <w:spacing w:line="360" w:lineRule="auto"/>
        <w:ind w:firstLine="420"/>
        <w:rPr>
          <w:rFonts w:hint="eastAsia" w:ascii="宋体" w:hAnsi="宋体"/>
        </w:rPr>
      </w:pPr>
      <w:r>
        <w:rPr>
          <w:rFonts w:hint="eastAsia" w:ascii="宋体" w:hAnsi="宋体"/>
        </w:rPr>
        <w:t>1.本项目报价包括收集资料费、调查费、人员费、交通费、食宿费、专家论证费、税金、利润等政策性文件规定及完成合同所发生的一切费用。合同价格不因服务期延长、物价变动及规范性、指导性、政策性文件等发生变化等因素而调整。</w:t>
      </w:r>
    </w:p>
    <w:p w14:paraId="174801C0">
      <w:pPr>
        <w:spacing w:line="360" w:lineRule="auto"/>
        <w:ind w:firstLine="420"/>
        <w:rPr>
          <w:rFonts w:hint="eastAsia" w:ascii="宋体" w:hAnsi="宋体"/>
        </w:rPr>
      </w:pPr>
      <w:r>
        <w:rPr>
          <w:rFonts w:hint="eastAsia" w:ascii="宋体" w:hAnsi="宋体"/>
        </w:rPr>
        <w:t>2.投标单位必须说明其是否响应采购文件中提出的全部服务内容与要求，如果以其中某些条款不响应时，应在文件中逐条列出，未列出的视同响应。</w:t>
      </w:r>
    </w:p>
    <w:p w14:paraId="4607430C">
      <w:pPr>
        <w:spacing w:line="360" w:lineRule="auto"/>
        <w:ind w:firstLine="420"/>
        <w:rPr>
          <w:rFonts w:hint="eastAsia" w:ascii="宋体" w:hAnsi="宋体"/>
        </w:rPr>
      </w:pPr>
      <w:r>
        <w:rPr>
          <w:rFonts w:hint="eastAsia" w:ascii="宋体" w:hAnsi="宋体"/>
        </w:rPr>
        <w:t>3.知识产权:投标人要充分考虑知识产权问题，应保证采购单位免除且承担由于投标人在其本国使用该项目所需的材料和设计或其任何一部分时而引起第三方提出的侵犯专利权、商标权或工业设计权的起诉、行动、行政程序索赔、请求等，以及采购单位为此而产生的损失和损害、费用和支出（包括律师费）。</w:t>
      </w:r>
    </w:p>
    <w:p w14:paraId="33A8ADCE">
      <w:pPr>
        <w:spacing w:line="360" w:lineRule="auto"/>
        <w:ind w:firstLine="420"/>
        <w:rPr>
          <w:rFonts w:hint="eastAsia" w:ascii="宋体" w:hAnsi="宋体"/>
        </w:rPr>
      </w:pPr>
      <w:r>
        <w:rPr>
          <w:rFonts w:hint="eastAsia" w:ascii="宋体" w:hAnsi="宋体"/>
        </w:rPr>
        <w:t>4.凡涉及招标文件的补充说明和修改，均以招标代理机构网上发布的公告为准。</w:t>
      </w:r>
    </w:p>
    <w:p w14:paraId="2D8D0E00">
      <w:pPr>
        <w:spacing w:line="360" w:lineRule="auto"/>
        <w:ind w:firstLine="420"/>
        <w:rPr>
          <w:rFonts w:hint="eastAsia" w:ascii="宋体" w:hAnsi="宋体"/>
          <w:szCs w:val="21"/>
        </w:rPr>
      </w:pPr>
    </w:p>
    <w:p w14:paraId="671B6D5F">
      <w:pPr>
        <w:spacing w:line="360" w:lineRule="auto"/>
        <w:ind w:firstLine="420"/>
        <w:rPr>
          <w:rFonts w:hint="eastAsia" w:ascii="宋体" w:hAnsi="宋体"/>
          <w:szCs w:val="21"/>
        </w:rPr>
      </w:pPr>
    </w:p>
    <w:p w14:paraId="1AF0073D">
      <w:pPr>
        <w:spacing w:line="360" w:lineRule="auto"/>
        <w:ind w:firstLine="420"/>
        <w:rPr>
          <w:rFonts w:hint="eastAsia" w:ascii="宋体" w:hAnsi="宋体"/>
          <w:szCs w:val="21"/>
        </w:rPr>
      </w:pPr>
    </w:p>
    <w:p w14:paraId="2961618B">
      <w:pPr>
        <w:spacing w:line="360" w:lineRule="auto"/>
        <w:ind w:firstLine="420"/>
        <w:rPr>
          <w:rFonts w:hint="eastAsia" w:ascii="宋体" w:hAnsi="宋体"/>
          <w:szCs w:val="21"/>
        </w:rPr>
      </w:pPr>
    </w:p>
    <w:p w14:paraId="38A07A7B">
      <w:pPr>
        <w:spacing w:line="360" w:lineRule="auto"/>
        <w:rPr>
          <w:rFonts w:hint="eastAsia" w:ascii="宋体" w:hAnsi="宋体"/>
          <w:szCs w:val="21"/>
        </w:rPr>
        <w:sectPr>
          <w:pgSz w:w="11906" w:h="16838"/>
          <w:pgMar w:top="1474" w:right="1247" w:bottom="1247" w:left="1531" w:header="851" w:footer="680" w:gutter="0"/>
          <w:cols w:space="425" w:num="1"/>
          <w:docGrid w:linePitch="360" w:charSpace="0"/>
        </w:sectPr>
      </w:pPr>
    </w:p>
    <w:p w14:paraId="0CEB9673">
      <w:pPr>
        <w:spacing w:line="360" w:lineRule="auto"/>
        <w:rPr>
          <w:rFonts w:hint="eastAsia" w:ascii="宋体" w:hAnsi="宋体"/>
          <w:szCs w:val="21"/>
        </w:rPr>
      </w:pPr>
    </w:p>
    <w:p w14:paraId="3CC36769">
      <w:pPr>
        <w:pStyle w:val="2"/>
        <w:jc w:val="center"/>
        <w:rPr>
          <w:rStyle w:val="320"/>
          <w:bCs w:val="0"/>
          <w:sz w:val="32"/>
          <w:szCs w:val="32"/>
        </w:rPr>
      </w:pPr>
      <w:bookmarkStart w:id="38" w:name="_Toc195539950"/>
      <w:r>
        <w:rPr>
          <w:rStyle w:val="320"/>
          <w:rFonts w:hint="eastAsia"/>
          <w:bCs w:val="0"/>
          <w:sz w:val="32"/>
          <w:szCs w:val="32"/>
        </w:rPr>
        <w:t>第四章 评审程序</w:t>
      </w:r>
      <w:bookmarkEnd w:id="29"/>
      <w:bookmarkEnd w:id="30"/>
      <w:bookmarkEnd w:id="31"/>
      <w:bookmarkEnd w:id="32"/>
      <w:bookmarkEnd w:id="34"/>
      <w:bookmarkEnd w:id="35"/>
      <w:bookmarkEnd w:id="36"/>
      <w:bookmarkEnd w:id="37"/>
      <w:bookmarkEnd w:id="38"/>
      <w:bookmarkStart w:id="39" w:name="_Toc517625408"/>
      <w:bookmarkEnd w:id="39"/>
      <w:bookmarkStart w:id="40" w:name="_Toc517625506"/>
      <w:bookmarkEnd w:id="40"/>
    </w:p>
    <w:p w14:paraId="51F7A18E">
      <w:pPr>
        <w:spacing w:line="360" w:lineRule="auto"/>
        <w:ind w:firstLine="422"/>
        <w:rPr>
          <w:rFonts w:hint="eastAsia" w:ascii="宋体" w:hAnsi="宋体"/>
          <w:b/>
          <w:color w:val="000000"/>
          <w:szCs w:val="21"/>
        </w:rPr>
      </w:pPr>
      <w:r>
        <w:rPr>
          <w:rFonts w:hint="eastAsia" w:ascii="宋体" w:hAnsi="宋体"/>
          <w:b/>
          <w:color w:val="000000"/>
          <w:szCs w:val="21"/>
        </w:rPr>
        <w:t>一、谈判流程：</w:t>
      </w:r>
    </w:p>
    <w:p w14:paraId="1E0AE3E5">
      <w:pPr>
        <w:spacing w:line="360" w:lineRule="auto"/>
        <w:ind w:firstLine="420"/>
        <w:rPr>
          <w:rFonts w:hint="eastAsia"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开标由采购代理机构在线主持，邀请供应商在线参加。供应商应当按照《苏采云系统供应商操作手册》规定，参加开标活动和在“苏采云”系统规定的时间内对响应文件进行解密。评标委员会成员不得参加开标活动。</w:t>
      </w:r>
    </w:p>
    <w:p w14:paraId="10949751">
      <w:pPr>
        <w:spacing w:line="360" w:lineRule="auto"/>
        <w:ind w:firstLine="420"/>
        <w:rPr>
          <w:rFonts w:hint="eastAsia" w:ascii="宋体" w:hAnsi="宋体"/>
          <w:color w:val="000000"/>
        </w:rPr>
      </w:pPr>
      <w:r>
        <w:rPr>
          <w:rFonts w:ascii="宋体" w:hAnsi="宋体"/>
          <w:color w:val="000000"/>
        </w:rPr>
        <w:t>2</w:t>
      </w:r>
      <w:r>
        <w:rPr>
          <w:rFonts w:hint="eastAsia" w:ascii="宋体" w:hAnsi="宋体"/>
          <w:color w:val="000000"/>
        </w:rPr>
        <w:t>.开标完成后，进入评审环节，谈判小组按照谈判文件的要求独立对供应商进行资格性和符合性审查，确定合格供应商。</w:t>
      </w:r>
    </w:p>
    <w:p w14:paraId="3F048766">
      <w:pPr>
        <w:spacing w:line="360" w:lineRule="auto"/>
        <w:ind w:firstLine="420"/>
        <w:rPr>
          <w:rFonts w:hint="eastAsia" w:ascii="宋体" w:hAnsi="宋体"/>
          <w:color w:val="000000"/>
        </w:rPr>
      </w:pPr>
      <w:r>
        <w:rPr>
          <w:rFonts w:hint="eastAsia" w:ascii="宋体" w:hAnsi="宋体"/>
          <w:color w:val="000000"/>
        </w:rPr>
        <w:t>2</w:t>
      </w:r>
      <w:r>
        <w:rPr>
          <w:rFonts w:ascii="宋体" w:hAnsi="宋体"/>
          <w:color w:val="000000"/>
        </w:rPr>
        <w:t>.1</w:t>
      </w:r>
      <w:r>
        <w:rPr>
          <w:rFonts w:hint="eastAsia" w:ascii="宋体" w:hAnsi="宋体"/>
          <w:color w:val="000000"/>
        </w:rPr>
        <w:t>资格审查：由谈判小组依据法律法规和谈判文件的规定，对响应文件中的资格证明文件进行审查，以确定供应商是否具备参加谈判的资格。</w:t>
      </w:r>
    </w:p>
    <w:p w14:paraId="70F095EF">
      <w:pPr>
        <w:spacing w:line="360" w:lineRule="auto"/>
        <w:ind w:firstLine="420"/>
        <w:rPr>
          <w:rFonts w:hint="eastAsia" w:ascii="宋体" w:hAnsi="宋体"/>
          <w:color w:val="000000"/>
        </w:rPr>
      </w:pPr>
      <w:r>
        <w:rPr>
          <w:rFonts w:hint="eastAsia" w:ascii="宋体" w:hAnsi="宋体"/>
          <w:color w:val="000000"/>
        </w:rPr>
        <w:t>谈判小组在进行资格审查的同时，将在“信用中国”网站（www.creditchina.gov.cn）查询供应商的信用记录，以确定供应商是否具备谈判资格，查询结果留存并归档。</w:t>
      </w:r>
    </w:p>
    <w:p w14:paraId="403778F2">
      <w:pPr>
        <w:spacing w:line="360" w:lineRule="auto"/>
        <w:ind w:firstLine="420"/>
        <w:rPr>
          <w:rFonts w:hint="eastAsia" w:ascii="宋体" w:hAnsi="宋体"/>
          <w:color w:val="000000"/>
        </w:rPr>
      </w:pPr>
      <w:r>
        <w:rPr>
          <w:rFonts w:hint="eastAsia" w:ascii="宋体" w:hAnsi="宋体"/>
          <w:color w:val="000000"/>
        </w:rPr>
        <w:t>接受联合体的项目，两个以上的自然人、法人或者其他组织组成一个联合体，以一个供应商的身份共同参加政府采购活动的，联合体成员中任何一方存在不良信用记录的，视同联合体存在不良应用记录。</w:t>
      </w:r>
    </w:p>
    <w:p w14:paraId="4ED705DA">
      <w:pPr>
        <w:spacing w:line="360" w:lineRule="auto"/>
        <w:ind w:firstLine="420"/>
        <w:rPr>
          <w:rFonts w:hint="eastAsia" w:ascii="宋体" w:hAnsi="宋体"/>
          <w:color w:val="000000"/>
        </w:rPr>
      </w:pPr>
      <w:r>
        <w:rPr>
          <w:rFonts w:hint="eastAsia" w:ascii="宋体" w:hAnsi="宋体"/>
          <w:color w:val="000000"/>
        </w:rPr>
        <w:t>2</w:t>
      </w:r>
      <w:r>
        <w:rPr>
          <w:rFonts w:ascii="宋体" w:hAnsi="宋体"/>
          <w:color w:val="000000"/>
        </w:rPr>
        <w:t>.2</w:t>
      </w:r>
      <w:r>
        <w:rPr>
          <w:rFonts w:hint="eastAsia" w:ascii="宋体" w:hAnsi="宋体"/>
          <w:color w:val="000000"/>
        </w:rPr>
        <w:t>符合性审查：依据谈判文件的规定，由谈判小组从响应文件的有效性、完整性和对谈判文件的响应程度进行审查，以确定是否对谈判文件的实质性要求作出响应。</w:t>
      </w:r>
    </w:p>
    <w:p w14:paraId="7515C991">
      <w:pPr>
        <w:spacing w:line="360" w:lineRule="auto"/>
        <w:ind w:firstLine="420"/>
        <w:rPr>
          <w:rFonts w:hint="eastAsia" w:ascii="宋体" w:hAnsi="宋体"/>
          <w:color w:val="000000"/>
        </w:rPr>
      </w:pPr>
      <w:r>
        <w:rPr>
          <w:rFonts w:ascii="宋体" w:hAnsi="宋体"/>
          <w:color w:val="000000"/>
        </w:rPr>
        <w:t>2.3</w:t>
      </w:r>
      <w:r>
        <w:rPr>
          <w:rFonts w:hint="eastAsia" w:ascii="宋体" w:hAnsi="宋体"/>
          <w:color w:val="000000"/>
        </w:rPr>
        <w:t>未通过资格审查或符合性审查的供应商，谈判小组将在苏采云系统中告知未通过资格审查或符合性审查的原因，评审结束后，谈判小组将不再告知未通过资格审查或符合性审查的原因。</w:t>
      </w:r>
    </w:p>
    <w:p w14:paraId="494DD005">
      <w:pPr>
        <w:spacing w:line="360" w:lineRule="auto"/>
        <w:ind w:firstLine="420"/>
        <w:rPr>
          <w:rFonts w:hint="eastAsia" w:ascii="宋体" w:hAnsi="宋体"/>
          <w:color w:val="000000"/>
        </w:rPr>
      </w:pPr>
      <w:r>
        <w:rPr>
          <w:rFonts w:hint="eastAsia" w:ascii="宋体" w:hAnsi="宋体"/>
          <w:color w:val="000000"/>
        </w:rPr>
        <w:t>2</w:t>
      </w:r>
      <w:r>
        <w:rPr>
          <w:rFonts w:ascii="宋体" w:hAnsi="宋体"/>
          <w:color w:val="000000"/>
        </w:rPr>
        <w:t>.4</w:t>
      </w:r>
      <w:r>
        <w:rPr>
          <w:rFonts w:hint="eastAsia" w:ascii="宋体" w:hAnsi="宋体"/>
          <w:color w:val="000000"/>
        </w:rPr>
        <w:t>在详细评审之前，谈判小组将首先审查每份响应文件是否实质性响应了谈判文件的要求。实质性响应的响应文件应该是与谈判文件要求的条款、条件和规格相符，没有重大偏离或保留。</w:t>
      </w:r>
    </w:p>
    <w:p w14:paraId="257A2D45">
      <w:pPr>
        <w:spacing w:line="360" w:lineRule="auto"/>
        <w:ind w:firstLine="420"/>
        <w:rPr>
          <w:rFonts w:hint="eastAsia" w:ascii="宋体" w:hAnsi="宋体"/>
          <w:color w:val="000000"/>
        </w:rPr>
      </w:pPr>
      <w:r>
        <w:rPr>
          <w:rFonts w:hint="eastAsia" w:ascii="宋体" w:hAnsi="宋体"/>
          <w:color w:val="000000"/>
        </w:rPr>
        <w:t>所谓重大偏离或保留是指与谈判文件规定的实质性要求存在负偏离，或者在实质上与谈判文件不一致，而且限制了合同中买方和采购中心的权利或供应商的义务，纠正这些偏离或保留将会对其他实质性响应要求的供应商的竞争地位产生不公正的影响。重大偏离由谈判小组按照少数服从多数的原则认定。谈判小组决定响应文件的响应性只根据响应文件本身的内容，而不寻求外部的证据。</w:t>
      </w:r>
    </w:p>
    <w:p w14:paraId="78C9FD14">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未实质性响应谈判文件的情形</w:t>
      </w:r>
    </w:p>
    <w:p w14:paraId="7F5051C4">
      <w:pPr>
        <w:spacing w:line="360" w:lineRule="auto"/>
        <w:ind w:firstLine="420"/>
        <w:rPr>
          <w:rFonts w:hint="eastAsia" w:ascii="宋体" w:hAnsi="宋体"/>
          <w:color w:val="000000"/>
        </w:rPr>
      </w:pPr>
      <w:r>
        <w:rPr>
          <w:rFonts w:ascii="宋体" w:hAnsi="宋体"/>
          <w:color w:val="000000"/>
        </w:rPr>
        <w:t>2.5.1</w:t>
      </w:r>
      <w:r>
        <w:rPr>
          <w:rFonts w:hint="eastAsia" w:ascii="宋体" w:hAnsi="宋体"/>
          <w:color w:val="000000"/>
        </w:rPr>
        <w:t>供应商在苏采云系统规定的时间内未成功解密电子响应文件的。</w:t>
      </w:r>
    </w:p>
    <w:p w14:paraId="6A4B3932">
      <w:pPr>
        <w:spacing w:line="360" w:lineRule="auto"/>
        <w:ind w:firstLine="420"/>
        <w:rPr>
          <w:rFonts w:hint="eastAsia" w:ascii="宋体" w:hAnsi="宋体"/>
          <w:color w:val="000000"/>
        </w:rPr>
      </w:pPr>
      <w:r>
        <w:rPr>
          <w:rFonts w:ascii="宋体" w:hAnsi="宋体"/>
          <w:color w:val="000000"/>
        </w:rPr>
        <w:t>2.5.2</w:t>
      </w:r>
      <w:r>
        <w:rPr>
          <w:rFonts w:hint="eastAsia" w:ascii="宋体" w:hAnsi="宋体"/>
          <w:color w:val="000000"/>
        </w:rPr>
        <w:t>供应商未按照谈判文件要求上传电子响应文件的。</w:t>
      </w:r>
    </w:p>
    <w:p w14:paraId="4AACD638">
      <w:pPr>
        <w:spacing w:line="360" w:lineRule="auto"/>
        <w:ind w:firstLine="420"/>
        <w:rPr>
          <w:rFonts w:hint="eastAsia" w:ascii="宋体" w:hAnsi="宋体"/>
          <w:color w:val="000000"/>
        </w:rPr>
      </w:pPr>
      <w:r>
        <w:rPr>
          <w:rFonts w:ascii="宋体" w:hAnsi="宋体"/>
          <w:color w:val="000000"/>
        </w:rPr>
        <w:t>2.5.3</w:t>
      </w:r>
      <w:r>
        <w:rPr>
          <w:rFonts w:hint="eastAsia" w:ascii="宋体" w:hAnsi="宋体"/>
          <w:color w:val="000000"/>
        </w:rPr>
        <w:t>同一供应商提交两个（含两个）以上不同的响应文件或者最后报价的。</w:t>
      </w:r>
    </w:p>
    <w:p w14:paraId="7F1915B0">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.4供应商不具备谈判文件中规定资格要求的。</w:t>
      </w:r>
    </w:p>
    <w:p w14:paraId="5C79C3EE">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.5供应商的最后报价超过了采购预算。</w:t>
      </w:r>
    </w:p>
    <w:p w14:paraId="2A798BBC">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.6不符合谈判文件中规定的实质性要求和条件的。</w:t>
      </w:r>
    </w:p>
    <w:p w14:paraId="3813C852">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.7供应商被 “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14:paraId="2A861FBC">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.8响应文件含有采购人不能接受的附加条件的。</w:t>
      </w:r>
    </w:p>
    <w:p w14:paraId="2F4A0D22">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9本项目采购产品被财政部、国家发改委、生态环境部等列入“节能产品品目清单”强制采购范围，而谈判供应商所谈判产品不在强制采购范围内的。（谈判产品如属于政府强制采购节能产品品目清单范围内，谈判响应文件中必须提供国家确定的认证机构出具的、处于有效期之内的该节能产品认证证书图片）</w:t>
      </w:r>
    </w:p>
    <w:p w14:paraId="550B97D7">
      <w:pPr>
        <w:spacing w:line="360" w:lineRule="auto"/>
        <w:ind w:firstLine="420"/>
        <w:rPr>
          <w:rFonts w:hint="eastAsia" w:ascii="宋体" w:hAnsi="宋体"/>
          <w:color w:val="000000"/>
        </w:rPr>
      </w:pPr>
      <w:r>
        <w:rPr>
          <w:rFonts w:ascii="宋体" w:hAnsi="宋体"/>
          <w:color w:val="000000"/>
        </w:rPr>
        <w:t>2.5</w:t>
      </w:r>
      <w:r>
        <w:rPr>
          <w:rFonts w:hint="eastAsia" w:ascii="宋体" w:hAnsi="宋体"/>
          <w:color w:val="000000"/>
        </w:rPr>
        <w:t>.10响应文件未按照谈判文件要求加盖CA电子公章的。</w:t>
      </w:r>
    </w:p>
    <w:p w14:paraId="4DC792AD">
      <w:pPr>
        <w:spacing w:line="360" w:lineRule="auto"/>
        <w:ind w:firstLine="420"/>
        <w:rPr>
          <w:rFonts w:hint="eastAsia" w:ascii="宋体" w:hAnsi="宋体"/>
          <w:color w:val="000000"/>
        </w:rPr>
      </w:pPr>
      <w:r>
        <w:rPr>
          <w:rFonts w:ascii="宋体" w:hAnsi="宋体"/>
          <w:color w:val="000000"/>
        </w:rPr>
        <w:t>2.6</w:t>
      </w:r>
      <w:r>
        <w:rPr>
          <w:rFonts w:hint="eastAsia" w:ascii="宋体" w:hAnsi="宋体"/>
          <w:color w:val="000000"/>
        </w:rPr>
        <w:t>未实质性响应谈判文件的响应文件按无效响应处理。</w:t>
      </w:r>
    </w:p>
    <w:p w14:paraId="435B33AA">
      <w:pPr>
        <w:spacing w:line="360" w:lineRule="auto"/>
        <w:ind w:firstLine="420"/>
        <w:rPr>
          <w:rFonts w:hint="eastAsia" w:ascii="宋体" w:hAnsi="宋体"/>
          <w:color w:val="000000"/>
        </w:rPr>
      </w:pPr>
      <w:r>
        <w:rPr>
          <w:rFonts w:hint="eastAsia" w:ascii="宋体" w:hAnsi="宋体"/>
          <w:color w:val="000000"/>
        </w:rPr>
        <w:t>2.7供应商查询中，不同供应商上传响应文件所使用的电脑的MAC地址和标书制作工具客户端标识码均一致的（如发现违法违规行为，将依法追究其法律责任）；</w:t>
      </w:r>
    </w:p>
    <w:p w14:paraId="388354A3">
      <w:pPr>
        <w:spacing w:line="360" w:lineRule="auto"/>
        <w:ind w:firstLine="420"/>
        <w:rPr>
          <w:rFonts w:hint="eastAsia" w:ascii="宋体" w:hAnsi="宋体"/>
          <w:color w:val="000000"/>
        </w:rPr>
      </w:pPr>
      <w:r>
        <w:rPr>
          <w:rFonts w:ascii="宋体" w:hAnsi="宋体"/>
          <w:color w:val="000000"/>
        </w:rPr>
        <w:t>2.</w:t>
      </w:r>
      <w:r>
        <w:rPr>
          <w:rFonts w:hint="eastAsia" w:ascii="宋体" w:hAnsi="宋体"/>
          <w:color w:val="000000"/>
        </w:rPr>
        <w:t>8如果响应文件实质上没有响应谈判文件的要求，谈判小组将予以拒绝，供应商不得通过修改或撤销不合要求的偏离或保留而使其成为实质性响应的文件。</w:t>
      </w:r>
    </w:p>
    <w:p w14:paraId="42AB22C9">
      <w:pPr>
        <w:spacing w:line="360" w:lineRule="auto"/>
        <w:ind w:firstLine="420"/>
        <w:rPr>
          <w:rFonts w:hint="eastAsia" w:ascii="宋体" w:hAnsi="宋体"/>
          <w:color w:val="000000"/>
        </w:rPr>
      </w:pPr>
      <w:r>
        <w:rPr>
          <w:rFonts w:ascii="宋体" w:hAnsi="宋体"/>
          <w:color w:val="000000"/>
        </w:rPr>
        <w:t>2.</w:t>
      </w:r>
      <w:r>
        <w:rPr>
          <w:rFonts w:hint="eastAsia" w:ascii="宋体" w:hAnsi="宋体"/>
          <w:color w:val="000000"/>
        </w:rPr>
        <w:t>9供应商在项目评审全过程中应保持通讯畅通，并安排专人与采购中心及谈判小组联系。</w:t>
      </w:r>
    </w:p>
    <w:p w14:paraId="044ABD12">
      <w:pPr>
        <w:spacing w:line="360" w:lineRule="auto"/>
        <w:ind w:firstLine="420"/>
        <w:rPr>
          <w:rFonts w:hint="eastAsia" w:ascii="宋体" w:hAnsi="宋体"/>
          <w:color w:val="000000"/>
        </w:rPr>
      </w:pPr>
      <w:r>
        <w:rPr>
          <w:rFonts w:ascii="宋体" w:hAnsi="宋体"/>
          <w:color w:val="000000"/>
        </w:rPr>
        <w:t>3</w:t>
      </w:r>
      <w:r>
        <w:rPr>
          <w:rFonts w:hint="eastAsia" w:ascii="宋体" w:hAnsi="宋体"/>
          <w:color w:val="000000"/>
        </w:rPr>
        <w:t>.对于通过资格审查和符合性审查的供应商，谈判小组将集中与单一供应商分别进行谈判。谈判小组通过苏采云系统向供应商发布“谈判函”，供应商应当按照要求在苏采云系统提交“谈判响应函”并加盖CA电子公章。</w:t>
      </w:r>
    </w:p>
    <w:p w14:paraId="3A2B0035">
      <w:pPr>
        <w:spacing w:line="360" w:lineRule="auto"/>
        <w:ind w:firstLine="420"/>
        <w:rPr>
          <w:rFonts w:hint="eastAsia" w:ascii="宋体" w:hAnsi="宋体"/>
          <w:color w:val="000000"/>
        </w:rPr>
      </w:pPr>
      <w:r>
        <w:rPr>
          <w:rFonts w:hint="eastAsia" w:ascii="宋体" w:hAnsi="宋体"/>
          <w:color w:val="000000"/>
        </w:rPr>
        <w:t>在谈判过程中，谈判小组可能根据谈判文件和谈判情况实质性变动的内容有：采购需求中的技术、服务要求以及合同草案条款，但不得变动谈判文件中的其他内容。实质性变动的内容，须经采购人代表确认。</w:t>
      </w:r>
    </w:p>
    <w:p w14:paraId="6BF33734">
      <w:pPr>
        <w:spacing w:line="360" w:lineRule="auto"/>
        <w:ind w:firstLine="420"/>
        <w:rPr>
          <w:rFonts w:hint="eastAsia" w:ascii="宋体" w:hAnsi="宋体"/>
          <w:color w:val="000000"/>
        </w:rPr>
      </w:pPr>
      <w:r>
        <w:rPr>
          <w:rFonts w:hint="eastAsia" w:ascii="宋体" w:hAnsi="宋体"/>
          <w:color w:val="000000"/>
        </w:rPr>
        <w:t>对谈判文件作出的实质性变动是谈判文件的有效组成部分，谈判小组将在苏采云系统中通知所有参加谈判的供应商。供应商应当在谈判小组指定的时间内按照谈判文件的变动情况和谈判小组的要求在苏采云系统中重新提交响应文件，并加盖CA电子公章。</w:t>
      </w:r>
    </w:p>
    <w:p w14:paraId="1FE91E57">
      <w:pPr>
        <w:spacing w:line="360" w:lineRule="auto"/>
        <w:ind w:firstLine="420"/>
        <w:rPr>
          <w:rFonts w:hint="eastAsia" w:ascii="宋体" w:hAnsi="宋体"/>
          <w:b/>
          <w:highlight w:val="yellow"/>
        </w:rPr>
      </w:pPr>
      <w:r>
        <w:rPr>
          <w:rFonts w:hint="eastAsia" w:ascii="宋体" w:hAnsi="宋体"/>
        </w:rPr>
        <w:t>4</w:t>
      </w:r>
      <w:r>
        <w:rPr>
          <w:rFonts w:ascii="宋体" w:hAnsi="宋体"/>
        </w:rPr>
        <w:t>.</w:t>
      </w:r>
      <w:r>
        <w:rPr>
          <w:rFonts w:hint="eastAsia" w:ascii="宋体" w:hAnsi="宋体"/>
        </w:rPr>
        <w:t>谈判文件能够详细列明采购标的的技术、服务要求的，谈判结束后，谈判小组将在苏采云系统向所有实质性响应的供应商发布“最后报价要求函”及最后报价格式表，要求所有实质性响应的供应商在规定时间内提交最后报价，提交最后报价的供应商不得少于3家。</w:t>
      </w:r>
      <w:r>
        <w:rPr>
          <w:rFonts w:hint="eastAsia" w:ascii="宋体" w:hAnsi="宋体"/>
          <w:b/>
          <w:highlight w:val="yellow"/>
        </w:rPr>
        <w:t>提交最后报价的规定时间为十五分钟，超过规定的时间视为放弃提交最后报价。</w:t>
      </w:r>
    </w:p>
    <w:p w14:paraId="7F177CEF">
      <w:pPr>
        <w:spacing w:line="360" w:lineRule="auto"/>
        <w:ind w:firstLine="420"/>
        <w:rPr>
          <w:rFonts w:hint="eastAsia" w:ascii="宋体" w:hAnsi="宋体"/>
          <w:b/>
        </w:rPr>
      </w:pPr>
      <w:r>
        <w:rPr>
          <w:rFonts w:hint="eastAsia" w:ascii="宋体" w:hAnsi="宋体"/>
        </w:rPr>
        <w:t>谈判文件不能详细列明采购标的的技术、服务要求，需经谈判由供应商提供最终设计方案或解决方案的，谈判结束后，谈判小组将按照少数服从多数的原则投票推荐3家以上供应商的设计方案或者解决方案，在苏采云系统中向其发布“最后报价要求函”及最后报价格式表，要求其在规定时间内提交最后报价。</w:t>
      </w:r>
      <w:r>
        <w:rPr>
          <w:rFonts w:hint="eastAsia" w:ascii="宋体" w:hAnsi="宋体"/>
          <w:b/>
          <w:highlight w:val="yellow"/>
        </w:rPr>
        <w:t>提交最后报价的规定时间为十五分钟，超过规定的时间视为放弃提交最后报价。</w:t>
      </w:r>
    </w:p>
    <w:p w14:paraId="3AAD1574">
      <w:pPr>
        <w:spacing w:line="360" w:lineRule="auto"/>
        <w:ind w:firstLine="420"/>
        <w:rPr>
          <w:rFonts w:hint="eastAsia" w:ascii="宋体" w:hAnsi="宋体"/>
          <w:color w:val="000000"/>
        </w:rPr>
      </w:pPr>
      <w:r>
        <w:rPr>
          <w:rFonts w:hint="eastAsia" w:ascii="宋体" w:hAnsi="宋体"/>
          <w:color w:val="000000"/>
        </w:rPr>
        <w:t>最后报价是供应商响应文件的有效组成部分。</w:t>
      </w:r>
    </w:p>
    <w:p w14:paraId="536357A6">
      <w:pPr>
        <w:spacing w:line="360" w:lineRule="auto"/>
        <w:ind w:firstLine="420"/>
        <w:rPr>
          <w:rFonts w:hint="eastAsia" w:ascii="宋体" w:hAnsi="宋体"/>
          <w:color w:val="000000"/>
        </w:rPr>
      </w:pPr>
      <w:r>
        <w:rPr>
          <w:rFonts w:hint="eastAsia" w:ascii="宋体" w:hAnsi="宋体"/>
          <w:color w:val="000000"/>
        </w:rPr>
        <w:t>5</w:t>
      </w:r>
      <w:r>
        <w:rPr>
          <w:rFonts w:ascii="宋体" w:hAnsi="宋体"/>
          <w:color w:val="000000"/>
        </w:rPr>
        <w:t>.</w:t>
      </w:r>
      <w:r>
        <w:rPr>
          <w:rFonts w:hint="eastAsia" w:ascii="宋体" w:hAnsi="宋体"/>
          <w:color w:val="000000"/>
        </w:rPr>
        <w:t>供应商未在谈判小组规定的时间内在苏采云系统中提交最后报价的视为放弃谈判，其响应文件按无效响应处理，最后报价格式表须加盖CA电子公章，否则视为未提交最后报价。已提交响应文件的供应商，在提交最后报价之前，可以根据谈判情况退出谈判，并在苏采云系统中提交“退出谈判函”并加盖CA电子公章。</w:t>
      </w:r>
    </w:p>
    <w:p w14:paraId="0CD71822">
      <w:pPr>
        <w:spacing w:line="360" w:lineRule="auto"/>
        <w:ind w:firstLine="420"/>
        <w:rPr>
          <w:rFonts w:hint="eastAsia" w:ascii="宋体" w:hAnsi="宋体"/>
          <w:color w:val="000000"/>
        </w:rPr>
      </w:pPr>
      <w:r>
        <w:rPr>
          <w:rFonts w:hint="eastAsia" w:ascii="宋体" w:hAnsi="宋体"/>
          <w:color w:val="000000"/>
        </w:rPr>
        <w:t>6.谈判小组认为供应商的报价明显低于其他通过符合性审查的供应商的报价，有可能影响产品质量或者不能诚信履约的，应当要求其以书面形式作出相关说明，供应商不能证明其报价合理性的，谈判小组应当认定其响应无效。</w:t>
      </w:r>
    </w:p>
    <w:p w14:paraId="475C5A0C">
      <w:pPr>
        <w:spacing w:line="360" w:lineRule="auto"/>
        <w:ind w:firstLine="420"/>
        <w:rPr>
          <w:rFonts w:hint="eastAsia" w:ascii="宋体" w:hAnsi="宋体"/>
          <w:color w:val="000000"/>
        </w:rPr>
      </w:pPr>
      <w:r>
        <w:rPr>
          <w:rFonts w:hint="eastAsia" w:ascii="宋体" w:hAnsi="宋体"/>
          <w:color w:val="000000"/>
        </w:rPr>
        <w:t>7.谈判小组根据谈判成交原则确定成交供应商，并将结果通知所有参加谈判的未成交的供应商。</w:t>
      </w:r>
    </w:p>
    <w:p w14:paraId="50CE9AB4">
      <w:pPr>
        <w:spacing w:line="360" w:lineRule="auto"/>
        <w:ind w:firstLine="422"/>
        <w:rPr>
          <w:rFonts w:hint="eastAsia" w:ascii="宋体" w:hAnsi="宋体"/>
          <w:b/>
          <w:color w:val="000000"/>
          <w:szCs w:val="21"/>
        </w:rPr>
      </w:pPr>
      <w:r>
        <w:rPr>
          <w:rFonts w:hint="eastAsia" w:ascii="宋体" w:hAnsi="宋体"/>
          <w:b/>
          <w:color w:val="000000"/>
          <w:szCs w:val="21"/>
        </w:rPr>
        <w:t>二、项目评审</w:t>
      </w:r>
    </w:p>
    <w:p w14:paraId="680F1138">
      <w:pPr>
        <w:spacing w:line="360" w:lineRule="auto"/>
        <w:ind w:firstLine="422"/>
        <w:rPr>
          <w:rFonts w:hint="eastAsia" w:ascii="宋体" w:hAnsi="宋体"/>
          <w:b/>
          <w:color w:val="000000"/>
          <w:szCs w:val="21"/>
        </w:rPr>
      </w:pPr>
      <w:r>
        <w:rPr>
          <w:rFonts w:hint="eastAsia" w:ascii="宋体" w:hAnsi="宋体"/>
          <w:b/>
          <w:color w:val="000000"/>
          <w:szCs w:val="21"/>
        </w:rPr>
        <w:t>（一）谈判小组</w:t>
      </w:r>
    </w:p>
    <w:p w14:paraId="5BAB59F8">
      <w:pPr>
        <w:spacing w:line="360" w:lineRule="auto"/>
        <w:ind w:firstLine="420"/>
        <w:rPr>
          <w:rFonts w:hint="eastAsia" w:ascii="宋体" w:hAnsi="宋体"/>
          <w:color w:val="000000"/>
          <w:szCs w:val="21"/>
        </w:rPr>
      </w:pPr>
      <w:r>
        <w:rPr>
          <w:rFonts w:hint="eastAsia" w:ascii="宋体" w:hAnsi="宋体"/>
          <w:color w:val="000000"/>
          <w:szCs w:val="21"/>
        </w:rPr>
        <w:t>1.</w:t>
      </w:r>
      <w:r>
        <w:rPr>
          <w:rFonts w:hint="eastAsia" w:ascii="宋体" w:hAnsi="宋体"/>
          <w:szCs w:val="21"/>
        </w:rPr>
        <w:t>谈判小组为三人或三人以上单数。</w:t>
      </w:r>
      <w:r>
        <w:rPr>
          <w:rFonts w:hint="eastAsia" w:ascii="宋体" w:hAnsi="宋体"/>
          <w:color w:val="000000"/>
          <w:szCs w:val="21"/>
        </w:rPr>
        <w:t>采购人或者采购代理机构应当从省级以上人民政府财政部门设立的评审专家库中随机抽取评审专家。评审专家库中相关专家数量不能保证随机抽取需求的，采购人或者采购代理机构可以推荐符合条件的人员，再随机抽取使用。</w:t>
      </w:r>
    </w:p>
    <w:p w14:paraId="18012770">
      <w:pPr>
        <w:spacing w:line="360" w:lineRule="auto"/>
        <w:ind w:firstLine="420"/>
        <w:rPr>
          <w:rFonts w:hint="eastAsia" w:ascii="宋体" w:hAnsi="宋体"/>
          <w:color w:val="000000"/>
          <w:szCs w:val="21"/>
        </w:rPr>
      </w:pPr>
      <w:r>
        <w:rPr>
          <w:rFonts w:hint="eastAsia" w:ascii="宋体" w:hAnsi="宋体"/>
          <w:color w:val="000000"/>
          <w:szCs w:val="21"/>
        </w:rPr>
        <w:t>2.技术复杂、专业性强的采购项目，通过随机方式难以确定合适评审专家的，经主管预算单位同意，采购人可以自行选定相应专业领域的评审专家。自行选定评审专家的，应当优先选择本单位以外的评审专家。</w:t>
      </w:r>
    </w:p>
    <w:p w14:paraId="4339BF6F">
      <w:pPr>
        <w:spacing w:line="360" w:lineRule="auto"/>
        <w:ind w:firstLine="420"/>
        <w:rPr>
          <w:rFonts w:hint="eastAsia" w:ascii="宋体" w:hAnsi="宋体"/>
          <w:color w:val="000000"/>
          <w:szCs w:val="21"/>
        </w:rPr>
      </w:pPr>
      <w:r>
        <w:rPr>
          <w:rFonts w:hint="eastAsia" w:ascii="宋体" w:hAnsi="宋体"/>
          <w:color w:val="000000"/>
          <w:szCs w:val="21"/>
        </w:rPr>
        <w:t>3.谈判小组的</w:t>
      </w:r>
      <w:r>
        <w:rPr>
          <w:rFonts w:ascii="宋体" w:hAnsi="宋体"/>
          <w:color w:val="000000"/>
          <w:szCs w:val="21"/>
        </w:rPr>
        <w:t>评审</w:t>
      </w:r>
      <w:r>
        <w:rPr>
          <w:rFonts w:hint="eastAsia" w:ascii="宋体" w:hAnsi="宋体"/>
          <w:color w:val="000000"/>
          <w:szCs w:val="21"/>
        </w:rPr>
        <w:t>工作由采购代理机构负责组织，具体评审事务由谈判小组负责，并独立履行法律、法规规定的职责。</w:t>
      </w:r>
    </w:p>
    <w:p w14:paraId="5AA598E7">
      <w:pPr>
        <w:spacing w:line="360" w:lineRule="auto"/>
        <w:ind w:firstLine="422"/>
        <w:rPr>
          <w:rFonts w:hint="eastAsia" w:ascii="宋体" w:hAnsi="宋体"/>
          <w:b/>
          <w:color w:val="000000"/>
          <w:szCs w:val="21"/>
        </w:rPr>
      </w:pPr>
      <w:r>
        <w:rPr>
          <w:rFonts w:hint="eastAsia" w:ascii="宋体" w:hAnsi="宋体"/>
          <w:b/>
          <w:color w:val="000000"/>
          <w:szCs w:val="21"/>
        </w:rPr>
        <w:t>（二）谈判过程</w:t>
      </w:r>
    </w:p>
    <w:p w14:paraId="6CF7DE2C">
      <w:pPr>
        <w:spacing w:line="360" w:lineRule="auto"/>
        <w:ind w:firstLine="420"/>
        <w:rPr>
          <w:rFonts w:hint="eastAsia" w:ascii="宋体" w:hAnsi="宋体"/>
          <w:color w:val="000000"/>
          <w:szCs w:val="21"/>
        </w:rPr>
      </w:pPr>
      <w:r>
        <w:rPr>
          <w:rFonts w:hint="eastAsia" w:ascii="宋体" w:hAnsi="宋体"/>
          <w:color w:val="000000"/>
          <w:szCs w:val="21"/>
        </w:rPr>
        <w:t>1.谈判小组应当对响应文件进行评审，并根据谈判文件规定的程序、评定成交的标准等事项与实质性响应谈判文件要求的供应商进行比较和评价。未实质性响应谈判文件的响应文件将被认定为无效文件，谈判小组应当告知有关供应商。</w:t>
      </w:r>
    </w:p>
    <w:p w14:paraId="29399956">
      <w:pPr>
        <w:spacing w:line="360" w:lineRule="auto"/>
        <w:ind w:firstLine="420"/>
        <w:rPr>
          <w:rFonts w:hint="eastAsia" w:ascii="宋体" w:hAnsi="宋体"/>
          <w:color w:val="000000"/>
          <w:szCs w:val="21"/>
        </w:rPr>
      </w:pPr>
      <w:r>
        <w:rPr>
          <w:rFonts w:hint="eastAsia" w:ascii="宋体" w:hAnsi="宋体"/>
          <w:color w:val="000000"/>
          <w:szCs w:val="21"/>
        </w:rPr>
        <w:t>2.如评审需要，谈判小组所有成员应当集中与单一供应商分别进行谈判，并给予所有参加谈判的供应商平等的谈判机会。谈判文件如有实质性变动的，</w:t>
      </w:r>
      <w:r>
        <w:rPr>
          <w:rFonts w:ascii="宋体" w:hAnsi="宋体"/>
          <w:color w:val="000000"/>
          <w:szCs w:val="21"/>
        </w:rPr>
        <w:t>对谈判文件作出的实质性变动是谈判文件的有效组成部分。</w:t>
      </w:r>
    </w:p>
    <w:p w14:paraId="55DDF486">
      <w:pPr>
        <w:spacing w:line="360" w:lineRule="auto"/>
        <w:ind w:firstLine="420"/>
        <w:rPr>
          <w:rFonts w:hint="eastAsia" w:ascii="宋体" w:hAnsi="宋体" w:cs="Arial"/>
          <w:color w:val="000000"/>
        </w:rPr>
      </w:pPr>
      <w:r>
        <w:rPr>
          <w:rFonts w:hint="eastAsia" w:ascii="宋体" w:hAnsi="宋体" w:cs="Arial"/>
          <w:color w:val="000000"/>
        </w:rPr>
        <w:t>3.</w:t>
      </w:r>
      <w:r>
        <w:rPr>
          <w:rFonts w:ascii="宋体" w:hAnsi="宋体" w:cs="Arial"/>
          <w:color w:val="000000"/>
        </w:rPr>
        <w:t>谈判小组在对响应文件的有效性、完整性和响应程度进行审查时，可以要求</w:t>
      </w:r>
      <w:r>
        <w:rPr>
          <w:rFonts w:hint="eastAsia" w:ascii="宋体" w:hAnsi="宋体" w:cs="Arial"/>
          <w:color w:val="000000"/>
        </w:rPr>
        <w:t>供应商</w:t>
      </w:r>
      <w:r>
        <w:rPr>
          <w:rFonts w:ascii="宋体" w:hAnsi="宋体" w:cs="Arial"/>
          <w:color w:val="000000"/>
        </w:rPr>
        <w:t>对响应文件中含义不明确、同类问题表述不一致或者有明显文字和计算错误的内容等作出必要的澄清、说明或者更正。</w:t>
      </w:r>
      <w:r>
        <w:rPr>
          <w:rFonts w:hint="eastAsia" w:ascii="宋体" w:hAnsi="宋体" w:cs="Arial"/>
          <w:color w:val="000000"/>
        </w:rPr>
        <w:t>供应商</w:t>
      </w:r>
      <w:r>
        <w:rPr>
          <w:rFonts w:ascii="宋体" w:hAnsi="宋体" w:cs="Arial"/>
          <w:color w:val="000000"/>
        </w:rPr>
        <w:t>的澄清、说明或者更正不得超出响应文件的范围或者改变响应文件的实质性内容</w:t>
      </w:r>
      <w:r>
        <w:rPr>
          <w:rFonts w:hint="eastAsia" w:ascii="宋体" w:hAnsi="宋体" w:cs="Arial"/>
          <w:color w:val="000000"/>
        </w:rPr>
        <w:t>，并作为响应文件的有效组成部分。</w:t>
      </w:r>
    </w:p>
    <w:p w14:paraId="78015447">
      <w:pPr>
        <w:spacing w:line="360" w:lineRule="auto"/>
        <w:ind w:firstLine="420"/>
        <w:rPr>
          <w:rFonts w:hint="eastAsia" w:ascii="宋体" w:hAnsi="宋体" w:cs="Arial"/>
          <w:color w:val="000000"/>
        </w:rPr>
      </w:pPr>
      <w:r>
        <w:rPr>
          <w:rFonts w:hint="eastAsia" w:ascii="宋体" w:hAnsi="宋体" w:cs="Arial"/>
          <w:color w:val="000000"/>
        </w:rPr>
        <w:t>需要供应商进行澄清、说明和更正的，谈判小组将通过苏采云系统向供应商发布“澄清要求函”，接到“澄清要求函”的供应商应当按照要求在苏采云系统中提交“澄清响应函”并加盖CA电子公章。澄清、说明和更正的内容作为响应文件的补充部分，具体操作方式见《操作手册》。</w:t>
      </w:r>
    </w:p>
    <w:p w14:paraId="399E0521">
      <w:pPr>
        <w:spacing w:line="360" w:lineRule="auto"/>
        <w:ind w:firstLine="420"/>
        <w:rPr>
          <w:rFonts w:hint="eastAsia" w:ascii="宋体" w:hAnsi="宋体" w:cs="Arial"/>
          <w:color w:val="000000"/>
        </w:rPr>
      </w:pPr>
      <w:r>
        <w:rPr>
          <w:rFonts w:hint="eastAsia" w:ascii="宋体" w:hAnsi="宋体" w:cs="Arial"/>
          <w:color w:val="000000"/>
        </w:rPr>
        <w:t>接到谈判小组澄清、说明和更正要求的供应商如未按规定做出澄清、说明和 更正，其风险由供应商自行承担。</w:t>
      </w:r>
    </w:p>
    <w:p w14:paraId="401F30D2">
      <w:pPr>
        <w:spacing w:line="360" w:lineRule="auto"/>
        <w:ind w:firstLine="420"/>
        <w:rPr>
          <w:rFonts w:hint="eastAsia" w:ascii="宋体" w:hAnsi="宋体"/>
          <w:szCs w:val="21"/>
          <w:lang w:val="zh-CN"/>
        </w:rPr>
      </w:pPr>
      <w:r>
        <w:rPr>
          <w:rFonts w:hint="eastAsia" w:ascii="宋体" w:hAnsi="宋体"/>
          <w:szCs w:val="21"/>
          <w:lang w:val="zh-CN"/>
        </w:rPr>
        <w:t>4.采购代理机构将采取必要措施，保证评审在严格保密的情况下进行，任何单位和个人不得非法干预、影响评审过程和结果。</w:t>
      </w:r>
    </w:p>
    <w:p w14:paraId="3BE1F27F">
      <w:pPr>
        <w:spacing w:line="360" w:lineRule="auto"/>
        <w:ind w:firstLine="420"/>
        <w:rPr>
          <w:rFonts w:hint="eastAsia" w:ascii="宋体" w:hAnsi="宋体"/>
          <w:szCs w:val="21"/>
          <w:lang w:val="zh-CN"/>
        </w:rPr>
      </w:pPr>
      <w:r>
        <w:rPr>
          <w:rFonts w:hint="eastAsia" w:ascii="宋体" w:hAnsi="宋体"/>
          <w:color w:val="000000"/>
          <w:szCs w:val="21"/>
        </w:rPr>
        <w:t>5.项目开标后，直到宣布成交结果为止，凡属于评审、澄清、评价和比较响应等相关的信息都不应向供应商或与评审无关的其他人泄露。</w:t>
      </w:r>
    </w:p>
    <w:p w14:paraId="2156E063">
      <w:pPr>
        <w:spacing w:line="360" w:lineRule="auto"/>
        <w:ind w:firstLine="422"/>
        <w:rPr>
          <w:rFonts w:hint="eastAsia" w:ascii="宋体" w:hAnsi="宋体"/>
          <w:b/>
          <w:color w:val="000000"/>
          <w:szCs w:val="21"/>
        </w:rPr>
      </w:pPr>
      <w:r>
        <w:rPr>
          <w:rFonts w:hint="eastAsia" w:ascii="宋体" w:hAnsi="宋体"/>
          <w:b/>
          <w:color w:val="000000"/>
          <w:szCs w:val="21"/>
        </w:rPr>
        <w:t>三、项目成交</w:t>
      </w:r>
    </w:p>
    <w:p w14:paraId="496D1893">
      <w:pPr>
        <w:spacing w:line="360" w:lineRule="auto"/>
        <w:ind w:firstLine="420"/>
        <w:rPr>
          <w:rFonts w:hint="eastAsia" w:hAnsi="宋体"/>
          <w:bCs/>
          <w:szCs w:val="21"/>
        </w:rPr>
      </w:pPr>
      <w:r>
        <w:rPr>
          <w:rFonts w:hint="eastAsia" w:hAnsi="宋体"/>
          <w:szCs w:val="21"/>
        </w:rPr>
        <w:t>（一）项目成交需同时满足以下条件：</w:t>
      </w:r>
    </w:p>
    <w:p w14:paraId="0D984427">
      <w:pPr>
        <w:spacing w:line="360" w:lineRule="auto"/>
        <w:ind w:firstLine="420"/>
        <w:rPr>
          <w:rFonts w:hint="eastAsia"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满足谈判文件实质性要求的合格供应商不少于三家；</w:t>
      </w:r>
    </w:p>
    <w:p w14:paraId="3897E416">
      <w:pPr>
        <w:spacing w:line="360" w:lineRule="auto"/>
        <w:ind w:firstLine="420"/>
        <w:rPr>
          <w:rFonts w:hint="eastAsia" w:ascii="宋体" w:hAnsi="宋体"/>
          <w:color w:val="000000"/>
          <w:szCs w:val="21"/>
        </w:rPr>
      </w:pPr>
      <w:r>
        <w:rPr>
          <w:rFonts w:hint="eastAsia" w:ascii="宋体" w:hAnsi="宋体"/>
          <w:color w:val="000000"/>
          <w:szCs w:val="21"/>
        </w:rPr>
        <w:t>2.合格供应商的报价均未超过采购预算；</w:t>
      </w:r>
    </w:p>
    <w:p w14:paraId="711D5686">
      <w:pPr>
        <w:spacing w:line="360" w:lineRule="auto"/>
        <w:ind w:firstLine="420"/>
        <w:rPr>
          <w:rFonts w:hint="eastAsia" w:ascii="宋体" w:hAnsi="宋体"/>
          <w:color w:val="000000"/>
          <w:szCs w:val="21"/>
        </w:rPr>
      </w:pPr>
      <w:r>
        <w:rPr>
          <w:rFonts w:hint="eastAsia" w:ascii="宋体" w:hAnsi="宋体"/>
          <w:color w:val="000000"/>
          <w:szCs w:val="21"/>
        </w:rPr>
        <w:t>3.采购过程中未出现违法、违规行为；</w:t>
      </w:r>
    </w:p>
    <w:p w14:paraId="0B3C6CEB">
      <w:pPr>
        <w:spacing w:line="360" w:lineRule="auto"/>
        <w:ind w:firstLine="420"/>
        <w:rPr>
          <w:rFonts w:hint="eastAsia" w:ascii="宋体" w:hAnsi="宋体"/>
          <w:color w:val="000000"/>
          <w:szCs w:val="21"/>
        </w:rPr>
      </w:pPr>
      <w:r>
        <w:rPr>
          <w:rFonts w:hint="eastAsia" w:ascii="宋体" w:hAnsi="宋体"/>
          <w:color w:val="000000"/>
          <w:szCs w:val="21"/>
        </w:rPr>
        <w:t>4.按照谈判文件规定的评审办法确定成交供应商。</w:t>
      </w:r>
    </w:p>
    <w:p w14:paraId="7E66EEE3">
      <w:pPr>
        <w:spacing w:line="360" w:lineRule="auto"/>
        <w:ind w:firstLine="420"/>
        <w:rPr>
          <w:rFonts w:hint="eastAsia" w:hAnsi="宋体"/>
          <w:bCs/>
          <w:szCs w:val="21"/>
        </w:rPr>
      </w:pPr>
      <w:r>
        <w:rPr>
          <w:rFonts w:hint="eastAsia" w:hAnsi="宋体"/>
          <w:szCs w:val="21"/>
        </w:rPr>
        <w:t>（二）重新评审</w:t>
      </w:r>
    </w:p>
    <w:p w14:paraId="3BCD41E7">
      <w:pPr>
        <w:spacing w:line="360" w:lineRule="auto"/>
        <w:ind w:firstLine="420"/>
        <w:rPr>
          <w:rFonts w:hint="eastAsia" w:hAnsi="宋体"/>
          <w:bCs/>
          <w:szCs w:val="21"/>
        </w:rPr>
      </w:pPr>
      <w:r>
        <w:rPr>
          <w:rFonts w:hint="eastAsia" w:hAnsi="宋体"/>
          <w:szCs w:val="21"/>
        </w:rPr>
        <w:t>除国务院财政部门规定的情形外，采购人、采购代理机构不得以任何理由组织重新评审。采购人、采购代理机构按照国务院财政部门的规定组织重新评审的，应当书面报告本级人民政府财政部门。</w:t>
      </w:r>
    </w:p>
    <w:p w14:paraId="239570E4">
      <w:pPr>
        <w:spacing w:line="360" w:lineRule="auto"/>
        <w:ind w:firstLine="420"/>
        <w:rPr>
          <w:rFonts w:hint="eastAsia" w:hAnsi="宋体"/>
          <w:bCs/>
          <w:szCs w:val="21"/>
        </w:rPr>
      </w:pPr>
      <w:r>
        <w:rPr>
          <w:rFonts w:hint="eastAsia" w:hAnsi="宋体"/>
          <w:szCs w:val="21"/>
        </w:rPr>
        <w:t>采购人或者采购代理机构不得通过对样品进行检测、对供应商进行考察等方式改变评审结果。</w:t>
      </w:r>
    </w:p>
    <w:p w14:paraId="653E89CA">
      <w:pPr>
        <w:spacing w:line="360" w:lineRule="auto"/>
        <w:ind w:firstLine="420"/>
        <w:rPr>
          <w:rFonts w:hint="eastAsia" w:ascii="宋体" w:hAnsi="宋体"/>
          <w:color w:val="000000"/>
          <w:szCs w:val="21"/>
        </w:rPr>
      </w:pPr>
      <w:r>
        <w:rPr>
          <w:rFonts w:hint="eastAsia" w:ascii="宋体" w:hAnsi="宋体"/>
          <w:color w:val="000000"/>
          <w:szCs w:val="21"/>
        </w:rPr>
        <w:t>（三）成交通知书及合同</w:t>
      </w:r>
    </w:p>
    <w:p w14:paraId="1D3470F3">
      <w:pPr>
        <w:spacing w:line="360" w:lineRule="auto"/>
        <w:ind w:firstLine="420"/>
        <w:rPr>
          <w:rFonts w:hint="eastAsia" w:ascii="宋体" w:hAnsi="宋体"/>
          <w:szCs w:val="21"/>
          <w:lang w:val="zh-CN"/>
        </w:rPr>
      </w:pPr>
      <w:r>
        <w:rPr>
          <w:rFonts w:hint="eastAsia" w:ascii="宋体" w:hAnsi="宋体"/>
          <w:color w:val="000000"/>
          <w:szCs w:val="21"/>
        </w:rPr>
        <w:t>1.采购代理机构按照法定流程发布成交公告，及时在苏采云系统中签发成交通知书。</w:t>
      </w:r>
      <w:r>
        <w:rPr>
          <w:rFonts w:hint="eastAsia" w:ascii="宋体" w:hAnsi="宋体"/>
          <w:b/>
          <w:color w:val="000000"/>
          <w:szCs w:val="21"/>
        </w:rPr>
        <w:t>请成交供应商在成交结果公告届满之日起30日内，使用CA数字证书登录苏采云系统及时下载成交通知书。</w:t>
      </w:r>
      <w:r>
        <w:rPr>
          <w:rFonts w:hint="eastAsia" w:ascii="宋体" w:hAnsi="宋体"/>
          <w:color w:val="000000"/>
          <w:szCs w:val="21"/>
        </w:rPr>
        <w:t>因系统存储空间有限，自成交结果公告届满之日起30日后，苏采云系统不再保证提供下载成交通知书服务，因未及时下载而造成的不利后果由成交供应商自行承担。</w:t>
      </w:r>
    </w:p>
    <w:p w14:paraId="15E5C04F">
      <w:pPr>
        <w:spacing w:line="360" w:lineRule="auto"/>
        <w:ind w:firstLine="420"/>
        <w:rPr>
          <w:rFonts w:hint="eastAsia" w:ascii="宋体" w:hAnsi="宋体"/>
          <w:szCs w:val="21"/>
          <w:lang w:val="zh-CN"/>
        </w:rPr>
      </w:pPr>
      <w:r>
        <w:rPr>
          <w:rFonts w:hint="eastAsia" w:ascii="宋体" w:hAnsi="宋体"/>
          <w:szCs w:val="21"/>
          <w:lang w:val="zh-CN"/>
        </w:rPr>
        <w:t>2.采购人与成交供应商应当在成交通知书发出之日起三十日内，按照谈判文件及响应文件确定的事项签订政府采购合同。</w:t>
      </w:r>
    </w:p>
    <w:p w14:paraId="6A9DF4C6">
      <w:pPr>
        <w:spacing w:line="360" w:lineRule="auto"/>
        <w:ind w:firstLine="420"/>
        <w:rPr>
          <w:rFonts w:hint="eastAsia" w:ascii="宋体" w:hAnsi="宋体"/>
          <w:szCs w:val="21"/>
          <w:lang w:val="zh-CN"/>
        </w:rPr>
      </w:pPr>
      <w:r>
        <w:rPr>
          <w:rFonts w:hint="eastAsia" w:ascii="宋体" w:hAnsi="宋体"/>
          <w:szCs w:val="21"/>
          <w:lang w:val="zh-CN"/>
        </w:rPr>
        <w:t>成交通知书对采购人和成交供应商均具有法律效力，成交通知书发出后，采购人改变成交结果的，或者成交供应商放弃成交项目的，应当依法承担法律责任。</w:t>
      </w:r>
    </w:p>
    <w:p w14:paraId="6CE57CC8">
      <w:pPr>
        <w:spacing w:line="360" w:lineRule="auto"/>
        <w:ind w:firstLine="422"/>
        <w:rPr>
          <w:rFonts w:hint="eastAsia" w:ascii="宋体" w:hAnsi="宋体"/>
          <w:b/>
          <w:color w:val="000000"/>
          <w:szCs w:val="21"/>
        </w:rPr>
      </w:pPr>
      <w:r>
        <w:rPr>
          <w:rFonts w:hint="eastAsia" w:ascii="宋体" w:hAnsi="宋体"/>
          <w:b/>
          <w:color w:val="000000"/>
          <w:szCs w:val="21"/>
        </w:rPr>
        <w:t>四、响应无效</w:t>
      </w:r>
    </w:p>
    <w:p w14:paraId="1D49EF36">
      <w:pPr>
        <w:spacing w:line="360" w:lineRule="auto"/>
        <w:ind w:firstLine="420"/>
        <w:rPr>
          <w:rFonts w:hint="eastAsia" w:ascii="宋体" w:hAnsi="宋体"/>
          <w:szCs w:val="21"/>
          <w:lang w:val="zh-CN"/>
        </w:rPr>
      </w:pPr>
      <w:r>
        <w:rPr>
          <w:rFonts w:hint="eastAsia" w:ascii="宋体" w:hAnsi="宋体"/>
          <w:szCs w:val="21"/>
          <w:lang w:val="zh-CN"/>
        </w:rPr>
        <w:t>1</w:t>
      </w:r>
      <w:r>
        <w:rPr>
          <w:rFonts w:ascii="宋体" w:hAnsi="宋体"/>
          <w:szCs w:val="21"/>
          <w:lang w:val="zh-CN"/>
        </w:rPr>
        <w:t>.</w:t>
      </w:r>
      <w:r>
        <w:rPr>
          <w:rFonts w:hint="eastAsia" w:ascii="宋体" w:hAnsi="宋体"/>
          <w:szCs w:val="21"/>
          <w:lang w:val="zh-CN"/>
        </w:rPr>
        <w:t>出现下列情形之一的，将被认定为响应无效或无效文件：</w:t>
      </w:r>
    </w:p>
    <w:p w14:paraId="3BFE2CF1">
      <w:pPr>
        <w:spacing w:line="360" w:lineRule="auto"/>
        <w:ind w:firstLine="420"/>
        <w:rPr>
          <w:rFonts w:hint="eastAsia" w:ascii="宋体" w:hAnsi="宋体"/>
          <w:szCs w:val="21"/>
          <w:lang w:val="zh-CN"/>
        </w:rPr>
      </w:pPr>
      <w:r>
        <w:rPr>
          <w:rFonts w:hint="eastAsia" w:ascii="宋体" w:hAnsi="宋体"/>
          <w:szCs w:val="21"/>
          <w:lang w:val="zh-CN"/>
        </w:rPr>
        <w:t>（1）违反政府采购相关规定的；</w:t>
      </w:r>
    </w:p>
    <w:p w14:paraId="31CE00B0">
      <w:pPr>
        <w:spacing w:line="360" w:lineRule="auto"/>
        <w:ind w:firstLine="420"/>
        <w:rPr>
          <w:rFonts w:hint="eastAsia" w:ascii="宋体" w:hAnsi="宋体"/>
          <w:szCs w:val="21"/>
          <w:lang w:val="zh-CN"/>
        </w:rPr>
      </w:pPr>
      <w:r>
        <w:rPr>
          <w:rFonts w:hint="eastAsia" w:ascii="宋体" w:hAnsi="宋体"/>
          <w:szCs w:val="21"/>
          <w:lang w:val="zh-CN"/>
        </w:rPr>
        <w:t>（2）未实质性响应谈判文件要求的；</w:t>
      </w:r>
    </w:p>
    <w:p w14:paraId="4AC5D8D7">
      <w:pPr>
        <w:spacing w:line="360" w:lineRule="auto"/>
        <w:ind w:firstLine="420"/>
        <w:rPr>
          <w:rFonts w:hint="eastAsia" w:ascii="宋体" w:hAnsi="宋体"/>
          <w:szCs w:val="21"/>
          <w:lang w:val="zh-CN"/>
        </w:rPr>
      </w:pPr>
      <w:r>
        <w:rPr>
          <w:rFonts w:hint="eastAsia" w:ascii="宋体" w:hAnsi="宋体"/>
          <w:szCs w:val="21"/>
          <w:lang w:val="zh-CN"/>
        </w:rPr>
        <w:t>（3）</w:t>
      </w:r>
      <w:r>
        <w:rPr>
          <w:rFonts w:hint="eastAsia" w:ascii="宋体" w:hAnsi="宋体"/>
          <w:color w:val="000000"/>
          <w:szCs w:val="21"/>
        </w:rPr>
        <w:t>供应商查询中，不同供应商上传响应文件所使用的电脑的MAC地址和标书制作工具客户端标识码均一致的（如发现违法违规行为，将依法追究其法律责任）</w:t>
      </w:r>
      <w:r>
        <w:rPr>
          <w:rFonts w:hint="eastAsia" w:ascii="宋体" w:hAnsi="宋体"/>
          <w:szCs w:val="21"/>
          <w:lang w:val="zh-CN"/>
        </w:rPr>
        <w:t>；</w:t>
      </w:r>
    </w:p>
    <w:p w14:paraId="5E11E3B0">
      <w:pPr>
        <w:spacing w:line="360" w:lineRule="auto"/>
        <w:ind w:firstLine="420"/>
        <w:rPr>
          <w:rFonts w:hint="eastAsia" w:ascii="宋体" w:hAnsi="宋体"/>
          <w:szCs w:val="21"/>
          <w:lang w:val="zh-CN"/>
        </w:rPr>
      </w:pPr>
      <w:r>
        <w:rPr>
          <w:rFonts w:hint="eastAsia" w:ascii="宋体" w:hAnsi="宋体"/>
          <w:szCs w:val="21"/>
          <w:lang w:val="zh-CN"/>
        </w:rPr>
        <w:t>（</w:t>
      </w:r>
      <w:r>
        <w:rPr>
          <w:rFonts w:hint="eastAsia" w:ascii="宋体" w:hAnsi="宋体"/>
          <w:szCs w:val="21"/>
        </w:rPr>
        <w:t>4</w:t>
      </w:r>
      <w:r>
        <w:rPr>
          <w:rFonts w:hint="eastAsia" w:ascii="宋体" w:hAnsi="宋体"/>
          <w:szCs w:val="21"/>
          <w:lang w:val="zh-CN"/>
        </w:rPr>
        <w:t>）谈判小组认定的其他情形；</w:t>
      </w:r>
    </w:p>
    <w:p w14:paraId="18E6E3D5">
      <w:pPr>
        <w:spacing w:line="360" w:lineRule="auto"/>
        <w:ind w:firstLine="420"/>
        <w:rPr>
          <w:rFonts w:hint="eastAsia" w:ascii="宋体" w:hAnsi="宋体"/>
          <w:szCs w:val="21"/>
          <w:lang w:val="zh-CN"/>
        </w:rPr>
      </w:pPr>
      <w:r>
        <w:rPr>
          <w:rFonts w:hint="eastAsia" w:ascii="宋体" w:hAnsi="宋体"/>
          <w:szCs w:val="21"/>
          <w:lang w:val="zh-CN"/>
        </w:rPr>
        <w:t>2</w:t>
      </w:r>
      <w:r>
        <w:rPr>
          <w:rFonts w:ascii="宋体" w:hAnsi="宋体"/>
          <w:szCs w:val="21"/>
          <w:lang w:val="zh-CN"/>
        </w:rPr>
        <w:t>.</w:t>
      </w:r>
      <w:r>
        <w:rPr>
          <w:rFonts w:hint="eastAsia" w:ascii="宋体" w:hAnsi="宋体"/>
          <w:szCs w:val="21"/>
          <w:lang w:val="zh-CN"/>
        </w:rPr>
        <w:t>被认定为响应无效或无效文件的，采购代理机构应当将理由告知相关供应商。</w:t>
      </w:r>
    </w:p>
    <w:p w14:paraId="72FF917F">
      <w:pPr>
        <w:spacing w:line="360" w:lineRule="auto"/>
        <w:ind w:firstLine="422"/>
        <w:rPr>
          <w:rFonts w:hint="eastAsia" w:ascii="宋体" w:hAnsi="宋体"/>
          <w:b/>
          <w:color w:val="000000"/>
          <w:szCs w:val="21"/>
        </w:rPr>
      </w:pPr>
      <w:r>
        <w:rPr>
          <w:rFonts w:hint="eastAsia" w:ascii="宋体" w:hAnsi="宋体"/>
          <w:b/>
          <w:color w:val="000000"/>
          <w:szCs w:val="21"/>
        </w:rPr>
        <w:t>五、项目终止</w:t>
      </w:r>
    </w:p>
    <w:p w14:paraId="69EC9C84">
      <w:pPr>
        <w:spacing w:line="360" w:lineRule="auto"/>
        <w:ind w:firstLine="420"/>
        <w:rPr>
          <w:rFonts w:hint="eastAsia" w:ascii="宋体" w:hAnsi="宋体"/>
          <w:color w:val="000000"/>
          <w:szCs w:val="21"/>
        </w:rPr>
      </w:pPr>
      <w:r>
        <w:rPr>
          <w:rFonts w:hint="eastAsia" w:ascii="宋体" w:hAnsi="宋体"/>
          <w:color w:val="000000"/>
          <w:szCs w:val="21"/>
        </w:rPr>
        <w:t>1.出现下列情形之一的，采购人或者采购代理机构应当终止竞争性谈判采购活动，发布项目终止公告并说明原因，重新开展采购活动：</w:t>
      </w:r>
    </w:p>
    <w:p w14:paraId="6F8FE1C0">
      <w:pPr>
        <w:spacing w:line="360" w:lineRule="auto"/>
        <w:ind w:firstLine="420"/>
        <w:rPr>
          <w:rFonts w:hint="eastAsia" w:ascii="宋体" w:hAnsi="宋体"/>
          <w:color w:val="000000"/>
          <w:szCs w:val="21"/>
        </w:rPr>
      </w:pPr>
      <w:r>
        <w:rPr>
          <w:rFonts w:hint="eastAsia" w:ascii="宋体" w:hAnsi="宋体"/>
          <w:color w:val="000000"/>
          <w:szCs w:val="21"/>
        </w:rPr>
        <w:t>（1）因情况变化，不再符合规定的竞争性谈判采购方式适用情形的；</w:t>
      </w:r>
    </w:p>
    <w:p w14:paraId="6217220F">
      <w:pPr>
        <w:spacing w:line="360" w:lineRule="auto"/>
        <w:ind w:firstLine="420"/>
        <w:rPr>
          <w:rFonts w:hint="eastAsia" w:ascii="宋体" w:hAnsi="宋体"/>
          <w:color w:val="000000"/>
          <w:szCs w:val="21"/>
        </w:rPr>
      </w:pPr>
      <w:r>
        <w:rPr>
          <w:rFonts w:hint="eastAsia" w:ascii="宋体" w:hAnsi="宋体"/>
          <w:color w:val="000000"/>
          <w:szCs w:val="21"/>
        </w:rPr>
        <w:t>（2）出现影响采购公正的违法、违规行为的；</w:t>
      </w:r>
    </w:p>
    <w:p w14:paraId="1A54EFF4">
      <w:pPr>
        <w:spacing w:line="360" w:lineRule="auto"/>
        <w:ind w:firstLine="420"/>
        <w:rPr>
          <w:rFonts w:hint="eastAsia" w:ascii="宋体" w:hAnsi="宋体"/>
          <w:color w:val="000000"/>
          <w:szCs w:val="21"/>
        </w:rPr>
      </w:pPr>
      <w:r>
        <w:rPr>
          <w:rFonts w:hint="eastAsia" w:ascii="宋体" w:hAnsi="宋体"/>
          <w:color w:val="000000"/>
          <w:szCs w:val="21"/>
        </w:rPr>
        <w:t>（3）在采购过程中符合竞争要求的供应商或者报价未超过采购预算的供应商不足三家的；</w:t>
      </w:r>
    </w:p>
    <w:p w14:paraId="5B4C22C2">
      <w:pPr>
        <w:spacing w:line="360" w:lineRule="auto"/>
        <w:ind w:firstLine="420"/>
        <w:rPr>
          <w:rFonts w:hint="eastAsia" w:ascii="宋体" w:hAnsi="宋体"/>
          <w:color w:val="000000"/>
          <w:szCs w:val="21"/>
        </w:rPr>
      </w:pPr>
      <w:r>
        <w:rPr>
          <w:rFonts w:hint="eastAsia" w:ascii="宋体" w:hAnsi="宋体"/>
        </w:rPr>
        <w:t>（4）谈</w:t>
      </w:r>
      <w:r>
        <w:rPr>
          <w:rFonts w:hint="eastAsia"/>
        </w:rPr>
        <w:t>判采购</w:t>
      </w:r>
      <w:r>
        <w:t>过程中，如遇到交易中心出现断电、断网或其他不可预见原因导致</w:t>
      </w:r>
      <w:r>
        <w:rPr>
          <w:rFonts w:hint="eastAsia"/>
        </w:rPr>
        <w:t>采购活动无法正常进行的。</w:t>
      </w:r>
    </w:p>
    <w:p w14:paraId="7FC30E18">
      <w:pPr>
        <w:spacing w:line="360" w:lineRule="auto"/>
        <w:ind w:firstLine="420"/>
        <w:rPr>
          <w:rFonts w:hint="eastAsia" w:ascii="宋体" w:hAnsi="宋体"/>
          <w:color w:val="000000"/>
          <w:szCs w:val="21"/>
        </w:rPr>
      </w:pPr>
      <w:r>
        <w:rPr>
          <w:rFonts w:hint="eastAsia" w:ascii="宋体" w:hAnsi="宋体"/>
          <w:color w:val="000000"/>
          <w:szCs w:val="21"/>
        </w:rPr>
        <w:t>2.项目终止后，采购代理机构应当将项目终止的理由告知所有供应商。</w:t>
      </w:r>
    </w:p>
    <w:p w14:paraId="62ACEAD4">
      <w:pPr>
        <w:rPr>
          <w:rStyle w:val="320"/>
          <w:sz w:val="32"/>
          <w:szCs w:val="32"/>
        </w:rPr>
        <w:sectPr>
          <w:pgSz w:w="11906" w:h="16838"/>
          <w:pgMar w:top="1474" w:right="1247" w:bottom="1247" w:left="1531" w:header="851" w:footer="680" w:gutter="0"/>
          <w:cols w:space="425" w:num="1"/>
          <w:docGrid w:linePitch="360" w:charSpace="0"/>
        </w:sectPr>
      </w:pPr>
      <w:bookmarkStart w:id="41" w:name="_Toc62807499"/>
      <w:bookmarkStart w:id="42" w:name="_Toc477184531"/>
      <w:bookmarkStart w:id="43" w:name="_Toc33452247"/>
      <w:bookmarkStart w:id="44" w:name="_Toc135142675"/>
      <w:bookmarkStart w:id="45" w:name="_Toc477184672"/>
      <w:bookmarkStart w:id="46" w:name="_Toc62807506"/>
      <w:bookmarkStart w:id="47" w:name="_Toc161067502"/>
      <w:bookmarkStart w:id="48" w:name="_Toc63583488"/>
    </w:p>
    <w:p w14:paraId="49C60A1D">
      <w:pPr>
        <w:pStyle w:val="2"/>
        <w:jc w:val="center"/>
        <w:rPr>
          <w:rStyle w:val="320"/>
          <w:sz w:val="32"/>
          <w:szCs w:val="32"/>
        </w:rPr>
      </w:pPr>
      <w:bookmarkStart w:id="49" w:name="_Toc173229834"/>
      <w:bookmarkStart w:id="50" w:name="_Toc161126686"/>
      <w:bookmarkStart w:id="51" w:name="_Toc195539951"/>
      <w:r>
        <w:rPr>
          <w:rStyle w:val="320"/>
          <w:rFonts w:hint="eastAsia"/>
          <w:sz w:val="32"/>
          <w:szCs w:val="32"/>
        </w:rPr>
        <w:t>第五章 评审方法</w:t>
      </w:r>
      <w:bookmarkEnd w:id="41"/>
      <w:bookmarkEnd w:id="42"/>
      <w:bookmarkEnd w:id="43"/>
      <w:bookmarkEnd w:id="44"/>
      <w:bookmarkEnd w:id="45"/>
      <w:bookmarkEnd w:id="46"/>
      <w:bookmarkEnd w:id="47"/>
      <w:bookmarkEnd w:id="48"/>
      <w:bookmarkEnd w:id="49"/>
      <w:bookmarkEnd w:id="50"/>
      <w:bookmarkEnd w:id="51"/>
    </w:p>
    <w:p w14:paraId="2B98DB75">
      <w:pPr>
        <w:spacing w:line="360" w:lineRule="auto"/>
        <w:ind w:firstLine="420"/>
        <w:rPr>
          <w:rFonts w:hint="eastAsia" w:ascii="宋体" w:hAnsi="宋体" w:cs="宋体"/>
          <w:b/>
          <w:szCs w:val="21"/>
        </w:rPr>
      </w:pPr>
      <w:r>
        <w:rPr>
          <w:rFonts w:hint="eastAsia" w:ascii="宋体" w:hAnsi="宋体" w:cs="宋体"/>
          <w:szCs w:val="21"/>
        </w:rPr>
        <w:t>一、</w:t>
      </w:r>
      <w:r>
        <w:rPr>
          <w:rFonts w:hint="eastAsia" w:ascii="宋体" w:hAnsi="宋体" w:cs="宋体"/>
          <w:b/>
          <w:szCs w:val="21"/>
        </w:rPr>
        <w:t>成交规则</w:t>
      </w:r>
    </w:p>
    <w:p w14:paraId="3F36045E">
      <w:pPr>
        <w:spacing w:line="360" w:lineRule="auto"/>
        <w:ind w:firstLine="420"/>
        <w:rPr>
          <w:rFonts w:hint="eastAsia" w:ascii="宋体" w:hAnsi="宋体" w:cs="宋体"/>
          <w:color w:val="000000"/>
          <w:szCs w:val="21"/>
        </w:rPr>
      </w:pPr>
      <w:r>
        <w:rPr>
          <w:rFonts w:hint="eastAsia" w:ascii="宋体" w:hAnsi="宋体" w:cs="宋体"/>
          <w:bCs/>
          <w:szCs w:val="21"/>
        </w:rPr>
        <w:t>1.本次谈判采用最低评标价法，供应商的响应内容需全部满足谈判文件的实质性要求，</w:t>
      </w:r>
      <w:r>
        <w:rPr>
          <w:rFonts w:hint="eastAsia" w:ascii="宋体" w:hAnsi="宋体" w:cs="宋体"/>
          <w:color w:val="000000"/>
          <w:szCs w:val="21"/>
        </w:rPr>
        <w:t>且最后报价不超过采购预算的供应商不少于三家，最后报价最低的供应商为成交供应商。</w:t>
      </w:r>
    </w:p>
    <w:p w14:paraId="6739341D">
      <w:pPr>
        <w:spacing w:line="360" w:lineRule="auto"/>
        <w:ind w:firstLine="420"/>
        <w:rPr>
          <w:rFonts w:hint="eastAsia" w:ascii="宋体" w:hAnsi="宋体" w:cs="宋体"/>
          <w:szCs w:val="21"/>
        </w:rPr>
      </w:pPr>
      <w:r>
        <w:rPr>
          <w:rFonts w:hint="eastAsia" w:ascii="宋体" w:hAnsi="宋体" w:cs="宋体"/>
          <w:szCs w:val="21"/>
        </w:rPr>
        <w:t>2.谈判小组各成员独立对供应商的响应文件按照谈判文件的规定和要求进行资格性和符合性评审，如响应文件的内容满足谈判文件的实质性要求的，则该响应文件评审合格。如某一条款内容评审不合格，评审专家须注明评审不合格原因。未实质性响应谈判文件的响应文件将被认定为无效文件，谈判小组应告知有关供应商。</w:t>
      </w:r>
    </w:p>
    <w:p w14:paraId="3097B3A6">
      <w:pPr>
        <w:spacing w:line="360" w:lineRule="auto"/>
        <w:ind w:firstLine="420"/>
        <w:rPr>
          <w:rFonts w:hint="eastAsia" w:ascii="宋体" w:hAnsi="宋体" w:cs="宋体"/>
          <w:szCs w:val="21"/>
        </w:rPr>
      </w:pPr>
      <w:r>
        <w:rPr>
          <w:rFonts w:hint="eastAsia" w:ascii="宋体" w:hAnsi="宋体" w:cs="宋体"/>
          <w:szCs w:val="21"/>
        </w:rPr>
        <w:t>如某一评审条款出现评审专家意见不一致时，则按少数服从多数的原则，确定该项条款是否合格。在评审合格的供应商中，最后报价最低为成交供应商。如出现两个或两个以上最后报价相同的供应商，则由谈判小组以抽签方式确定成交供应商。</w:t>
      </w:r>
    </w:p>
    <w:p w14:paraId="7BC62FC2">
      <w:pPr>
        <w:spacing w:line="360" w:lineRule="auto"/>
        <w:ind w:firstLine="420"/>
        <w:rPr>
          <w:rFonts w:hint="eastAsia" w:ascii="宋体" w:hAnsi="宋体" w:cs="宋体"/>
          <w:color w:val="000000"/>
          <w:szCs w:val="21"/>
        </w:rPr>
      </w:pPr>
      <w:r>
        <w:rPr>
          <w:rFonts w:hint="eastAsia" w:ascii="宋体" w:hAnsi="宋体" w:cs="宋体"/>
          <w:color w:val="000000"/>
          <w:szCs w:val="21"/>
        </w:rPr>
        <w:t>谈判小组认为供应商的报价明显低于其他通过符合性审查的供应商的报价，有可能影响产品质量或者不能诚信履约的，</w:t>
      </w:r>
      <w:r>
        <w:rPr>
          <w:rFonts w:hint="eastAsia" w:ascii="宋体" w:hAnsi="宋体" w:cs="宋体"/>
          <w:szCs w:val="21"/>
        </w:rPr>
        <w:t>则谈判小组有权要求</w:t>
      </w:r>
      <w:r>
        <w:rPr>
          <w:rFonts w:hint="eastAsia" w:ascii="宋体" w:hAnsi="宋体" w:cs="宋体"/>
          <w:color w:val="000000"/>
          <w:szCs w:val="21"/>
        </w:rPr>
        <w:t>其以书面形式作出相关说明，供应商不能证明其报价合理性的，谈判小组应当认定其响应无效。</w:t>
      </w:r>
    </w:p>
    <w:p w14:paraId="4B1A520B">
      <w:pPr>
        <w:spacing w:line="360" w:lineRule="auto"/>
        <w:ind w:firstLine="420"/>
        <w:rPr>
          <w:rFonts w:hint="eastAsia" w:ascii="宋体" w:hAnsi="宋体" w:cs="宋体"/>
          <w:szCs w:val="21"/>
        </w:rPr>
      </w:pPr>
      <w:r>
        <w:rPr>
          <w:rFonts w:hint="eastAsia" w:ascii="宋体" w:hAnsi="宋体" w:cs="宋体"/>
          <w:szCs w:val="21"/>
          <w:highlight w:val="white"/>
        </w:rPr>
        <w:t>谈判小组对最后报价进行复核，报价以大写为准</w:t>
      </w:r>
      <w:r>
        <w:rPr>
          <w:rFonts w:hint="eastAsia" w:ascii="宋体" w:hAnsi="宋体" w:cs="宋体"/>
          <w:szCs w:val="21"/>
        </w:rPr>
        <w:t>。</w:t>
      </w:r>
    </w:p>
    <w:p w14:paraId="679BAB3E">
      <w:pPr>
        <w:spacing w:line="360" w:lineRule="auto"/>
        <w:ind w:firstLine="420"/>
        <w:rPr>
          <w:rFonts w:hint="eastAsia" w:ascii="宋体" w:hAnsi="宋体" w:cs="宋体"/>
          <w:szCs w:val="21"/>
        </w:rPr>
      </w:pPr>
      <w:r>
        <w:rPr>
          <w:rFonts w:hint="eastAsia" w:ascii="宋体" w:hAnsi="宋体" w:cs="宋体"/>
          <w:szCs w:val="21"/>
        </w:rPr>
        <w:t>对评审结果有异议的谈判小组成员，应当在评审结果表上签署不同意见并说明理由，谈判小组成员拒绝在评审结果表上签字又不书面说明其不同意见和理由的，视为同意评审结果。</w:t>
      </w:r>
    </w:p>
    <w:p w14:paraId="6FBA7F85">
      <w:pPr>
        <w:spacing w:line="360" w:lineRule="auto"/>
        <w:ind w:firstLine="422"/>
        <w:rPr>
          <w:rFonts w:hint="eastAsia" w:ascii="宋体" w:hAnsi="宋体" w:cs="宋体"/>
          <w:b/>
          <w:szCs w:val="21"/>
        </w:rPr>
      </w:pPr>
      <w:r>
        <w:rPr>
          <w:rFonts w:hint="eastAsia" w:ascii="宋体" w:hAnsi="宋体" w:cs="宋体"/>
          <w:b/>
          <w:szCs w:val="21"/>
        </w:rPr>
        <w:t>二、采购政策</w:t>
      </w:r>
    </w:p>
    <w:p w14:paraId="089715D0">
      <w:pPr>
        <w:spacing w:line="360" w:lineRule="auto"/>
        <w:ind w:firstLine="420"/>
        <w:rPr>
          <w:rFonts w:hint="eastAsia" w:ascii="宋体" w:hAnsi="宋体"/>
          <w:szCs w:val="21"/>
        </w:rPr>
      </w:pPr>
      <w:r>
        <w:rPr>
          <w:rFonts w:hint="eastAsia" w:ascii="宋体" w:hAnsi="宋体"/>
          <w:szCs w:val="21"/>
        </w:rPr>
        <w:t>（一）中小企业</w:t>
      </w:r>
    </w:p>
    <w:p w14:paraId="1CDC77C6">
      <w:pPr>
        <w:spacing w:line="360" w:lineRule="auto"/>
        <w:ind w:firstLine="420"/>
        <w:rPr>
          <w:rFonts w:hint="eastAsia" w:hAnsi="宋体"/>
          <w:color w:val="000000"/>
          <w:szCs w:val="21"/>
        </w:rPr>
      </w:pPr>
      <w:r>
        <w:rPr>
          <w:rFonts w:hAnsi="宋体"/>
          <w:color w:val="000000"/>
          <w:szCs w:val="21"/>
        </w:rPr>
        <w:t>根据《政府采购促进中小企业发展管理办法》（财库</w:t>
      </w:r>
      <w:r>
        <w:rPr>
          <w:rFonts w:hint="eastAsia"/>
          <w:color w:val="333333"/>
        </w:rPr>
        <w:t>〔</w:t>
      </w:r>
      <w:r>
        <w:rPr>
          <w:rFonts w:hAnsi="宋体"/>
          <w:color w:val="000000"/>
          <w:szCs w:val="21"/>
        </w:rPr>
        <w:t>2020</w:t>
      </w:r>
      <w:r>
        <w:rPr>
          <w:rFonts w:hint="eastAsia" w:ascii="宋体" w:hAnsi="宋体"/>
          <w:szCs w:val="21"/>
        </w:rPr>
        <w:t>〕</w:t>
      </w:r>
      <w:r>
        <w:rPr>
          <w:rFonts w:hAnsi="宋体"/>
          <w:color w:val="000000"/>
          <w:szCs w:val="21"/>
        </w:rPr>
        <w:t>46号）</w:t>
      </w:r>
      <w:r>
        <w:rPr>
          <w:rFonts w:hint="eastAsia" w:hAnsi="宋体"/>
          <w:color w:val="000000"/>
          <w:szCs w:val="21"/>
        </w:rPr>
        <w:t>、《苏州市政府采购促进中小企业发展实施意见》（苏财购</w:t>
      </w:r>
      <w:r>
        <w:rPr>
          <w:rFonts w:hint="eastAsia"/>
          <w:color w:val="333333"/>
        </w:rPr>
        <w:t>〔</w:t>
      </w:r>
      <w:r>
        <w:rPr>
          <w:rFonts w:hAnsi="宋体"/>
          <w:color w:val="000000"/>
          <w:szCs w:val="21"/>
        </w:rPr>
        <w:t>2022</w:t>
      </w:r>
      <w:r>
        <w:rPr>
          <w:rFonts w:hint="eastAsia" w:ascii="宋体" w:hAnsi="宋体"/>
          <w:szCs w:val="21"/>
        </w:rPr>
        <w:t>〕</w:t>
      </w:r>
      <w:r>
        <w:rPr>
          <w:rFonts w:hAnsi="宋体"/>
          <w:color w:val="000000"/>
          <w:szCs w:val="21"/>
        </w:rPr>
        <w:t>16号</w:t>
      </w:r>
      <w:r>
        <w:rPr>
          <w:rFonts w:hint="eastAsia" w:hAnsi="宋体"/>
          <w:color w:val="000000"/>
          <w:szCs w:val="21"/>
        </w:rPr>
        <w:t>）</w:t>
      </w:r>
      <w:r>
        <w:rPr>
          <w:rFonts w:hint="eastAsia" w:ascii="宋体" w:hAnsi="宋体"/>
          <w:szCs w:val="21"/>
        </w:rPr>
        <w:t>的相关规定，</w:t>
      </w:r>
      <w:r>
        <w:rPr>
          <w:rFonts w:hint="eastAsia" w:hAnsi="宋体"/>
          <w:bCs/>
          <w:color w:val="000000"/>
          <w:szCs w:val="21"/>
        </w:rPr>
        <w:t>本项目为专门面向中小企业采购。</w:t>
      </w:r>
      <w:r>
        <w:rPr>
          <w:rFonts w:hint="eastAsia" w:hAnsi="宋体"/>
          <w:color w:val="000000"/>
          <w:szCs w:val="21"/>
        </w:rPr>
        <w:t>如供应商认定为中型、小型或微型企业，则需根据《中小企业划型标准规定》（工信部联企业〔2011〕300号）填报《中小企业声明函》。</w:t>
      </w:r>
      <w:r>
        <w:rPr>
          <w:rFonts w:hint="eastAsia" w:hAnsi="宋体"/>
          <w:b/>
          <w:bCs/>
          <w:color w:val="000000"/>
          <w:szCs w:val="21"/>
        </w:rPr>
        <w:t>加盖公章后的《中小企业声明函》电子件放置于</w:t>
      </w:r>
      <w:r>
        <w:rPr>
          <w:rFonts w:hint="eastAsia" w:ascii="宋体" w:hAnsi="宋体"/>
          <w:b/>
          <w:szCs w:val="21"/>
        </w:rPr>
        <w:t>响应文件</w:t>
      </w:r>
      <w:r>
        <w:rPr>
          <w:rFonts w:hint="eastAsia" w:hAnsi="宋体"/>
          <w:b/>
          <w:bCs/>
          <w:color w:val="000000"/>
          <w:szCs w:val="21"/>
        </w:rPr>
        <w:t>中提交，未提交则不享受预留采购份额政策。</w:t>
      </w:r>
    </w:p>
    <w:p w14:paraId="65BC4E1C">
      <w:pPr>
        <w:spacing w:line="360" w:lineRule="auto"/>
        <w:ind w:firstLine="420"/>
        <w:rPr>
          <w:rFonts w:hint="eastAsia" w:ascii="宋体" w:hAnsi="宋体"/>
          <w:szCs w:val="21"/>
        </w:rPr>
      </w:pPr>
      <w:r>
        <w:rPr>
          <w:rFonts w:hint="eastAsia" w:ascii="宋体" w:hAnsi="宋体"/>
          <w:szCs w:val="21"/>
        </w:rPr>
        <w:t>（二）残疾人福利性单位</w:t>
      </w:r>
    </w:p>
    <w:p w14:paraId="4CF55BCB">
      <w:pPr>
        <w:spacing w:line="360" w:lineRule="auto"/>
        <w:ind w:firstLine="420"/>
        <w:rPr>
          <w:rFonts w:hint="eastAsia" w:ascii="宋体" w:hAnsi="宋体"/>
          <w:szCs w:val="21"/>
        </w:rPr>
      </w:pPr>
      <w:r>
        <w:rPr>
          <w:rFonts w:hAnsi="宋体" w:cs="宋体"/>
        </w:rPr>
        <w:t>根据《三部门联合发布关于促进残疾人就业政府采购政策的通知》（财库</w:t>
      </w:r>
      <w:r>
        <w:rPr>
          <w:rFonts w:hint="eastAsia"/>
          <w:color w:val="333333"/>
        </w:rPr>
        <w:t>〔</w:t>
      </w:r>
      <w:r>
        <w:rPr>
          <w:rFonts w:hAnsi="宋体" w:cs="宋体"/>
        </w:rPr>
        <w:t>2017</w:t>
      </w:r>
      <w:r>
        <w:rPr>
          <w:rFonts w:hint="eastAsia" w:ascii="宋体" w:hAnsi="宋体"/>
          <w:szCs w:val="21"/>
        </w:rPr>
        <w:t>〕</w:t>
      </w:r>
      <w:r>
        <w:rPr>
          <w:rFonts w:hAnsi="宋体" w:cs="宋体"/>
        </w:rPr>
        <w:t>141号）的相关规定</w:t>
      </w:r>
      <w:r>
        <w:rPr>
          <w:rFonts w:hint="eastAsia" w:hAnsi="宋体" w:cs="宋体"/>
        </w:rPr>
        <w:t>，</w:t>
      </w:r>
      <w:r>
        <w:rPr>
          <w:rFonts w:hint="eastAsia" w:ascii="宋体" w:hAnsi="宋体"/>
          <w:szCs w:val="21"/>
        </w:rPr>
        <w:t>如供应商为残疾人福利性单位，</w:t>
      </w:r>
      <w:r>
        <w:rPr>
          <w:rFonts w:hint="eastAsia" w:hAnsi="宋体" w:cs="宋体"/>
        </w:rPr>
        <w:t>则视同小型、微型企业，享受预留份额的政府采购政策。</w:t>
      </w:r>
      <w:r>
        <w:rPr>
          <w:rFonts w:hint="eastAsia" w:hAnsi="宋体" w:cs="宋体"/>
          <w:b/>
          <w:bCs/>
        </w:rPr>
        <w:t>加盖公章后的《残疾人福利性单位声明函》电子件放置于</w:t>
      </w:r>
      <w:r>
        <w:rPr>
          <w:rFonts w:hint="eastAsia" w:ascii="宋体" w:hAnsi="宋体"/>
          <w:b/>
          <w:szCs w:val="21"/>
        </w:rPr>
        <w:t>响应文件</w:t>
      </w:r>
      <w:r>
        <w:rPr>
          <w:rFonts w:hint="eastAsia" w:hAnsi="宋体" w:cs="宋体"/>
          <w:b/>
          <w:bCs/>
        </w:rPr>
        <w:t>中提交，未提交则不享受预留采购份额政策。</w:t>
      </w:r>
    </w:p>
    <w:p w14:paraId="55A32AEF">
      <w:pPr>
        <w:spacing w:line="360" w:lineRule="auto"/>
        <w:ind w:firstLine="420"/>
        <w:rPr>
          <w:rFonts w:hint="eastAsia" w:ascii="宋体" w:hAnsi="宋体"/>
          <w:szCs w:val="21"/>
        </w:rPr>
      </w:pPr>
      <w:r>
        <w:rPr>
          <w:rFonts w:hint="eastAsia" w:ascii="宋体" w:hAnsi="宋体"/>
          <w:szCs w:val="21"/>
        </w:rPr>
        <w:t>（三）监狱企业</w:t>
      </w:r>
    </w:p>
    <w:p w14:paraId="1A52C6D4">
      <w:pPr>
        <w:spacing w:line="360" w:lineRule="auto"/>
        <w:ind w:firstLine="420"/>
        <w:rPr>
          <w:rFonts w:hint="eastAsia" w:ascii="宋体" w:hAnsi="宋体"/>
          <w:szCs w:val="21"/>
        </w:rPr>
      </w:pPr>
      <w:r>
        <w:rPr>
          <w:rFonts w:hAnsi="宋体" w:cs="宋体"/>
        </w:rPr>
        <w:t>根据《财政部司法部关于政府采购支持监狱企业发展有关问题的通知》（财库〔2014</w:t>
      </w:r>
      <w:r>
        <w:rPr>
          <w:rFonts w:hint="eastAsia" w:ascii="宋体" w:hAnsi="宋体"/>
          <w:szCs w:val="21"/>
        </w:rPr>
        <w:t>〕</w:t>
      </w:r>
      <w:r>
        <w:rPr>
          <w:rFonts w:hAnsi="宋体" w:cs="宋体"/>
        </w:rPr>
        <w:t>68号）的相关规定</w:t>
      </w:r>
      <w:r>
        <w:rPr>
          <w:rFonts w:hint="eastAsia" w:hAnsi="宋体" w:cs="宋体"/>
        </w:rPr>
        <w:t>，</w:t>
      </w:r>
      <w:r>
        <w:rPr>
          <w:rFonts w:hint="eastAsia" w:ascii="宋体" w:hAnsi="宋体"/>
          <w:szCs w:val="21"/>
        </w:rPr>
        <w:t>如供应商为监狱企业，应当提供由省级以上监狱管理局、戒毒管理局（含新疆生产建设兵团）出具的属于监狱企业的证明文件，</w:t>
      </w:r>
      <w:r>
        <w:rPr>
          <w:rFonts w:hint="eastAsia" w:hAnsi="宋体" w:cs="宋体"/>
        </w:rPr>
        <w:t>则视同小型、微型企业，享受预留份额的政府采购政策。</w:t>
      </w:r>
      <w:r>
        <w:rPr>
          <w:rFonts w:hint="eastAsia" w:hAnsi="宋体" w:cs="宋体"/>
          <w:b/>
          <w:bCs/>
        </w:rPr>
        <w:t>证明文件电子件放置于</w:t>
      </w:r>
      <w:r>
        <w:rPr>
          <w:rFonts w:hint="eastAsia" w:ascii="宋体" w:hAnsi="宋体"/>
          <w:b/>
          <w:szCs w:val="21"/>
        </w:rPr>
        <w:t>响应文件</w:t>
      </w:r>
      <w:r>
        <w:rPr>
          <w:rFonts w:hint="eastAsia" w:hAnsi="宋体" w:cs="宋体"/>
          <w:b/>
          <w:bCs/>
        </w:rPr>
        <w:t>中提交，未提交则不享受预留采购份额政策。</w:t>
      </w:r>
    </w:p>
    <w:p w14:paraId="1B675DF4">
      <w:pPr>
        <w:spacing w:line="360" w:lineRule="auto"/>
        <w:ind w:firstLine="420"/>
        <w:rPr>
          <w:rFonts w:hint="eastAsia" w:ascii="宋体" w:hAnsi="宋体"/>
          <w:szCs w:val="21"/>
        </w:rPr>
      </w:pPr>
      <w:r>
        <w:rPr>
          <w:rFonts w:hint="eastAsia" w:ascii="宋体" w:hAnsi="宋体"/>
          <w:szCs w:val="21"/>
        </w:rPr>
        <w:t>（四）绿色采购</w:t>
      </w:r>
    </w:p>
    <w:p w14:paraId="088DC986">
      <w:pPr>
        <w:spacing w:line="360" w:lineRule="auto"/>
        <w:ind w:firstLine="420"/>
        <w:rPr>
          <w:rFonts w:hint="eastAsia" w:ascii="宋体" w:hAnsi="宋体"/>
          <w:szCs w:val="21"/>
        </w:rPr>
      </w:pPr>
      <w:r>
        <w:rPr>
          <w:rFonts w:hint="eastAsia"/>
          <w:color w:val="333333"/>
        </w:rPr>
        <w:t>根据《关于调整优化节能产品、环境标志产品政府采购执行机制的通知》（财库〔2019〕9号）等相关文件的规定，</w:t>
      </w:r>
      <w:r>
        <w:rPr>
          <w:rFonts w:hint="eastAsia"/>
          <w:b/>
          <w:color w:val="333333"/>
        </w:rPr>
        <w:t>对属于《节能产品政府采购品目清单》政府强制采购产品的，供应商</w:t>
      </w:r>
      <w:r>
        <w:rPr>
          <w:rFonts w:hint="eastAsia" w:ascii="宋体" w:hAnsi="宋体"/>
          <w:b/>
          <w:szCs w:val="21"/>
        </w:rPr>
        <w:t>需提供该产品有效期内的认证等相关证明材料，证明材料电子件放置于响应文件中提交。</w:t>
      </w:r>
    </w:p>
    <w:p w14:paraId="1B072596">
      <w:pPr>
        <w:spacing w:line="360" w:lineRule="auto"/>
        <w:ind w:firstLine="420"/>
        <w:rPr>
          <w:rFonts w:hint="eastAsia" w:ascii="宋体" w:hAnsi="宋体"/>
          <w:szCs w:val="21"/>
        </w:rPr>
      </w:pPr>
      <w:r>
        <w:rPr>
          <w:rFonts w:hint="eastAsia" w:ascii="宋体" w:hAnsi="宋体"/>
          <w:szCs w:val="21"/>
        </w:rPr>
        <w:t>（五）若供应商提供的《中小企业声明函》 、《残疾人福利性单位声明函》及监狱企业认定证明等材料为虚假材料，按《中华人民共和国政府采购法》等相关法律法规的规定处理，并报请政府采购监管部门给予行政处罚。</w:t>
      </w:r>
    </w:p>
    <w:p w14:paraId="5EBEA1B1">
      <w:pPr>
        <w:rPr>
          <w:rStyle w:val="320"/>
          <w:sz w:val="32"/>
          <w:szCs w:val="32"/>
        </w:rPr>
        <w:sectPr>
          <w:pgSz w:w="11906" w:h="16838"/>
          <w:pgMar w:top="1474" w:right="1247" w:bottom="1247" w:left="1531" w:header="851" w:footer="680" w:gutter="0"/>
          <w:cols w:space="425" w:num="1"/>
          <w:docGrid w:linePitch="360" w:charSpace="0"/>
        </w:sectPr>
      </w:pPr>
      <w:bookmarkStart w:id="52" w:name="_Toc62807500"/>
      <w:bookmarkStart w:id="53" w:name="_Toc62807507"/>
      <w:bookmarkStart w:id="54" w:name="_Toc33452248"/>
      <w:bookmarkStart w:id="55" w:name="_Toc63583489"/>
      <w:bookmarkStart w:id="56" w:name="_Toc135142676"/>
      <w:bookmarkStart w:id="57" w:name="_Toc161067503"/>
    </w:p>
    <w:p w14:paraId="45A72E2C">
      <w:pPr>
        <w:pStyle w:val="2"/>
        <w:jc w:val="center"/>
        <w:rPr>
          <w:rStyle w:val="320"/>
          <w:sz w:val="32"/>
          <w:szCs w:val="32"/>
        </w:rPr>
      </w:pPr>
      <w:bookmarkStart w:id="58" w:name="_Toc195539952"/>
      <w:bookmarkStart w:id="59" w:name="_Toc161126687"/>
      <w:bookmarkStart w:id="60" w:name="_Toc173229835"/>
      <w:r>
        <w:rPr>
          <w:rStyle w:val="320"/>
          <w:rFonts w:hint="eastAsia"/>
          <w:sz w:val="32"/>
          <w:szCs w:val="32"/>
        </w:rPr>
        <w:t xml:space="preserve">第六章 </w:t>
      </w:r>
      <w:bookmarkEnd w:id="52"/>
      <w:bookmarkEnd w:id="53"/>
      <w:bookmarkEnd w:id="54"/>
      <w:bookmarkEnd w:id="55"/>
      <w:r>
        <w:rPr>
          <w:rStyle w:val="320"/>
          <w:rFonts w:hint="eastAsia"/>
          <w:sz w:val="32"/>
          <w:szCs w:val="32"/>
        </w:rPr>
        <w:t>采购合同</w:t>
      </w:r>
      <w:bookmarkEnd w:id="56"/>
      <w:r>
        <w:rPr>
          <w:rStyle w:val="320"/>
          <w:rFonts w:hint="eastAsia"/>
          <w:sz w:val="32"/>
          <w:szCs w:val="32"/>
        </w:rPr>
        <w:t>文本</w:t>
      </w:r>
      <w:bookmarkEnd w:id="57"/>
      <w:bookmarkEnd w:id="58"/>
      <w:bookmarkEnd w:id="59"/>
      <w:bookmarkEnd w:id="60"/>
    </w:p>
    <w:p w14:paraId="2492D73A">
      <w:pPr>
        <w:spacing w:line="360" w:lineRule="auto"/>
        <w:rPr>
          <w:rFonts w:hint="eastAsia" w:ascii="宋体" w:hAnsi="宋体"/>
          <w:color w:val="000000"/>
          <w:szCs w:val="21"/>
        </w:rPr>
      </w:pPr>
      <w:r>
        <w:rPr>
          <w:rFonts w:hint="eastAsia" w:ascii="宋体" w:hAnsi="宋体"/>
          <w:color w:val="000000"/>
          <w:szCs w:val="21"/>
        </w:rPr>
        <w:t>甲方：</w:t>
      </w:r>
    </w:p>
    <w:p w14:paraId="48C52603">
      <w:pPr>
        <w:spacing w:line="360" w:lineRule="auto"/>
        <w:rPr>
          <w:rFonts w:hint="eastAsia" w:ascii="宋体" w:hAnsi="宋体"/>
          <w:color w:val="000000"/>
          <w:szCs w:val="21"/>
        </w:rPr>
      </w:pPr>
      <w:r>
        <w:rPr>
          <w:rFonts w:hint="eastAsia" w:ascii="宋体" w:hAnsi="宋体"/>
          <w:color w:val="000000"/>
          <w:szCs w:val="21"/>
        </w:rPr>
        <w:t>地址：</w:t>
      </w:r>
    </w:p>
    <w:p w14:paraId="0F8BAD34">
      <w:pPr>
        <w:spacing w:line="360" w:lineRule="auto"/>
        <w:rPr>
          <w:rFonts w:hint="eastAsia" w:ascii="宋体" w:hAnsi="宋体"/>
          <w:color w:val="000000"/>
          <w:szCs w:val="21"/>
        </w:rPr>
      </w:pPr>
    </w:p>
    <w:p w14:paraId="1613E8EA">
      <w:pPr>
        <w:spacing w:line="360" w:lineRule="auto"/>
        <w:rPr>
          <w:rFonts w:hint="eastAsia" w:ascii="宋体" w:hAnsi="宋体"/>
          <w:color w:val="000000"/>
          <w:szCs w:val="21"/>
        </w:rPr>
      </w:pPr>
      <w:r>
        <w:rPr>
          <w:rFonts w:hint="eastAsia" w:ascii="宋体" w:hAnsi="宋体"/>
          <w:color w:val="000000"/>
          <w:szCs w:val="21"/>
        </w:rPr>
        <w:t>乙方：</w:t>
      </w:r>
    </w:p>
    <w:p w14:paraId="6568EAEE">
      <w:pPr>
        <w:spacing w:line="360" w:lineRule="auto"/>
        <w:rPr>
          <w:rFonts w:hint="eastAsia" w:ascii="宋体" w:hAnsi="宋体"/>
          <w:color w:val="000000"/>
          <w:szCs w:val="21"/>
        </w:rPr>
      </w:pPr>
      <w:r>
        <w:rPr>
          <w:rFonts w:hint="eastAsia" w:ascii="宋体" w:hAnsi="宋体"/>
          <w:color w:val="000000"/>
          <w:szCs w:val="21"/>
        </w:rPr>
        <w:t>地址：</w:t>
      </w:r>
    </w:p>
    <w:p w14:paraId="00558F31">
      <w:pPr>
        <w:spacing w:line="360" w:lineRule="auto"/>
        <w:rPr>
          <w:rFonts w:hint="eastAsia" w:ascii="宋体" w:hAnsi="宋体"/>
          <w:color w:val="000000"/>
          <w:szCs w:val="21"/>
        </w:rPr>
      </w:pPr>
    </w:p>
    <w:p w14:paraId="004DD557">
      <w:pPr>
        <w:spacing w:line="360" w:lineRule="auto"/>
        <w:ind w:firstLine="420"/>
        <w:rPr>
          <w:rFonts w:hint="eastAsia" w:ascii="宋体" w:hAnsi="宋体"/>
          <w:color w:val="000000"/>
          <w:szCs w:val="21"/>
        </w:rPr>
      </w:pPr>
      <w:r>
        <w:rPr>
          <w:rFonts w:hint="eastAsia" w:ascii="宋体" w:hAnsi="宋体"/>
          <w:color w:val="000000"/>
          <w:szCs w:val="21"/>
        </w:rPr>
        <w:t>本项目依据采购结果，决定将采购合同授予乙方。为进一步明确采购人（甲方）和供应商（乙方）采购过程中的权利、义务和经济责任，根据《中华人民共和国民法典》、《中华人民共和国政府采购法》、</w:t>
      </w:r>
      <w:r>
        <w:rPr>
          <w:rFonts w:hint="eastAsia" w:ascii="宋体" w:hAnsi="宋体" w:cs="宋体"/>
          <w:szCs w:val="21"/>
        </w:rPr>
        <w:t>《中华人民共和国政府采购法实施条例》</w:t>
      </w:r>
      <w:r>
        <w:rPr>
          <w:rFonts w:hint="eastAsia" w:ascii="宋体" w:hAnsi="宋体"/>
          <w:color w:val="000000"/>
          <w:szCs w:val="21"/>
        </w:rPr>
        <w:t>之规定及本项目采购文件、乙方的投标（响应）文件等相关资料，经甲乙双方充分协商，遵循平等、自愿、公平和诚实信用原则，特订立本合同，以资共同遵守。</w:t>
      </w:r>
    </w:p>
    <w:p w14:paraId="46F04E2B">
      <w:pPr>
        <w:spacing w:line="360" w:lineRule="auto"/>
        <w:ind w:firstLine="420"/>
        <w:rPr>
          <w:rFonts w:hint="eastAsia" w:ascii="宋体" w:hAnsi="宋体"/>
          <w:color w:val="000000"/>
          <w:szCs w:val="21"/>
        </w:rPr>
      </w:pPr>
    </w:p>
    <w:p w14:paraId="6DCADF5A">
      <w:pPr>
        <w:spacing w:line="360" w:lineRule="auto"/>
        <w:ind w:firstLine="420"/>
        <w:rPr>
          <w:rFonts w:hint="eastAsia" w:ascii="宋体" w:hAnsi="宋体"/>
          <w:b/>
          <w:color w:val="000000"/>
          <w:szCs w:val="21"/>
        </w:rPr>
      </w:pPr>
      <w:r>
        <w:rPr>
          <w:rFonts w:hint="eastAsia" w:ascii="宋体" w:hAnsi="宋体"/>
          <w:b/>
          <w:color w:val="000000"/>
          <w:szCs w:val="21"/>
        </w:rPr>
        <w:t>第一条 合同文件</w:t>
      </w:r>
    </w:p>
    <w:p w14:paraId="7B66541D">
      <w:pPr>
        <w:spacing w:line="360" w:lineRule="auto"/>
        <w:ind w:firstLine="420"/>
        <w:rPr>
          <w:rFonts w:hint="eastAsia" w:ascii="宋体" w:hAnsi="宋体"/>
          <w:color w:val="000000"/>
          <w:szCs w:val="21"/>
        </w:rPr>
      </w:pPr>
      <w:r>
        <w:rPr>
          <w:rFonts w:hint="eastAsia" w:ascii="宋体" w:hAnsi="宋体"/>
          <w:color w:val="000000"/>
          <w:szCs w:val="21"/>
        </w:rPr>
        <w:t>下列与本次采购活动有关的文件及附件是本合同不可分割的组成部分，与本合同具有同等法律效力，这些文件包括但不限于：</w:t>
      </w:r>
    </w:p>
    <w:p w14:paraId="47756A1E">
      <w:pPr>
        <w:spacing w:line="360" w:lineRule="auto"/>
        <w:ind w:firstLine="420"/>
        <w:rPr>
          <w:rFonts w:hint="eastAsia" w:ascii="宋体" w:hAnsi="宋体"/>
          <w:color w:val="000000"/>
          <w:szCs w:val="21"/>
        </w:rPr>
      </w:pPr>
      <w:r>
        <w:rPr>
          <w:rFonts w:hint="eastAsia" w:ascii="宋体" w:hAnsi="宋体"/>
          <w:color w:val="000000"/>
          <w:szCs w:val="21"/>
        </w:rPr>
        <w:t>1.采购文件及相关函件；</w:t>
      </w:r>
    </w:p>
    <w:p w14:paraId="4A98F291">
      <w:pPr>
        <w:spacing w:line="360" w:lineRule="auto"/>
        <w:ind w:firstLine="420"/>
        <w:rPr>
          <w:rFonts w:hint="eastAsia" w:ascii="宋体" w:hAnsi="宋体"/>
          <w:color w:val="000000"/>
          <w:szCs w:val="21"/>
        </w:rPr>
      </w:pPr>
      <w:r>
        <w:rPr>
          <w:rFonts w:hint="eastAsia" w:ascii="宋体" w:hAnsi="宋体"/>
          <w:color w:val="000000"/>
          <w:szCs w:val="21"/>
        </w:rPr>
        <w:t>2.乙方的投标（响应）文件；</w:t>
      </w:r>
    </w:p>
    <w:p w14:paraId="49A13417">
      <w:pPr>
        <w:spacing w:line="360" w:lineRule="auto"/>
        <w:ind w:firstLine="420"/>
        <w:rPr>
          <w:rFonts w:hint="eastAsia" w:ascii="宋体" w:hAnsi="宋体"/>
          <w:color w:val="000000"/>
          <w:szCs w:val="21"/>
        </w:rPr>
      </w:pPr>
      <w:r>
        <w:rPr>
          <w:rFonts w:hint="eastAsia" w:ascii="宋体" w:hAnsi="宋体"/>
          <w:color w:val="000000"/>
          <w:szCs w:val="21"/>
        </w:rPr>
        <w:t>3.乙方在采购活动中的书面澄清及承诺；</w:t>
      </w:r>
    </w:p>
    <w:p w14:paraId="455CD7F1">
      <w:pPr>
        <w:spacing w:line="360" w:lineRule="auto"/>
        <w:ind w:firstLine="420"/>
        <w:rPr>
          <w:rFonts w:hint="eastAsia" w:ascii="宋体" w:hAnsi="宋体"/>
          <w:color w:val="000000"/>
          <w:szCs w:val="21"/>
        </w:rPr>
      </w:pPr>
      <w:r>
        <w:rPr>
          <w:rFonts w:hint="eastAsia" w:ascii="宋体" w:hAnsi="宋体"/>
          <w:color w:val="000000"/>
          <w:szCs w:val="21"/>
        </w:rPr>
        <w:t>4.中标（成交）通知书；</w:t>
      </w:r>
    </w:p>
    <w:p w14:paraId="4D35F254">
      <w:pPr>
        <w:spacing w:line="360" w:lineRule="auto"/>
        <w:ind w:firstLine="420"/>
        <w:rPr>
          <w:rFonts w:hint="eastAsia" w:ascii="宋体" w:hAnsi="宋体"/>
          <w:color w:val="000000"/>
          <w:szCs w:val="21"/>
        </w:rPr>
      </w:pPr>
      <w:r>
        <w:rPr>
          <w:rFonts w:hint="eastAsia" w:ascii="宋体" w:hAnsi="宋体"/>
          <w:color w:val="000000"/>
          <w:szCs w:val="21"/>
        </w:rPr>
        <w:t>5.合同补充条款；</w:t>
      </w:r>
    </w:p>
    <w:p w14:paraId="79460A3E">
      <w:pPr>
        <w:spacing w:line="360" w:lineRule="auto"/>
        <w:ind w:firstLine="420"/>
        <w:rPr>
          <w:rFonts w:hint="eastAsia" w:ascii="宋体" w:hAnsi="宋体"/>
          <w:color w:val="000000"/>
          <w:szCs w:val="21"/>
        </w:rPr>
      </w:pPr>
      <w:r>
        <w:rPr>
          <w:rFonts w:hint="eastAsia" w:ascii="宋体" w:hAnsi="宋体"/>
          <w:color w:val="000000"/>
          <w:szCs w:val="21"/>
        </w:rPr>
        <w:t>6.相关附件、图纸及电子版资料。</w:t>
      </w:r>
    </w:p>
    <w:p w14:paraId="7B8B1517">
      <w:pPr>
        <w:spacing w:line="360" w:lineRule="auto"/>
        <w:ind w:firstLine="420"/>
        <w:rPr>
          <w:rFonts w:hint="eastAsia" w:ascii="宋体" w:hAnsi="宋体"/>
          <w:color w:val="000000"/>
          <w:szCs w:val="21"/>
        </w:rPr>
      </w:pPr>
    </w:p>
    <w:p w14:paraId="210433EC">
      <w:pPr>
        <w:spacing w:line="360" w:lineRule="auto"/>
        <w:ind w:firstLine="422"/>
        <w:rPr>
          <w:rFonts w:hint="eastAsia" w:ascii="宋体" w:hAnsi="宋体"/>
          <w:b/>
          <w:bCs/>
          <w:szCs w:val="21"/>
        </w:rPr>
      </w:pPr>
      <w:r>
        <w:rPr>
          <w:rFonts w:hint="eastAsia" w:ascii="宋体" w:hAnsi="宋体"/>
          <w:b/>
          <w:bCs/>
          <w:szCs w:val="21"/>
        </w:rPr>
        <w:t>第二条 合同标的</w:t>
      </w:r>
    </w:p>
    <w:p w14:paraId="616CE3DA">
      <w:pPr>
        <w:spacing w:line="360" w:lineRule="auto"/>
        <w:ind w:firstLine="420"/>
        <w:rPr>
          <w:rFonts w:hint="eastAsia" w:ascii="宋体" w:hAnsi="宋体"/>
          <w:szCs w:val="21"/>
        </w:rPr>
      </w:pPr>
      <w:r>
        <w:rPr>
          <w:rFonts w:hint="eastAsia" w:ascii="宋体" w:hAnsi="宋体"/>
          <w:szCs w:val="21"/>
        </w:rPr>
        <w:t>1.项目名称：</w:t>
      </w:r>
      <w:r>
        <w:rPr>
          <w:rFonts w:hint="eastAsia" w:ascii="宋体" w:hAnsi="宋体"/>
          <w:szCs w:val="21"/>
          <w:lang w:eastAsia="zh-CN"/>
        </w:rPr>
        <w:t>昆山市ZP06单元详细规划</w:t>
      </w:r>
      <w:r>
        <w:rPr>
          <w:rFonts w:hint="eastAsia" w:ascii="宋体" w:hAnsi="宋体"/>
          <w:szCs w:val="21"/>
        </w:rPr>
        <w:t>；</w:t>
      </w:r>
    </w:p>
    <w:p w14:paraId="249A6100">
      <w:pPr>
        <w:spacing w:line="360" w:lineRule="auto"/>
        <w:ind w:firstLine="420"/>
        <w:rPr>
          <w:rFonts w:hint="eastAsia" w:ascii="宋体" w:hAnsi="宋体"/>
          <w:szCs w:val="21"/>
        </w:rPr>
      </w:pPr>
      <w:r>
        <w:rPr>
          <w:rFonts w:hint="eastAsia" w:ascii="宋体" w:hAnsi="宋体"/>
          <w:szCs w:val="21"/>
        </w:rPr>
        <w:t>2.项目编号：</w:t>
      </w:r>
      <w:r>
        <w:rPr>
          <w:rFonts w:hint="eastAsia" w:ascii="宋体" w:hAnsi="宋体"/>
          <w:color w:val="000000" w:themeColor="text1"/>
          <w:szCs w:val="21"/>
          <w:lang w:eastAsia="zh-CN"/>
          <w14:textFill>
            <w14:solidFill>
              <w14:schemeClr w14:val="tx1"/>
            </w14:solidFill>
          </w14:textFill>
        </w:rPr>
        <w:t>JSZC-320583-JSYM-T2025-0013</w:t>
      </w:r>
      <w:r>
        <w:rPr>
          <w:rFonts w:hint="eastAsia" w:ascii="宋体" w:hAnsi="宋体"/>
          <w:szCs w:val="21"/>
        </w:rPr>
        <w:t>；</w:t>
      </w:r>
    </w:p>
    <w:p w14:paraId="213B45F0">
      <w:pPr>
        <w:spacing w:line="360" w:lineRule="auto"/>
        <w:ind w:firstLine="420"/>
        <w:rPr>
          <w:rFonts w:hint="eastAsia" w:ascii="宋体" w:hAnsi="宋体"/>
          <w:szCs w:val="21"/>
        </w:rPr>
      </w:pPr>
      <w:r>
        <w:rPr>
          <w:rFonts w:hint="eastAsia" w:ascii="宋体" w:hAnsi="宋体"/>
          <w:szCs w:val="21"/>
        </w:rPr>
        <w:t>3.服务范围、标准及要求：乙方提供的服务应符合投标（响应）文件的服务范围、标准及要求、以及乙方做出的书面澄清及承诺；</w:t>
      </w:r>
    </w:p>
    <w:p w14:paraId="36B34474">
      <w:pPr>
        <w:spacing w:line="360" w:lineRule="auto"/>
        <w:ind w:firstLine="420"/>
        <w:rPr>
          <w:rFonts w:hint="eastAsia" w:ascii="宋体" w:hAnsi="宋体"/>
          <w:color w:val="000000"/>
          <w:szCs w:val="21"/>
        </w:rPr>
      </w:pPr>
      <w:r>
        <w:rPr>
          <w:rFonts w:hint="eastAsia" w:ascii="宋体" w:hAnsi="宋体"/>
          <w:szCs w:val="21"/>
        </w:rPr>
        <w:t>4.合同履行期限：</w:t>
      </w:r>
      <w:r>
        <w:rPr>
          <w:rFonts w:hint="eastAsia" w:ascii="宋体" w:hAnsi="宋体" w:cs="宋体"/>
          <w:szCs w:val="21"/>
        </w:rPr>
        <w:t>合同签订后</w:t>
      </w:r>
      <w:r>
        <w:rPr>
          <w:rFonts w:ascii="宋体" w:hAnsi="宋体"/>
          <w:szCs w:val="21"/>
        </w:rPr>
        <w:t>；</w:t>
      </w:r>
    </w:p>
    <w:p w14:paraId="108706F6">
      <w:pPr>
        <w:spacing w:line="360" w:lineRule="auto"/>
        <w:ind w:firstLine="420"/>
        <w:rPr>
          <w:rFonts w:hint="eastAsia" w:ascii="宋体" w:hAnsi="宋体"/>
          <w:color w:val="000000"/>
          <w:szCs w:val="21"/>
        </w:rPr>
      </w:pPr>
      <w:r>
        <w:rPr>
          <w:rFonts w:hint="eastAsia" w:ascii="宋体" w:hAnsi="宋体"/>
          <w:color w:val="000000"/>
          <w:szCs w:val="21"/>
        </w:rPr>
        <w:t>5.履约地点：详见本项目采购文件；</w:t>
      </w:r>
    </w:p>
    <w:p w14:paraId="1CF68588">
      <w:pPr>
        <w:spacing w:line="360" w:lineRule="auto"/>
        <w:ind w:firstLine="420"/>
        <w:rPr>
          <w:rFonts w:hint="eastAsia" w:ascii="宋体" w:hAnsi="宋体"/>
          <w:bCs/>
          <w:color w:val="000000"/>
          <w:szCs w:val="21"/>
        </w:rPr>
      </w:pPr>
      <w:r>
        <w:rPr>
          <w:rFonts w:hint="eastAsia" w:ascii="宋体" w:hAnsi="宋体"/>
          <w:bCs/>
          <w:color w:val="000000"/>
          <w:szCs w:val="21"/>
        </w:rPr>
        <w:t>6.岗位配置表：详见本项目采购文件；</w:t>
      </w:r>
    </w:p>
    <w:p w14:paraId="5E963F14">
      <w:pPr>
        <w:spacing w:line="360" w:lineRule="auto"/>
        <w:ind w:firstLine="420"/>
        <w:rPr>
          <w:rFonts w:hint="eastAsia" w:ascii="宋体" w:hAnsi="宋体"/>
          <w:b/>
          <w:bCs/>
          <w:color w:val="000000"/>
          <w:szCs w:val="21"/>
        </w:rPr>
      </w:pPr>
    </w:p>
    <w:p w14:paraId="5E960B2A">
      <w:pPr>
        <w:spacing w:line="360" w:lineRule="auto"/>
        <w:ind w:firstLine="422"/>
        <w:rPr>
          <w:rFonts w:hint="eastAsia" w:ascii="宋体" w:hAnsi="宋体"/>
          <w:b/>
          <w:bCs/>
          <w:color w:val="000000"/>
          <w:szCs w:val="21"/>
        </w:rPr>
      </w:pPr>
      <w:r>
        <w:rPr>
          <w:rFonts w:hint="eastAsia" w:ascii="宋体" w:hAnsi="宋体"/>
          <w:b/>
          <w:bCs/>
          <w:color w:val="000000"/>
          <w:szCs w:val="21"/>
        </w:rPr>
        <w:t>第三条 合同总价款</w:t>
      </w:r>
    </w:p>
    <w:p w14:paraId="2A88CA6F">
      <w:pPr>
        <w:spacing w:line="360" w:lineRule="auto"/>
        <w:ind w:firstLine="420"/>
        <w:rPr>
          <w:rFonts w:hint="eastAsia" w:ascii="宋体" w:hAnsi="宋体"/>
          <w:color w:val="000000"/>
          <w:szCs w:val="21"/>
        </w:rPr>
      </w:pPr>
      <w:r>
        <w:rPr>
          <w:rFonts w:hint="eastAsia" w:ascii="宋体" w:hAnsi="宋体"/>
          <w:color w:val="000000"/>
          <w:szCs w:val="21"/>
        </w:rPr>
        <w:t>合同总价款（含税）：（大写）人民币________元整，（小写）¥__________。</w:t>
      </w:r>
    </w:p>
    <w:p w14:paraId="6258F879">
      <w:pPr>
        <w:spacing w:line="360" w:lineRule="auto"/>
        <w:ind w:firstLine="420"/>
        <w:rPr>
          <w:rFonts w:hint="eastAsia" w:ascii="宋体" w:hAnsi="宋体"/>
          <w:szCs w:val="21"/>
        </w:rPr>
      </w:pPr>
      <w:r>
        <w:rPr>
          <w:rFonts w:hint="eastAsia" w:ascii="宋体" w:hAnsi="宋体"/>
          <w:szCs w:val="21"/>
        </w:rPr>
        <w:t>合同总价款按此次成交价格执行，包括完成本合同的全部内容所需的费用、政策性文件规定及合同包含的所有风险、责任等各项应有费用。</w:t>
      </w:r>
    </w:p>
    <w:p w14:paraId="0D902150">
      <w:pPr>
        <w:spacing w:line="360" w:lineRule="auto"/>
        <w:ind w:firstLine="420"/>
        <w:rPr>
          <w:rFonts w:hint="eastAsia" w:ascii="宋体" w:hAnsi="宋体"/>
          <w:color w:val="000000"/>
          <w:szCs w:val="21"/>
        </w:rPr>
      </w:pPr>
    </w:p>
    <w:p w14:paraId="2B4CBD75">
      <w:pPr>
        <w:spacing w:line="360" w:lineRule="auto"/>
        <w:ind w:firstLine="422"/>
        <w:rPr>
          <w:rFonts w:hint="eastAsia" w:ascii="宋体" w:hAnsi="宋体"/>
          <w:b/>
          <w:bCs/>
          <w:szCs w:val="21"/>
        </w:rPr>
      </w:pPr>
      <w:r>
        <w:rPr>
          <w:rFonts w:hint="eastAsia" w:ascii="宋体" w:hAnsi="宋体"/>
          <w:b/>
          <w:bCs/>
          <w:szCs w:val="21"/>
        </w:rPr>
        <w:t>第四条 付款约定</w:t>
      </w:r>
    </w:p>
    <w:p w14:paraId="4166973B">
      <w:pPr>
        <w:spacing w:line="360" w:lineRule="auto"/>
        <w:ind w:firstLine="422"/>
        <w:rPr>
          <w:rFonts w:hint="eastAsia" w:ascii="宋体" w:hAnsi="宋体"/>
          <w:bCs/>
          <w:szCs w:val="21"/>
        </w:rPr>
      </w:pPr>
      <w:r>
        <w:rPr>
          <w:rFonts w:hint="eastAsia" w:ascii="宋体" w:hAnsi="宋体"/>
          <w:bCs/>
          <w:szCs w:val="21"/>
        </w:rPr>
        <w:t>1.甲方根据乙方在本合同中所提供银行开户信息转账支付</w:t>
      </w:r>
    </w:p>
    <w:p w14:paraId="1A4BA7A5">
      <w:pPr>
        <w:spacing w:line="360" w:lineRule="auto"/>
        <w:ind w:firstLine="422"/>
        <w:rPr>
          <w:rFonts w:hint="eastAsia" w:ascii="宋体" w:hAnsi="宋体"/>
          <w:bCs/>
          <w:szCs w:val="21"/>
        </w:rPr>
      </w:pPr>
      <w:r>
        <w:rPr>
          <w:rFonts w:hint="eastAsia" w:ascii="宋体" w:hAnsi="宋体"/>
          <w:bCs/>
          <w:szCs w:val="21"/>
        </w:rPr>
        <w:t>乙方开户名称：</w:t>
      </w:r>
    </w:p>
    <w:p w14:paraId="372FD69B">
      <w:pPr>
        <w:spacing w:line="360" w:lineRule="auto"/>
        <w:ind w:firstLine="422"/>
        <w:rPr>
          <w:rFonts w:hint="eastAsia" w:ascii="宋体" w:hAnsi="宋体"/>
          <w:bCs/>
          <w:szCs w:val="21"/>
        </w:rPr>
      </w:pPr>
      <w:r>
        <w:rPr>
          <w:rFonts w:hint="eastAsia" w:ascii="宋体" w:hAnsi="宋体"/>
          <w:bCs/>
          <w:szCs w:val="21"/>
        </w:rPr>
        <w:t>开户银行：</w:t>
      </w:r>
    </w:p>
    <w:p w14:paraId="39C2FB10">
      <w:pPr>
        <w:spacing w:line="360" w:lineRule="auto"/>
        <w:ind w:firstLine="422"/>
        <w:rPr>
          <w:rFonts w:hint="eastAsia" w:ascii="宋体" w:hAnsi="宋体"/>
          <w:bCs/>
          <w:szCs w:val="21"/>
        </w:rPr>
      </w:pPr>
      <w:r>
        <w:rPr>
          <w:rFonts w:hint="eastAsia" w:ascii="宋体" w:hAnsi="宋体"/>
          <w:bCs/>
          <w:szCs w:val="21"/>
        </w:rPr>
        <w:t>银行账号：</w:t>
      </w:r>
    </w:p>
    <w:p w14:paraId="5B7A0015">
      <w:pPr>
        <w:spacing w:line="360" w:lineRule="auto"/>
        <w:ind w:firstLine="422"/>
        <w:rPr>
          <w:rFonts w:hint="eastAsia" w:ascii="宋体" w:hAnsi="宋体"/>
          <w:bCs/>
          <w:szCs w:val="21"/>
          <w:highlight w:val="none"/>
        </w:rPr>
      </w:pPr>
      <w:bookmarkStart w:id="61" w:name="_Hlk197592990"/>
      <w:r>
        <w:rPr>
          <w:rFonts w:hint="eastAsia" w:ascii="宋体" w:hAnsi="宋体"/>
          <w:bCs/>
          <w:szCs w:val="21"/>
          <w:highlight w:val="none"/>
        </w:rPr>
        <w:t>2.付款方式</w:t>
      </w:r>
    </w:p>
    <w:p w14:paraId="66324EA2">
      <w:pPr>
        <w:spacing w:line="360" w:lineRule="auto"/>
        <w:ind w:firstLine="422"/>
        <w:rPr>
          <w:rFonts w:hint="eastAsia" w:ascii="宋体" w:hAnsi="宋体"/>
          <w:bCs/>
          <w:szCs w:val="21"/>
          <w:highlight w:val="none"/>
        </w:rPr>
      </w:pPr>
      <w:bookmarkStart w:id="62" w:name="_Hlk197592979"/>
      <w:r>
        <w:rPr>
          <w:rFonts w:hint="eastAsia" w:ascii="宋体" w:hAnsi="宋体"/>
          <w:bCs/>
          <w:szCs w:val="21"/>
          <w:highlight w:val="none"/>
        </w:rPr>
        <w:t>2.1预付款：</w:t>
      </w:r>
      <w:bookmarkEnd w:id="62"/>
      <w:r>
        <w:rPr>
          <w:rFonts w:hint="eastAsia" w:ascii="宋体" w:hAnsi="宋体"/>
          <w:bCs/>
          <w:szCs w:val="21"/>
          <w:highlight w:val="none"/>
        </w:rPr>
        <w:t>待合同签订生效后，甲方支付合同总金额的</w:t>
      </w:r>
      <w:r>
        <w:rPr>
          <w:rFonts w:hint="eastAsia" w:ascii="宋体" w:hAnsi="宋体"/>
          <w:bCs/>
          <w:szCs w:val="21"/>
          <w:highlight w:val="none"/>
          <w:lang w:val="en-US" w:eastAsia="zh-CN"/>
        </w:rPr>
        <w:t>30%</w:t>
      </w:r>
      <w:r>
        <w:rPr>
          <w:rFonts w:hint="eastAsia" w:ascii="宋体" w:hAnsi="宋体"/>
          <w:bCs/>
          <w:szCs w:val="21"/>
          <w:highlight w:val="none"/>
        </w:rPr>
        <w:t>作为预付款，预付款将在待支付的进度款款项中扣除；</w:t>
      </w:r>
      <w:bookmarkEnd w:id="61"/>
    </w:p>
    <w:p w14:paraId="540DF94B">
      <w:pPr>
        <w:spacing w:line="360" w:lineRule="auto"/>
        <w:ind w:firstLine="420"/>
        <w:rPr>
          <w:rFonts w:hint="default" w:ascii="宋体" w:hAnsi="宋体" w:eastAsia="宋体"/>
          <w:bCs/>
          <w:szCs w:val="21"/>
          <w:highlight w:val="yellow"/>
          <w:lang w:val="en-US" w:eastAsia="zh-CN"/>
        </w:rPr>
      </w:pPr>
      <w:bookmarkStart w:id="63" w:name="_Hlk197593009"/>
      <w:r>
        <w:rPr>
          <w:rFonts w:hint="eastAsia" w:ascii="宋体" w:hAnsi="宋体"/>
          <w:bCs/>
          <w:szCs w:val="21"/>
          <w:highlight w:val="none"/>
        </w:rPr>
        <w:t>2.2进度款：</w:t>
      </w:r>
      <w:bookmarkEnd w:id="63"/>
      <w:r>
        <w:rPr>
          <w:rFonts w:hint="eastAsia" w:ascii="宋体" w:hAnsi="宋体"/>
          <w:bCs/>
          <w:szCs w:val="21"/>
          <w:highlight w:val="none"/>
          <w:lang w:val="en-US" w:eastAsia="zh-CN"/>
        </w:rPr>
        <w:t>项目完成后付至合同金额的70%，余款一年内付清。</w:t>
      </w:r>
    </w:p>
    <w:p w14:paraId="58EA2C03">
      <w:pPr>
        <w:spacing w:line="360" w:lineRule="auto"/>
        <w:ind w:firstLine="420"/>
        <w:rPr>
          <w:rFonts w:hint="eastAsia" w:ascii="宋体" w:hAnsi="宋体"/>
          <w:color w:val="000000"/>
          <w:szCs w:val="21"/>
        </w:rPr>
      </w:pPr>
    </w:p>
    <w:p w14:paraId="3AFD2794">
      <w:pPr>
        <w:spacing w:line="360" w:lineRule="auto"/>
        <w:ind w:firstLine="422"/>
        <w:rPr>
          <w:rFonts w:hint="eastAsia" w:ascii="宋体" w:hAnsi="宋体"/>
          <w:b/>
          <w:color w:val="000000"/>
          <w:szCs w:val="21"/>
        </w:rPr>
      </w:pPr>
      <w:bookmarkStart w:id="64" w:name="_Toc62807501"/>
      <w:bookmarkStart w:id="65" w:name="_Toc63583490"/>
      <w:bookmarkStart w:id="66" w:name="_Toc62807508"/>
      <w:bookmarkStart w:id="67" w:name="_Toc33452249"/>
      <w:bookmarkStart w:id="68" w:name="_Toc135142677"/>
      <w:bookmarkStart w:id="69" w:name="_Toc161126688"/>
      <w:bookmarkStart w:id="70" w:name="_Toc161067504"/>
      <w:bookmarkStart w:id="71" w:name="_Toc173229836"/>
      <w:r>
        <w:rPr>
          <w:rFonts w:hint="eastAsia" w:ascii="宋体" w:hAnsi="宋体"/>
          <w:b/>
          <w:color w:val="000000"/>
          <w:szCs w:val="21"/>
        </w:rPr>
        <w:t>第五条 履约验收</w:t>
      </w:r>
    </w:p>
    <w:p w14:paraId="3867C4F2">
      <w:pPr>
        <w:spacing w:line="360" w:lineRule="auto"/>
        <w:ind w:firstLine="420"/>
        <w:rPr>
          <w:rFonts w:hint="eastAsia" w:ascii="宋体" w:hAnsi="宋体"/>
          <w:szCs w:val="21"/>
        </w:rPr>
      </w:pPr>
    </w:p>
    <w:p w14:paraId="1F05C3AB">
      <w:pPr>
        <w:spacing w:line="360" w:lineRule="auto"/>
        <w:ind w:firstLine="422"/>
        <w:rPr>
          <w:rFonts w:hint="eastAsia" w:ascii="宋体" w:hAnsi="宋体"/>
          <w:b/>
          <w:bCs/>
          <w:szCs w:val="21"/>
        </w:rPr>
      </w:pPr>
      <w:r>
        <w:rPr>
          <w:rFonts w:hint="eastAsia" w:ascii="宋体" w:hAnsi="宋体"/>
          <w:b/>
          <w:bCs/>
          <w:szCs w:val="21"/>
        </w:rPr>
        <w:t>第六条 权利和义务</w:t>
      </w:r>
    </w:p>
    <w:p w14:paraId="7DA24B77">
      <w:pPr>
        <w:spacing w:line="360" w:lineRule="auto"/>
        <w:ind w:firstLine="420"/>
        <w:rPr>
          <w:rFonts w:hint="eastAsia" w:ascii="宋体" w:hAnsi="宋体"/>
          <w:szCs w:val="21"/>
        </w:rPr>
      </w:pPr>
      <w:r>
        <w:rPr>
          <w:rFonts w:hint="eastAsia" w:ascii="宋体" w:hAnsi="宋体"/>
          <w:szCs w:val="21"/>
        </w:rPr>
        <w:t>（一）甲方的权利和义务：</w:t>
      </w:r>
    </w:p>
    <w:p w14:paraId="2D1A0AD4">
      <w:pPr>
        <w:widowControl/>
        <w:spacing w:line="360" w:lineRule="auto"/>
        <w:ind w:firstLine="420"/>
        <w:jc w:val="left"/>
        <w:rPr>
          <w:rFonts w:hint="eastAsia" w:ascii="宋体" w:hAnsi="宋体"/>
          <w:szCs w:val="21"/>
        </w:rPr>
      </w:pPr>
      <w:r>
        <w:rPr>
          <w:rFonts w:hint="eastAsia" w:ascii="宋体" w:hAnsi="宋体"/>
          <w:szCs w:val="21"/>
        </w:rPr>
        <w:t>1.向乙方提供履行合同所需的项目资料，并指定专人作为甲方联系人予以协调工作。加强与乙方沟通，交流情况，互通信息。</w:t>
      </w:r>
    </w:p>
    <w:p w14:paraId="7852FD4D">
      <w:pPr>
        <w:widowControl/>
        <w:spacing w:line="360" w:lineRule="auto"/>
        <w:ind w:firstLine="420"/>
        <w:jc w:val="left"/>
        <w:rPr>
          <w:rFonts w:hint="eastAsia" w:ascii="宋体" w:hAnsi="宋体"/>
          <w:szCs w:val="21"/>
        </w:rPr>
      </w:pPr>
      <w:r>
        <w:rPr>
          <w:rFonts w:hint="eastAsia" w:ascii="宋体" w:hAnsi="宋体"/>
          <w:szCs w:val="21"/>
        </w:rPr>
        <w:t>2.应尊重乙方的劳动成果，积极配合乙方工作人员履行好合同所规定的职责和义务。</w:t>
      </w:r>
    </w:p>
    <w:p w14:paraId="7F11FABF">
      <w:pPr>
        <w:widowControl/>
        <w:spacing w:line="360" w:lineRule="auto"/>
        <w:ind w:firstLine="420"/>
        <w:jc w:val="left"/>
        <w:rPr>
          <w:rFonts w:hint="eastAsia" w:ascii="宋体" w:hAnsi="宋体"/>
          <w:szCs w:val="21"/>
        </w:rPr>
      </w:pPr>
      <w:r>
        <w:rPr>
          <w:rFonts w:hint="eastAsia" w:ascii="宋体" w:hAnsi="宋体"/>
          <w:szCs w:val="21"/>
        </w:rPr>
        <w:t>3.按照合同的约定，及时考核乙方的履约工作，并按照考核结果及时支付合同价款。</w:t>
      </w:r>
    </w:p>
    <w:p w14:paraId="14274021">
      <w:pPr>
        <w:pStyle w:val="12"/>
        <w:spacing w:line="360" w:lineRule="auto"/>
        <w:rPr>
          <w:rFonts w:hint="eastAsia" w:ascii="宋体" w:hAnsi="宋体" w:eastAsia="宋体"/>
          <w:sz w:val="21"/>
          <w:szCs w:val="21"/>
        </w:rPr>
      </w:pPr>
      <w:r>
        <w:rPr>
          <w:rFonts w:hint="eastAsia" w:ascii="宋体" w:hAnsi="宋体" w:eastAsia="宋体"/>
          <w:sz w:val="21"/>
          <w:szCs w:val="21"/>
        </w:rPr>
        <w:t>（二）乙方的权利和义务：</w:t>
      </w:r>
    </w:p>
    <w:p w14:paraId="3DB04DB8">
      <w:pPr>
        <w:spacing w:line="360" w:lineRule="auto"/>
        <w:ind w:firstLine="432"/>
        <w:rPr>
          <w:rFonts w:hint="eastAsia" w:ascii="宋体" w:hAnsi="宋体"/>
          <w:color w:val="000000"/>
          <w:szCs w:val="21"/>
        </w:rPr>
      </w:pPr>
      <w:r>
        <w:rPr>
          <w:rFonts w:hint="eastAsia" w:ascii="宋体" w:hAnsi="宋体"/>
          <w:szCs w:val="21"/>
        </w:rPr>
        <w:t>1.</w:t>
      </w:r>
      <w:r>
        <w:rPr>
          <w:rFonts w:hint="eastAsia" w:ascii="宋体" w:hAnsi="宋体"/>
          <w:color w:val="000000"/>
          <w:szCs w:val="21"/>
        </w:rPr>
        <w:t>对于甲方在</w:t>
      </w:r>
      <w:r>
        <w:rPr>
          <w:rFonts w:hint="eastAsia" w:ascii="宋体" w:hAnsi="宋体"/>
          <w:szCs w:val="21"/>
        </w:rPr>
        <w:t>采购</w:t>
      </w:r>
      <w:r>
        <w:rPr>
          <w:rFonts w:hint="eastAsia" w:ascii="宋体" w:hAnsi="宋体"/>
          <w:color w:val="000000"/>
          <w:szCs w:val="21"/>
        </w:rPr>
        <w:t>文件中所要求的及乙方在投标（响应）文件中所承诺提供的服务，乙方应无条件提供，乙方在签订合同时已充分考虑了合同履行期间的所有风险，在项目实施过程中及项目实施完成后，乙方承诺不以任何理由向甲方提出增加费用的要求。</w:t>
      </w:r>
    </w:p>
    <w:p w14:paraId="3D4A3478">
      <w:pPr>
        <w:spacing w:line="360" w:lineRule="auto"/>
        <w:ind w:firstLine="420"/>
        <w:rPr>
          <w:rFonts w:hint="eastAsia" w:ascii="宋体" w:hAnsi="宋体"/>
          <w:szCs w:val="21"/>
        </w:rPr>
      </w:pPr>
      <w:r>
        <w:rPr>
          <w:rFonts w:hint="eastAsia" w:ascii="宋体" w:hAnsi="宋体"/>
          <w:szCs w:val="21"/>
        </w:rPr>
        <w:t>2.建立各类管理规章制度和工作计划等管理档案资料，按照采购文件及响应文件的内容认真履约，定期向甲方书面报告履约情况。</w:t>
      </w:r>
    </w:p>
    <w:p w14:paraId="135428C0">
      <w:pPr>
        <w:spacing w:line="360" w:lineRule="auto"/>
        <w:ind w:firstLine="420"/>
        <w:rPr>
          <w:rFonts w:hint="eastAsia" w:ascii="宋体" w:hAnsi="宋体"/>
          <w:szCs w:val="21"/>
        </w:rPr>
      </w:pPr>
      <w:r>
        <w:rPr>
          <w:rFonts w:hint="eastAsia" w:ascii="宋体" w:hAnsi="宋体"/>
          <w:szCs w:val="21"/>
        </w:rPr>
        <w:t>3.接受并积极配合甲方组织考核、满意度调查等工作，并按甲方提出的意见及时进行整改。</w:t>
      </w:r>
    </w:p>
    <w:p w14:paraId="0AC5D91E">
      <w:pPr>
        <w:spacing w:line="360" w:lineRule="auto"/>
        <w:ind w:firstLine="420"/>
        <w:rPr>
          <w:rFonts w:hint="eastAsia" w:ascii="宋体" w:hAnsi="宋体"/>
          <w:szCs w:val="21"/>
        </w:rPr>
      </w:pPr>
      <w:r>
        <w:rPr>
          <w:rFonts w:hint="eastAsia" w:ascii="宋体" w:hAnsi="宋体"/>
          <w:szCs w:val="21"/>
        </w:rPr>
        <w:t>4.不得向履约无关的其他人透露采购项目的信息，应指定专人负责本项目管理、协调工作。</w:t>
      </w:r>
    </w:p>
    <w:p w14:paraId="4A19B73E">
      <w:pPr>
        <w:spacing w:line="360" w:lineRule="auto"/>
        <w:ind w:firstLine="420"/>
        <w:rPr>
          <w:rFonts w:hint="eastAsia" w:ascii="宋体" w:hAnsi="宋体"/>
          <w:szCs w:val="21"/>
        </w:rPr>
      </w:pPr>
      <w:r>
        <w:rPr>
          <w:rFonts w:hint="eastAsia" w:ascii="宋体" w:hAnsi="宋体"/>
          <w:szCs w:val="21"/>
        </w:rPr>
        <w:t>5.乙方保证所提供的服务不会侵犯任何第三方的知识产权和商业秘密。一旦出现侵权、索赔或诉讼，乙方应承担全部责任。</w:t>
      </w:r>
    </w:p>
    <w:p w14:paraId="2E107429">
      <w:pPr>
        <w:spacing w:line="360" w:lineRule="auto"/>
        <w:ind w:firstLine="420"/>
        <w:rPr>
          <w:rFonts w:hint="eastAsia" w:ascii="宋体" w:hAnsi="宋体"/>
          <w:szCs w:val="21"/>
        </w:rPr>
      </w:pPr>
      <w:r>
        <w:rPr>
          <w:rFonts w:hint="eastAsia" w:ascii="宋体" w:hAnsi="宋体"/>
          <w:szCs w:val="21"/>
        </w:rPr>
        <w:t xml:space="preserve">6.乙方在履约工作中应当做到文明工作、安全生产，加强对员工进行岗位职责和安全教育，工作中采取必要的安全防范措施。合同期内若发生因乙方管理不当、违规操作导致的安全责任事故，由乙方承担全部责任。如对甲方造成一定经济损失的，乙方需承担相应的经济赔偿责任。 </w:t>
      </w:r>
    </w:p>
    <w:p w14:paraId="33A6F1E1">
      <w:pPr>
        <w:spacing w:line="360" w:lineRule="auto"/>
        <w:ind w:firstLine="420"/>
        <w:rPr>
          <w:rFonts w:hint="eastAsia" w:ascii="宋体" w:hAnsi="宋体"/>
          <w:szCs w:val="21"/>
        </w:rPr>
      </w:pPr>
      <w:r>
        <w:rPr>
          <w:rFonts w:hint="eastAsia" w:ascii="宋体" w:hAnsi="宋体"/>
          <w:szCs w:val="21"/>
        </w:rPr>
        <w:t>7.乙方在履约过程中，因自身原因造成甲方或第三人的人身或财产损失的，由乙方自行承担全部责任。</w:t>
      </w:r>
    </w:p>
    <w:p w14:paraId="45BFE662">
      <w:pPr>
        <w:spacing w:line="360" w:lineRule="auto"/>
        <w:ind w:firstLine="420"/>
        <w:rPr>
          <w:rFonts w:hint="eastAsia" w:ascii="宋体" w:hAnsi="宋体"/>
          <w:szCs w:val="21"/>
        </w:rPr>
      </w:pPr>
      <w:r>
        <w:rPr>
          <w:rFonts w:hint="eastAsia" w:ascii="宋体" w:hAnsi="宋体"/>
          <w:szCs w:val="21"/>
        </w:rPr>
        <w:t>8.因乙方过错导致物业共用部位、共用设施设备损坏的，乙方应承担相应的赔偿责任。</w:t>
      </w:r>
    </w:p>
    <w:p w14:paraId="462B9533">
      <w:pPr>
        <w:spacing w:line="360" w:lineRule="auto"/>
        <w:ind w:firstLine="420"/>
        <w:rPr>
          <w:rFonts w:hint="eastAsia" w:ascii="宋体" w:hAnsi="宋体"/>
          <w:szCs w:val="21"/>
        </w:rPr>
      </w:pPr>
      <w:r>
        <w:rPr>
          <w:rFonts w:hint="eastAsia" w:ascii="宋体" w:hAnsi="宋体"/>
          <w:szCs w:val="21"/>
        </w:rPr>
        <w:t>9.认真执行国家有关规定（如苏州市最低工资标准和其他规定），严格遵守各项安全制度和操作规程，加强对员工的安全教育，凡发生设备损坏和人员损伤等事故，以及员工生病、事故、伤残、死亡和劳务（劳资问题、工资拖欠问题）纠纷等，均由乙方负责和赔偿。</w:t>
      </w:r>
    </w:p>
    <w:p w14:paraId="061A260F">
      <w:pPr>
        <w:spacing w:line="360" w:lineRule="auto"/>
        <w:ind w:firstLine="420"/>
        <w:rPr>
          <w:rFonts w:hint="eastAsia" w:ascii="宋体" w:hAnsi="宋体"/>
          <w:szCs w:val="21"/>
        </w:rPr>
      </w:pPr>
    </w:p>
    <w:p w14:paraId="4F7BE3A4">
      <w:pPr>
        <w:spacing w:line="360" w:lineRule="auto"/>
        <w:ind w:firstLine="422"/>
        <w:rPr>
          <w:rFonts w:hint="eastAsia" w:ascii="宋体" w:hAnsi="宋体"/>
          <w:b/>
          <w:bCs/>
          <w:szCs w:val="21"/>
        </w:rPr>
      </w:pPr>
      <w:r>
        <w:rPr>
          <w:rFonts w:hint="eastAsia" w:ascii="宋体" w:hAnsi="宋体"/>
          <w:b/>
          <w:bCs/>
          <w:szCs w:val="21"/>
        </w:rPr>
        <w:t>第七条 违约责任及合同终止</w:t>
      </w:r>
    </w:p>
    <w:p w14:paraId="58F312F5">
      <w:pPr>
        <w:spacing w:line="360" w:lineRule="auto"/>
        <w:ind w:firstLine="420"/>
        <w:rPr>
          <w:rFonts w:hint="eastAsia" w:ascii="宋体" w:hAnsi="宋体"/>
          <w:szCs w:val="21"/>
        </w:rPr>
      </w:pPr>
      <w:r>
        <w:rPr>
          <w:rFonts w:hint="eastAsia" w:ascii="宋体" w:hAnsi="宋体"/>
          <w:szCs w:val="21"/>
        </w:rPr>
        <w:t>1.甲乙双方任何一方违反合同，造成对方经济损失的，应给予对方经济赔偿。在合同服务期限内一方不得擅自变更或终止合同，合同需终止或续签，应在合同服务期限内提前一个月以书面形式通知对方。</w:t>
      </w:r>
    </w:p>
    <w:p w14:paraId="57E872BF">
      <w:pPr>
        <w:spacing w:line="360" w:lineRule="auto"/>
        <w:ind w:firstLine="420"/>
      </w:pPr>
      <w:r>
        <w:rPr>
          <w:rFonts w:hint="eastAsia" w:ascii="宋体" w:hAnsi="宋体"/>
          <w:szCs w:val="21"/>
        </w:rPr>
        <w:t>2.乙方提供的履约工作无法达到合同规定的服务质量标准的或者乙方延误履约，甲方可向乙方提出限期整改，整改期内，乙方应按每日合同总价款的万分之四向甲方支付赔偿金，另外甲方有权邀请第三方提供服务，费用由乙方承担或从乙方合同款中扣除。乙方整改后仍无法达到合同相应要求的，甲方有权停止支付合同款并终止合同，并向乙方索要违约损失赔偿，违约金原则上不高于合同总金额的百分之二十。</w:t>
      </w:r>
      <w:r>
        <w:rPr>
          <w:rFonts w:hint="eastAsia"/>
        </w:rPr>
        <w:t>违约金不足以弥补损失的，甲方有权继续追偿。</w:t>
      </w:r>
    </w:p>
    <w:p w14:paraId="5FE63C22">
      <w:pPr>
        <w:spacing w:line="360" w:lineRule="auto"/>
        <w:ind w:firstLine="420"/>
        <w:rPr>
          <w:rFonts w:hint="eastAsia" w:ascii="宋体" w:hAnsi="宋体"/>
          <w:szCs w:val="21"/>
        </w:rPr>
      </w:pPr>
      <w:r>
        <w:rPr>
          <w:rFonts w:hint="eastAsia" w:ascii="宋体" w:hAnsi="宋体"/>
          <w:szCs w:val="21"/>
        </w:rPr>
        <w:t>3.乙方实际履约过程中提供人员持证情况低于中标（成交）的投标（响应）文件中相应标准的，甲方有权终止合同并追究乙方违约责任。</w:t>
      </w:r>
    </w:p>
    <w:p w14:paraId="39A6A93B">
      <w:pPr>
        <w:spacing w:line="360" w:lineRule="auto"/>
        <w:ind w:firstLine="420"/>
        <w:rPr>
          <w:rFonts w:hint="eastAsia" w:ascii="宋体" w:hAnsi="宋体"/>
          <w:szCs w:val="21"/>
        </w:rPr>
      </w:pPr>
      <w:r>
        <w:rPr>
          <w:rFonts w:hint="eastAsia" w:ascii="宋体" w:hAnsi="宋体"/>
          <w:szCs w:val="21"/>
        </w:rPr>
        <w:t>4.甲方无正当理由不配合或者阻挠乙方正常履约的，乙方积极沟通仍无效的，乙方有权终止合同并向甲方索要违约损失赔偿，违约金原则上不高于合同总金额的百分之二十。违约金不足以弥补损失的，乙方有权继续追偿。</w:t>
      </w:r>
    </w:p>
    <w:p w14:paraId="6C6B3374">
      <w:pPr>
        <w:spacing w:line="360" w:lineRule="auto"/>
        <w:ind w:firstLine="420"/>
        <w:rPr>
          <w:rFonts w:hint="eastAsia" w:ascii="宋体" w:hAnsi="宋体"/>
          <w:szCs w:val="21"/>
        </w:rPr>
      </w:pPr>
      <w:r>
        <w:rPr>
          <w:rFonts w:hint="eastAsia" w:ascii="宋体" w:hAnsi="宋体"/>
          <w:szCs w:val="21"/>
        </w:rPr>
        <w:t>5.甲方不能及时按合同付款，则应当付款逾期第五日起，每日按合同总价款的万分之四向乙方支付滞纳金，甲方应付费用拖欠六十日后，乙方有权终止合同，并向甲方索赔。</w:t>
      </w:r>
    </w:p>
    <w:p w14:paraId="1886A1D3">
      <w:pPr>
        <w:spacing w:line="360" w:lineRule="auto"/>
        <w:ind w:firstLine="420"/>
        <w:rPr>
          <w:rFonts w:hint="eastAsia" w:ascii="宋体" w:hAnsi="宋体"/>
          <w:szCs w:val="21"/>
        </w:rPr>
      </w:pPr>
      <w:r>
        <w:rPr>
          <w:rFonts w:hint="eastAsia" w:ascii="宋体" w:hAnsi="宋体"/>
          <w:szCs w:val="21"/>
        </w:rPr>
        <w:t>6.乙方或乙方工作人员违反保密义务，泄漏甲方信息的，甲方有权立即解除合同，并要求乙方承担合同总价款百分之二十的违约金。违约金不足以弥补损失的，甲方有权继续追偿。</w:t>
      </w:r>
    </w:p>
    <w:p w14:paraId="7DFF2FB5">
      <w:pPr>
        <w:spacing w:line="360" w:lineRule="auto"/>
        <w:ind w:firstLine="420"/>
        <w:rPr>
          <w:rFonts w:hint="eastAsia" w:ascii="宋体" w:hAnsi="宋体"/>
          <w:szCs w:val="21"/>
        </w:rPr>
      </w:pPr>
      <w:r>
        <w:rPr>
          <w:rFonts w:hint="eastAsia" w:ascii="宋体" w:hAnsi="宋体"/>
          <w:szCs w:val="21"/>
        </w:rPr>
        <w:t>7.双方提出索赔通知后十五日内或双方允许的更长时间内未能予以答复，该索赔应视为已经被对方接受。甲方有权从未付款项中扣除索赔金额，并拥有对赔偿不足部分进一步索赔的权利。</w:t>
      </w:r>
    </w:p>
    <w:p w14:paraId="6FA11817">
      <w:pPr>
        <w:spacing w:line="360" w:lineRule="auto"/>
        <w:ind w:firstLine="420"/>
        <w:rPr>
          <w:rFonts w:hint="eastAsia" w:ascii="宋体" w:hAnsi="宋体"/>
          <w:szCs w:val="21"/>
        </w:rPr>
      </w:pPr>
    </w:p>
    <w:p w14:paraId="0D2B310A">
      <w:pPr>
        <w:spacing w:line="360" w:lineRule="auto"/>
        <w:ind w:firstLine="420"/>
        <w:rPr>
          <w:rFonts w:hint="eastAsia" w:ascii="宋体" w:hAnsi="宋体"/>
          <w:b/>
          <w:color w:val="000000"/>
          <w:szCs w:val="21"/>
        </w:rPr>
      </w:pPr>
      <w:r>
        <w:rPr>
          <w:rFonts w:hint="eastAsia" w:ascii="宋体" w:hAnsi="宋体"/>
          <w:b/>
          <w:color w:val="000000"/>
          <w:szCs w:val="21"/>
        </w:rPr>
        <w:t>第八条 分包</w:t>
      </w:r>
    </w:p>
    <w:p w14:paraId="42B33F56">
      <w:pPr>
        <w:spacing w:line="360" w:lineRule="auto"/>
        <w:ind w:firstLine="420"/>
        <w:rPr>
          <w:rFonts w:hint="eastAsia" w:ascii="宋体" w:hAnsi="宋体"/>
          <w:b/>
          <w:bCs/>
          <w:color w:val="000000"/>
          <w:szCs w:val="21"/>
        </w:rPr>
      </w:pPr>
      <w:r>
        <w:rPr>
          <w:rFonts w:hint="eastAsia" w:ascii="宋体" w:hAnsi="宋体"/>
          <w:szCs w:val="21"/>
        </w:rPr>
        <w:t>未经甲方书面同意，乙方不得将本项目服务内容以任何形式分包，否则甲方有权解除合同，并要求乙方承担不高于合同总金额百分之二十的违约金。</w:t>
      </w:r>
      <w:r>
        <w:rPr>
          <w:rFonts w:hint="eastAsia"/>
        </w:rPr>
        <w:t>违约金不足以弥补损失的，甲方有权继续追偿。</w:t>
      </w:r>
    </w:p>
    <w:p w14:paraId="4A56DD00">
      <w:pPr>
        <w:spacing w:line="360" w:lineRule="auto"/>
        <w:ind w:firstLine="422"/>
        <w:rPr>
          <w:rFonts w:hint="eastAsia" w:ascii="宋体" w:hAnsi="宋体"/>
          <w:b/>
          <w:bCs/>
          <w:color w:val="000000"/>
          <w:szCs w:val="21"/>
        </w:rPr>
      </w:pPr>
    </w:p>
    <w:p w14:paraId="7F6E90A2">
      <w:pPr>
        <w:spacing w:line="360" w:lineRule="auto"/>
        <w:ind w:firstLine="422"/>
        <w:rPr>
          <w:rFonts w:hint="eastAsia" w:ascii="宋体" w:hAnsi="宋体"/>
          <w:b/>
          <w:bCs/>
          <w:color w:val="000000"/>
          <w:szCs w:val="21"/>
        </w:rPr>
      </w:pPr>
      <w:r>
        <w:rPr>
          <w:rFonts w:hint="eastAsia" w:ascii="宋体" w:hAnsi="宋体"/>
          <w:b/>
          <w:bCs/>
          <w:color w:val="000000"/>
          <w:szCs w:val="21"/>
        </w:rPr>
        <w:t>第九条 不可抗力</w:t>
      </w:r>
    </w:p>
    <w:p w14:paraId="1AC93E19">
      <w:pPr>
        <w:spacing w:line="360" w:lineRule="auto"/>
        <w:ind w:firstLine="420"/>
        <w:rPr>
          <w:rFonts w:hint="eastAsia" w:ascii="宋体" w:hAnsi="宋体"/>
          <w:color w:val="000000"/>
          <w:szCs w:val="21"/>
        </w:rPr>
      </w:pPr>
      <w:r>
        <w:rPr>
          <w:rFonts w:hint="eastAsia" w:ascii="宋体" w:hAnsi="宋体"/>
          <w:color w:val="000000"/>
          <w:szCs w:val="21"/>
        </w:rPr>
        <w:t>1.如果乙方和甲方因不可抗力而导致合同实施延误或不能履行合同义务，不应该承担误期赔偿或不能履行合同义务的责任。因乙方或甲方先延误或不能履行合同而后遇不可抗力的情形除外。 </w:t>
      </w:r>
    </w:p>
    <w:p w14:paraId="4A5CBAC3">
      <w:pPr>
        <w:spacing w:line="360" w:lineRule="auto"/>
        <w:ind w:firstLine="420"/>
        <w:rPr>
          <w:rFonts w:hint="eastAsia" w:ascii="宋体" w:hAnsi="宋体"/>
          <w:color w:val="000000"/>
          <w:szCs w:val="21"/>
        </w:rPr>
      </w:pPr>
      <w:r>
        <w:rPr>
          <w:rFonts w:hint="eastAsia" w:ascii="宋体" w:hAnsi="宋体"/>
          <w:color w:val="000000"/>
          <w:szCs w:val="21"/>
        </w:rPr>
        <w:t>2.本条所述的“不可抗力”系指那些双方无法控制，不可预见的事件，但不包括双方的违约或疏忽。这些事件包括但不限于：战争、严重火灾、洪水、台风、地震、国家政策的重大变化，以及双方商定的其他事件。 </w:t>
      </w:r>
    </w:p>
    <w:p w14:paraId="6E0E65CA">
      <w:pPr>
        <w:spacing w:line="360" w:lineRule="auto"/>
        <w:ind w:firstLine="420"/>
        <w:rPr>
          <w:rFonts w:hint="eastAsia" w:ascii="宋体" w:hAnsi="宋体"/>
          <w:color w:val="000000"/>
          <w:szCs w:val="21"/>
        </w:rPr>
      </w:pPr>
      <w:r>
        <w:rPr>
          <w:rFonts w:hint="eastAsia" w:ascii="宋体" w:hAnsi="宋体"/>
          <w:color w:val="000000"/>
          <w:szCs w:val="21"/>
        </w:rPr>
        <w:t>3.在不可抗力事件发生后，当事方应在十五日内以书面形式将不可抗力的情况和原因通知对方。双方应尽实际可能继续履行合同义务，并积极寻求采取合理的方案履行不受不可抗力影响的其他事项。双方应通过友好协商在合理的时间内达成进一步履行合同的协议。</w:t>
      </w:r>
    </w:p>
    <w:p w14:paraId="28FB803A">
      <w:pPr>
        <w:spacing w:line="360" w:lineRule="auto"/>
        <w:ind w:firstLine="420"/>
        <w:rPr>
          <w:rFonts w:hint="eastAsia" w:ascii="宋体" w:hAnsi="宋体"/>
          <w:color w:val="000000"/>
          <w:szCs w:val="21"/>
        </w:rPr>
      </w:pPr>
    </w:p>
    <w:p w14:paraId="162A4D7D">
      <w:pPr>
        <w:spacing w:line="360" w:lineRule="auto"/>
        <w:ind w:firstLine="422"/>
        <w:rPr>
          <w:rFonts w:hint="eastAsia" w:ascii="宋体" w:hAnsi="宋体"/>
          <w:b/>
          <w:bCs/>
          <w:color w:val="000000"/>
          <w:szCs w:val="21"/>
        </w:rPr>
      </w:pPr>
      <w:r>
        <w:rPr>
          <w:rFonts w:hint="eastAsia" w:ascii="宋体" w:hAnsi="宋体"/>
          <w:b/>
          <w:bCs/>
          <w:color w:val="000000"/>
          <w:szCs w:val="21"/>
        </w:rPr>
        <w:t>第十条 争端的解决</w:t>
      </w:r>
    </w:p>
    <w:p w14:paraId="66133088">
      <w:pPr>
        <w:spacing w:line="360" w:lineRule="auto"/>
        <w:ind w:firstLine="420"/>
        <w:rPr>
          <w:rFonts w:hint="eastAsia" w:ascii="宋体" w:hAnsi="宋体"/>
          <w:color w:val="000000"/>
          <w:szCs w:val="21"/>
        </w:rPr>
      </w:pPr>
      <w:r>
        <w:rPr>
          <w:rFonts w:hint="eastAsia" w:ascii="宋体" w:hAnsi="宋体"/>
          <w:color w:val="000000"/>
          <w:szCs w:val="21"/>
        </w:rPr>
        <w:t>1.甲方和乙方应通过友好协商，解决在执行本合同过程中所发生的或与本合同有关的一切争端。</w:t>
      </w:r>
    </w:p>
    <w:p w14:paraId="28DB1443">
      <w:pPr>
        <w:spacing w:line="360" w:lineRule="auto"/>
        <w:ind w:firstLine="420"/>
        <w:rPr>
          <w:rFonts w:hint="eastAsia" w:ascii="宋体" w:hAnsi="宋体"/>
          <w:color w:val="000000"/>
          <w:szCs w:val="21"/>
        </w:rPr>
      </w:pPr>
      <w:r>
        <w:rPr>
          <w:rFonts w:hint="eastAsia" w:ascii="宋体" w:hAnsi="宋体"/>
          <w:color w:val="000000"/>
          <w:szCs w:val="21"/>
        </w:rPr>
        <w:t>2.调解不成，双方中的任何一方可向甲方所在地的人民法院提起诉讼。</w:t>
      </w:r>
    </w:p>
    <w:p w14:paraId="2E8F4321">
      <w:pPr>
        <w:spacing w:line="360" w:lineRule="auto"/>
        <w:ind w:firstLine="420"/>
        <w:rPr>
          <w:rFonts w:hint="eastAsia" w:ascii="宋体" w:hAnsi="宋体"/>
          <w:color w:val="000000"/>
          <w:szCs w:val="21"/>
        </w:rPr>
      </w:pPr>
      <w:r>
        <w:rPr>
          <w:rFonts w:hint="eastAsia" w:ascii="宋体" w:hAnsi="宋体"/>
          <w:color w:val="000000"/>
          <w:szCs w:val="21"/>
        </w:rPr>
        <w:t>3.因合同部分履行引发诉讼的，在诉讼期间，除正在进行诉讼的部分外，本合同的其它部分应继续执行。</w:t>
      </w:r>
    </w:p>
    <w:p w14:paraId="42644D82">
      <w:pPr>
        <w:spacing w:line="360" w:lineRule="auto"/>
        <w:rPr>
          <w:rFonts w:hint="eastAsia" w:ascii="宋体" w:hAnsi="宋体"/>
          <w:color w:val="000000"/>
          <w:szCs w:val="21"/>
        </w:rPr>
      </w:pPr>
    </w:p>
    <w:p w14:paraId="39DE85D0">
      <w:pPr>
        <w:spacing w:line="360" w:lineRule="auto"/>
        <w:ind w:firstLine="422"/>
        <w:rPr>
          <w:rFonts w:hint="eastAsia" w:ascii="宋体" w:hAnsi="宋体"/>
          <w:b/>
          <w:bCs/>
          <w:color w:val="000000"/>
          <w:szCs w:val="21"/>
        </w:rPr>
      </w:pPr>
      <w:r>
        <w:rPr>
          <w:rFonts w:hint="eastAsia" w:ascii="宋体" w:hAnsi="宋体"/>
          <w:b/>
          <w:bCs/>
          <w:color w:val="000000"/>
          <w:szCs w:val="21"/>
        </w:rPr>
        <w:t>第十一条 合同生效</w:t>
      </w:r>
    </w:p>
    <w:p w14:paraId="6DC34A68">
      <w:pPr>
        <w:spacing w:line="360" w:lineRule="auto"/>
        <w:ind w:firstLine="420"/>
        <w:rPr>
          <w:rFonts w:hint="eastAsia" w:ascii="宋体" w:hAnsi="宋体"/>
          <w:color w:val="000000"/>
          <w:szCs w:val="21"/>
        </w:rPr>
      </w:pPr>
      <w:r>
        <w:rPr>
          <w:rFonts w:hint="eastAsia" w:ascii="宋体" w:hAnsi="宋体"/>
          <w:color w:val="000000"/>
          <w:szCs w:val="21"/>
        </w:rPr>
        <w:t>1.双方签约人为各自法定代表人或被授权代表。</w:t>
      </w:r>
    </w:p>
    <w:p w14:paraId="3BA73B17">
      <w:pPr>
        <w:spacing w:line="360" w:lineRule="auto"/>
        <w:ind w:firstLine="420"/>
        <w:rPr>
          <w:rFonts w:hint="eastAsia" w:ascii="宋体" w:hAnsi="宋体"/>
          <w:color w:val="000000"/>
          <w:szCs w:val="21"/>
        </w:rPr>
      </w:pPr>
      <w:r>
        <w:rPr>
          <w:rFonts w:hint="eastAsia" w:ascii="宋体" w:hAnsi="宋体"/>
          <w:color w:val="000000"/>
          <w:szCs w:val="21"/>
        </w:rPr>
        <w:t>2.本合同壹式肆份，甲乙双方各执贰份，各份具有同等法律效力。</w:t>
      </w:r>
    </w:p>
    <w:p w14:paraId="39D375DB">
      <w:pPr>
        <w:spacing w:line="360" w:lineRule="auto"/>
        <w:ind w:firstLine="420"/>
        <w:rPr>
          <w:rFonts w:hint="eastAsia" w:ascii="宋体" w:hAnsi="宋体"/>
          <w:color w:val="000000"/>
          <w:szCs w:val="21"/>
        </w:rPr>
      </w:pPr>
      <w:r>
        <w:rPr>
          <w:rFonts w:hint="eastAsia" w:ascii="宋体" w:hAnsi="宋体"/>
          <w:color w:val="000000"/>
          <w:szCs w:val="21"/>
        </w:rPr>
        <w:t>3.本合同应按照中华人民共和国的现行法律进行解释。</w:t>
      </w:r>
    </w:p>
    <w:p w14:paraId="5979C595">
      <w:pPr>
        <w:spacing w:line="360" w:lineRule="auto"/>
        <w:ind w:firstLine="420"/>
        <w:rPr>
          <w:rFonts w:hint="eastAsia" w:ascii="宋体" w:hAnsi="宋体"/>
          <w:color w:val="000000"/>
          <w:szCs w:val="21"/>
        </w:rPr>
      </w:pPr>
      <w:r>
        <w:rPr>
          <w:rFonts w:hint="eastAsia" w:ascii="宋体" w:hAnsi="宋体"/>
          <w:color w:val="000000"/>
          <w:szCs w:val="21"/>
        </w:rPr>
        <w:t>4.合同修改：除甲乙双方签署书面修改、补充条款，并成为本合同不可分割的一部分之外，本合同条件不得有任何变化或修改。</w:t>
      </w:r>
    </w:p>
    <w:p w14:paraId="3E05512A">
      <w:pPr>
        <w:spacing w:line="360" w:lineRule="auto"/>
        <w:ind w:firstLine="420"/>
        <w:rPr>
          <w:color w:val="000000"/>
          <w:u w:val="single"/>
        </w:rPr>
      </w:pPr>
    </w:p>
    <w:p w14:paraId="4E3CA2AC">
      <w:pPr>
        <w:spacing w:line="360" w:lineRule="auto"/>
        <w:ind w:firstLine="420"/>
        <w:rPr>
          <w:rFonts w:hint="eastAsia" w:ascii="宋体" w:hAnsi="宋体"/>
          <w:color w:val="000000"/>
          <w:szCs w:val="21"/>
        </w:rPr>
      </w:pPr>
    </w:p>
    <w:p w14:paraId="70AB3BE4">
      <w:pPr>
        <w:spacing w:line="360" w:lineRule="auto"/>
        <w:rPr>
          <w:rFonts w:hint="eastAsia" w:ascii="宋体" w:hAnsi="宋体"/>
          <w:color w:val="000000"/>
          <w:szCs w:val="21"/>
        </w:rPr>
      </w:pPr>
      <w:r>
        <w:rPr>
          <w:rFonts w:hint="eastAsia" w:ascii="宋体" w:hAnsi="宋体"/>
          <w:color w:val="000000"/>
          <w:szCs w:val="21"/>
        </w:rPr>
        <w:t>甲方（公章）：                               乙方（公章）：</w:t>
      </w:r>
    </w:p>
    <w:p w14:paraId="4B29CF6F">
      <w:pPr>
        <w:spacing w:line="360" w:lineRule="auto"/>
        <w:rPr>
          <w:rFonts w:hint="eastAsia" w:ascii="宋体" w:hAnsi="宋体"/>
          <w:color w:val="000000"/>
          <w:szCs w:val="21"/>
        </w:rPr>
      </w:pPr>
      <w:r>
        <w:rPr>
          <w:rFonts w:hint="eastAsia" w:ascii="宋体" w:hAnsi="宋体"/>
          <w:color w:val="000000"/>
          <w:szCs w:val="21"/>
        </w:rPr>
        <w:t>法定代表人或授权代表（签字或盖章）：         法定代表人或授权代表（签字或盖章）：</w:t>
      </w:r>
    </w:p>
    <w:p w14:paraId="4DF19C4E">
      <w:pPr>
        <w:spacing w:line="360" w:lineRule="auto"/>
        <w:rPr>
          <w:rFonts w:hint="eastAsia" w:ascii="宋体" w:hAnsi="宋体"/>
          <w:color w:val="000000"/>
          <w:szCs w:val="21"/>
        </w:rPr>
      </w:pPr>
      <w:r>
        <w:rPr>
          <w:rFonts w:hint="eastAsia" w:ascii="宋体" w:hAnsi="宋体"/>
          <w:color w:val="000000"/>
          <w:szCs w:val="21"/>
        </w:rPr>
        <w:t>签订日期：                                   签订日期：</w:t>
      </w:r>
    </w:p>
    <w:p w14:paraId="22DE89E5">
      <w:pPr>
        <w:spacing w:line="360" w:lineRule="auto"/>
        <w:ind w:firstLine="420"/>
        <w:rPr>
          <w:rFonts w:hint="eastAsia" w:ascii="宋体" w:hAnsi="宋体"/>
          <w:color w:val="000000"/>
          <w:szCs w:val="21"/>
        </w:rPr>
      </w:pPr>
    </w:p>
    <w:p w14:paraId="2628869B">
      <w:pPr>
        <w:rPr>
          <w:rFonts w:hint="eastAsia" w:ascii="宋体" w:hAnsi="宋体"/>
          <w:szCs w:val="21"/>
        </w:rPr>
      </w:pPr>
    </w:p>
    <w:p w14:paraId="10F77E59">
      <w:pPr>
        <w:rPr>
          <w:rStyle w:val="320"/>
          <w:b/>
          <w:sz w:val="32"/>
          <w:szCs w:val="32"/>
        </w:rPr>
      </w:pPr>
      <w:r>
        <w:rPr>
          <w:rStyle w:val="320"/>
          <w:rFonts w:hint="eastAsia"/>
          <w:b/>
          <w:sz w:val="32"/>
          <w:szCs w:val="32"/>
        </w:rPr>
        <w:br w:type="page" w:clear="all"/>
      </w:r>
    </w:p>
    <w:p w14:paraId="146D78FA">
      <w:pPr>
        <w:pStyle w:val="2"/>
        <w:jc w:val="center"/>
        <w:rPr>
          <w:rStyle w:val="320"/>
          <w:bCs w:val="0"/>
          <w:sz w:val="32"/>
          <w:szCs w:val="32"/>
        </w:rPr>
      </w:pPr>
      <w:bookmarkStart w:id="72" w:name="_Toc195539953"/>
      <w:r>
        <w:rPr>
          <w:rStyle w:val="320"/>
          <w:rFonts w:hint="eastAsia"/>
          <w:bCs w:val="0"/>
          <w:sz w:val="32"/>
          <w:szCs w:val="32"/>
        </w:rPr>
        <w:t xml:space="preserve">第七章 </w:t>
      </w:r>
      <w:bookmarkEnd w:id="64"/>
      <w:bookmarkEnd w:id="65"/>
      <w:bookmarkEnd w:id="66"/>
      <w:bookmarkEnd w:id="67"/>
      <w:bookmarkEnd w:id="68"/>
      <w:bookmarkStart w:id="73" w:name="gpcItem_SubmitDocStruct"/>
      <w:r>
        <w:rPr>
          <w:rStyle w:val="320"/>
          <w:rFonts w:hint="eastAsia"/>
          <w:bCs w:val="0"/>
          <w:sz w:val="32"/>
          <w:szCs w:val="32"/>
        </w:rPr>
        <w:t>响应文件格式</w:t>
      </w:r>
      <w:bookmarkEnd w:id="69"/>
      <w:bookmarkEnd w:id="70"/>
      <w:bookmarkEnd w:id="71"/>
      <w:bookmarkEnd w:id="72"/>
      <w:bookmarkEnd w:id="73"/>
    </w:p>
    <w:p w14:paraId="5D94B595">
      <w:pPr>
        <w:spacing w:line="360" w:lineRule="auto"/>
        <w:rPr>
          <w:rFonts w:hint="eastAsia" w:ascii="宋体" w:hAnsi="宋体"/>
          <w:b/>
          <w:color w:val="000000"/>
          <w:szCs w:val="21"/>
        </w:rPr>
      </w:pPr>
      <w:r>
        <w:rPr>
          <w:rFonts w:hint="eastAsia" w:ascii="宋体" w:hAnsi="宋体"/>
          <w:b/>
          <w:color w:val="000000"/>
          <w:szCs w:val="21"/>
        </w:rPr>
        <w:t>对本章的格式</w:t>
      </w:r>
      <w:r>
        <w:rPr>
          <w:rFonts w:ascii="宋体" w:hAnsi="宋体"/>
          <w:b/>
          <w:color w:val="000000"/>
          <w:szCs w:val="21"/>
        </w:rPr>
        <w:t>，</w:t>
      </w:r>
      <w:r>
        <w:rPr>
          <w:rFonts w:hint="eastAsia" w:ascii="宋体" w:hAnsi="宋体"/>
          <w:b/>
          <w:color w:val="000000"/>
          <w:szCs w:val="21"/>
        </w:rPr>
        <w:t>供应商</w:t>
      </w:r>
      <w:r>
        <w:rPr>
          <w:rFonts w:ascii="宋体" w:hAnsi="宋体"/>
          <w:b/>
          <w:color w:val="000000"/>
          <w:szCs w:val="21"/>
        </w:rPr>
        <w:t>可根据自身情况进行补充和修改，但补充和修改不得造成与本格式内容有实质性的违背。</w:t>
      </w:r>
      <w:r>
        <w:rPr>
          <w:rFonts w:hint="eastAsia" w:ascii="宋体" w:hAnsi="宋体"/>
          <w:b/>
          <w:color w:val="000000"/>
          <w:szCs w:val="21"/>
        </w:rPr>
        <w:t>相关材料提供要求详见第二章响应须知。</w:t>
      </w:r>
    </w:p>
    <w:p w14:paraId="4AD25558"/>
    <w:p w14:paraId="3D017985"/>
    <w:p w14:paraId="6B465BD7"/>
    <w:p w14:paraId="2DE1A0F6"/>
    <w:p w14:paraId="5D207E33"/>
    <w:p w14:paraId="2503BB79"/>
    <w:p w14:paraId="150E0130"/>
    <w:p w14:paraId="75677851"/>
    <w:p w14:paraId="7D472040"/>
    <w:p w14:paraId="03D00D75"/>
    <w:p w14:paraId="21E3FB95">
      <w:pPr>
        <w:jc w:val="center"/>
        <w:rPr>
          <w:rFonts w:hint="eastAsia" w:ascii="宋体" w:hAnsi="宋体"/>
          <w:b/>
          <w:sz w:val="72"/>
          <w:szCs w:val="21"/>
        </w:rPr>
      </w:pPr>
      <w:r>
        <w:rPr>
          <w:rFonts w:hint="eastAsia" w:ascii="宋体" w:hAnsi="宋体"/>
          <w:b/>
          <w:sz w:val="72"/>
          <w:szCs w:val="21"/>
        </w:rPr>
        <w:t>响  应  文  件</w:t>
      </w:r>
    </w:p>
    <w:p w14:paraId="6F4FB800">
      <w:pPr>
        <w:jc w:val="center"/>
        <w:rPr>
          <w:rFonts w:hint="eastAsia" w:ascii="宋体" w:hAnsi="宋体"/>
          <w:b/>
          <w:sz w:val="72"/>
          <w:szCs w:val="21"/>
        </w:rPr>
      </w:pPr>
    </w:p>
    <w:p w14:paraId="2C46760B">
      <w:pPr>
        <w:jc w:val="center"/>
        <w:rPr>
          <w:rFonts w:hint="eastAsia" w:ascii="宋体" w:hAnsi="宋体"/>
          <w:b/>
          <w:sz w:val="72"/>
          <w:szCs w:val="21"/>
        </w:rPr>
      </w:pPr>
    </w:p>
    <w:p w14:paraId="39FF965E">
      <w:pPr>
        <w:jc w:val="center"/>
        <w:rPr>
          <w:rFonts w:hint="eastAsia" w:ascii="宋体" w:hAnsi="宋体"/>
          <w:b/>
          <w:sz w:val="36"/>
          <w:szCs w:val="21"/>
        </w:rPr>
      </w:pPr>
    </w:p>
    <w:p w14:paraId="55191B31">
      <w:pPr>
        <w:jc w:val="center"/>
        <w:rPr>
          <w:rFonts w:hint="eastAsia" w:ascii="宋体" w:hAnsi="宋体"/>
          <w:b/>
          <w:sz w:val="36"/>
          <w:szCs w:val="21"/>
        </w:rPr>
      </w:pPr>
    </w:p>
    <w:p w14:paraId="613B1935">
      <w:pPr>
        <w:jc w:val="center"/>
        <w:rPr>
          <w:rFonts w:hint="eastAsia" w:ascii="宋体" w:hAnsi="宋体"/>
          <w:b/>
          <w:sz w:val="36"/>
          <w:szCs w:val="21"/>
        </w:rPr>
      </w:pPr>
    </w:p>
    <w:p w14:paraId="04926EFB">
      <w:pPr>
        <w:ind w:firstLine="1084"/>
        <w:rPr>
          <w:rFonts w:hint="eastAsia" w:ascii="宋体" w:hAnsi="宋体"/>
          <w:b/>
          <w:sz w:val="36"/>
          <w:szCs w:val="21"/>
        </w:rPr>
      </w:pPr>
      <w:r>
        <w:rPr>
          <w:rFonts w:hint="eastAsia" w:ascii="宋体" w:hAnsi="宋体"/>
          <w:b/>
          <w:sz w:val="36"/>
          <w:szCs w:val="21"/>
        </w:rPr>
        <w:t>项 目 名 称：</w:t>
      </w:r>
      <w:r>
        <w:rPr>
          <w:rFonts w:hint="eastAsia" w:ascii="宋体" w:hAnsi="宋体"/>
          <w:b/>
          <w:sz w:val="36"/>
          <w:szCs w:val="21"/>
          <w:u w:val="single"/>
        </w:rPr>
        <w:t xml:space="preserve">               </w:t>
      </w:r>
    </w:p>
    <w:p w14:paraId="0D518FD0">
      <w:pPr>
        <w:ind w:firstLine="1084"/>
        <w:rPr>
          <w:rFonts w:hint="eastAsia" w:ascii="宋体" w:hAnsi="宋体"/>
          <w:b/>
          <w:sz w:val="36"/>
          <w:szCs w:val="21"/>
          <w:u w:val="single"/>
        </w:rPr>
      </w:pPr>
      <w:r>
        <w:rPr>
          <w:rFonts w:hint="eastAsia" w:ascii="宋体" w:hAnsi="宋体"/>
          <w:b/>
          <w:sz w:val="36"/>
          <w:szCs w:val="21"/>
        </w:rPr>
        <w:t>项 目 编 号：</w:t>
      </w:r>
      <w:r>
        <w:rPr>
          <w:rFonts w:hint="eastAsia" w:ascii="宋体" w:hAnsi="宋体"/>
          <w:b/>
          <w:sz w:val="36"/>
          <w:szCs w:val="21"/>
          <w:u w:val="single"/>
        </w:rPr>
        <w:t xml:space="preserve">               </w:t>
      </w:r>
    </w:p>
    <w:p w14:paraId="5C817A9A">
      <w:pPr>
        <w:rPr>
          <w:rFonts w:hint="eastAsia" w:ascii="宋体" w:hAnsi="宋体"/>
          <w:b/>
          <w:sz w:val="36"/>
          <w:szCs w:val="21"/>
          <w:u w:val="single"/>
        </w:rPr>
      </w:pPr>
      <w:r>
        <w:rPr>
          <w:rFonts w:hint="eastAsia" w:ascii="宋体" w:hAnsi="宋体"/>
          <w:b/>
          <w:sz w:val="36"/>
          <w:szCs w:val="21"/>
        </w:rPr>
        <w:t xml:space="preserve">      供应商名称 ：</w:t>
      </w:r>
      <w:r>
        <w:rPr>
          <w:rFonts w:hint="eastAsia" w:ascii="宋体" w:hAnsi="宋体"/>
          <w:b/>
          <w:sz w:val="36"/>
          <w:szCs w:val="21"/>
          <w:u w:val="single"/>
        </w:rPr>
        <w:t>（加盖CA电子公章）</w:t>
      </w:r>
    </w:p>
    <w:p w14:paraId="540F5A9C">
      <w:pPr>
        <w:rPr>
          <w:rFonts w:hint="eastAsia" w:ascii="宋体" w:hAnsi="宋体"/>
          <w:b/>
          <w:sz w:val="36"/>
          <w:szCs w:val="21"/>
          <w:u w:val="single"/>
        </w:rPr>
      </w:pPr>
      <w:r>
        <w:rPr>
          <w:rFonts w:hint="eastAsia" w:ascii="宋体" w:hAnsi="宋体"/>
          <w:b/>
          <w:sz w:val="36"/>
          <w:szCs w:val="21"/>
        </w:rPr>
        <w:t xml:space="preserve">      日      期 ：</w:t>
      </w:r>
      <w:r>
        <w:rPr>
          <w:rFonts w:hint="eastAsia" w:ascii="宋体" w:hAnsi="宋体"/>
          <w:b/>
          <w:sz w:val="36"/>
          <w:szCs w:val="21"/>
          <w:u w:val="single"/>
        </w:rPr>
        <w:t xml:space="preserve">               </w:t>
      </w:r>
    </w:p>
    <w:p w14:paraId="5B1553FD">
      <w:pPr>
        <w:spacing w:line="440" w:lineRule="exact"/>
        <w:jc w:val="center"/>
        <w:rPr>
          <w:rFonts w:hint="eastAsia" w:ascii="宋体" w:hAnsi="宋体"/>
          <w:b/>
          <w:bCs/>
          <w:sz w:val="32"/>
          <w:szCs w:val="32"/>
        </w:rPr>
        <w:sectPr>
          <w:pgSz w:w="11906" w:h="16838"/>
          <w:pgMar w:top="1474" w:right="1247" w:bottom="1247" w:left="1531" w:header="851" w:footer="680" w:gutter="0"/>
          <w:cols w:space="425" w:num="1"/>
          <w:docGrid w:linePitch="360" w:charSpace="0"/>
        </w:sectPr>
      </w:pPr>
    </w:p>
    <w:p w14:paraId="0F891247">
      <w:pPr>
        <w:pStyle w:val="3"/>
        <w:spacing w:before="0" w:after="0" w:line="360" w:lineRule="auto"/>
        <w:rPr>
          <w:rFonts w:hint="eastAsia" w:ascii="黑体" w:hAnsi="黑体"/>
          <w:lang w:val="zh-CN"/>
        </w:rPr>
      </w:pPr>
      <w:bookmarkStart w:id="74" w:name="_Toc161126689"/>
      <w:bookmarkStart w:id="75" w:name="_Toc161067517"/>
      <w:r>
        <w:rPr>
          <w:rFonts w:hint="eastAsia" w:ascii="黑体" w:hAnsi="黑体"/>
          <w:lang w:val="zh-CN"/>
        </w:rPr>
        <w:t>一</w:t>
      </w:r>
      <w:r>
        <w:rPr>
          <w:rFonts w:ascii="黑体" w:hAnsi="黑体"/>
          <w:lang w:val="zh-CN"/>
        </w:rPr>
        <w:t>、</w:t>
      </w:r>
      <w:r>
        <w:rPr>
          <w:rFonts w:hint="eastAsia" w:ascii="黑体" w:hAnsi="黑体"/>
          <w:u w:val="single"/>
          <w:lang w:val="zh-CN"/>
        </w:rPr>
        <w:t>供</w:t>
      </w:r>
      <w:r>
        <w:rPr>
          <w:rFonts w:ascii="黑体" w:hAnsi="黑体"/>
          <w:u w:val="single"/>
          <w:lang w:val="zh-CN"/>
        </w:rPr>
        <w:t>应商情况表</w:t>
      </w:r>
      <w:bookmarkEnd w:id="74"/>
      <w:bookmarkEnd w:id="75"/>
    </w:p>
    <w:p w14:paraId="00CFD314">
      <w:pPr>
        <w:jc w:val="center"/>
      </w:pPr>
      <w:r>
        <w:rPr>
          <w:rFonts w:hint="eastAsia"/>
        </w:rPr>
        <w:t>供应商情况表</w:t>
      </w:r>
    </w:p>
    <w:p w14:paraId="1CF79AAE">
      <w:pPr>
        <w:rPr>
          <w:rFonts w:hint="eastAsia" w:ascii="宋体" w:hAnsi="宋体"/>
          <w:szCs w:val="21"/>
        </w:rPr>
      </w:pPr>
      <w:r>
        <w:rPr>
          <w:rFonts w:ascii="宋体" w:hAnsi="宋体"/>
          <w:szCs w:val="21"/>
        </w:rPr>
        <w:t>单位名称（加盖公章）：</w:t>
      </w:r>
    </w:p>
    <w:tbl>
      <w:tblPr>
        <w:tblStyle w:val="55"/>
        <w:tblW w:w="934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0"/>
        <w:gridCol w:w="1088"/>
        <w:gridCol w:w="476"/>
        <w:gridCol w:w="881"/>
        <w:gridCol w:w="1416"/>
        <w:gridCol w:w="487"/>
        <w:gridCol w:w="802"/>
        <w:gridCol w:w="778"/>
        <w:gridCol w:w="634"/>
        <w:gridCol w:w="2130"/>
      </w:tblGrid>
      <w:tr w14:paraId="539F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657B6F27">
            <w:pPr>
              <w:pStyle w:val="12"/>
              <w:spacing w:line="300" w:lineRule="auto"/>
              <w:ind w:firstLine="0"/>
              <w:jc w:val="center"/>
              <w:rPr>
                <w:rFonts w:hint="eastAsia" w:ascii="宋体" w:hAnsi="宋体" w:eastAsia="宋体"/>
                <w:sz w:val="21"/>
                <w:szCs w:val="21"/>
              </w:rPr>
            </w:pPr>
            <w:r>
              <w:rPr>
                <w:rFonts w:ascii="宋体" w:hAnsi="宋体" w:eastAsia="宋体"/>
                <w:sz w:val="21"/>
                <w:szCs w:val="21"/>
              </w:rPr>
              <w:t>1</w:t>
            </w:r>
          </w:p>
        </w:tc>
        <w:tc>
          <w:tcPr>
            <w:tcW w:w="1564" w:type="dxa"/>
            <w:gridSpan w:val="2"/>
            <w:tcBorders>
              <w:right w:val="single" w:color="auto" w:sz="4" w:space="0"/>
            </w:tcBorders>
            <w:noWrap w:val="0"/>
            <w:vAlign w:val="center"/>
          </w:tcPr>
          <w:p w14:paraId="3026674F">
            <w:pPr>
              <w:pStyle w:val="12"/>
              <w:spacing w:line="300" w:lineRule="auto"/>
              <w:ind w:firstLine="0"/>
              <w:jc w:val="center"/>
              <w:rPr>
                <w:rFonts w:hint="eastAsia" w:ascii="宋体" w:hAnsi="宋体" w:eastAsia="宋体"/>
                <w:sz w:val="21"/>
                <w:szCs w:val="21"/>
              </w:rPr>
            </w:pPr>
            <w:r>
              <w:rPr>
                <w:rFonts w:ascii="宋体" w:hAnsi="宋体" w:eastAsia="宋体"/>
                <w:sz w:val="21"/>
                <w:szCs w:val="21"/>
              </w:rPr>
              <w:t>法定代表人</w:t>
            </w:r>
          </w:p>
        </w:tc>
        <w:tc>
          <w:tcPr>
            <w:tcW w:w="2784" w:type="dxa"/>
            <w:gridSpan w:val="3"/>
            <w:tcBorders>
              <w:left w:val="single" w:color="auto" w:sz="4" w:space="0"/>
            </w:tcBorders>
            <w:noWrap w:val="0"/>
            <w:vAlign w:val="center"/>
          </w:tcPr>
          <w:p w14:paraId="7937E2C1">
            <w:pPr>
              <w:pStyle w:val="12"/>
              <w:spacing w:line="300" w:lineRule="auto"/>
              <w:ind w:firstLine="0"/>
              <w:jc w:val="center"/>
              <w:rPr>
                <w:rFonts w:hint="eastAsia" w:ascii="宋体" w:hAnsi="宋体" w:eastAsia="宋体"/>
                <w:sz w:val="21"/>
                <w:szCs w:val="21"/>
              </w:rPr>
            </w:pPr>
          </w:p>
        </w:tc>
        <w:tc>
          <w:tcPr>
            <w:tcW w:w="1580" w:type="dxa"/>
            <w:gridSpan w:val="2"/>
            <w:noWrap w:val="0"/>
            <w:vAlign w:val="center"/>
          </w:tcPr>
          <w:p w14:paraId="6A0CB01A">
            <w:pPr>
              <w:pStyle w:val="12"/>
              <w:spacing w:line="300" w:lineRule="auto"/>
              <w:ind w:firstLine="0"/>
              <w:jc w:val="both"/>
              <w:rPr>
                <w:rFonts w:hint="eastAsia" w:ascii="宋体" w:hAnsi="宋体" w:eastAsia="宋体"/>
                <w:sz w:val="21"/>
                <w:szCs w:val="21"/>
              </w:rPr>
            </w:pPr>
            <w:r>
              <w:rPr>
                <w:rFonts w:ascii="宋体" w:hAnsi="宋体" w:eastAsia="宋体"/>
                <w:sz w:val="21"/>
                <w:szCs w:val="21"/>
              </w:rPr>
              <w:t>公司成立日期</w:t>
            </w:r>
          </w:p>
        </w:tc>
        <w:tc>
          <w:tcPr>
            <w:tcW w:w="2764" w:type="dxa"/>
            <w:gridSpan w:val="2"/>
            <w:noWrap w:val="0"/>
            <w:vAlign w:val="center"/>
          </w:tcPr>
          <w:p w14:paraId="17AC645A">
            <w:pPr>
              <w:pStyle w:val="12"/>
              <w:spacing w:line="300" w:lineRule="auto"/>
              <w:ind w:firstLine="0"/>
              <w:jc w:val="both"/>
              <w:rPr>
                <w:rFonts w:hint="eastAsia" w:ascii="宋体" w:hAnsi="宋体" w:eastAsia="宋体"/>
                <w:sz w:val="21"/>
                <w:szCs w:val="21"/>
              </w:rPr>
            </w:pPr>
          </w:p>
        </w:tc>
      </w:tr>
      <w:tr w14:paraId="3FB80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03E1CAFF">
            <w:pPr>
              <w:pStyle w:val="12"/>
              <w:spacing w:line="300" w:lineRule="auto"/>
              <w:ind w:firstLine="0"/>
              <w:jc w:val="center"/>
              <w:rPr>
                <w:rFonts w:hint="eastAsia" w:ascii="宋体" w:hAnsi="宋体" w:eastAsia="宋体"/>
                <w:sz w:val="21"/>
                <w:szCs w:val="21"/>
              </w:rPr>
            </w:pPr>
            <w:r>
              <w:rPr>
                <w:rFonts w:ascii="宋体" w:hAnsi="宋体" w:eastAsia="宋体"/>
                <w:sz w:val="21"/>
                <w:szCs w:val="21"/>
              </w:rPr>
              <w:t>2</w:t>
            </w:r>
          </w:p>
        </w:tc>
        <w:tc>
          <w:tcPr>
            <w:tcW w:w="1564" w:type="dxa"/>
            <w:gridSpan w:val="2"/>
            <w:tcBorders>
              <w:right w:val="single" w:color="auto" w:sz="4" w:space="0"/>
            </w:tcBorders>
            <w:noWrap w:val="0"/>
            <w:vAlign w:val="center"/>
          </w:tcPr>
          <w:p w14:paraId="633D4454">
            <w:pPr>
              <w:pStyle w:val="12"/>
              <w:spacing w:line="300" w:lineRule="auto"/>
              <w:ind w:firstLine="0"/>
              <w:jc w:val="center"/>
              <w:rPr>
                <w:rFonts w:hint="eastAsia" w:ascii="宋体" w:hAnsi="宋体" w:eastAsia="宋体"/>
                <w:sz w:val="21"/>
                <w:szCs w:val="21"/>
              </w:rPr>
            </w:pPr>
            <w:r>
              <w:rPr>
                <w:rFonts w:ascii="宋体" w:hAnsi="宋体" w:eastAsia="宋体"/>
                <w:sz w:val="21"/>
                <w:szCs w:val="21"/>
              </w:rPr>
              <w:t>总部地址</w:t>
            </w:r>
          </w:p>
        </w:tc>
        <w:tc>
          <w:tcPr>
            <w:tcW w:w="7128" w:type="dxa"/>
            <w:gridSpan w:val="7"/>
            <w:tcBorders>
              <w:left w:val="single" w:color="auto" w:sz="4" w:space="0"/>
            </w:tcBorders>
            <w:noWrap w:val="0"/>
            <w:vAlign w:val="center"/>
          </w:tcPr>
          <w:p w14:paraId="77541621">
            <w:pPr>
              <w:pStyle w:val="12"/>
              <w:spacing w:line="300" w:lineRule="auto"/>
              <w:ind w:firstLine="0"/>
              <w:jc w:val="center"/>
              <w:rPr>
                <w:rFonts w:hint="eastAsia" w:ascii="宋体" w:hAnsi="宋体" w:eastAsia="宋体"/>
                <w:sz w:val="21"/>
                <w:szCs w:val="21"/>
              </w:rPr>
            </w:pPr>
          </w:p>
        </w:tc>
      </w:tr>
      <w:tr w14:paraId="28172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312B771D">
            <w:pPr>
              <w:pStyle w:val="12"/>
              <w:spacing w:line="300" w:lineRule="auto"/>
              <w:ind w:firstLine="0"/>
              <w:jc w:val="center"/>
              <w:rPr>
                <w:rFonts w:hint="eastAsia" w:ascii="宋体" w:hAnsi="宋体" w:eastAsia="宋体"/>
                <w:sz w:val="21"/>
                <w:szCs w:val="21"/>
              </w:rPr>
            </w:pPr>
            <w:r>
              <w:rPr>
                <w:rFonts w:ascii="宋体" w:hAnsi="宋体" w:eastAsia="宋体"/>
                <w:sz w:val="21"/>
                <w:szCs w:val="21"/>
              </w:rPr>
              <w:t>3</w:t>
            </w:r>
          </w:p>
        </w:tc>
        <w:tc>
          <w:tcPr>
            <w:tcW w:w="1564" w:type="dxa"/>
            <w:gridSpan w:val="2"/>
            <w:tcBorders>
              <w:right w:val="single" w:color="auto" w:sz="4" w:space="0"/>
            </w:tcBorders>
            <w:noWrap w:val="0"/>
            <w:vAlign w:val="center"/>
          </w:tcPr>
          <w:p w14:paraId="725E5819">
            <w:pPr>
              <w:pStyle w:val="12"/>
              <w:spacing w:line="300" w:lineRule="auto"/>
              <w:ind w:firstLine="0"/>
              <w:jc w:val="both"/>
              <w:rPr>
                <w:rFonts w:hint="eastAsia" w:ascii="宋体" w:hAnsi="宋体" w:eastAsia="宋体"/>
                <w:sz w:val="21"/>
                <w:szCs w:val="21"/>
              </w:rPr>
            </w:pPr>
            <w:r>
              <w:rPr>
                <w:rFonts w:ascii="宋体" w:hAnsi="宋体" w:eastAsia="宋体"/>
                <w:sz w:val="21"/>
                <w:szCs w:val="21"/>
              </w:rPr>
              <w:t>本地办事处地址</w:t>
            </w:r>
          </w:p>
        </w:tc>
        <w:tc>
          <w:tcPr>
            <w:tcW w:w="7128" w:type="dxa"/>
            <w:gridSpan w:val="7"/>
            <w:tcBorders>
              <w:left w:val="single" w:color="auto" w:sz="4" w:space="0"/>
            </w:tcBorders>
            <w:noWrap w:val="0"/>
            <w:vAlign w:val="center"/>
          </w:tcPr>
          <w:p w14:paraId="0CE788CA">
            <w:pPr>
              <w:pStyle w:val="12"/>
              <w:spacing w:line="300" w:lineRule="auto"/>
              <w:ind w:firstLine="0"/>
              <w:jc w:val="both"/>
              <w:rPr>
                <w:rFonts w:hint="eastAsia" w:ascii="宋体" w:hAnsi="宋体" w:eastAsia="宋体"/>
                <w:sz w:val="21"/>
                <w:szCs w:val="21"/>
              </w:rPr>
            </w:pPr>
          </w:p>
        </w:tc>
      </w:tr>
      <w:tr w14:paraId="27702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64104899">
            <w:pPr>
              <w:pStyle w:val="12"/>
              <w:spacing w:line="300" w:lineRule="auto"/>
              <w:ind w:firstLine="0"/>
              <w:jc w:val="center"/>
              <w:rPr>
                <w:rFonts w:hint="eastAsia" w:ascii="宋体" w:hAnsi="宋体" w:eastAsia="宋体"/>
                <w:sz w:val="21"/>
                <w:szCs w:val="21"/>
              </w:rPr>
            </w:pPr>
            <w:r>
              <w:rPr>
                <w:rFonts w:ascii="宋体" w:hAnsi="宋体" w:eastAsia="宋体"/>
                <w:sz w:val="21"/>
                <w:szCs w:val="21"/>
              </w:rPr>
              <w:t>4</w:t>
            </w:r>
          </w:p>
        </w:tc>
        <w:tc>
          <w:tcPr>
            <w:tcW w:w="1088" w:type="dxa"/>
            <w:tcBorders>
              <w:right w:val="single" w:color="auto" w:sz="4" w:space="0"/>
            </w:tcBorders>
            <w:noWrap w:val="0"/>
            <w:vAlign w:val="center"/>
          </w:tcPr>
          <w:p w14:paraId="1DF3C9D8">
            <w:pPr>
              <w:pStyle w:val="12"/>
              <w:spacing w:line="300" w:lineRule="auto"/>
              <w:ind w:firstLine="0"/>
              <w:jc w:val="center"/>
              <w:rPr>
                <w:rFonts w:hint="eastAsia" w:ascii="宋体" w:hAnsi="宋体" w:eastAsia="宋体"/>
                <w:sz w:val="21"/>
                <w:szCs w:val="21"/>
              </w:rPr>
            </w:pPr>
            <w:r>
              <w:rPr>
                <w:rFonts w:ascii="宋体" w:hAnsi="宋体" w:eastAsia="宋体"/>
                <w:sz w:val="21"/>
                <w:szCs w:val="21"/>
              </w:rPr>
              <w:t>电话</w:t>
            </w:r>
          </w:p>
        </w:tc>
        <w:tc>
          <w:tcPr>
            <w:tcW w:w="2773" w:type="dxa"/>
            <w:gridSpan w:val="3"/>
            <w:tcBorders>
              <w:left w:val="single" w:color="auto" w:sz="4" w:space="0"/>
            </w:tcBorders>
            <w:noWrap w:val="0"/>
            <w:vAlign w:val="center"/>
          </w:tcPr>
          <w:p w14:paraId="13E64049">
            <w:pPr>
              <w:pStyle w:val="12"/>
              <w:spacing w:line="300" w:lineRule="auto"/>
              <w:ind w:firstLine="0"/>
              <w:jc w:val="both"/>
              <w:rPr>
                <w:rFonts w:hint="eastAsia" w:ascii="宋体" w:hAnsi="宋体" w:eastAsia="宋体"/>
                <w:sz w:val="21"/>
                <w:szCs w:val="21"/>
              </w:rPr>
            </w:pPr>
          </w:p>
        </w:tc>
        <w:tc>
          <w:tcPr>
            <w:tcW w:w="1289" w:type="dxa"/>
            <w:gridSpan w:val="2"/>
            <w:tcBorders>
              <w:right w:val="single" w:color="auto" w:sz="4" w:space="0"/>
            </w:tcBorders>
            <w:noWrap w:val="0"/>
            <w:vAlign w:val="center"/>
          </w:tcPr>
          <w:p w14:paraId="34C89F9F">
            <w:pPr>
              <w:pStyle w:val="12"/>
              <w:spacing w:line="300" w:lineRule="auto"/>
              <w:ind w:firstLine="0"/>
              <w:jc w:val="center"/>
              <w:rPr>
                <w:rFonts w:hint="eastAsia" w:ascii="宋体" w:hAnsi="宋体" w:eastAsia="宋体"/>
                <w:sz w:val="21"/>
                <w:szCs w:val="21"/>
              </w:rPr>
            </w:pPr>
            <w:r>
              <w:rPr>
                <w:rFonts w:ascii="宋体" w:hAnsi="宋体" w:eastAsia="宋体"/>
                <w:sz w:val="21"/>
                <w:szCs w:val="21"/>
              </w:rPr>
              <w:t>联系人</w:t>
            </w:r>
          </w:p>
        </w:tc>
        <w:tc>
          <w:tcPr>
            <w:tcW w:w="3542" w:type="dxa"/>
            <w:gridSpan w:val="3"/>
            <w:tcBorders>
              <w:left w:val="single" w:color="auto" w:sz="4" w:space="0"/>
            </w:tcBorders>
            <w:noWrap w:val="0"/>
            <w:vAlign w:val="center"/>
          </w:tcPr>
          <w:p w14:paraId="3992D3AA">
            <w:pPr>
              <w:pStyle w:val="12"/>
              <w:spacing w:line="300" w:lineRule="auto"/>
              <w:ind w:firstLine="0"/>
              <w:jc w:val="both"/>
              <w:rPr>
                <w:rFonts w:hint="eastAsia" w:ascii="宋体" w:hAnsi="宋体" w:eastAsia="宋体"/>
                <w:sz w:val="21"/>
                <w:szCs w:val="21"/>
              </w:rPr>
            </w:pPr>
          </w:p>
        </w:tc>
      </w:tr>
      <w:tr w14:paraId="0A224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650" w:type="dxa"/>
            <w:noWrap w:val="0"/>
            <w:vAlign w:val="center"/>
          </w:tcPr>
          <w:p w14:paraId="40C442E1">
            <w:pPr>
              <w:pStyle w:val="12"/>
              <w:spacing w:line="300" w:lineRule="auto"/>
              <w:ind w:firstLine="0"/>
              <w:jc w:val="center"/>
              <w:rPr>
                <w:rFonts w:hint="eastAsia" w:ascii="宋体" w:hAnsi="宋体" w:eastAsia="宋体"/>
                <w:sz w:val="21"/>
                <w:szCs w:val="21"/>
              </w:rPr>
            </w:pPr>
            <w:r>
              <w:rPr>
                <w:rFonts w:ascii="宋体" w:hAnsi="宋体" w:eastAsia="宋体"/>
                <w:sz w:val="21"/>
                <w:szCs w:val="21"/>
              </w:rPr>
              <w:t>5</w:t>
            </w:r>
          </w:p>
        </w:tc>
        <w:tc>
          <w:tcPr>
            <w:tcW w:w="1088" w:type="dxa"/>
            <w:tcBorders>
              <w:right w:val="single" w:color="auto" w:sz="4" w:space="0"/>
            </w:tcBorders>
            <w:noWrap w:val="0"/>
            <w:vAlign w:val="center"/>
          </w:tcPr>
          <w:p w14:paraId="35CD0053">
            <w:pPr>
              <w:pStyle w:val="12"/>
              <w:spacing w:line="300" w:lineRule="auto"/>
              <w:ind w:firstLine="0"/>
              <w:jc w:val="center"/>
              <w:rPr>
                <w:rFonts w:hint="eastAsia" w:ascii="宋体" w:hAnsi="宋体" w:eastAsia="宋体"/>
                <w:sz w:val="21"/>
                <w:szCs w:val="21"/>
              </w:rPr>
            </w:pPr>
            <w:r>
              <w:rPr>
                <w:rFonts w:ascii="宋体" w:hAnsi="宋体" w:eastAsia="宋体"/>
                <w:sz w:val="21"/>
                <w:szCs w:val="21"/>
              </w:rPr>
              <w:t>传真</w:t>
            </w:r>
          </w:p>
        </w:tc>
        <w:tc>
          <w:tcPr>
            <w:tcW w:w="2773" w:type="dxa"/>
            <w:gridSpan w:val="3"/>
            <w:tcBorders>
              <w:left w:val="single" w:color="auto" w:sz="4" w:space="0"/>
            </w:tcBorders>
            <w:noWrap w:val="0"/>
            <w:vAlign w:val="center"/>
          </w:tcPr>
          <w:p w14:paraId="79377629">
            <w:pPr>
              <w:pStyle w:val="12"/>
              <w:spacing w:line="300" w:lineRule="auto"/>
              <w:ind w:firstLine="0"/>
              <w:jc w:val="both"/>
              <w:rPr>
                <w:rFonts w:hint="eastAsia" w:ascii="宋体" w:hAnsi="宋体" w:eastAsia="宋体"/>
                <w:sz w:val="21"/>
                <w:szCs w:val="21"/>
              </w:rPr>
            </w:pPr>
          </w:p>
        </w:tc>
        <w:tc>
          <w:tcPr>
            <w:tcW w:w="1289" w:type="dxa"/>
            <w:gridSpan w:val="2"/>
            <w:tcBorders>
              <w:right w:val="single" w:color="auto" w:sz="4" w:space="0"/>
            </w:tcBorders>
            <w:noWrap w:val="0"/>
            <w:vAlign w:val="center"/>
          </w:tcPr>
          <w:p w14:paraId="74BD0CA6">
            <w:pPr>
              <w:pStyle w:val="12"/>
              <w:spacing w:line="300" w:lineRule="auto"/>
              <w:ind w:firstLine="0"/>
              <w:jc w:val="center"/>
              <w:rPr>
                <w:rFonts w:hint="eastAsia" w:ascii="宋体" w:hAnsi="宋体" w:eastAsia="宋体"/>
                <w:sz w:val="21"/>
                <w:szCs w:val="21"/>
              </w:rPr>
            </w:pPr>
            <w:r>
              <w:rPr>
                <w:rFonts w:ascii="宋体" w:hAnsi="宋体" w:eastAsia="宋体"/>
                <w:sz w:val="21"/>
                <w:szCs w:val="21"/>
              </w:rPr>
              <w:t>电子邮箱</w:t>
            </w:r>
          </w:p>
        </w:tc>
        <w:tc>
          <w:tcPr>
            <w:tcW w:w="3542" w:type="dxa"/>
            <w:gridSpan w:val="3"/>
            <w:tcBorders>
              <w:left w:val="single" w:color="auto" w:sz="4" w:space="0"/>
            </w:tcBorders>
            <w:noWrap w:val="0"/>
            <w:vAlign w:val="center"/>
          </w:tcPr>
          <w:p w14:paraId="4551AC06">
            <w:pPr>
              <w:pStyle w:val="12"/>
              <w:spacing w:line="300" w:lineRule="auto"/>
              <w:ind w:firstLine="0"/>
              <w:jc w:val="both"/>
              <w:rPr>
                <w:rFonts w:hint="eastAsia" w:ascii="宋体" w:hAnsi="宋体" w:eastAsia="宋体"/>
                <w:b/>
                <w:sz w:val="18"/>
                <w:szCs w:val="18"/>
              </w:rPr>
            </w:pPr>
          </w:p>
        </w:tc>
      </w:tr>
      <w:tr w14:paraId="452DB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3281EEE0">
            <w:pPr>
              <w:pStyle w:val="12"/>
              <w:spacing w:line="300" w:lineRule="auto"/>
              <w:ind w:firstLine="0"/>
              <w:jc w:val="center"/>
              <w:rPr>
                <w:rFonts w:hint="eastAsia" w:ascii="宋体" w:hAnsi="宋体" w:eastAsia="宋体"/>
                <w:sz w:val="21"/>
                <w:szCs w:val="21"/>
              </w:rPr>
            </w:pPr>
            <w:r>
              <w:rPr>
                <w:rFonts w:ascii="宋体" w:hAnsi="宋体" w:eastAsia="宋体"/>
                <w:sz w:val="21"/>
                <w:szCs w:val="21"/>
              </w:rPr>
              <w:t>6</w:t>
            </w:r>
          </w:p>
        </w:tc>
        <w:tc>
          <w:tcPr>
            <w:tcW w:w="1088" w:type="dxa"/>
            <w:tcBorders>
              <w:right w:val="single" w:color="auto" w:sz="4" w:space="0"/>
            </w:tcBorders>
            <w:noWrap w:val="0"/>
            <w:vAlign w:val="center"/>
          </w:tcPr>
          <w:p w14:paraId="268F35B3">
            <w:pPr>
              <w:rPr>
                <w:rFonts w:hint="eastAsia" w:ascii="宋体" w:hAnsi="宋体"/>
              </w:rPr>
            </w:pPr>
            <w:r>
              <w:rPr>
                <w:rFonts w:ascii="宋体" w:hAnsi="宋体"/>
              </w:rPr>
              <w:t>单位从业人员数量</w:t>
            </w:r>
          </w:p>
        </w:tc>
        <w:tc>
          <w:tcPr>
            <w:tcW w:w="2773" w:type="dxa"/>
            <w:gridSpan w:val="3"/>
            <w:tcBorders>
              <w:left w:val="single" w:color="auto" w:sz="4" w:space="0"/>
            </w:tcBorders>
            <w:noWrap w:val="0"/>
            <w:vAlign w:val="center"/>
          </w:tcPr>
          <w:p w14:paraId="7C62E160">
            <w:pPr>
              <w:pStyle w:val="12"/>
              <w:spacing w:line="300" w:lineRule="auto"/>
              <w:ind w:firstLine="2160"/>
              <w:jc w:val="both"/>
              <w:rPr>
                <w:rFonts w:hint="eastAsia" w:ascii="宋体" w:hAnsi="宋体" w:eastAsia="宋体"/>
                <w:sz w:val="21"/>
                <w:szCs w:val="21"/>
              </w:rPr>
            </w:pPr>
            <w:r>
              <w:rPr>
                <w:rFonts w:ascii="宋体" w:hAnsi="宋体" w:eastAsia="宋体"/>
                <w:sz w:val="21"/>
                <w:szCs w:val="21"/>
              </w:rPr>
              <w:t>人</w:t>
            </w:r>
          </w:p>
        </w:tc>
        <w:tc>
          <w:tcPr>
            <w:tcW w:w="2701" w:type="dxa"/>
            <w:gridSpan w:val="4"/>
            <w:tcBorders>
              <w:right w:val="single" w:color="auto" w:sz="4" w:space="0"/>
            </w:tcBorders>
            <w:noWrap w:val="0"/>
            <w:vAlign w:val="center"/>
          </w:tcPr>
          <w:p w14:paraId="31F7482B">
            <w:pPr>
              <w:pStyle w:val="12"/>
              <w:spacing w:line="300" w:lineRule="auto"/>
              <w:ind w:firstLine="0"/>
              <w:jc w:val="both"/>
              <w:rPr>
                <w:rFonts w:hint="eastAsia" w:ascii="宋体" w:hAnsi="宋体" w:eastAsia="宋体"/>
                <w:sz w:val="21"/>
                <w:szCs w:val="21"/>
              </w:rPr>
            </w:pPr>
            <w:r>
              <w:rPr>
                <w:rFonts w:ascii="宋体" w:hAnsi="宋体" w:eastAsia="宋体"/>
                <w:sz w:val="21"/>
                <w:szCs w:val="21"/>
              </w:rPr>
              <w:t>单位202</w:t>
            </w:r>
            <w:r>
              <w:rPr>
                <w:rFonts w:hint="eastAsia" w:ascii="宋体" w:hAnsi="宋体" w:eastAsia="宋体"/>
                <w:sz w:val="21"/>
                <w:szCs w:val="21"/>
              </w:rPr>
              <w:t>4</w:t>
            </w:r>
            <w:r>
              <w:rPr>
                <w:rFonts w:ascii="宋体" w:hAnsi="宋体" w:eastAsia="宋体"/>
                <w:sz w:val="21"/>
                <w:szCs w:val="21"/>
              </w:rPr>
              <w:t>年总营业收入</w:t>
            </w:r>
          </w:p>
        </w:tc>
        <w:tc>
          <w:tcPr>
            <w:tcW w:w="2130" w:type="dxa"/>
            <w:tcBorders>
              <w:left w:val="single" w:color="auto" w:sz="4" w:space="0"/>
            </w:tcBorders>
            <w:noWrap w:val="0"/>
            <w:vAlign w:val="center"/>
          </w:tcPr>
          <w:p w14:paraId="1CFE708D">
            <w:pPr>
              <w:pStyle w:val="12"/>
              <w:spacing w:line="300" w:lineRule="auto"/>
              <w:ind w:firstLine="1470"/>
              <w:jc w:val="both"/>
              <w:rPr>
                <w:rFonts w:hint="eastAsia" w:ascii="宋体" w:hAnsi="宋体" w:eastAsia="宋体"/>
                <w:sz w:val="21"/>
                <w:szCs w:val="21"/>
              </w:rPr>
            </w:pPr>
            <w:r>
              <w:rPr>
                <w:rFonts w:ascii="宋体" w:hAnsi="宋体" w:eastAsia="宋体"/>
                <w:sz w:val="21"/>
                <w:szCs w:val="21"/>
              </w:rPr>
              <w:t>万元</w:t>
            </w:r>
          </w:p>
        </w:tc>
      </w:tr>
      <w:tr w14:paraId="736AB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5" w:hRule="atLeast"/>
          <w:jc w:val="center"/>
        </w:trPr>
        <w:tc>
          <w:tcPr>
            <w:tcW w:w="650" w:type="dxa"/>
            <w:noWrap w:val="0"/>
            <w:vAlign w:val="center"/>
          </w:tcPr>
          <w:p w14:paraId="6BDFDBC6">
            <w:pPr>
              <w:pStyle w:val="12"/>
              <w:spacing w:line="300" w:lineRule="auto"/>
              <w:ind w:firstLine="0"/>
              <w:jc w:val="center"/>
              <w:rPr>
                <w:rFonts w:hint="eastAsia" w:ascii="宋体" w:hAnsi="宋体" w:eastAsia="宋体"/>
                <w:sz w:val="21"/>
                <w:szCs w:val="21"/>
              </w:rPr>
            </w:pPr>
            <w:r>
              <w:rPr>
                <w:rFonts w:hint="eastAsia" w:ascii="宋体" w:hAnsi="宋体" w:eastAsia="宋体"/>
                <w:sz w:val="21"/>
                <w:szCs w:val="21"/>
              </w:rPr>
              <w:t>7</w:t>
            </w:r>
          </w:p>
        </w:tc>
        <w:tc>
          <w:tcPr>
            <w:tcW w:w="1088" w:type="dxa"/>
            <w:tcBorders>
              <w:right w:val="single" w:color="auto" w:sz="4" w:space="0"/>
            </w:tcBorders>
            <w:noWrap w:val="0"/>
            <w:vAlign w:val="center"/>
          </w:tcPr>
          <w:p w14:paraId="78402284">
            <w:pPr>
              <w:rPr>
                <w:rFonts w:hint="eastAsia" w:ascii="宋体" w:hAnsi="宋体"/>
              </w:rPr>
            </w:pPr>
            <w:r>
              <w:rPr>
                <w:rFonts w:hint="eastAsia" w:ascii="宋体" w:hAnsi="宋体"/>
              </w:rPr>
              <w:t>企业规模</w:t>
            </w:r>
          </w:p>
        </w:tc>
        <w:tc>
          <w:tcPr>
            <w:tcW w:w="7604" w:type="dxa"/>
            <w:gridSpan w:val="8"/>
            <w:tcBorders>
              <w:left w:val="single" w:color="auto" w:sz="4" w:space="0"/>
            </w:tcBorders>
            <w:noWrap w:val="0"/>
            <w:vAlign w:val="center"/>
          </w:tcPr>
          <w:p w14:paraId="1AC39F8C">
            <w:pPr>
              <w:pStyle w:val="12"/>
              <w:spacing w:line="300" w:lineRule="auto"/>
              <w:ind w:firstLine="0"/>
              <w:jc w:val="center"/>
              <w:rPr>
                <w:rFonts w:hint="eastAsia" w:ascii="宋体" w:hAnsi="宋体" w:eastAsia="宋体"/>
                <w:sz w:val="21"/>
                <w:szCs w:val="21"/>
              </w:rPr>
            </w:pPr>
            <w:r>
              <w:rPr>
                <w:rFonts w:hint="eastAsia" w:ascii="宋体" w:hAnsi="宋体" w:eastAsia="宋体"/>
                <w:sz w:val="21"/>
                <w:szCs w:val="21"/>
              </w:rPr>
              <w:t xml:space="preserve">□大型 </w:t>
            </w:r>
            <w:r>
              <w:rPr>
                <w:rFonts w:ascii="宋体" w:hAnsi="宋体" w:eastAsia="宋体"/>
                <w:sz w:val="21"/>
                <w:szCs w:val="21"/>
              </w:rPr>
              <w:t xml:space="preserve">    </w:t>
            </w:r>
            <w:r>
              <w:rPr>
                <w:rFonts w:hint="eastAsia" w:ascii="宋体" w:hAnsi="宋体" w:eastAsia="宋体"/>
                <w:sz w:val="21"/>
                <w:szCs w:val="21"/>
              </w:rPr>
              <w:t xml:space="preserve">□中型 </w:t>
            </w:r>
            <w:r>
              <w:rPr>
                <w:rFonts w:ascii="宋体" w:hAnsi="宋体" w:eastAsia="宋体"/>
                <w:sz w:val="21"/>
                <w:szCs w:val="21"/>
              </w:rPr>
              <w:t xml:space="preserve"> </w:t>
            </w:r>
            <w:r>
              <w:rPr>
                <w:rFonts w:hint="eastAsia" w:ascii="宋体" w:hAnsi="宋体" w:eastAsia="宋体"/>
                <w:sz w:val="21"/>
                <w:szCs w:val="21"/>
              </w:rPr>
              <w:t xml:space="preserve"> </w:t>
            </w:r>
            <w:r>
              <w:rPr>
                <w:rFonts w:ascii="宋体" w:hAnsi="宋体" w:eastAsia="宋体"/>
                <w:sz w:val="21"/>
                <w:szCs w:val="21"/>
              </w:rPr>
              <w:t xml:space="preserve">  </w:t>
            </w:r>
            <w:r>
              <w:rPr>
                <w:rFonts w:hint="eastAsia" w:ascii="宋体" w:hAnsi="宋体" w:eastAsia="宋体"/>
                <w:sz w:val="21"/>
                <w:szCs w:val="21"/>
              </w:rPr>
              <w:t xml:space="preserve">□小型 </w:t>
            </w:r>
            <w:r>
              <w:rPr>
                <w:rFonts w:ascii="宋体" w:hAnsi="宋体" w:eastAsia="宋体"/>
                <w:sz w:val="21"/>
                <w:szCs w:val="21"/>
              </w:rPr>
              <w:t xml:space="preserve">    </w:t>
            </w:r>
            <w:r>
              <w:rPr>
                <w:rFonts w:hint="eastAsia" w:ascii="宋体" w:hAnsi="宋体" w:eastAsia="宋体"/>
                <w:sz w:val="21"/>
                <w:szCs w:val="21"/>
              </w:rPr>
              <w:t>□微型</w:t>
            </w:r>
          </w:p>
        </w:tc>
      </w:tr>
      <w:tr w14:paraId="0BADA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67" w:hRule="atLeast"/>
          <w:jc w:val="center"/>
        </w:trPr>
        <w:tc>
          <w:tcPr>
            <w:tcW w:w="650" w:type="dxa"/>
            <w:noWrap w:val="0"/>
            <w:vAlign w:val="center"/>
          </w:tcPr>
          <w:p w14:paraId="1CC862EB">
            <w:pPr>
              <w:pStyle w:val="12"/>
              <w:spacing w:line="300" w:lineRule="auto"/>
              <w:ind w:firstLine="0"/>
              <w:jc w:val="center"/>
              <w:rPr>
                <w:rFonts w:hint="eastAsia" w:ascii="宋体" w:hAnsi="宋体" w:eastAsia="宋体"/>
                <w:sz w:val="21"/>
                <w:szCs w:val="21"/>
              </w:rPr>
            </w:pPr>
            <w:r>
              <w:rPr>
                <w:rFonts w:ascii="宋体" w:hAnsi="宋体" w:eastAsia="宋体"/>
                <w:sz w:val="21"/>
                <w:szCs w:val="21"/>
              </w:rPr>
              <w:t>8</w:t>
            </w:r>
          </w:p>
        </w:tc>
        <w:tc>
          <w:tcPr>
            <w:tcW w:w="8692" w:type="dxa"/>
            <w:gridSpan w:val="9"/>
            <w:noWrap w:val="0"/>
            <w:vAlign w:val="center"/>
          </w:tcPr>
          <w:p w14:paraId="55FBDA7F">
            <w:pPr>
              <w:pStyle w:val="12"/>
              <w:spacing w:line="300" w:lineRule="auto"/>
              <w:ind w:firstLine="0"/>
              <w:jc w:val="both"/>
              <w:rPr>
                <w:rFonts w:hint="eastAsia" w:ascii="宋体" w:hAnsi="宋体" w:eastAsia="宋体"/>
                <w:sz w:val="21"/>
                <w:szCs w:val="21"/>
              </w:rPr>
            </w:pPr>
            <w:r>
              <w:rPr>
                <w:rFonts w:ascii="宋体" w:hAnsi="宋体" w:eastAsia="宋体"/>
                <w:sz w:val="21"/>
                <w:szCs w:val="21"/>
              </w:rPr>
              <w:t>主营范围</w:t>
            </w:r>
          </w:p>
          <w:p w14:paraId="15175C12">
            <w:pPr>
              <w:pStyle w:val="12"/>
              <w:spacing w:line="300" w:lineRule="auto"/>
              <w:ind w:firstLine="0"/>
              <w:jc w:val="both"/>
              <w:rPr>
                <w:rFonts w:hint="eastAsia" w:ascii="宋体" w:hAnsi="宋体" w:eastAsia="宋体"/>
                <w:sz w:val="21"/>
                <w:szCs w:val="21"/>
              </w:rPr>
            </w:pPr>
            <w:r>
              <w:rPr>
                <w:rFonts w:ascii="宋体" w:hAnsi="宋体" w:eastAsia="宋体"/>
                <w:sz w:val="21"/>
                <w:szCs w:val="21"/>
              </w:rPr>
              <w:t>1._____________________________________</w:t>
            </w:r>
          </w:p>
          <w:p w14:paraId="23519B5E">
            <w:pPr>
              <w:pStyle w:val="12"/>
              <w:spacing w:line="300" w:lineRule="auto"/>
              <w:ind w:firstLine="0"/>
              <w:jc w:val="both"/>
              <w:rPr>
                <w:rFonts w:hint="eastAsia" w:ascii="宋体" w:hAnsi="宋体" w:eastAsia="宋体"/>
                <w:sz w:val="21"/>
                <w:szCs w:val="21"/>
              </w:rPr>
            </w:pPr>
            <w:r>
              <w:rPr>
                <w:rFonts w:ascii="宋体" w:hAnsi="宋体" w:eastAsia="宋体"/>
                <w:sz w:val="21"/>
                <w:szCs w:val="21"/>
              </w:rPr>
              <w:t>2._____________________________________</w:t>
            </w:r>
          </w:p>
          <w:p w14:paraId="0A612BB9">
            <w:pPr>
              <w:pStyle w:val="12"/>
              <w:spacing w:line="300" w:lineRule="auto"/>
              <w:ind w:firstLine="0"/>
              <w:jc w:val="both"/>
              <w:rPr>
                <w:rFonts w:hint="eastAsia" w:ascii="宋体" w:hAnsi="宋体" w:eastAsia="宋体"/>
                <w:sz w:val="21"/>
                <w:szCs w:val="21"/>
              </w:rPr>
            </w:pPr>
            <w:r>
              <w:rPr>
                <w:rFonts w:ascii="宋体" w:hAnsi="宋体" w:eastAsia="宋体"/>
                <w:sz w:val="21"/>
                <w:szCs w:val="21"/>
              </w:rPr>
              <w:t>3._____________________________________</w:t>
            </w:r>
          </w:p>
        </w:tc>
      </w:tr>
      <w:tr w14:paraId="4BF0C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48" w:hRule="atLeast"/>
          <w:jc w:val="center"/>
        </w:trPr>
        <w:tc>
          <w:tcPr>
            <w:tcW w:w="650" w:type="dxa"/>
            <w:noWrap w:val="0"/>
            <w:vAlign w:val="center"/>
          </w:tcPr>
          <w:p w14:paraId="3E560680">
            <w:pPr>
              <w:pStyle w:val="12"/>
              <w:spacing w:line="300" w:lineRule="auto"/>
              <w:ind w:firstLine="0"/>
              <w:jc w:val="center"/>
              <w:rPr>
                <w:rFonts w:hint="eastAsia" w:ascii="宋体" w:hAnsi="宋体" w:eastAsia="宋体"/>
                <w:sz w:val="21"/>
                <w:szCs w:val="21"/>
              </w:rPr>
            </w:pPr>
            <w:r>
              <w:rPr>
                <w:rFonts w:ascii="宋体" w:hAnsi="宋体" w:eastAsia="宋体"/>
                <w:sz w:val="21"/>
                <w:szCs w:val="21"/>
              </w:rPr>
              <w:t>9</w:t>
            </w:r>
          </w:p>
        </w:tc>
        <w:tc>
          <w:tcPr>
            <w:tcW w:w="2445" w:type="dxa"/>
            <w:gridSpan w:val="3"/>
            <w:noWrap w:val="0"/>
            <w:vAlign w:val="center"/>
          </w:tcPr>
          <w:p w14:paraId="21B4B55B">
            <w:pPr>
              <w:pStyle w:val="12"/>
              <w:spacing w:line="300" w:lineRule="auto"/>
              <w:ind w:firstLine="0"/>
              <w:jc w:val="both"/>
              <w:rPr>
                <w:rFonts w:hint="eastAsia" w:ascii="宋体" w:hAnsi="宋体" w:eastAsia="宋体"/>
                <w:sz w:val="21"/>
                <w:szCs w:val="21"/>
              </w:rPr>
            </w:pPr>
            <w:r>
              <w:rPr>
                <w:rFonts w:ascii="宋体" w:hAnsi="宋体" w:eastAsia="宋体"/>
                <w:sz w:val="21"/>
                <w:szCs w:val="21"/>
              </w:rPr>
              <w:t>最近3年内在经营过程中受到何种奖励或处分</w:t>
            </w:r>
          </w:p>
        </w:tc>
        <w:tc>
          <w:tcPr>
            <w:tcW w:w="6247" w:type="dxa"/>
            <w:gridSpan w:val="6"/>
            <w:noWrap w:val="0"/>
          </w:tcPr>
          <w:p w14:paraId="6FEDA902">
            <w:pPr>
              <w:pStyle w:val="12"/>
              <w:spacing w:line="300" w:lineRule="auto"/>
              <w:ind w:firstLine="0"/>
              <w:jc w:val="both"/>
              <w:rPr>
                <w:rFonts w:hint="eastAsia" w:ascii="宋体" w:hAnsi="宋体" w:eastAsia="宋体"/>
                <w:sz w:val="21"/>
                <w:szCs w:val="21"/>
              </w:rPr>
            </w:pPr>
          </w:p>
        </w:tc>
      </w:tr>
      <w:tr w14:paraId="2E76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8" w:hRule="atLeast"/>
          <w:jc w:val="center"/>
        </w:trPr>
        <w:tc>
          <w:tcPr>
            <w:tcW w:w="650" w:type="dxa"/>
            <w:noWrap w:val="0"/>
            <w:vAlign w:val="center"/>
          </w:tcPr>
          <w:p w14:paraId="70273379">
            <w:pPr>
              <w:pStyle w:val="12"/>
              <w:spacing w:line="300" w:lineRule="auto"/>
              <w:ind w:firstLine="0"/>
              <w:jc w:val="center"/>
              <w:rPr>
                <w:rFonts w:hint="eastAsia" w:ascii="宋体" w:hAnsi="宋体" w:eastAsia="宋体"/>
                <w:sz w:val="21"/>
                <w:szCs w:val="21"/>
              </w:rPr>
            </w:pPr>
            <w:r>
              <w:rPr>
                <w:rFonts w:ascii="宋体" w:hAnsi="宋体" w:eastAsia="宋体"/>
                <w:sz w:val="21"/>
                <w:szCs w:val="21"/>
              </w:rPr>
              <w:t>10</w:t>
            </w:r>
          </w:p>
        </w:tc>
        <w:tc>
          <w:tcPr>
            <w:tcW w:w="2445" w:type="dxa"/>
            <w:gridSpan w:val="3"/>
            <w:noWrap w:val="0"/>
          </w:tcPr>
          <w:p w14:paraId="7293D975">
            <w:pPr>
              <w:pStyle w:val="12"/>
              <w:spacing w:line="300" w:lineRule="auto"/>
              <w:ind w:firstLine="0"/>
              <w:jc w:val="both"/>
              <w:rPr>
                <w:rFonts w:hint="eastAsia" w:ascii="宋体" w:hAnsi="宋体" w:eastAsia="宋体"/>
                <w:sz w:val="21"/>
                <w:szCs w:val="21"/>
              </w:rPr>
            </w:pPr>
            <w:r>
              <w:rPr>
                <w:rFonts w:ascii="宋体" w:hAnsi="宋体" w:eastAsia="宋体"/>
                <w:sz w:val="21"/>
                <w:szCs w:val="21"/>
              </w:rPr>
              <w:t>最近3年内有无因售假、售劣或是其他原因被消费者投诉或起诉的情况及说明</w:t>
            </w:r>
          </w:p>
        </w:tc>
        <w:tc>
          <w:tcPr>
            <w:tcW w:w="6247" w:type="dxa"/>
            <w:gridSpan w:val="6"/>
            <w:noWrap w:val="0"/>
          </w:tcPr>
          <w:p w14:paraId="27DABDE7">
            <w:pPr>
              <w:pStyle w:val="12"/>
              <w:spacing w:line="300" w:lineRule="auto"/>
              <w:ind w:firstLine="0"/>
              <w:jc w:val="both"/>
              <w:rPr>
                <w:rFonts w:hint="eastAsia" w:ascii="宋体" w:hAnsi="宋体" w:eastAsia="宋体"/>
                <w:sz w:val="21"/>
                <w:szCs w:val="21"/>
              </w:rPr>
            </w:pPr>
          </w:p>
        </w:tc>
      </w:tr>
      <w:tr w14:paraId="49ACE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2" w:hRule="atLeast"/>
          <w:jc w:val="center"/>
        </w:trPr>
        <w:tc>
          <w:tcPr>
            <w:tcW w:w="650" w:type="dxa"/>
            <w:noWrap w:val="0"/>
            <w:vAlign w:val="center"/>
          </w:tcPr>
          <w:p w14:paraId="510D351E">
            <w:pPr>
              <w:pStyle w:val="12"/>
              <w:spacing w:line="300" w:lineRule="auto"/>
              <w:ind w:firstLine="0"/>
              <w:jc w:val="center"/>
              <w:rPr>
                <w:rFonts w:hint="eastAsia" w:ascii="宋体" w:hAnsi="宋体" w:eastAsia="宋体"/>
                <w:sz w:val="21"/>
                <w:szCs w:val="21"/>
              </w:rPr>
            </w:pPr>
            <w:r>
              <w:rPr>
                <w:rFonts w:ascii="宋体" w:hAnsi="宋体" w:eastAsia="宋体"/>
                <w:sz w:val="21"/>
                <w:szCs w:val="21"/>
              </w:rPr>
              <w:t>11</w:t>
            </w:r>
          </w:p>
        </w:tc>
        <w:tc>
          <w:tcPr>
            <w:tcW w:w="8692" w:type="dxa"/>
            <w:gridSpan w:val="9"/>
            <w:noWrap w:val="0"/>
            <w:vAlign w:val="center"/>
          </w:tcPr>
          <w:p w14:paraId="1E152DA0">
            <w:pPr>
              <w:pStyle w:val="12"/>
              <w:spacing w:line="300" w:lineRule="auto"/>
              <w:ind w:firstLine="0"/>
              <w:jc w:val="both"/>
              <w:rPr>
                <w:rFonts w:hint="eastAsia" w:ascii="宋体" w:hAnsi="宋体" w:eastAsia="宋体"/>
                <w:sz w:val="21"/>
                <w:szCs w:val="21"/>
              </w:rPr>
            </w:pPr>
            <w:r>
              <w:rPr>
                <w:rFonts w:ascii="宋体" w:hAnsi="宋体" w:eastAsia="宋体"/>
                <w:sz w:val="21"/>
                <w:szCs w:val="21"/>
              </w:rPr>
              <w:t>其他需要说明的情况</w:t>
            </w:r>
          </w:p>
        </w:tc>
      </w:tr>
    </w:tbl>
    <w:p w14:paraId="2F364A6E">
      <w:pPr>
        <w:pStyle w:val="397"/>
        <w:spacing w:line="360" w:lineRule="auto"/>
        <w:ind w:firstLine="422"/>
        <w:rPr>
          <w:rFonts w:hAnsi="宋体" w:eastAsia="宋体"/>
          <w:b/>
          <w:color w:val="000000"/>
          <w:sz w:val="21"/>
          <w:szCs w:val="21"/>
        </w:rPr>
        <w:sectPr>
          <w:pgSz w:w="11906" w:h="16838"/>
          <w:pgMar w:top="1474" w:right="1247" w:bottom="1247" w:left="1531" w:header="851" w:footer="680" w:gutter="0"/>
          <w:cols w:space="425" w:num="1"/>
          <w:docGrid w:linePitch="360" w:charSpace="0"/>
        </w:sectPr>
      </w:pPr>
      <w:r>
        <w:rPr>
          <w:rFonts w:hint="default" w:hAnsi="宋体" w:eastAsia="宋体"/>
          <w:b/>
          <w:color w:val="000000"/>
          <w:sz w:val="21"/>
          <w:szCs w:val="21"/>
        </w:rPr>
        <w:t>注：</w:t>
      </w:r>
      <w:r>
        <w:rPr>
          <w:rFonts w:hAnsi="宋体" w:eastAsia="宋体"/>
          <w:b/>
          <w:color w:val="000000"/>
          <w:sz w:val="21"/>
          <w:szCs w:val="21"/>
        </w:rPr>
        <w:t>企业规模的</w:t>
      </w:r>
      <w:r>
        <w:rPr>
          <w:rFonts w:hint="default" w:hAnsi="宋体" w:eastAsia="宋体"/>
          <w:b/>
          <w:color w:val="000000"/>
          <w:sz w:val="21"/>
          <w:szCs w:val="21"/>
        </w:rPr>
        <w:t>企业划型标准请根据《中小企业划型标准规定》（工信部联企业〔2011〕300号）</w:t>
      </w:r>
      <w:r>
        <w:rPr>
          <w:rFonts w:hAnsi="宋体" w:eastAsia="宋体"/>
          <w:b/>
          <w:color w:val="000000"/>
          <w:sz w:val="21"/>
          <w:szCs w:val="21"/>
        </w:rPr>
        <w:t>。</w:t>
      </w:r>
      <w:bookmarkStart w:id="76" w:name="_Toc519686651"/>
      <w:bookmarkStart w:id="77" w:name="_Ref507166820"/>
      <w:bookmarkStart w:id="78" w:name="_Ref15302737"/>
      <w:bookmarkStart w:id="79" w:name="_Toc62807510"/>
      <w:bookmarkStart w:id="80" w:name="_Ref33617519"/>
      <w:bookmarkStart w:id="81" w:name="_Toc161067518"/>
    </w:p>
    <w:p w14:paraId="2A69A716">
      <w:pPr>
        <w:pStyle w:val="3"/>
        <w:spacing w:before="0" w:after="0" w:line="360" w:lineRule="auto"/>
        <w:rPr>
          <w:rFonts w:hint="eastAsia" w:ascii="黑体" w:hAnsi="黑体"/>
          <w:u w:val="single"/>
          <w:lang w:val="zh-CN"/>
        </w:rPr>
      </w:pPr>
      <w:bookmarkStart w:id="82" w:name="_Toc161126690"/>
      <w:r>
        <w:rPr>
          <w:rFonts w:hint="eastAsia" w:ascii="黑体" w:hAnsi="黑体"/>
          <w:u w:val="single"/>
          <w:lang w:val="zh-CN"/>
        </w:rPr>
        <w:t>二</w:t>
      </w:r>
      <w:bookmarkEnd w:id="76"/>
      <w:bookmarkEnd w:id="77"/>
      <w:bookmarkEnd w:id="78"/>
      <w:bookmarkEnd w:id="79"/>
      <w:bookmarkEnd w:id="80"/>
      <w:r>
        <w:rPr>
          <w:rFonts w:hint="eastAsia" w:ascii="黑体" w:hAnsi="黑体"/>
          <w:u w:val="single"/>
          <w:lang w:val="zh-CN"/>
        </w:rPr>
        <w:t>、谈判响应</w:t>
      </w:r>
      <w:r>
        <w:rPr>
          <w:rFonts w:ascii="黑体" w:hAnsi="黑体"/>
          <w:u w:val="single"/>
          <w:lang w:val="zh-CN"/>
        </w:rPr>
        <w:t>函</w:t>
      </w:r>
      <w:bookmarkEnd w:id="81"/>
      <w:bookmarkEnd w:id="82"/>
    </w:p>
    <w:p w14:paraId="65A9D837">
      <w:pPr>
        <w:spacing w:line="360" w:lineRule="auto"/>
        <w:jc w:val="center"/>
        <w:rPr>
          <w:rFonts w:hint="eastAsia" w:ascii="宋体" w:hAnsi="宋体"/>
          <w:color w:val="000000"/>
          <w:szCs w:val="21"/>
        </w:rPr>
      </w:pPr>
      <w:r>
        <w:rPr>
          <w:rFonts w:hint="eastAsia" w:ascii="宋体" w:hAnsi="宋体"/>
          <w:color w:val="000000"/>
          <w:szCs w:val="21"/>
        </w:rPr>
        <w:t>谈判响应</w:t>
      </w:r>
      <w:r>
        <w:rPr>
          <w:rFonts w:ascii="宋体" w:hAnsi="宋体"/>
          <w:color w:val="000000"/>
          <w:szCs w:val="21"/>
        </w:rPr>
        <w:t>函</w:t>
      </w:r>
    </w:p>
    <w:p w14:paraId="4EACFE27">
      <w:pPr>
        <w:spacing w:line="360" w:lineRule="auto"/>
        <w:rPr>
          <w:rFonts w:hint="eastAsia" w:ascii="宋体" w:hAnsi="宋体"/>
        </w:rPr>
      </w:pPr>
      <w:r>
        <w:rPr>
          <w:rFonts w:hint="eastAsia" w:ascii="宋体" w:hAnsi="宋体"/>
        </w:rPr>
        <w:t>致：</w:t>
      </w:r>
      <w:r>
        <w:rPr>
          <w:rFonts w:hint="eastAsia"/>
          <w:i/>
          <w:iCs/>
          <w:u w:val="single"/>
        </w:rPr>
        <w:t>（采购人名称）</w:t>
      </w:r>
      <w:r>
        <w:rPr>
          <w:rFonts w:hint="eastAsia"/>
          <w:i/>
          <w:iCs/>
        </w:rPr>
        <w:t>、</w:t>
      </w:r>
      <w:r>
        <w:rPr>
          <w:rFonts w:hint="eastAsia" w:ascii="宋体" w:hAnsi="宋体"/>
          <w:color w:val="000000"/>
          <w:szCs w:val="21"/>
        </w:rPr>
        <w:t>中诚运玛咨询股份有限公司</w:t>
      </w:r>
      <w:r>
        <w:rPr>
          <w:rFonts w:ascii="宋体" w:hAnsi="宋体"/>
          <w:color w:val="000000"/>
          <w:szCs w:val="21"/>
        </w:rPr>
        <w:t>：</w:t>
      </w:r>
    </w:p>
    <w:p w14:paraId="0B28A4FA">
      <w:pPr>
        <w:spacing w:line="360" w:lineRule="auto"/>
        <w:ind w:firstLine="420"/>
        <w:rPr>
          <w:rFonts w:hint="eastAsia" w:ascii="宋体" w:hAnsi="宋体"/>
        </w:rPr>
      </w:pPr>
      <w:r>
        <w:rPr>
          <w:rFonts w:ascii="宋体" w:hAnsi="宋体"/>
          <w:color w:val="000000"/>
          <w:szCs w:val="21"/>
        </w:rPr>
        <w:t>经仔细阅读和研究</w:t>
      </w:r>
      <w:r>
        <w:rPr>
          <w:rFonts w:hint="eastAsia" w:ascii="宋体" w:hAnsi="宋体"/>
          <w:color w:val="000000"/>
          <w:szCs w:val="21"/>
        </w:rPr>
        <w:t>，</w:t>
      </w:r>
      <w:r>
        <w:rPr>
          <w:rFonts w:ascii="宋体" w:hAnsi="宋体"/>
          <w:color w:val="000000"/>
          <w:szCs w:val="21"/>
        </w:rPr>
        <w:t>我方同意</w:t>
      </w:r>
      <w:r>
        <w:rPr>
          <w:rFonts w:hint="eastAsia" w:ascii="宋体" w:hAnsi="宋体"/>
          <w:color w:val="000000"/>
          <w:szCs w:val="21"/>
        </w:rPr>
        <w:t>采购</w:t>
      </w:r>
      <w:r>
        <w:rPr>
          <w:rFonts w:ascii="宋体" w:hAnsi="宋体"/>
          <w:color w:val="000000"/>
          <w:szCs w:val="21"/>
        </w:rPr>
        <w:t>文件</w:t>
      </w:r>
      <w:r>
        <w:rPr>
          <w:szCs w:val="21"/>
          <w:lang w:val="zh-CN"/>
        </w:rPr>
        <w:t>（包括</w:t>
      </w:r>
      <w:r>
        <w:rPr>
          <w:rFonts w:hint="eastAsia"/>
          <w:szCs w:val="21"/>
          <w:lang w:val="zh-CN"/>
        </w:rPr>
        <w:t>补充文件</w:t>
      </w:r>
      <w:r>
        <w:rPr>
          <w:szCs w:val="21"/>
          <w:lang w:val="zh-CN"/>
        </w:rPr>
        <w:t>）</w:t>
      </w:r>
      <w:r>
        <w:rPr>
          <w:rFonts w:ascii="宋体" w:hAnsi="宋体"/>
          <w:color w:val="000000"/>
          <w:szCs w:val="21"/>
        </w:rPr>
        <w:t>的各条款要求</w:t>
      </w:r>
      <w:r>
        <w:rPr>
          <w:rFonts w:hint="eastAsia" w:ascii="宋体" w:hAnsi="宋体"/>
          <w:color w:val="000000"/>
          <w:szCs w:val="21"/>
        </w:rPr>
        <w:t>，</w:t>
      </w:r>
      <w:r>
        <w:rPr>
          <w:rFonts w:hint="eastAsia" w:ascii="宋体" w:hAnsi="宋体"/>
        </w:rPr>
        <w:t>自愿参加_</w:t>
      </w:r>
      <w:r>
        <w:rPr>
          <w:rFonts w:hint="eastAsia"/>
          <w:i/>
          <w:iCs/>
          <w:u w:val="single"/>
        </w:rPr>
        <w:t>（项目名称及项目编号）</w:t>
      </w:r>
      <w:r>
        <w:rPr>
          <w:rFonts w:hint="eastAsia" w:ascii="宋体" w:hAnsi="宋体"/>
        </w:rPr>
        <w:t>的采购活动，并做出如下承诺：</w:t>
      </w:r>
    </w:p>
    <w:p w14:paraId="1D849A4E">
      <w:pPr>
        <w:spacing w:line="360" w:lineRule="auto"/>
        <w:ind w:firstLine="420"/>
        <w:rPr>
          <w:rFonts w:hint="eastAsia" w:ascii="宋体" w:hAnsi="宋体"/>
          <w:color w:val="000000"/>
          <w:szCs w:val="21"/>
        </w:rPr>
      </w:pPr>
      <w:r>
        <w:rPr>
          <w:rFonts w:ascii="宋体" w:hAnsi="宋体"/>
          <w:color w:val="000000"/>
          <w:szCs w:val="21"/>
        </w:rPr>
        <w:t>1</w:t>
      </w:r>
      <w:r>
        <w:rPr>
          <w:rFonts w:hint="eastAsia" w:ascii="宋体" w:hAnsi="宋体"/>
          <w:color w:val="000000"/>
          <w:szCs w:val="21"/>
        </w:rPr>
        <w:t>.</w:t>
      </w:r>
      <w:r>
        <w:rPr>
          <w:rFonts w:hint="eastAsia"/>
          <w:szCs w:val="21"/>
          <w:lang w:val="zh-CN"/>
        </w:rPr>
        <w:t>我方</w:t>
      </w:r>
      <w:r>
        <w:rPr>
          <w:szCs w:val="21"/>
          <w:lang w:val="zh-CN"/>
        </w:rPr>
        <w:t>同意提供与</w:t>
      </w:r>
      <w:r>
        <w:rPr>
          <w:rFonts w:hint="eastAsia"/>
          <w:szCs w:val="21"/>
          <w:lang w:val="zh-CN"/>
        </w:rPr>
        <w:t>响应</w:t>
      </w:r>
      <w:r>
        <w:rPr>
          <w:szCs w:val="21"/>
          <w:lang w:val="zh-CN"/>
        </w:rPr>
        <w:t>有关的一切数据或资料，并保证所提供的</w:t>
      </w:r>
      <w:r>
        <w:rPr>
          <w:rFonts w:hint="eastAsia"/>
          <w:szCs w:val="21"/>
          <w:lang w:val="zh-CN"/>
        </w:rPr>
        <w:t>响应</w:t>
      </w:r>
      <w:r>
        <w:rPr>
          <w:szCs w:val="21"/>
          <w:lang w:val="zh-CN"/>
        </w:rPr>
        <w:t>文件及相关资料均真实有效</w:t>
      </w:r>
      <w:r>
        <w:rPr>
          <w:rFonts w:hint="eastAsia"/>
          <w:szCs w:val="21"/>
          <w:lang w:val="zh-CN"/>
        </w:rPr>
        <w:t>，</w:t>
      </w:r>
      <w:r>
        <w:rPr>
          <w:szCs w:val="21"/>
          <w:lang w:val="zh-CN"/>
        </w:rPr>
        <w:t>若有</w:t>
      </w:r>
      <w:r>
        <w:rPr>
          <w:rFonts w:hint="eastAsia"/>
          <w:szCs w:val="21"/>
          <w:lang w:val="zh-CN"/>
        </w:rPr>
        <w:t>不实</w:t>
      </w:r>
      <w:r>
        <w:rPr>
          <w:szCs w:val="21"/>
          <w:lang w:val="zh-CN"/>
        </w:rPr>
        <w:t>，</w:t>
      </w:r>
      <w:r>
        <w:rPr>
          <w:rFonts w:hint="eastAsia"/>
          <w:szCs w:val="21"/>
          <w:lang w:val="zh-CN"/>
        </w:rPr>
        <w:t>由此产生的后果由我</w:t>
      </w:r>
      <w:r>
        <w:rPr>
          <w:szCs w:val="21"/>
          <w:lang w:val="zh-CN"/>
        </w:rPr>
        <w:t>方承担</w:t>
      </w:r>
      <w:r>
        <w:rPr>
          <w:rFonts w:hint="eastAsia"/>
          <w:szCs w:val="21"/>
          <w:lang w:val="zh-CN"/>
        </w:rPr>
        <w:t>；</w:t>
      </w:r>
    </w:p>
    <w:p w14:paraId="2A87FE14">
      <w:pPr>
        <w:spacing w:line="360" w:lineRule="auto"/>
        <w:ind w:firstLine="420"/>
        <w:jc w:val="left"/>
        <w:rPr>
          <w:rFonts w:hint="eastAsia" w:ascii="宋体" w:hAnsi="宋体"/>
        </w:rPr>
      </w:pPr>
      <w:r>
        <w:rPr>
          <w:rFonts w:ascii="宋体" w:hAnsi="宋体"/>
        </w:rPr>
        <w:t>2.</w:t>
      </w:r>
      <w:r>
        <w:rPr>
          <w:rFonts w:hint="eastAsia" w:ascii="宋体" w:hAnsi="宋体"/>
        </w:rPr>
        <w:t>我方具有良好的商业信誉和健全的财务会计制度；</w:t>
      </w:r>
    </w:p>
    <w:p w14:paraId="2BD0F9E0">
      <w:pPr>
        <w:spacing w:line="360" w:lineRule="auto"/>
        <w:ind w:firstLine="420"/>
        <w:jc w:val="left"/>
        <w:rPr>
          <w:rFonts w:hint="eastAsia" w:ascii="宋体" w:hAnsi="宋体"/>
        </w:rPr>
      </w:pPr>
      <w:r>
        <w:rPr>
          <w:rFonts w:ascii="宋体" w:hAnsi="宋体"/>
        </w:rPr>
        <w:t>3.</w:t>
      </w:r>
      <w:r>
        <w:rPr>
          <w:rFonts w:hint="eastAsia" w:ascii="宋体" w:hAnsi="宋体"/>
        </w:rPr>
        <w:t>我方具有依法缴纳税收和社会保障资金的良好记录；</w:t>
      </w:r>
    </w:p>
    <w:p w14:paraId="05AFCC22">
      <w:pPr>
        <w:spacing w:line="360" w:lineRule="auto"/>
        <w:ind w:firstLine="420"/>
        <w:jc w:val="left"/>
        <w:rPr>
          <w:rFonts w:hint="eastAsia" w:ascii="宋体" w:hAnsi="宋体"/>
        </w:rPr>
      </w:pPr>
      <w:r>
        <w:rPr>
          <w:rFonts w:ascii="宋体" w:hAnsi="宋体"/>
        </w:rPr>
        <w:t>4.</w:t>
      </w:r>
      <w:r>
        <w:rPr>
          <w:rFonts w:hint="eastAsia" w:ascii="宋体" w:hAnsi="宋体"/>
        </w:rPr>
        <w:t>我方具有履行合同所必需的设备和专业技术能力；</w:t>
      </w:r>
    </w:p>
    <w:p w14:paraId="1E70B104">
      <w:pPr>
        <w:spacing w:line="360" w:lineRule="auto"/>
        <w:ind w:firstLine="420"/>
        <w:rPr>
          <w:rFonts w:hint="eastAsia" w:ascii="宋体" w:hAnsi="宋体"/>
          <w:color w:val="000000"/>
          <w:szCs w:val="21"/>
        </w:rPr>
      </w:pPr>
      <w:r>
        <w:rPr>
          <w:rFonts w:ascii="宋体" w:hAnsi="宋体"/>
          <w:color w:val="000000"/>
          <w:szCs w:val="21"/>
        </w:rPr>
        <w:t>5.</w:t>
      </w:r>
      <w:r>
        <w:rPr>
          <w:rFonts w:hint="eastAsia" w:ascii="宋体" w:hAnsi="宋体"/>
          <w:color w:val="000000"/>
          <w:szCs w:val="21"/>
        </w:rPr>
        <w:t>我方参加本次政府采购活动前3年内在经营活动中无重大违法记录；</w:t>
      </w:r>
    </w:p>
    <w:p w14:paraId="5CBE692D">
      <w:pPr>
        <w:spacing w:line="360" w:lineRule="auto"/>
        <w:ind w:firstLine="420"/>
        <w:rPr>
          <w:rFonts w:hint="eastAsia" w:ascii="宋体" w:hAnsi="宋体"/>
          <w:color w:val="000000"/>
          <w:szCs w:val="21"/>
        </w:rPr>
      </w:pPr>
      <w:r>
        <w:rPr>
          <w:rFonts w:ascii="宋体" w:hAnsi="宋体"/>
          <w:color w:val="000000"/>
          <w:szCs w:val="21"/>
        </w:rPr>
        <w:t>6</w:t>
      </w:r>
      <w:r>
        <w:rPr>
          <w:rFonts w:hint="eastAsia" w:ascii="宋体" w:hAnsi="宋体"/>
          <w:color w:val="000000"/>
          <w:szCs w:val="21"/>
        </w:rPr>
        <w:t>.</w:t>
      </w:r>
      <w:r>
        <w:rPr>
          <w:rFonts w:ascii="宋体" w:hAnsi="宋体"/>
          <w:color w:val="000000"/>
          <w:szCs w:val="21"/>
        </w:rPr>
        <w:t>我方同意按</w:t>
      </w:r>
      <w:r>
        <w:rPr>
          <w:rFonts w:hint="eastAsia" w:ascii="宋体" w:hAnsi="宋体"/>
          <w:color w:val="000000"/>
          <w:szCs w:val="21"/>
        </w:rPr>
        <w:t>采购人</w:t>
      </w:r>
      <w:r>
        <w:rPr>
          <w:rFonts w:ascii="宋体" w:hAnsi="宋体"/>
          <w:color w:val="000000"/>
          <w:szCs w:val="21"/>
        </w:rPr>
        <w:t>确定的</w:t>
      </w:r>
      <w:r>
        <w:rPr>
          <w:rFonts w:hint="eastAsia" w:ascii="宋体" w:hAnsi="宋体"/>
          <w:color w:val="000000"/>
          <w:szCs w:val="21"/>
        </w:rPr>
        <w:t>评审办法，由评标专家进行评审；</w:t>
      </w:r>
    </w:p>
    <w:p w14:paraId="4F996096">
      <w:pPr>
        <w:spacing w:line="360" w:lineRule="auto"/>
        <w:ind w:firstLine="420"/>
        <w:rPr>
          <w:rFonts w:hint="eastAsia" w:ascii="宋体" w:hAnsi="宋体"/>
          <w:color w:val="000000"/>
          <w:szCs w:val="21"/>
        </w:rPr>
      </w:pPr>
      <w:r>
        <w:rPr>
          <w:rFonts w:ascii="宋体" w:hAnsi="宋体"/>
          <w:color w:val="000000"/>
          <w:szCs w:val="21"/>
        </w:rPr>
        <w:t>7.我方同意按</w:t>
      </w:r>
      <w:r>
        <w:rPr>
          <w:rFonts w:hint="eastAsia" w:ascii="宋体" w:hAnsi="宋体"/>
          <w:color w:val="000000"/>
          <w:szCs w:val="21"/>
        </w:rPr>
        <w:t>采购</w:t>
      </w:r>
      <w:r>
        <w:rPr>
          <w:rFonts w:ascii="宋体" w:hAnsi="宋体"/>
          <w:color w:val="000000"/>
          <w:szCs w:val="21"/>
        </w:rPr>
        <w:t>文件中的规定，</w:t>
      </w:r>
      <w:r>
        <w:rPr>
          <w:rFonts w:hint="eastAsia" w:ascii="宋体" w:hAnsi="宋体"/>
          <w:color w:val="000000"/>
          <w:szCs w:val="21"/>
        </w:rPr>
        <w:t>响应文件</w:t>
      </w:r>
      <w:r>
        <w:rPr>
          <w:rFonts w:ascii="宋体" w:hAnsi="宋体"/>
          <w:color w:val="000000"/>
          <w:szCs w:val="21"/>
        </w:rPr>
        <w:t>的有效期限为开标后三个月</w:t>
      </w:r>
      <w:r>
        <w:rPr>
          <w:rFonts w:hint="eastAsia" w:ascii="宋体" w:hAnsi="宋体"/>
          <w:color w:val="000000"/>
          <w:szCs w:val="21"/>
        </w:rPr>
        <w:t>；</w:t>
      </w:r>
    </w:p>
    <w:p w14:paraId="44EE4F4B">
      <w:pPr>
        <w:spacing w:line="360" w:lineRule="auto"/>
        <w:ind w:firstLine="420"/>
        <w:rPr>
          <w:rFonts w:hint="eastAsia" w:ascii="宋体" w:hAnsi="宋体"/>
          <w:color w:val="000000"/>
          <w:szCs w:val="21"/>
        </w:rPr>
      </w:pPr>
      <w:r>
        <w:rPr>
          <w:rFonts w:ascii="宋体" w:hAnsi="宋体"/>
        </w:rPr>
        <w:t>8.</w:t>
      </w:r>
      <w:r>
        <w:rPr>
          <w:rFonts w:ascii="宋体" w:hAnsi="宋体"/>
          <w:color w:val="000000"/>
          <w:szCs w:val="21"/>
        </w:rPr>
        <w:t>我方同意</w:t>
      </w:r>
      <w:r>
        <w:rPr>
          <w:rFonts w:hint="eastAsia" w:ascii="宋体" w:hAnsi="宋体"/>
          <w:color w:val="000000"/>
          <w:szCs w:val="21"/>
        </w:rPr>
        <w:t>采购人</w:t>
      </w:r>
      <w:r>
        <w:rPr>
          <w:rFonts w:ascii="宋体" w:hAnsi="宋体"/>
          <w:color w:val="000000"/>
          <w:szCs w:val="21"/>
        </w:rPr>
        <w:t>关于违约责任的认定方式和对违约责任的处罚；在</w:t>
      </w:r>
      <w:r>
        <w:rPr>
          <w:rFonts w:hint="eastAsia" w:ascii="宋体" w:hAnsi="宋体"/>
          <w:color w:val="000000"/>
          <w:szCs w:val="21"/>
        </w:rPr>
        <w:t>履约</w:t>
      </w:r>
      <w:r>
        <w:rPr>
          <w:rFonts w:ascii="宋体" w:hAnsi="宋体"/>
          <w:color w:val="000000"/>
          <w:szCs w:val="21"/>
        </w:rPr>
        <w:t>过程中，如我方违约，我方愿意承担相应违约责任</w:t>
      </w:r>
      <w:r>
        <w:rPr>
          <w:rFonts w:hint="eastAsia" w:ascii="宋体" w:hAnsi="宋体"/>
          <w:color w:val="000000"/>
          <w:szCs w:val="21"/>
        </w:rPr>
        <w:t>。</w:t>
      </w:r>
    </w:p>
    <w:p w14:paraId="7BCF59A7">
      <w:pPr>
        <w:spacing w:line="360" w:lineRule="auto"/>
        <w:ind w:firstLine="420"/>
        <w:rPr>
          <w:rFonts w:hint="eastAsia" w:ascii="宋体" w:hAnsi="宋体"/>
        </w:rPr>
      </w:pPr>
      <w:r>
        <w:rPr>
          <w:rFonts w:ascii="宋体" w:hAnsi="宋体"/>
        </w:rPr>
        <w:t>9.</w:t>
      </w:r>
      <w:r>
        <w:rPr>
          <w:rFonts w:hint="eastAsia" w:ascii="宋体" w:hAnsi="宋体"/>
        </w:rPr>
        <w:t>除不可抗力外，我方如果发生在采购文件规定的响应有效期内进行实质上修改或撤回响应，将在行为发生的10个工作日内，向采购人支付本采购文件公布的预算价的2%作为违约赔偿金。</w:t>
      </w:r>
    </w:p>
    <w:p w14:paraId="5835D671">
      <w:pPr>
        <w:spacing w:line="360" w:lineRule="auto"/>
        <w:ind w:firstLine="420"/>
        <w:rPr>
          <w:rFonts w:hint="eastAsia" w:ascii="宋体" w:hAnsi="宋体"/>
        </w:rPr>
      </w:pPr>
      <w:r>
        <w:rPr>
          <w:rFonts w:ascii="宋体" w:hAnsi="宋体"/>
          <w:color w:val="000000"/>
          <w:szCs w:val="21"/>
        </w:rPr>
        <w:t>10</w:t>
      </w:r>
      <w:r>
        <w:rPr>
          <w:rFonts w:hint="eastAsia" w:ascii="宋体" w:hAnsi="宋体"/>
          <w:color w:val="000000"/>
          <w:szCs w:val="21"/>
        </w:rPr>
        <w:t>.</w:t>
      </w:r>
      <w:r>
        <w:rPr>
          <w:rFonts w:hint="eastAsia" w:ascii="宋体" w:hAnsi="宋体"/>
        </w:rPr>
        <w:t>我方知晓上述行为的法律后果，并认可本承诺函作为采购人要求我方履行违约赔偿的依据。</w:t>
      </w:r>
    </w:p>
    <w:p w14:paraId="2C0A9AE8">
      <w:pPr>
        <w:spacing w:line="360" w:lineRule="auto"/>
        <w:jc w:val="right"/>
        <w:rPr>
          <w:rFonts w:hint="eastAsia" w:ascii="宋体" w:hAnsi="宋体"/>
          <w:color w:val="000000"/>
          <w:szCs w:val="21"/>
        </w:rPr>
      </w:pPr>
      <w:r>
        <w:rPr>
          <w:rFonts w:ascii="宋体" w:hAnsi="宋体"/>
          <w:color w:val="000000"/>
          <w:szCs w:val="21"/>
        </w:rPr>
        <w:t>供应商：（</w:t>
      </w:r>
      <w:r>
        <w:t>加盖</w:t>
      </w:r>
      <w:r>
        <w:rPr>
          <w:rFonts w:hint="eastAsia"/>
        </w:rPr>
        <w:t>公章</w:t>
      </w:r>
      <w:r>
        <w:rPr>
          <w:rFonts w:ascii="宋体" w:hAnsi="宋体"/>
          <w:color w:val="000000"/>
          <w:szCs w:val="21"/>
        </w:rPr>
        <w:t>）</w:t>
      </w:r>
    </w:p>
    <w:p w14:paraId="5BF24DC5">
      <w:pPr>
        <w:spacing w:line="360" w:lineRule="auto"/>
        <w:jc w:val="right"/>
        <w:rPr>
          <w:rFonts w:hint="eastAsia" w:ascii="宋体" w:hAnsi="宋体"/>
          <w:color w:val="000000"/>
          <w:szCs w:val="21"/>
        </w:rPr>
        <w:sectPr>
          <w:pgSz w:w="11906" w:h="16838"/>
          <w:pgMar w:top="1474" w:right="1247" w:bottom="1247" w:left="1531" w:header="851" w:footer="680" w:gutter="0"/>
          <w:cols w:space="425" w:num="1"/>
          <w:docGrid w:linePitch="360" w:charSpace="0"/>
        </w:sectPr>
      </w:pPr>
      <w:r>
        <w:rPr>
          <w:rFonts w:hint="eastAsia" w:ascii="宋体" w:hAnsi="宋体"/>
          <w:color w:val="000000"/>
          <w:szCs w:val="21"/>
        </w:rPr>
        <w:t xml:space="preserve">日期：    </w:t>
      </w:r>
      <w:r>
        <w:rPr>
          <w:rFonts w:ascii="宋体" w:hAnsi="宋体"/>
          <w:color w:val="000000"/>
          <w:szCs w:val="21"/>
        </w:rPr>
        <w:t>年</w:t>
      </w:r>
      <w:r>
        <w:rPr>
          <w:rFonts w:hint="eastAsia" w:ascii="宋体" w:hAnsi="宋体"/>
          <w:color w:val="000000"/>
          <w:szCs w:val="21"/>
        </w:rPr>
        <w:t xml:space="preserve"> </w:t>
      </w:r>
      <w:r>
        <w:rPr>
          <w:rFonts w:ascii="宋体" w:hAnsi="宋体"/>
          <w:color w:val="000000"/>
          <w:szCs w:val="21"/>
        </w:rPr>
        <w:t xml:space="preserve"> 月</w:t>
      </w:r>
      <w:r>
        <w:rPr>
          <w:rFonts w:hint="eastAsia" w:ascii="宋体" w:hAnsi="宋体"/>
          <w:color w:val="000000"/>
          <w:szCs w:val="21"/>
        </w:rPr>
        <w:t xml:space="preserve"> </w:t>
      </w:r>
      <w:r>
        <w:rPr>
          <w:rFonts w:ascii="宋体" w:hAnsi="宋体"/>
          <w:color w:val="000000"/>
          <w:szCs w:val="21"/>
        </w:rPr>
        <w:t xml:space="preserve"> 日</w:t>
      </w:r>
      <w:bookmarkStart w:id="83" w:name="_Toc161067519"/>
    </w:p>
    <w:p w14:paraId="4DA20877">
      <w:pPr>
        <w:pStyle w:val="3"/>
        <w:spacing w:before="0" w:after="0" w:line="360" w:lineRule="auto"/>
        <w:rPr>
          <w:rFonts w:hint="eastAsia" w:ascii="黑体" w:hAnsi="黑体"/>
          <w:u w:val="single"/>
          <w:lang w:val="zh-CN"/>
        </w:rPr>
      </w:pPr>
      <w:bookmarkStart w:id="84" w:name="_Toc161126691"/>
      <w:r>
        <w:rPr>
          <w:rFonts w:hint="eastAsia" w:ascii="黑体" w:hAnsi="黑体"/>
          <w:u w:val="single"/>
          <w:lang w:val="zh-CN"/>
        </w:rPr>
        <w:t>三、</w:t>
      </w:r>
      <w:r>
        <w:rPr>
          <w:rFonts w:ascii="黑体" w:hAnsi="黑体"/>
          <w:u w:val="single"/>
          <w:lang w:val="zh-CN"/>
        </w:rPr>
        <w:t>中小企业声明函</w:t>
      </w:r>
      <w:bookmarkEnd w:id="83"/>
      <w:bookmarkEnd w:id="84"/>
    </w:p>
    <w:p w14:paraId="1A627290">
      <w:pPr>
        <w:pStyle w:val="397"/>
        <w:spacing w:line="360" w:lineRule="auto"/>
        <w:ind w:right="-210" w:firstLine="420"/>
        <w:jc w:val="center"/>
        <w:rPr>
          <w:rFonts w:hAnsi="宋体" w:eastAsia="宋体"/>
          <w:color w:val="000000"/>
          <w:sz w:val="21"/>
          <w:szCs w:val="21"/>
        </w:rPr>
      </w:pPr>
      <w:r>
        <w:rPr>
          <w:rFonts w:hAnsi="宋体" w:eastAsia="宋体"/>
          <w:color w:val="000000"/>
          <w:sz w:val="21"/>
          <w:szCs w:val="21"/>
        </w:rPr>
        <w:t>中小企业声明函</w:t>
      </w:r>
    </w:p>
    <w:p w14:paraId="1EC57996">
      <w:pPr>
        <w:spacing w:line="360" w:lineRule="auto"/>
        <w:ind w:firstLine="420"/>
        <w:rPr>
          <w:rFonts w:hint="eastAsia" w:hAnsi="宋体"/>
          <w:color w:val="000000"/>
          <w:szCs w:val="21"/>
        </w:rPr>
      </w:pPr>
      <w:r>
        <w:rPr>
          <w:rFonts w:hAnsi="宋体"/>
          <w:color w:val="000000"/>
          <w:szCs w:val="21"/>
        </w:rPr>
        <w:t>本公司（联合体）郑重声明，根据《政府采购促进中小企业发展管理办法》（财库[2020]46号）的规定，本公司参加</w:t>
      </w:r>
      <w:r>
        <w:rPr>
          <w:rFonts w:hAnsi="宋体"/>
          <w:i/>
          <w:iCs/>
          <w:color w:val="000000"/>
          <w:szCs w:val="21"/>
          <w:u w:val="single"/>
        </w:rPr>
        <w:t>（单位名称）</w:t>
      </w:r>
      <w:r>
        <w:rPr>
          <w:rFonts w:hAnsi="宋体"/>
          <w:color w:val="000000"/>
          <w:szCs w:val="21"/>
          <w:u w:val="single"/>
        </w:rPr>
        <w:t>的</w:t>
      </w:r>
      <w:r>
        <w:rPr>
          <w:rFonts w:hAnsi="宋体"/>
          <w:i/>
          <w:iCs/>
          <w:color w:val="000000"/>
          <w:szCs w:val="21"/>
          <w:u w:val="single"/>
        </w:rPr>
        <w:t>（项目名称）</w:t>
      </w:r>
      <w:r>
        <w:rPr>
          <w:rFonts w:hAnsi="宋体"/>
          <w:color w:val="000000"/>
          <w:szCs w:val="21"/>
        </w:rPr>
        <w:t xml:space="preserve">采购活动，服务全部由符合政策要求的中小企业承接。相关企业（含联合体中的中小企业、签订分包意向协议的中小企业）的具体情况如下： </w:t>
      </w:r>
    </w:p>
    <w:p w14:paraId="38A7D230">
      <w:pPr>
        <w:spacing w:line="360" w:lineRule="auto"/>
        <w:ind w:firstLine="420"/>
      </w:pPr>
      <w:r>
        <w:rPr>
          <w:rFonts w:ascii="宋体" w:hAnsi="宋体"/>
          <w:color w:val="000000"/>
          <w:szCs w:val="21"/>
        </w:rPr>
        <w:t>1.</w:t>
      </w:r>
      <w:r>
        <w:rPr>
          <w:i/>
          <w:iCs/>
          <w:u w:val="single"/>
        </w:rPr>
        <w:t>（标的名称）</w:t>
      </w:r>
      <w:r>
        <w:t>，属于</w:t>
      </w:r>
      <w:r>
        <w:rPr>
          <w:i/>
          <w:iCs/>
          <w:u w:val="single"/>
        </w:rPr>
        <w:t>（采购文件中明确的所属行业）</w:t>
      </w:r>
      <w:r>
        <w:t>；</w:t>
      </w:r>
      <w:r>
        <w:rPr>
          <w:rFonts w:hint="eastAsia"/>
        </w:rPr>
        <w:t>承接企业</w:t>
      </w:r>
      <w:r>
        <w:t>为</w:t>
      </w:r>
      <w:r>
        <w:rPr>
          <w:i/>
          <w:iCs/>
          <w:u w:val="single"/>
        </w:rPr>
        <w:t>（企业名称）</w:t>
      </w:r>
      <w:r>
        <w:t>，从业人员</w:t>
      </w:r>
      <w:r>
        <w:rPr>
          <w:u w:val="single"/>
        </w:rPr>
        <w:t xml:space="preserve">   </w:t>
      </w:r>
      <w:r>
        <w:t>人，营业收入为</w:t>
      </w:r>
      <w:r>
        <w:rPr>
          <w:u w:val="single"/>
        </w:rPr>
        <w:t xml:space="preserve">   </w:t>
      </w:r>
      <w:r>
        <w:t>万元，资产总额为</w:t>
      </w:r>
      <w:r>
        <w:rPr>
          <w:u w:val="single"/>
        </w:rPr>
        <w:t xml:space="preserve">   </w:t>
      </w:r>
      <w:r>
        <w:t>万元</w:t>
      </w:r>
      <w:r>
        <w:rPr>
          <w:rFonts w:hint="eastAsia"/>
        </w:rPr>
        <w:t>，</w:t>
      </w:r>
      <w:r>
        <w:t>属于</w:t>
      </w:r>
      <w:r>
        <w:rPr>
          <w:i/>
          <w:iCs/>
          <w:u w:val="single"/>
        </w:rPr>
        <w:t>（中型企业、小 型企业、微型企业）</w:t>
      </w:r>
      <w:r>
        <w:t>；</w:t>
      </w:r>
    </w:p>
    <w:p w14:paraId="5A77268D">
      <w:pPr>
        <w:spacing w:line="360" w:lineRule="auto"/>
        <w:ind w:firstLine="420"/>
      </w:pPr>
      <w:r>
        <w:rPr>
          <w:rFonts w:ascii="宋体" w:hAnsi="宋体"/>
          <w:color w:val="000000"/>
          <w:szCs w:val="21"/>
        </w:rPr>
        <w:t>2.</w:t>
      </w:r>
      <w:r>
        <w:rPr>
          <w:i/>
          <w:iCs/>
          <w:u w:val="single"/>
        </w:rPr>
        <w:t>（标的名称）</w:t>
      </w:r>
      <w:r>
        <w:t>，属于</w:t>
      </w:r>
      <w:r>
        <w:rPr>
          <w:i/>
          <w:iCs/>
          <w:u w:val="single"/>
        </w:rPr>
        <w:t>（采购文件中明确的所属行业）</w:t>
      </w:r>
      <w:r>
        <w:t>；</w:t>
      </w:r>
      <w:r>
        <w:rPr>
          <w:rFonts w:hint="eastAsia"/>
        </w:rPr>
        <w:t>承接企业</w:t>
      </w:r>
      <w:r>
        <w:t>为</w:t>
      </w:r>
      <w:r>
        <w:rPr>
          <w:i/>
          <w:iCs/>
          <w:u w:val="single"/>
        </w:rPr>
        <w:t>（企业名称）</w:t>
      </w:r>
      <w:r>
        <w:t>，从业人员</w:t>
      </w:r>
      <w:r>
        <w:rPr>
          <w:u w:val="single"/>
        </w:rPr>
        <w:t xml:space="preserve">   </w:t>
      </w:r>
      <w:r>
        <w:t>人，营业收入为</w:t>
      </w:r>
      <w:r>
        <w:rPr>
          <w:u w:val="single"/>
        </w:rPr>
        <w:t xml:space="preserve">   </w:t>
      </w:r>
      <w:r>
        <w:t>万元，资产总额为</w:t>
      </w:r>
      <w:r>
        <w:rPr>
          <w:u w:val="single"/>
        </w:rPr>
        <w:t xml:space="preserve">   </w:t>
      </w:r>
      <w:r>
        <w:t>万元</w:t>
      </w:r>
      <w:r>
        <w:rPr>
          <w:rFonts w:hint="eastAsia"/>
        </w:rPr>
        <w:t>，</w:t>
      </w:r>
      <w:r>
        <w:t>属于</w:t>
      </w:r>
      <w:r>
        <w:rPr>
          <w:i/>
          <w:iCs/>
          <w:u w:val="single"/>
        </w:rPr>
        <w:t>（中型企业、小 型企业、微型企业）</w:t>
      </w:r>
      <w:r>
        <w:t>；</w:t>
      </w:r>
    </w:p>
    <w:p w14:paraId="7FC9143E">
      <w:pPr>
        <w:spacing w:line="360" w:lineRule="auto"/>
        <w:ind w:firstLine="420"/>
      </w:pPr>
      <w:r>
        <w:rPr>
          <w:rFonts w:hint="eastAsia"/>
        </w:rPr>
        <w:t>……</w:t>
      </w:r>
    </w:p>
    <w:p w14:paraId="37DEA607">
      <w:pPr>
        <w:spacing w:line="360" w:lineRule="auto"/>
        <w:ind w:firstLine="420"/>
        <w:rPr>
          <w:rFonts w:hint="eastAsia" w:hAnsi="宋体"/>
          <w:color w:val="000000"/>
          <w:szCs w:val="21"/>
        </w:rPr>
      </w:pPr>
      <w:r>
        <w:rPr>
          <w:rFonts w:hAnsi="宋体"/>
          <w:color w:val="000000"/>
          <w:szCs w:val="21"/>
        </w:rPr>
        <w:t>以上企业，不属于大企业的分支机构，不存在控股股东为大企业的情形，也不存在与大企业的负责人为同一人的情形。</w:t>
      </w:r>
    </w:p>
    <w:p w14:paraId="75EFEB0E">
      <w:pPr>
        <w:spacing w:line="360" w:lineRule="auto"/>
        <w:ind w:firstLine="420"/>
        <w:rPr>
          <w:rFonts w:hint="eastAsia" w:hAnsi="宋体"/>
          <w:color w:val="000000"/>
          <w:szCs w:val="21"/>
        </w:rPr>
      </w:pPr>
      <w:r>
        <w:rPr>
          <w:rFonts w:hAnsi="宋体"/>
          <w:color w:val="000000"/>
          <w:szCs w:val="21"/>
        </w:rPr>
        <w:t>本企业对上述声明内容的真实性负责。如有虚假，将依法承担相应责任。</w:t>
      </w:r>
    </w:p>
    <w:p w14:paraId="64598F97">
      <w:pPr>
        <w:pStyle w:val="397"/>
        <w:spacing w:line="360" w:lineRule="auto"/>
        <w:ind w:firstLine="420"/>
        <w:rPr>
          <w:rFonts w:hAnsi="宋体" w:eastAsia="宋体"/>
          <w:color w:val="000000"/>
          <w:sz w:val="21"/>
          <w:szCs w:val="21"/>
        </w:rPr>
      </w:pPr>
    </w:p>
    <w:p w14:paraId="61C6DB1E">
      <w:pPr>
        <w:pStyle w:val="397"/>
        <w:spacing w:line="360" w:lineRule="auto"/>
        <w:ind w:firstLine="420"/>
        <w:rPr>
          <w:rFonts w:hAnsi="宋体" w:eastAsia="宋体"/>
          <w:color w:val="000000"/>
          <w:sz w:val="21"/>
          <w:szCs w:val="21"/>
        </w:rPr>
      </w:pPr>
      <w:r>
        <w:rPr>
          <w:rFonts w:hAnsi="宋体" w:eastAsia="宋体"/>
          <w:color w:val="000000"/>
          <w:sz w:val="21"/>
          <w:szCs w:val="21"/>
        </w:rPr>
        <w:t>注：</w:t>
      </w:r>
    </w:p>
    <w:p w14:paraId="294BE281">
      <w:pPr>
        <w:pStyle w:val="397"/>
        <w:spacing w:line="360" w:lineRule="auto"/>
        <w:ind w:firstLine="420"/>
        <w:rPr>
          <w:rFonts w:ascii="宋体" w:hAnsi="宋体" w:eastAsia="宋体" w:cs="Times New Roman"/>
          <w:bCs/>
          <w:color w:val="000000"/>
          <w:sz w:val="21"/>
          <w:szCs w:val="21"/>
        </w:rPr>
      </w:pPr>
      <w:r>
        <w:rPr>
          <w:rFonts w:hAnsi="宋体" w:eastAsia="宋体"/>
          <w:color w:val="000000"/>
          <w:sz w:val="21"/>
          <w:szCs w:val="21"/>
        </w:rPr>
        <w:t>1</w:t>
      </w:r>
      <w:r>
        <w:rPr>
          <w:rFonts w:hint="default" w:hAnsi="宋体" w:eastAsia="宋体"/>
          <w:color w:val="000000"/>
          <w:sz w:val="21"/>
          <w:szCs w:val="21"/>
        </w:rPr>
        <w:t>.</w:t>
      </w:r>
      <w:r>
        <w:rPr>
          <w:rFonts w:hAnsi="宋体" w:eastAsia="宋体"/>
          <w:color w:val="000000"/>
          <w:sz w:val="21"/>
          <w:szCs w:val="21"/>
        </w:rPr>
        <w:t>从业人员、营业收入、资产总额填报上一年度数据，无上一年度数据的新成立企业可不填报。</w:t>
      </w:r>
    </w:p>
    <w:p w14:paraId="13C2A8AD">
      <w:pPr>
        <w:pStyle w:val="397"/>
        <w:spacing w:line="360" w:lineRule="auto"/>
        <w:ind w:firstLine="420"/>
        <w:rPr>
          <w:rFonts w:hAnsi="宋体" w:eastAsia="宋体"/>
          <w:bCs/>
          <w:color w:val="000000"/>
          <w:sz w:val="21"/>
          <w:szCs w:val="21"/>
        </w:rPr>
      </w:pPr>
      <w:r>
        <w:rPr>
          <w:rFonts w:hint="default" w:ascii="宋体" w:hAnsi="宋体" w:eastAsia="宋体" w:cs="Times New Roman"/>
          <w:bCs/>
          <w:color w:val="000000"/>
          <w:sz w:val="21"/>
          <w:szCs w:val="21"/>
        </w:rPr>
        <w:t>2.</w:t>
      </w:r>
      <w:r>
        <w:rPr>
          <w:rFonts w:ascii="宋体" w:hAnsi="宋体" w:eastAsia="宋体" w:cs="Times New Roman"/>
          <w:bCs/>
          <w:color w:val="000000"/>
          <w:sz w:val="21"/>
          <w:szCs w:val="21"/>
        </w:rPr>
        <w:t>本次采购项目所属行业为</w:t>
      </w:r>
      <w:r>
        <w:rPr>
          <w:rFonts w:ascii="宋体" w:hAnsi="宋体" w:eastAsia="宋体" w:cs="Times New Roman"/>
          <w:bCs/>
          <w:color w:val="000000"/>
          <w:sz w:val="21"/>
          <w:szCs w:val="21"/>
          <w:u w:val="single"/>
        </w:rPr>
        <w:t>其他未列明行业</w:t>
      </w:r>
      <w:r>
        <w:rPr>
          <w:rFonts w:hAnsi="宋体" w:eastAsia="宋体"/>
          <w:bCs/>
          <w:color w:val="000000"/>
          <w:sz w:val="21"/>
          <w:szCs w:val="21"/>
        </w:rPr>
        <w:t>，中小微企业划分标准请根据《中小企业划型标准规定》（工信部联企业﹝2</w:t>
      </w:r>
      <w:r>
        <w:rPr>
          <w:rFonts w:hint="default" w:hAnsi="宋体" w:eastAsia="宋体"/>
          <w:bCs/>
          <w:color w:val="000000"/>
          <w:sz w:val="21"/>
          <w:szCs w:val="21"/>
        </w:rPr>
        <w:t>011</w:t>
      </w:r>
      <w:r>
        <w:rPr>
          <w:rFonts w:hAnsi="宋体" w:eastAsia="宋体"/>
          <w:bCs/>
          <w:color w:val="000000"/>
          <w:sz w:val="21"/>
          <w:szCs w:val="21"/>
        </w:rPr>
        <w:t>﹞</w:t>
      </w:r>
      <w:r>
        <w:rPr>
          <w:rFonts w:hint="default" w:hAnsi="宋体" w:eastAsia="宋体"/>
          <w:bCs/>
          <w:color w:val="000000"/>
          <w:sz w:val="21"/>
          <w:szCs w:val="21"/>
        </w:rPr>
        <w:t>300</w:t>
      </w:r>
      <w:r>
        <w:rPr>
          <w:rFonts w:hAnsi="宋体" w:eastAsia="宋体"/>
          <w:bCs/>
          <w:color w:val="000000"/>
          <w:sz w:val="21"/>
          <w:szCs w:val="21"/>
        </w:rPr>
        <w:t>号文）</w:t>
      </w:r>
    </w:p>
    <w:p w14:paraId="1FF90DF2">
      <w:pPr>
        <w:pStyle w:val="397"/>
        <w:spacing w:line="360" w:lineRule="auto"/>
        <w:ind w:firstLine="420"/>
        <w:rPr>
          <w:rFonts w:hAnsi="宋体" w:eastAsia="宋体"/>
          <w:bCs/>
          <w:color w:val="000000"/>
          <w:sz w:val="21"/>
          <w:szCs w:val="21"/>
        </w:rPr>
      </w:pPr>
    </w:p>
    <w:p w14:paraId="5E7737F4">
      <w:pPr>
        <w:spacing w:line="360" w:lineRule="auto"/>
        <w:jc w:val="right"/>
        <w:rPr>
          <w:rFonts w:hint="eastAsia" w:ascii="宋体" w:hAnsi="宋体"/>
        </w:rPr>
      </w:pPr>
      <w:r>
        <w:rPr>
          <w:rFonts w:hint="eastAsia" w:ascii="宋体" w:hAnsi="宋体"/>
        </w:rPr>
        <w:t>企业名称</w:t>
      </w:r>
      <w:r>
        <w:rPr>
          <w:rFonts w:ascii="宋体" w:hAnsi="宋体"/>
        </w:rPr>
        <w:t>：（</w:t>
      </w:r>
      <w:r>
        <w:t>加盖</w:t>
      </w:r>
      <w:r>
        <w:rPr>
          <w:rFonts w:hint="eastAsia"/>
        </w:rPr>
        <w:t>公章</w:t>
      </w:r>
      <w:r>
        <w:rPr>
          <w:rFonts w:ascii="宋体" w:hAnsi="宋体"/>
        </w:rPr>
        <w:t>）</w:t>
      </w:r>
    </w:p>
    <w:p w14:paraId="3CBB5B5C">
      <w:pPr>
        <w:spacing w:line="360" w:lineRule="auto"/>
        <w:jc w:val="right"/>
        <w:rPr>
          <w:rFonts w:hint="eastAsia" w:ascii="宋体" w:hAnsi="宋体"/>
        </w:rPr>
      </w:pPr>
      <w:r>
        <w:rPr>
          <w:rFonts w:hint="eastAsia" w:ascii="宋体" w:hAnsi="宋体"/>
        </w:rPr>
        <w:t xml:space="preserve">日期：    </w:t>
      </w: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w:t>
      </w:r>
      <w:r>
        <w:rPr>
          <w:rFonts w:ascii="宋体" w:hAnsi="宋体"/>
        </w:rPr>
        <w:t>日</w:t>
      </w:r>
    </w:p>
    <w:p w14:paraId="131C8919">
      <w:pPr>
        <w:spacing w:line="280" w:lineRule="exact"/>
        <w:rPr>
          <w:rFonts w:hint="eastAsia" w:ascii="宋体" w:hAnsi="宋体"/>
          <w:b/>
          <w:sz w:val="20"/>
        </w:rPr>
        <w:sectPr>
          <w:pgSz w:w="11906" w:h="16838"/>
          <w:pgMar w:top="1474" w:right="1247" w:bottom="1247" w:left="1531" w:header="851" w:footer="680" w:gutter="0"/>
          <w:cols w:space="425" w:num="1"/>
          <w:docGrid w:linePitch="360" w:charSpace="0"/>
        </w:sectPr>
      </w:pPr>
    </w:p>
    <w:p w14:paraId="41D1A7CB">
      <w:pPr>
        <w:spacing w:line="280" w:lineRule="exact"/>
        <w:rPr>
          <w:rFonts w:hint="eastAsia" w:ascii="宋体" w:hAnsi="宋体"/>
          <w:b/>
          <w:sz w:val="20"/>
        </w:rPr>
      </w:pPr>
      <w:r>
        <w:rPr>
          <w:rFonts w:hint="eastAsia" w:ascii="宋体" w:hAnsi="宋体"/>
          <w:b/>
          <w:sz w:val="20"/>
        </w:rPr>
        <w:t>附：中小企业划型标准规定</w:t>
      </w:r>
    </w:p>
    <w:p w14:paraId="19140AEE">
      <w:pPr>
        <w:spacing w:line="280" w:lineRule="exact"/>
        <w:ind w:firstLine="361"/>
        <w:rPr>
          <w:rFonts w:hint="eastAsia" w:ascii="宋体" w:hAnsi="宋体"/>
          <w:sz w:val="18"/>
          <w:szCs w:val="18"/>
        </w:rPr>
      </w:pPr>
      <w:r>
        <w:rPr>
          <w:rFonts w:hint="eastAsia" w:ascii="宋体" w:hAnsi="宋体"/>
          <w:b/>
          <w:sz w:val="18"/>
          <w:szCs w:val="18"/>
        </w:rPr>
        <w:t>（一）农、林、牧、渔业。</w:t>
      </w:r>
      <w:r>
        <w:rPr>
          <w:rFonts w:hint="eastAsia" w:ascii="宋体" w:hAnsi="宋体"/>
          <w:sz w:val="18"/>
          <w:szCs w:val="18"/>
        </w:rPr>
        <w:t>营业收入20000万元以下的为中小微型企业。其中，营业收入500万元及以上的为中型企业，营业收入50万元及以上的为小型企业，营业收入50万元以下的为微型企业。</w:t>
      </w:r>
    </w:p>
    <w:p w14:paraId="5F4E377D">
      <w:pPr>
        <w:spacing w:line="280" w:lineRule="exact"/>
        <w:ind w:firstLine="361"/>
        <w:rPr>
          <w:rFonts w:hint="eastAsia" w:ascii="宋体" w:hAnsi="宋体"/>
          <w:sz w:val="18"/>
          <w:szCs w:val="18"/>
        </w:rPr>
      </w:pPr>
      <w:r>
        <w:rPr>
          <w:rFonts w:hint="eastAsia" w:ascii="宋体" w:hAnsi="宋体"/>
          <w:b/>
          <w:sz w:val="18"/>
          <w:szCs w:val="18"/>
        </w:rPr>
        <w:t>（二）工业。</w:t>
      </w:r>
      <w:r>
        <w:rPr>
          <w:rFonts w:hint="eastAsia" w:ascii="宋体" w:hAnsi="宋体"/>
          <w:sz w:val="18"/>
          <w:szCs w:val="18"/>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E81BCD2">
      <w:pPr>
        <w:spacing w:line="280" w:lineRule="exact"/>
        <w:ind w:firstLine="361"/>
        <w:rPr>
          <w:rFonts w:hint="eastAsia" w:ascii="宋体" w:hAnsi="宋体"/>
          <w:sz w:val="18"/>
          <w:szCs w:val="18"/>
        </w:rPr>
      </w:pPr>
      <w:r>
        <w:rPr>
          <w:rFonts w:hint="eastAsia" w:ascii="宋体" w:hAnsi="宋体"/>
          <w:b/>
          <w:sz w:val="18"/>
          <w:szCs w:val="18"/>
        </w:rPr>
        <w:t>（三）建筑业。</w:t>
      </w:r>
      <w:r>
        <w:rPr>
          <w:rFonts w:hint="eastAsia" w:ascii="宋体" w:hAnsi="宋体"/>
          <w:sz w:val="18"/>
          <w:szCs w:val="18"/>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B6F6B7A">
      <w:pPr>
        <w:spacing w:line="280" w:lineRule="exact"/>
        <w:ind w:firstLine="361"/>
        <w:rPr>
          <w:rFonts w:hint="eastAsia" w:ascii="宋体" w:hAnsi="宋体"/>
          <w:sz w:val="18"/>
          <w:szCs w:val="18"/>
        </w:rPr>
      </w:pPr>
      <w:r>
        <w:rPr>
          <w:rFonts w:hint="eastAsia" w:ascii="宋体" w:hAnsi="宋体"/>
          <w:b/>
          <w:sz w:val="18"/>
          <w:szCs w:val="18"/>
        </w:rPr>
        <w:t>（四）批发业。</w:t>
      </w:r>
      <w:r>
        <w:rPr>
          <w:rFonts w:hint="eastAsia" w:ascii="宋体" w:hAnsi="宋体"/>
          <w:sz w:val="18"/>
          <w:szCs w:val="18"/>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F4A45AD">
      <w:pPr>
        <w:spacing w:line="280" w:lineRule="exact"/>
        <w:ind w:firstLine="361"/>
        <w:rPr>
          <w:rFonts w:hint="eastAsia" w:ascii="宋体" w:hAnsi="宋体"/>
          <w:sz w:val="18"/>
          <w:szCs w:val="18"/>
        </w:rPr>
      </w:pPr>
      <w:r>
        <w:rPr>
          <w:rFonts w:hint="eastAsia" w:ascii="宋体" w:hAnsi="宋体"/>
          <w:b/>
          <w:sz w:val="18"/>
          <w:szCs w:val="18"/>
        </w:rPr>
        <w:t>（五）零售业。</w:t>
      </w:r>
      <w:r>
        <w:rPr>
          <w:rFonts w:hint="eastAsia" w:ascii="宋体" w:hAnsi="宋体"/>
          <w:sz w:val="18"/>
          <w:szCs w:val="18"/>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E53FB8B">
      <w:pPr>
        <w:spacing w:line="280" w:lineRule="exact"/>
        <w:ind w:firstLine="361"/>
        <w:rPr>
          <w:rFonts w:hint="eastAsia" w:ascii="宋体" w:hAnsi="宋体"/>
          <w:sz w:val="18"/>
          <w:szCs w:val="18"/>
        </w:rPr>
      </w:pPr>
      <w:r>
        <w:rPr>
          <w:rFonts w:hint="eastAsia" w:ascii="宋体" w:hAnsi="宋体"/>
          <w:b/>
          <w:sz w:val="18"/>
          <w:szCs w:val="18"/>
        </w:rPr>
        <w:t>（六）交通运输业。</w:t>
      </w:r>
      <w:r>
        <w:rPr>
          <w:rFonts w:hint="eastAsia" w:ascii="宋体" w:hAnsi="宋体"/>
          <w:sz w:val="18"/>
          <w:szCs w:val="18"/>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D7EDECD">
      <w:pPr>
        <w:spacing w:line="280" w:lineRule="exact"/>
        <w:ind w:firstLine="361"/>
        <w:rPr>
          <w:rFonts w:hint="eastAsia" w:ascii="宋体" w:hAnsi="宋体"/>
          <w:sz w:val="18"/>
          <w:szCs w:val="18"/>
        </w:rPr>
      </w:pPr>
      <w:r>
        <w:rPr>
          <w:rFonts w:hint="eastAsia" w:ascii="宋体" w:hAnsi="宋体"/>
          <w:b/>
          <w:sz w:val="18"/>
          <w:szCs w:val="18"/>
        </w:rPr>
        <w:t>（七）仓储业。</w:t>
      </w:r>
      <w:r>
        <w:rPr>
          <w:rFonts w:hint="eastAsia" w:ascii="宋体" w:hAnsi="宋体"/>
          <w:sz w:val="18"/>
          <w:szCs w:val="18"/>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8CB059B">
      <w:pPr>
        <w:spacing w:line="280" w:lineRule="exact"/>
        <w:ind w:firstLine="361"/>
        <w:rPr>
          <w:rFonts w:hint="eastAsia" w:ascii="宋体" w:hAnsi="宋体"/>
          <w:sz w:val="18"/>
          <w:szCs w:val="18"/>
        </w:rPr>
      </w:pPr>
      <w:r>
        <w:rPr>
          <w:rFonts w:hint="eastAsia" w:ascii="宋体" w:hAnsi="宋体"/>
          <w:b/>
          <w:sz w:val="18"/>
          <w:szCs w:val="18"/>
        </w:rPr>
        <w:t>（八）邮政业。</w:t>
      </w:r>
      <w:r>
        <w:rPr>
          <w:rFonts w:hint="eastAsia" w:ascii="宋体" w:hAnsi="宋体"/>
          <w:sz w:val="18"/>
          <w:szCs w:val="18"/>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589B143">
      <w:pPr>
        <w:spacing w:line="280" w:lineRule="exact"/>
        <w:ind w:firstLine="361"/>
        <w:rPr>
          <w:rFonts w:hint="eastAsia" w:ascii="宋体" w:hAnsi="宋体"/>
          <w:sz w:val="18"/>
          <w:szCs w:val="18"/>
        </w:rPr>
      </w:pPr>
      <w:r>
        <w:rPr>
          <w:rFonts w:hint="eastAsia" w:ascii="宋体" w:hAnsi="宋体"/>
          <w:b/>
          <w:sz w:val="18"/>
          <w:szCs w:val="18"/>
        </w:rPr>
        <w:t>（九）住宿业。</w:t>
      </w:r>
      <w:r>
        <w:rPr>
          <w:rFonts w:hint="eastAsia" w:ascii="宋体" w:hAnsi="宋体"/>
          <w:sz w:val="18"/>
          <w:szCs w:val="18"/>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7D7AF8">
      <w:pPr>
        <w:spacing w:line="280" w:lineRule="exact"/>
        <w:ind w:firstLine="361"/>
        <w:rPr>
          <w:rFonts w:hint="eastAsia" w:ascii="宋体" w:hAnsi="宋体"/>
          <w:sz w:val="18"/>
          <w:szCs w:val="18"/>
        </w:rPr>
      </w:pPr>
      <w:r>
        <w:rPr>
          <w:rFonts w:hint="eastAsia" w:ascii="宋体" w:hAnsi="宋体"/>
          <w:b/>
          <w:sz w:val="18"/>
          <w:szCs w:val="18"/>
        </w:rPr>
        <w:t>（十）餐饮业。</w:t>
      </w:r>
      <w:r>
        <w:rPr>
          <w:rFonts w:hint="eastAsia" w:ascii="宋体" w:hAnsi="宋体"/>
          <w:sz w:val="18"/>
          <w:szCs w:val="18"/>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7010BBD">
      <w:pPr>
        <w:spacing w:line="280" w:lineRule="exact"/>
        <w:ind w:firstLine="361"/>
        <w:rPr>
          <w:rFonts w:hint="eastAsia" w:ascii="宋体" w:hAnsi="宋体"/>
          <w:sz w:val="18"/>
          <w:szCs w:val="18"/>
        </w:rPr>
      </w:pPr>
      <w:r>
        <w:rPr>
          <w:rFonts w:hint="eastAsia" w:ascii="宋体" w:hAnsi="宋体"/>
          <w:b/>
          <w:sz w:val="18"/>
          <w:szCs w:val="18"/>
        </w:rPr>
        <w:t>（十一）信息传输业。</w:t>
      </w:r>
      <w:r>
        <w:rPr>
          <w:rFonts w:hint="eastAsia" w:ascii="宋体" w:hAnsi="宋体"/>
          <w:sz w:val="18"/>
          <w:szCs w:val="18"/>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27FFE58">
      <w:pPr>
        <w:spacing w:line="280" w:lineRule="exact"/>
        <w:ind w:firstLine="361"/>
        <w:rPr>
          <w:rFonts w:hint="eastAsia" w:ascii="宋体" w:hAnsi="宋体"/>
          <w:sz w:val="18"/>
          <w:szCs w:val="18"/>
        </w:rPr>
      </w:pPr>
      <w:r>
        <w:rPr>
          <w:rFonts w:hint="eastAsia" w:ascii="宋体" w:hAnsi="宋体"/>
          <w:b/>
          <w:sz w:val="18"/>
          <w:szCs w:val="18"/>
        </w:rPr>
        <w:t>（十二）软件和信息技术服务业。</w:t>
      </w:r>
      <w:r>
        <w:rPr>
          <w:rFonts w:hint="eastAsia" w:ascii="宋体" w:hAnsi="宋体"/>
          <w:sz w:val="18"/>
          <w:szCs w:val="18"/>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A977183">
      <w:pPr>
        <w:spacing w:line="280" w:lineRule="exact"/>
        <w:ind w:firstLine="361"/>
        <w:rPr>
          <w:rFonts w:hint="eastAsia" w:ascii="宋体" w:hAnsi="宋体"/>
          <w:sz w:val="18"/>
          <w:szCs w:val="18"/>
        </w:rPr>
      </w:pPr>
      <w:r>
        <w:rPr>
          <w:rFonts w:hint="eastAsia" w:ascii="宋体" w:hAnsi="宋体"/>
          <w:b/>
          <w:sz w:val="18"/>
          <w:szCs w:val="18"/>
        </w:rPr>
        <w:t>（十三）房地产开发经营。</w:t>
      </w:r>
      <w:r>
        <w:rPr>
          <w:rFonts w:hint="eastAsia" w:ascii="宋体" w:hAnsi="宋体"/>
          <w:sz w:val="18"/>
          <w:szCs w:val="18"/>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AE6DAA">
      <w:pPr>
        <w:spacing w:line="280" w:lineRule="exact"/>
        <w:ind w:firstLine="361"/>
        <w:rPr>
          <w:rFonts w:hint="eastAsia" w:ascii="宋体" w:hAnsi="宋体"/>
          <w:sz w:val="18"/>
          <w:szCs w:val="18"/>
        </w:rPr>
      </w:pPr>
      <w:r>
        <w:rPr>
          <w:rFonts w:hint="eastAsia" w:ascii="宋体" w:hAnsi="宋体"/>
          <w:b/>
          <w:sz w:val="18"/>
          <w:szCs w:val="18"/>
        </w:rPr>
        <w:t>（十四）</w:t>
      </w:r>
      <w:bookmarkStart w:id="85" w:name="_Hlk130376042"/>
      <w:r>
        <w:rPr>
          <w:rFonts w:hint="eastAsia" w:ascii="宋体" w:hAnsi="宋体"/>
          <w:b/>
          <w:sz w:val="18"/>
          <w:szCs w:val="18"/>
        </w:rPr>
        <w:t>物业管理</w:t>
      </w:r>
      <w:bookmarkEnd w:id="85"/>
      <w:r>
        <w:rPr>
          <w:rFonts w:hint="eastAsia" w:ascii="宋体" w:hAnsi="宋体"/>
          <w:b/>
          <w:sz w:val="18"/>
          <w:szCs w:val="18"/>
        </w:rPr>
        <w:t>。</w:t>
      </w:r>
      <w:r>
        <w:rPr>
          <w:rFonts w:hint="eastAsia" w:ascii="宋体" w:hAnsi="宋体"/>
          <w:sz w:val="18"/>
          <w:szCs w:val="18"/>
        </w:rPr>
        <w:t>从业人员1000人以下或营业收入5000万元以下的为中小微型企业。其中，从业人员</w:t>
      </w:r>
    </w:p>
    <w:p w14:paraId="5AA70152">
      <w:pPr>
        <w:spacing w:line="280" w:lineRule="exact"/>
        <w:rPr>
          <w:rFonts w:hint="eastAsia" w:ascii="宋体" w:hAnsi="宋体"/>
          <w:sz w:val="18"/>
          <w:szCs w:val="18"/>
        </w:rPr>
      </w:pPr>
      <w:r>
        <w:rPr>
          <w:rFonts w:hint="eastAsia" w:ascii="宋体" w:hAnsi="宋体"/>
          <w:sz w:val="18"/>
          <w:szCs w:val="18"/>
        </w:rPr>
        <w:t>300人及以上，且营业收入1000万元及以上的为中型企业；从业人员100人及以上，且营业收入500万元及以上的为小型企业；从业人员100人以下或营业收入500万元以下的为微型企业。</w:t>
      </w:r>
    </w:p>
    <w:p w14:paraId="12C01323">
      <w:pPr>
        <w:spacing w:line="280" w:lineRule="exact"/>
        <w:ind w:firstLine="361"/>
        <w:rPr>
          <w:rFonts w:hint="eastAsia" w:ascii="宋体" w:hAnsi="宋体"/>
          <w:sz w:val="18"/>
          <w:szCs w:val="18"/>
        </w:rPr>
      </w:pPr>
      <w:r>
        <w:rPr>
          <w:rFonts w:hint="eastAsia" w:ascii="宋体" w:hAnsi="宋体"/>
          <w:b/>
          <w:sz w:val="18"/>
          <w:szCs w:val="18"/>
        </w:rPr>
        <w:t>（十五）租赁和商务服务业。</w:t>
      </w:r>
      <w:r>
        <w:rPr>
          <w:rFonts w:hint="eastAsia" w:ascii="宋体" w:hAnsi="宋体"/>
          <w:sz w:val="18"/>
          <w:szCs w:val="18"/>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707E6B2">
      <w:pPr>
        <w:spacing w:line="280" w:lineRule="exact"/>
        <w:ind w:firstLine="361"/>
        <w:rPr>
          <w:rFonts w:hint="eastAsia" w:ascii="宋体" w:hAnsi="宋体"/>
          <w:sz w:val="20"/>
        </w:rPr>
        <w:sectPr>
          <w:pgSz w:w="11906" w:h="16838"/>
          <w:pgMar w:top="1474" w:right="1247" w:bottom="1247" w:left="1531" w:header="851" w:footer="680" w:gutter="0"/>
          <w:cols w:space="425" w:num="1"/>
          <w:docGrid w:linePitch="360" w:charSpace="0"/>
        </w:sectPr>
      </w:pPr>
      <w:r>
        <w:rPr>
          <w:rFonts w:hint="eastAsia" w:ascii="宋体" w:hAnsi="宋体"/>
          <w:b/>
          <w:sz w:val="18"/>
          <w:szCs w:val="18"/>
        </w:rPr>
        <w:t>（十六）其他未列明行业。</w:t>
      </w:r>
      <w:r>
        <w:rPr>
          <w:rFonts w:hint="eastAsia" w:ascii="宋体" w:hAnsi="宋体"/>
          <w:sz w:val="18"/>
          <w:szCs w:val="18"/>
        </w:rPr>
        <w:t>从业人员300人以下的为中小微型企业。其中，从业人员100人及以上的为中型企业；从业人员10人及以上的为小型企业；从业人员10人以下的为微型企业。</w:t>
      </w:r>
      <w:bookmarkStart w:id="86" w:name="_Toc161126692"/>
      <w:bookmarkStart w:id="87" w:name="_Toc161067520"/>
    </w:p>
    <w:p w14:paraId="72755F96">
      <w:pPr>
        <w:pStyle w:val="3"/>
        <w:spacing w:before="0" w:after="0" w:line="360" w:lineRule="auto"/>
        <w:rPr>
          <w:rFonts w:hint="eastAsia" w:ascii="黑体" w:hAnsi="黑体"/>
          <w:u w:val="single"/>
          <w:lang w:val="zh-CN"/>
        </w:rPr>
      </w:pPr>
      <w:r>
        <w:rPr>
          <w:rFonts w:hint="eastAsia" w:ascii="黑体" w:hAnsi="黑体"/>
          <w:u w:val="single"/>
          <w:lang w:val="zh-CN"/>
        </w:rPr>
        <w:t>四、残疾人福利性单位声明函</w:t>
      </w:r>
      <w:bookmarkEnd w:id="86"/>
      <w:bookmarkEnd w:id="87"/>
    </w:p>
    <w:p w14:paraId="2C8FCDE1">
      <w:pPr>
        <w:pStyle w:val="411"/>
        <w:spacing w:line="360" w:lineRule="auto"/>
        <w:ind w:firstLine="420"/>
        <w:jc w:val="center"/>
        <w:rPr>
          <w:rFonts w:hint="eastAsia" w:hAnsi="宋体" w:eastAsia="宋体"/>
          <w:color w:val="000000"/>
          <w:sz w:val="21"/>
          <w:szCs w:val="21"/>
        </w:rPr>
      </w:pPr>
      <w:r>
        <w:rPr>
          <w:rFonts w:hint="eastAsia" w:hAnsi="宋体" w:eastAsia="宋体"/>
          <w:color w:val="000000"/>
          <w:sz w:val="21"/>
          <w:szCs w:val="21"/>
        </w:rPr>
        <w:t>残疾人福利性单位声明函</w:t>
      </w:r>
    </w:p>
    <w:p w14:paraId="3AC7A22E">
      <w:pPr>
        <w:pStyle w:val="411"/>
        <w:spacing w:line="360" w:lineRule="auto"/>
        <w:ind w:firstLine="420"/>
        <w:jc w:val="left"/>
        <w:rPr>
          <w:rFonts w:hint="eastAsia" w:hAnsi="宋体" w:eastAsia="宋体"/>
          <w:color w:val="000000"/>
          <w:sz w:val="21"/>
          <w:szCs w:val="21"/>
        </w:rPr>
      </w:pPr>
      <w:r>
        <w:rPr>
          <w:rFonts w:hint="eastAsia" w:hAnsi="宋体" w:eastAsia="宋体"/>
          <w:color w:val="000000"/>
          <w:sz w:val="21"/>
          <w:szCs w:val="21"/>
        </w:rPr>
        <w:t>本单位郑重声明，根据《财政部  民政部  中国残疾人联合会关于促进残疾人就业政府采购政策的通知》（财库〔2017〕141号）的规定，本单位为符合条件的残疾人福利性单位，且本单位参加</w:t>
      </w:r>
    </w:p>
    <w:p w14:paraId="36AB6DE0">
      <w:pPr>
        <w:pStyle w:val="411"/>
        <w:spacing w:line="360" w:lineRule="auto"/>
        <w:jc w:val="left"/>
        <w:rPr>
          <w:rFonts w:hint="eastAsia" w:hAnsi="宋体" w:eastAsia="宋体"/>
          <w:color w:val="000000"/>
          <w:sz w:val="21"/>
          <w:szCs w:val="21"/>
        </w:rPr>
      </w:pPr>
      <w:r>
        <w:rPr>
          <w:rFonts w:hint="eastAsia" w:hAnsi="宋体" w:eastAsia="宋体"/>
          <w:color w:val="000000"/>
          <w:sz w:val="21"/>
          <w:szCs w:val="21"/>
        </w:rPr>
        <w:t xml:space="preserve"> </w:t>
      </w:r>
      <w:r>
        <w:rPr>
          <w:rFonts w:hint="eastAsia" w:hAnsi="宋体" w:eastAsia="宋体"/>
          <w:color w:val="000000"/>
          <w:sz w:val="21"/>
          <w:szCs w:val="21"/>
          <w:u w:val="single"/>
        </w:rPr>
        <w:t xml:space="preserve">    </w:t>
      </w:r>
      <w:r>
        <w:rPr>
          <w:rFonts w:hint="eastAsia" w:hAnsi="宋体" w:eastAsia="宋体"/>
          <w:color w:val="000000"/>
          <w:sz w:val="21"/>
          <w:szCs w:val="21"/>
        </w:rPr>
        <w:t>单位的</w:t>
      </w:r>
      <w:r>
        <w:rPr>
          <w:rFonts w:hint="eastAsia" w:hAnsi="宋体" w:eastAsia="宋体"/>
          <w:color w:val="000000"/>
          <w:sz w:val="21"/>
          <w:szCs w:val="21"/>
          <w:u w:val="single"/>
        </w:rPr>
        <w:t xml:space="preserve">    </w:t>
      </w:r>
      <w:r>
        <w:rPr>
          <w:rFonts w:hint="eastAsia" w:hAnsi="宋体" w:eastAsia="宋体"/>
          <w:color w:val="000000"/>
          <w:sz w:val="21"/>
          <w:szCs w:val="21"/>
        </w:rPr>
        <w:t>项目采购活动提供本单位制造的货物（由本单位承担工程/提供服务），或者提供其他残疾人福利性单位制造的货物（不包括使用非残疾人福利性单位注册商标的货物）。</w:t>
      </w:r>
    </w:p>
    <w:p w14:paraId="3AC4AFCF">
      <w:pPr>
        <w:pStyle w:val="411"/>
        <w:spacing w:line="360" w:lineRule="auto"/>
        <w:ind w:firstLine="420"/>
        <w:jc w:val="left"/>
        <w:rPr>
          <w:rFonts w:hint="eastAsia" w:hAnsi="宋体" w:eastAsia="宋体"/>
          <w:color w:val="000000"/>
          <w:sz w:val="21"/>
          <w:szCs w:val="21"/>
        </w:rPr>
      </w:pPr>
      <w:r>
        <w:rPr>
          <w:rFonts w:hint="eastAsia" w:hAnsi="宋体" w:eastAsia="宋体"/>
          <w:color w:val="000000"/>
          <w:sz w:val="21"/>
          <w:szCs w:val="21"/>
        </w:rPr>
        <w:t>本单位对上述声明的真实性负责。如有虚假，将依法承担相应责任。</w:t>
      </w:r>
    </w:p>
    <w:p w14:paraId="202BF130">
      <w:pPr>
        <w:pStyle w:val="411"/>
        <w:spacing w:line="360" w:lineRule="auto"/>
        <w:ind w:firstLine="420"/>
        <w:jc w:val="left"/>
        <w:rPr>
          <w:rFonts w:hint="eastAsia" w:hAnsi="宋体" w:eastAsia="宋体"/>
          <w:color w:val="000000"/>
          <w:sz w:val="21"/>
          <w:szCs w:val="21"/>
        </w:rPr>
      </w:pPr>
    </w:p>
    <w:p w14:paraId="0FAAC582">
      <w:pPr>
        <w:spacing w:line="360" w:lineRule="auto"/>
        <w:jc w:val="right"/>
        <w:rPr>
          <w:rFonts w:hint="eastAsia" w:ascii="宋体" w:hAnsi="宋体"/>
        </w:rPr>
      </w:pPr>
      <w:r>
        <w:rPr>
          <w:rFonts w:hint="eastAsia" w:ascii="宋体" w:hAnsi="宋体"/>
        </w:rPr>
        <w:t xml:space="preserve"> 供应商</w:t>
      </w:r>
      <w:r>
        <w:rPr>
          <w:rFonts w:ascii="宋体" w:hAnsi="宋体"/>
        </w:rPr>
        <w:t>：（</w:t>
      </w:r>
      <w:r>
        <w:t>加盖</w:t>
      </w:r>
      <w:r>
        <w:rPr>
          <w:rFonts w:hint="eastAsia"/>
        </w:rPr>
        <w:t>公章</w:t>
      </w:r>
      <w:r>
        <w:rPr>
          <w:rFonts w:ascii="宋体" w:hAnsi="宋体"/>
        </w:rPr>
        <w:t>）</w:t>
      </w:r>
    </w:p>
    <w:p w14:paraId="0A7CB6E7">
      <w:pPr>
        <w:spacing w:line="360" w:lineRule="auto"/>
        <w:jc w:val="right"/>
        <w:rPr>
          <w:rFonts w:hint="eastAsia" w:ascii="宋体" w:hAnsi="宋体"/>
        </w:rPr>
      </w:pPr>
      <w:r>
        <w:rPr>
          <w:rFonts w:hint="eastAsia" w:ascii="宋体" w:hAnsi="宋体"/>
        </w:rPr>
        <w:t xml:space="preserve">日期：    </w:t>
      </w:r>
      <w:r>
        <w:rPr>
          <w:rFonts w:ascii="宋体" w:hAnsi="宋体"/>
        </w:rPr>
        <w:t>年</w:t>
      </w:r>
      <w:r>
        <w:rPr>
          <w:rFonts w:hint="eastAsia" w:ascii="宋体" w:hAnsi="宋体"/>
        </w:rPr>
        <w:t xml:space="preserve"> </w:t>
      </w:r>
      <w:r>
        <w:rPr>
          <w:rFonts w:ascii="宋体" w:hAnsi="宋体"/>
        </w:rPr>
        <w:t xml:space="preserve"> 月</w:t>
      </w:r>
      <w:r>
        <w:rPr>
          <w:rFonts w:hint="eastAsia" w:ascii="宋体" w:hAnsi="宋体"/>
        </w:rPr>
        <w:t xml:space="preserve"> </w:t>
      </w:r>
      <w:r>
        <w:rPr>
          <w:rFonts w:ascii="宋体" w:hAnsi="宋体"/>
        </w:rPr>
        <w:t xml:space="preserve"> 日</w:t>
      </w:r>
    </w:p>
    <w:p w14:paraId="2EF81286">
      <w:pPr>
        <w:rPr>
          <w:rFonts w:hint="eastAsia" w:ascii="宋体" w:hAnsi="宋体"/>
          <w:sz w:val="24"/>
          <w:lang w:val="zh-CN"/>
        </w:rPr>
        <w:sectPr>
          <w:pgSz w:w="11906" w:h="16838"/>
          <w:pgMar w:top="1474" w:right="1247" w:bottom="1247" w:left="1531" w:header="851" w:footer="680" w:gutter="0"/>
          <w:cols w:space="425" w:num="1"/>
          <w:docGrid w:linePitch="360" w:charSpace="0"/>
        </w:sectPr>
      </w:pPr>
      <w:bookmarkStart w:id="88" w:name="_Toc62807514"/>
      <w:bookmarkStart w:id="89" w:name="_Ref33617535"/>
      <w:bookmarkStart w:id="90" w:name="_Toc161067521"/>
    </w:p>
    <w:p w14:paraId="669F53AF">
      <w:pPr>
        <w:pStyle w:val="3"/>
        <w:spacing w:before="0" w:after="0" w:line="360" w:lineRule="auto"/>
        <w:rPr>
          <w:rFonts w:hint="eastAsia" w:ascii="黑体" w:hAnsi="黑体"/>
          <w:u w:val="single"/>
          <w:lang w:val="zh-CN"/>
        </w:rPr>
      </w:pPr>
      <w:bookmarkStart w:id="91" w:name="_Toc161126693"/>
      <w:r>
        <w:rPr>
          <w:rFonts w:hint="eastAsia" w:ascii="黑体" w:hAnsi="黑体"/>
          <w:u w:val="single"/>
          <w:lang w:val="zh-CN"/>
        </w:rPr>
        <w:t>五、</w:t>
      </w:r>
      <w:r>
        <w:rPr>
          <w:rFonts w:ascii="黑体" w:hAnsi="黑体"/>
          <w:u w:val="single"/>
          <w:lang w:val="zh-CN"/>
        </w:rPr>
        <w:t>法定代表人授权委托书</w:t>
      </w:r>
      <w:bookmarkEnd w:id="88"/>
      <w:bookmarkEnd w:id="89"/>
      <w:bookmarkEnd w:id="90"/>
      <w:bookmarkEnd w:id="91"/>
    </w:p>
    <w:p w14:paraId="0A2DDDFA">
      <w:pPr>
        <w:spacing w:line="360" w:lineRule="auto"/>
        <w:jc w:val="center"/>
        <w:rPr>
          <w:rFonts w:hint="eastAsia" w:ascii="宋体" w:hAnsi="宋体"/>
          <w:color w:val="000000"/>
          <w:szCs w:val="21"/>
        </w:rPr>
      </w:pPr>
      <w:r>
        <w:rPr>
          <w:rFonts w:hint="eastAsia" w:ascii="宋体" w:hAnsi="宋体"/>
          <w:color w:val="000000"/>
          <w:szCs w:val="21"/>
        </w:rPr>
        <w:t>法定代表人授权委托书</w:t>
      </w:r>
    </w:p>
    <w:p w14:paraId="6781C3C0">
      <w:pPr>
        <w:spacing w:line="360" w:lineRule="auto"/>
        <w:rPr>
          <w:rFonts w:hint="eastAsia" w:ascii="宋体" w:hAnsi="宋体"/>
          <w:color w:val="000000"/>
          <w:szCs w:val="21"/>
        </w:rPr>
      </w:pPr>
      <w:r>
        <w:rPr>
          <w:rFonts w:hint="eastAsia" w:ascii="宋体" w:hAnsi="宋体"/>
          <w:color w:val="000000"/>
          <w:szCs w:val="21"/>
        </w:rPr>
        <w:t>中诚运玛咨询股份有限公司：</w:t>
      </w:r>
    </w:p>
    <w:p w14:paraId="33E1E780">
      <w:pPr>
        <w:spacing w:line="360" w:lineRule="auto"/>
        <w:ind w:firstLine="420"/>
        <w:rPr>
          <w:rFonts w:hint="eastAsia" w:ascii="宋体" w:hAnsi="宋体"/>
          <w:color w:val="000000"/>
          <w:szCs w:val="21"/>
        </w:rPr>
      </w:pPr>
      <w:r>
        <w:rPr>
          <w:rFonts w:hint="eastAsia" w:ascii="宋体" w:hAnsi="宋体"/>
          <w:color w:val="000000"/>
          <w:szCs w:val="21"/>
        </w:rPr>
        <w:t>本授权委托书声明：我</w:t>
      </w:r>
      <w:r>
        <w:rPr>
          <w:rFonts w:hint="eastAsia" w:ascii="宋体" w:hAnsi="宋体"/>
          <w:i/>
          <w:iCs/>
          <w:color w:val="000000"/>
          <w:szCs w:val="21"/>
          <w:u w:val="single"/>
        </w:rPr>
        <w:t xml:space="preserve">（法定代表人姓名） </w:t>
      </w:r>
      <w:r>
        <w:rPr>
          <w:rFonts w:hint="eastAsia" w:ascii="宋体" w:hAnsi="宋体"/>
          <w:color w:val="000000"/>
          <w:szCs w:val="21"/>
        </w:rPr>
        <w:t>系</w:t>
      </w:r>
      <w:r>
        <w:rPr>
          <w:rFonts w:hint="eastAsia" w:ascii="宋体" w:hAnsi="宋体"/>
          <w:i/>
          <w:iCs/>
          <w:color w:val="000000"/>
          <w:szCs w:val="21"/>
          <w:u w:val="single"/>
        </w:rPr>
        <w:t xml:space="preserve">（公司名称） </w:t>
      </w:r>
      <w:r>
        <w:rPr>
          <w:rFonts w:hint="eastAsia" w:ascii="宋体" w:hAnsi="宋体"/>
          <w:color w:val="000000"/>
          <w:szCs w:val="21"/>
        </w:rPr>
        <w:t>的法定代表人，现授权委托</w:t>
      </w:r>
      <w:r>
        <w:rPr>
          <w:rFonts w:hint="eastAsia" w:ascii="宋体" w:hAnsi="宋体"/>
          <w:i/>
          <w:iCs/>
          <w:color w:val="000000"/>
          <w:szCs w:val="21"/>
          <w:u w:val="single"/>
        </w:rPr>
        <w:t>（代理人姓名）</w:t>
      </w:r>
      <w:r>
        <w:rPr>
          <w:rFonts w:hint="eastAsia" w:ascii="宋体" w:hAnsi="宋体"/>
          <w:color w:val="000000"/>
          <w:szCs w:val="21"/>
        </w:rPr>
        <w:t>代表我公司参加贵中心组织实施的项目编号为号的采购活动。代理人在开标、谈判、签约等过程中所签署的一切文件和处理与这有关的一切事务，我均予以承认。</w:t>
      </w:r>
    </w:p>
    <w:p w14:paraId="63C5DA56">
      <w:pPr>
        <w:spacing w:line="360" w:lineRule="auto"/>
        <w:ind w:firstLine="420"/>
        <w:rPr>
          <w:rFonts w:hint="eastAsia" w:ascii="宋体" w:hAnsi="宋体"/>
          <w:color w:val="000000"/>
          <w:szCs w:val="21"/>
        </w:rPr>
      </w:pPr>
      <w:r>
        <w:rPr>
          <w:rFonts w:hint="eastAsia" w:ascii="宋体" w:hAnsi="宋体"/>
          <w:color w:val="000000"/>
          <w:szCs w:val="21"/>
        </w:rPr>
        <w:t>本授权委托书自响应开始至合同履行完毕止。</w:t>
      </w:r>
    </w:p>
    <w:p w14:paraId="0D44A3DC">
      <w:pPr>
        <w:spacing w:line="360" w:lineRule="auto"/>
        <w:rPr>
          <w:rFonts w:hint="eastAsia" w:ascii="宋体" w:hAnsi="宋体"/>
          <w:color w:val="000000"/>
          <w:szCs w:val="21"/>
        </w:rPr>
      </w:pPr>
    </w:p>
    <w:p w14:paraId="3E6B9258">
      <w:pPr>
        <w:spacing w:line="360" w:lineRule="auto"/>
        <w:rPr>
          <w:rFonts w:hint="eastAsia" w:ascii="宋体" w:hAnsi="宋体"/>
          <w:color w:val="000000"/>
          <w:szCs w:val="21"/>
        </w:rPr>
      </w:pPr>
      <w:r>
        <w:rPr>
          <w:rFonts w:hint="eastAsia" w:ascii="宋体" w:hAnsi="宋体"/>
          <w:color w:val="000000"/>
          <w:szCs w:val="21"/>
        </w:rPr>
        <w:t xml:space="preserve">代理人： </w:t>
      </w:r>
      <w:r>
        <w:rPr>
          <w:rFonts w:ascii="宋体" w:hAnsi="宋体"/>
          <w:color w:val="000000"/>
          <w:szCs w:val="21"/>
        </w:rPr>
        <w:t xml:space="preserve">                           </w:t>
      </w:r>
      <w:r>
        <w:rPr>
          <w:rFonts w:hint="eastAsia" w:ascii="宋体" w:hAnsi="宋体"/>
          <w:color w:val="000000"/>
          <w:szCs w:val="21"/>
        </w:rPr>
        <w:t>职务：</w:t>
      </w:r>
    </w:p>
    <w:p w14:paraId="2E05AB38">
      <w:pPr>
        <w:spacing w:line="360" w:lineRule="auto"/>
        <w:rPr>
          <w:rFonts w:hint="eastAsia" w:ascii="宋体" w:hAnsi="宋体"/>
          <w:color w:val="000000"/>
          <w:szCs w:val="21"/>
        </w:rPr>
      </w:pPr>
      <w:r>
        <w:rPr>
          <w:rFonts w:hint="eastAsia" w:ascii="宋体" w:hAnsi="宋体"/>
          <w:color w:val="000000"/>
          <w:szCs w:val="21"/>
        </w:rPr>
        <w:t>身份证号码：                        联系电话：</w:t>
      </w:r>
    </w:p>
    <w:p w14:paraId="0824D1CF">
      <w:pPr>
        <w:spacing w:line="360" w:lineRule="auto"/>
        <w:rPr>
          <w:rFonts w:hint="eastAsia" w:ascii="宋体" w:hAnsi="宋体"/>
          <w:color w:val="000000"/>
          <w:szCs w:val="21"/>
        </w:rPr>
      </w:pPr>
    </w:p>
    <w:p w14:paraId="4F7FCA53">
      <w:pPr>
        <w:spacing w:line="360" w:lineRule="auto"/>
        <w:rPr>
          <w:rFonts w:hint="eastAsia" w:ascii="宋体" w:hAnsi="宋体"/>
          <w:color w:val="000000"/>
          <w:szCs w:val="21"/>
        </w:rPr>
      </w:pPr>
    </w:p>
    <w:p w14:paraId="587B3D7C">
      <w:pPr>
        <w:spacing w:line="360" w:lineRule="auto"/>
        <w:rPr>
          <w:rFonts w:hint="eastAsia" w:ascii="宋体" w:hAnsi="宋体"/>
          <w:color w:val="000000"/>
          <w:szCs w:val="21"/>
        </w:rPr>
      </w:pPr>
      <w:r>
        <w:rPr>
          <w:rFonts w:hint="eastAsia" w:ascii="宋体" w:hAnsi="宋体"/>
          <w:color w:val="000000"/>
          <w:szCs w:val="21"/>
        </w:rPr>
        <w:t>代理人签章：                       法定代表人签章：</w:t>
      </w:r>
    </w:p>
    <w:p w14:paraId="54C8FEE4">
      <w:pPr>
        <w:spacing w:line="360" w:lineRule="auto"/>
        <w:rPr>
          <w:rFonts w:hint="eastAsia" w:ascii="宋体" w:hAnsi="宋体"/>
          <w:color w:val="000000"/>
          <w:szCs w:val="21"/>
        </w:rPr>
      </w:pPr>
    </w:p>
    <w:p w14:paraId="65D5AA9A">
      <w:pPr>
        <w:spacing w:line="360" w:lineRule="auto"/>
        <w:rPr>
          <w:rFonts w:hint="eastAsia" w:ascii="宋体" w:hAnsi="宋体"/>
          <w:color w:val="000000"/>
          <w:szCs w:val="21"/>
        </w:rPr>
      </w:pPr>
    </w:p>
    <w:p w14:paraId="49B7B2A7">
      <w:pPr>
        <w:spacing w:line="360" w:lineRule="auto"/>
        <w:jc w:val="right"/>
      </w:pPr>
      <w:r>
        <w:rPr>
          <w:rFonts w:hint="eastAsia"/>
        </w:rPr>
        <w:t xml:space="preserve"> 供应商</w:t>
      </w:r>
      <w:r>
        <w:t>：（加盖</w:t>
      </w:r>
      <w:r>
        <w:rPr>
          <w:rFonts w:hint="eastAsia"/>
        </w:rPr>
        <w:t>公章</w:t>
      </w:r>
      <w:r>
        <w:t>）</w:t>
      </w:r>
    </w:p>
    <w:p w14:paraId="01A93D36">
      <w:pPr>
        <w:spacing w:line="360" w:lineRule="auto"/>
        <w:jc w:val="right"/>
      </w:pPr>
      <w:r>
        <w:rPr>
          <w:rFonts w:hint="eastAsia"/>
        </w:rPr>
        <w:t xml:space="preserve">日期：    </w:t>
      </w:r>
      <w:r>
        <w:t>年</w:t>
      </w:r>
      <w:r>
        <w:rPr>
          <w:rFonts w:hint="eastAsia"/>
        </w:rPr>
        <w:t xml:space="preserve"> </w:t>
      </w:r>
      <w:r>
        <w:t xml:space="preserve"> 月</w:t>
      </w:r>
      <w:r>
        <w:rPr>
          <w:rFonts w:hint="eastAsia"/>
        </w:rPr>
        <w:t xml:space="preserve"> </w:t>
      </w:r>
      <w:r>
        <w:t xml:space="preserve"> 日</w:t>
      </w:r>
    </w:p>
    <w:p w14:paraId="103C1F40">
      <w:pPr>
        <w:rPr>
          <w:rFonts w:hint="eastAsia" w:ascii="宋体" w:hAnsi="宋体"/>
          <w:sz w:val="24"/>
          <w:lang w:val="zh-CN"/>
        </w:rPr>
        <w:sectPr>
          <w:pgSz w:w="11906" w:h="16838"/>
          <w:pgMar w:top="1474" w:right="1247" w:bottom="1247" w:left="1531" w:header="851" w:footer="680" w:gutter="0"/>
          <w:cols w:space="425" w:num="1"/>
          <w:docGrid w:linePitch="360" w:charSpace="0"/>
        </w:sectPr>
      </w:pPr>
      <w:bookmarkStart w:id="92" w:name="_Toc161067522"/>
    </w:p>
    <w:p w14:paraId="6A96B0AA">
      <w:pPr>
        <w:pStyle w:val="3"/>
        <w:spacing w:before="0" w:after="0" w:line="360" w:lineRule="auto"/>
        <w:rPr>
          <w:rFonts w:hint="eastAsia" w:ascii="黑体" w:hAnsi="黑体"/>
          <w:u w:val="single"/>
          <w:lang w:val="zh-CN"/>
        </w:rPr>
      </w:pPr>
      <w:bookmarkStart w:id="93" w:name="_Toc161126694"/>
      <w:r>
        <w:rPr>
          <w:rFonts w:hint="eastAsia" w:ascii="黑体" w:hAnsi="黑体"/>
          <w:u w:val="single"/>
          <w:lang w:val="zh-CN"/>
        </w:rPr>
        <w:t>六、</w:t>
      </w:r>
      <w:r>
        <w:rPr>
          <w:rFonts w:ascii="黑体" w:hAnsi="黑体"/>
          <w:u w:val="single"/>
          <w:lang w:val="zh-CN"/>
        </w:rPr>
        <w:t>开标一览表</w:t>
      </w:r>
      <w:bookmarkEnd w:id="92"/>
      <w:bookmarkEnd w:id="93"/>
    </w:p>
    <w:p w14:paraId="1B092023">
      <w:pPr>
        <w:pStyle w:val="49"/>
        <w:jc w:val="center"/>
        <w:rPr>
          <w:rFonts w:hint="eastAsia" w:cs="Times New Roman"/>
          <w:color w:val="000000"/>
          <w:sz w:val="21"/>
          <w:szCs w:val="21"/>
        </w:rPr>
      </w:pPr>
      <w:r>
        <w:rPr>
          <w:rFonts w:cs="Times New Roman"/>
          <w:color w:val="000000"/>
          <w:sz w:val="21"/>
          <w:szCs w:val="21"/>
        </w:rPr>
        <w:t>开标一览表（总报价）</w:t>
      </w:r>
    </w:p>
    <w:p w14:paraId="5602A6AB">
      <w:pPr>
        <w:pStyle w:val="49"/>
        <w:rPr>
          <w:rFonts w:hint="eastAsia" w:cs="Times New Roman"/>
          <w:color w:val="000000"/>
          <w:sz w:val="21"/>
          <w:szCs w:val="21"/>
        </w:rPr>
      </w:pPr>
      <w:r>
        <w:rPr>
          <w:rFonts w:hint="eastAsia" w:cs="Times New Roman"/>
          <w:color w:val="000000"/>
          <w:sz w:val="21"/>
          <w:szCs w:val="21"/>
        </w:rPr>
        <w:t>响应</w:t>
      </w:r>
      <w:r>
        <w:rPr>
          <w:rFonts w:cs="Times New Roman"/>
          <w:color w:val="000000"/>
          <w:sz w:val="21"/>
          <w:szCs w:val="21"/>
        </w:rPr>
        <w:t>人全称（加盖</w:t>
      </w:r>
      <w:r>
        <w:rPr>
          <w:rFonts w:hint="eastAsia" w:cs="Times New Roman"/>
          <w:color w:val="000000"/>
          <w:sz w:val="21"/>
          <w:szCs w:val="21"/>
        </w:rPr>
        <w:t>公章</w:t>
      </w:r>
      <w:r>
        <w:rPr>
          <w:rFonts w:cs="Times New Roman"/>
          <w:color w:val="000000"/>
          <w:sz w:val="21"/>
          <w:szCs w:val="21"/>
        </w:rPr>
        <w:t>）：</w:t>
      </w:r>
    </w:p>
    <w:p w14:paraId="5F39A6B1">
      <w:pPr>
        <w:pStyle w:val="49"/>
        <w:rPr>
          <w:rFonts w:hint="eastAsia" w:cs="Times New Roman"/>
          <w:color w:val="000000"/>
          <w:sz w:val="21"/>
          <w:szCs w:val="21"/>
        </w:rPr>
      </w:pPr>
      <w:r>
        <w:rPr>
          <w:rFonts w:cs="Times New Roman"/>
          <w:color w:val="000000"/>
          <w:sz w:val="21"/>
          <w:szCs w:val="21"/>
        </w:rPr>
        <w:t>项目编号：</w:t>
      </w:r>
    </w:p>
    <w:p w14:paraId="43F08A5A">
      <w:pPr>
        <w:pStyle w:val="49"/>
        <w:rPr>
          <w:rFonts w:hint="eastAsia" w:cs="Times New Roman"/>
          <w:color w:val="000000"/>
          <w:sz w:val="21"/>
          <w:szCs w:val="21"/>
        </w:rPr>
      </w:pPr>
      <w:r>
        <w:rPr>
          <w:rFonts w:cs="Times New Roman"/>
          <w:color w:val="000000"/>
          <w:sz w:val="21"/>
          <w:szCs w:val="21"/>
        </w:rPr>
        <w:t>分包号：</w:t>
      </w:r>
    </w:p>
    <w:tbl>
      <w:tblPr>
        <w:tblStyle w:val="55"/>
        <w:tblW w:w="4991" w:type="pct"/>
        <w:tblInd w:w="0" w:type="dxa"/>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Layout w:type="autofit"/>
        <w:tblCellMar>
          <w:top w:w="15" w:type="dxa"/>
          <w:left w:w="15" w:type="dxa"/>
          <w:bottom w:w="15" w:type="dxa"/>
          <w:right w:w="15" w:type="dxa"/>
        </w:tblCellMar>
      </w:tblPr>
      <w:tblGrid>
        <w:gridCol w:w="4117"/>
        <w:gridCol w:w="5025"/>
      </w:tblGrid>
      <w:tr w14:paraId="5147C0E4">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15" w:type="dxa"/>
            <w:left w:w="15" w:type="dxa"/>
            <w:bottom w:w="15" w:type="dxa"/>
            <w:right w:w="15" w:type="dxa"/>
          </w:tblCellMar>
        </w:tblPrEx>
        <w:trPr>
          <w:trHeight w:val="737" w:hRule="atLeast"/>
        </w:trPr>
        <w:tc>
          <w:tcPr>
            <w:tcW w:w="2198"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49FE19F">
            <w:pPr>
              <w:widowControl/>
              <w:jc w:val="center"/>
              <w:rPr>
                <w:rFonts w:hint="eastAsia" w:ascii="宋体" w:hAnsi="宋体"/>
                <w:color w:val="000000"/>
                <w:szCs w:val="21"/>
              </w:rPr>
            </w:pPr>
            <w:r>
              <w:rPr>
                <w:rFonts w:hint="eastAsia" w:ascii="宋体" w:hAnsi="宋体"/>
                <w:color w:val="000000"/>
                <w:szCs w:val="21"/>
              </w:rPr>
              <w:t>项目名称</w:t>
            </w:r>
          </w:p>
        </w:tc>
        <w:tc>
          <w:tcPr>
            <w:tcW w:w="268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8BB6C41">
            <w:pPr>
              <w:widowControl/>
              <w:jc w:val="center"/>
              <w:rPr>
                <w:rFonts w:hint="eastAsia" w:ascii="宋体" w:hAnsi="宋体"/>
                <w:color w:val="000000"/>
                <w:szCs w:val="21"/>
              </w:rPr>
            </w:pPr>
            <w:r>
              <w:rPr>
                <w:rFonts w:hint="eastAsia" w:ascii="宋体" w:hAnsi="宋体"/>
                <w:color w:val="000000"/>
                <w:szCs w:val="21"/>
              </w:rPr>
              <w:t>响应总报价</w:t>
            </w:r>
          </w:p>
        </w:tc>
      </w:tr>
      <w:tr w14:paraId="491833FD">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15" w:type="dxa"/>
            <w:left w:w="15" w:type="dxa"/>
            <w:bottom w:w="15" w:type="dxa"/>
            <w:right w:w="15" w:type="dxa"/>
          </w:tblCellMar>
        </w:tblPrEx>
        <w:trPr>
          <w:trHeight w:val="737" w:hRule="atLeast"/>
        </w:trPr>
        <w:tc>
          <w:tcPr>
            <w:tcW w:w="2198"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B32AD1F">
            <w:pPr>
              <w:widowControl/>
              <w:jc w:val="center"/>
              <w:rPr>
                <w:rFonts w:hint="eastAsia" w:ascii="宋体" w:hAnsi="宋体"/>
                <w:color w:val="000000"/>
                <w:szCs w:val="21"/>
              </w:rPr>
            </w:pPr>
          </w:p>
        </w:tc>
        <w:tc>
          <w:tcPr>
            <w:tcW w:w="268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11E31091">
            <w:pPr>
              <w:widowControl/>
              <w:jc w:val="center"/>
              <w:rPr>
                <w:rFonts w:hint="eastAsia" w:ascii="宋体" w:hAnsi="宋体"/>
                <w:color w:val="000000"/>
                <w:szCs w:val="21"/>
              </w:rPr>
            </w:pPr>
            <w:r>
              <w:rPr>
                <w:rFonts w:hint="eastAsia" w:ascii="宋体" w:hAnsi="宋体"/>
                <w:color w:val="000000"/>
                <w:szCs w:val="21"/>
              </w:rPr>
              <w:t>小写：</w:t>
            </w:r>
            <w:r>
              <w:rPr>
                <w:rFonts w:ascii="宋体" w:hAnsi="宋体"/>
                <w:color w:val="000000"/>
                <w:szCs w:val="21"/>
              </w:rPr>
              <mc:AlternateContent>
                <mc:Choice Requires="wps">
                  <w:drawing>
                    <wp:inline distT="0" distB="0" distL="0" distR="0">
                      <wp:extent cx="635" cy="635"/>
                      <wp:effectExtent l="0" t="635" r="635" b="0"/>
                      <wp:docPr id="2"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5" cy="0"/>
                              </a:xfrm>
                              <a:prstGeom prst="rect">
                                <a:avLst/>
                              </a:prstGeom>
                              <a:noFill/>
                              <a:ln w="9525">
                                <a:miter lim="800000"/>
                              </a:ln>
                            </wps:spPr>
                            <wps:bodyPr rot="0">
                              <a:noAutofit/>
                            </wps:bodyPr>
                          </wps:wsp>
                        </a:graphicData>
                      </a:graphic>
                    </wp:inline>
                  </w:drawing>
                </mc:Choice>
                <mc:Fallback>
                  <w:pict>
                    <v:rect id="矩形 5"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nMcqzwAAAP8AAAAPAAAAAAAAAAEAIAAAACIAAABkcnMvZG93&#10;bnJldi54bWxQSwECFAAUAAAACACHTuJASUGNrNABAACSAwAADgAAAAAAAAABACAAAAAeAQAAZHJz&#10;L2Uyb0RvYy54bWxQSwUGAAAAAAYABgBZAQAAYAUAAAAA&#10;">
                      <v:fill on="f" focussize="0,0"/>
                      <v:stroke on="f" miterlimit="8" joinstyle="miter"/>
                      <v:imagedata o:title=""/>
                      <o:lock v:ext="edit" aspectratio="t"/>
                      <w10:wrap type="none"/>
                      <w10:anchorlock/>
                    </v:rect>
                  </w:pict>
                </mc:Fallback>
              </mc:AlternateContent>
            </w:r>
            <w:r>
              <w:rPr>
                <w:rFonts w:ascii="宋体" w:hAnsi="宋体"/>
                <w:color w:val="000000"/>
                <w:szCs w:val="21"/>
              </w:rPr>
              <w:t xml:space="preserve"> </w:t>
            </w:r>
            <w:r>
              <w:rPr>
                <w:rFonts w:hint="eastAsia" w:ascii="宋体" w:hAnsi="宋体"/>
                <w:color w:val="000000"/>
                <w:szCs w:val="21"/>
              </w:rPr>
              <w:t>（元人民币）</w:t>
            </w:r>
          </w:p>
        </w:tc>
      </w:tr>
      <w:tr w14:paraId="3BEAC044">
        <w:tblPrEx>
          <w:tblBorders>
            <w:top w:val="single" w:color="000000" w:sz="6" w:space="0"/>
            <w:left w:val="single" w:color="000000" w:sz="6" w:space="0"/>
            <w:bottom w:val="single" w:color="000000" w:sz="6" w:space="0"/>
            <w:right w:val="single" w:color="000000" w:sz="6" w:space="0"/>
            <w:insideH w:val="single" w:color="auto" w:sz="6" w:space="0"/>
            <w:insideV w:val="single" w:color="auto" w:sz="6" w:space="0"/>
          </w:tblBorders>
          <w:tblCellMar>
            <w:top w:w="15" w:type="dxa"/>
            <w:left w:w="15" w:type="dxa"/>
            <w:bottom w:w="15" w:type="dxa"/>
            <w:right w:w="15" w:type="dxa"/>
          </w:tblCellMar>
        </w:tblPrEx>
        <w:trPr>
          <w:trHeight w:val="737" w:hRule="atLeast"/>
        </w:trPr>
        <w:tc>
          <w:tcPr>
            <w:tcW w:w="2198"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2657B7D">
            <w:pPr>
              <w:widowControl/>
              <w:jc w:val="center"/>
              <w:rPr>
                <w:rFonts w:hint="eastAsia" w:ascii="宋体" w:hAnsi="宋体"/>
                <w:color w:val="000000"/>
                <w:szCs w:val="21"/>
              </w:rPr>
            </w:pPr>
            <w:r>
              <w:rPr>
                <w:rFonts w:hint="eastAsia" w:ascii="宋体" w:hAnsi="宋体"/>
                <w:color w:val="000000"/>
                <w:szCs w:val="21"/>
              </w:rPr>
              <w:t>投标报价大写金额</w:t>
            </w:r>
          </w:p>
        </w:tc>
        <w:tc>
          <w:tcPr>
            <w:tcW w:w="268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DCA98CC">
            <w:pPr>
              <w:widowControl/>
              <w:jc w:val="center"/>
              <w:rPr>
                <w:rFonts w:hint="eastAsia" w:ascii="宋体" w:hAnsi="宋体"/>
                <w:color w:val="000000"/>
                <w:szCs w:val="21"/>
              </w:rPr>
            </w:pPr>
          </w:p>
        </w:tc>
      </w:tr>
    </w:tbl>
    <w:p w14:paraId="75141B49">
      <w:pPr>
        <w:pStyle w:val="49"/>
        <w:jc w:val="right"/>
        <w:rPr>
          <w:rFonts w:hint="eastAsia" w:cs="Times New Roman"/>
          <w:color w:val="000000"/>
          <w:sz w:val="21"/>
          <w:szCs w:val="21"/>
        </w:rPr>
      </w:pPr>
      <w:r>
        <w:rPr>
          <w:rFonts w:cs="Times New Roman"/>
          <w:color w:val="000000"/>
          <w:sz w:val="21"/>
          <w:szCs w:val="21"/>
        </w:rPr>
        <w:t>日期：</w:t>
      </w:r>
      <w:r>
        <w:rPr>
          <w:rFonts w:cs="Times New Roman"/>
          <w:color w:val="000000"/>
          <w:sz w:val="21"/>
          <w:szCs w:val="21"/>
        </w:rPr>
        <mc:AlternateContent>
          <mc:Choice Requires="wps">
            <w:drawing>
              <wp:inline distT="0" distB="0" distL="0" distR="0">
                <wp:extent cx="635" cy="635"/>
                <wp:effectExtent l="0" t="0" r="3810" b="3175"/>
                <wp:docPr id="3"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5" cy="0"/>
                        </a:xfrm>
                        <a:prstGeom prst="rect">
                          <a:avLst/>
                        </a:prstGeom>
                        <a:noFill/>
                        <a:ln w="9525">
                          <a:miter lim="800000"/>
                        </a:ln>
                      </wps:spPr>
                      <wps:bodyPr rot="0">
                        <a:noAutofit/>
                      </wps:bodyPr>
                    </wps:wsp>
                  </a:graphicData>
                </a:graphic>
              </wp:inline>
            </w:drawing>
          </mc:Choice>
          <mc:Fallback>
            <w:pict>
              <v:rect id="矩形 4"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zHKs8AAAD/AAAADwAAAAAAAAABACAAAAAiAAAAZHJzL2Rv&#10;d25yZXYueG1sUEsBAhQAFAAAAAgAh07iQGMQyWrRAQAAkgMAAA4AAAAAAAAAAQAgAAAAHgEAAGRy&#10;cy9lMm9Eb2MueG1sUEsFBgAAAAAGAAYAWQEAAGEFAAAAAA==&#10;">
                <v:fill on="f" focussize="0,0"/>
                <v:stroke on="f" miterlimit="8" joinstyle="miter"/>
                <v:imagedata o:title=""/>
                <o:lock v:ext="edit" aspectratio="t"/>
                <w10:wrap type="none"/>
                <w10:anchorlock/>
              </v:rect>
            </w:pict>
          </mc:Fallback>
        </mc:AlternateContent>
      </w:r>
      <w:r>
        <w:rPr>
          <w:rFonts w:cs="Times New Roman"/>
          <w:color w:val="000000"/>
          <w:sz w:val="21"/>
          <w:szCs w:val="21"/>
        </w:rPr>
        <w:t xml:space="preserve"> 年 </w:t>
      </w:r>
      <w:r>
        <w:rPr>
          <w:rFonts w:cs="Times New Roman"/>
          <w:color w:val="000000"/>
          <w:sz w:val="21"/>
          <w:szCs w:val="21"/>
        </w:rPr>
        <mc:AlternateContent>
          <mc:Choice Requires="wps">
            <w:drawing>
              <wp:inline distT="0" distB="0" distL="0" distR="0">
                <wp:extent cx="635" cy="635"/>
                <wp:effectExtent l="0" t="0" r="3175" b="3175"/>
                <wp:docPr id="4"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5" cy="0"/>
                        </a:xfrm>
                        <a:prstGeom prst="rect">
                          <a:avLst/>
                        </a:prstGeom>
                        <a:noFill/>
                        <a:ln w="9525">
                          <a:miter lim="800000"/>
                        </a:ln>
                      </wps:spPr>
                      <wps:bodyPr rot="0">
                        <a:noAutofit/>
                      </wps:bodyPr>
                    </wps:wsp>
                  </a:graphicData>
                </a:graphic>
              </wp:inline>
            </w:drawing>
          </mc:Choice>
          <mc:Fallback>
            <w:pict>
              <v:rect id="矩形 3"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pzHKs8AAAD/AAAADwAAAAAAAAABACAAAAAiAAAAZHJzL2Rv&#10;d25yZXYueG1sUEsBAhQAFAAAAAgAh07iQHath1TRAQAAkgMAAA4AAAAAAAAAAQAgAAAAHgEAAGRy&#10;cy9lMm9Eb2MueG1sUEsFBgAAAAAGAAYAWQEAAGEFAAAAAA==&#10;">
                <v:fill on="f" focussize="0,0"/>
                <v:stroke on="f" miterlimit="8" joinstyle="miter"/>
                <v:imagedata o:title=""/>
                <o:lock v:ext="edit" aspectratio="t"/>
                <w10:wrap type="none"/>
                <w10:anchorlock/>
              </v:rect>
            </w:pict>
          </mc:Fallback>
        </mc:AlternateContent>
      </w:r>
      <w:r>
        <w:rPr>
          <w:rFonts w:cs="Times New Roman"/>
          <w:color w:val="000000"/>
          <w:sz w:val="21"/>
          <w:szCs w:val="21"/>
        </w:rPr>
        <w:t xml:space="preserve">月 </w:t>
      </w:r>
      <w:r>
        <w:rPr>
          <w:rFonts w:cs="Times New Roman"/>
          <w:color w:val="000000"/>
          <w:sz w:val="21"/>
          <w:szCs w:val="21"/>
        </w:rPr>
        <mc:AlternateContent>
          <mc:Choice Requires="wps">
            <w:drawing>
              <wp:inline distT="0" distB="0" distL="0" distR="0">
                <wp:extent cx="635" cy="635"/>
                <wp:effectExtent l="0" t="0" r="2540" b="3175"/>
                <wp:docPr id="5"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5" cy="0"/>
                        </a:xfrm>
                        <a:prstGeom prst="rect">
                          <a:avLst/>
                        </a:prstGeom>
                        <a:noFill/>
                        <a:ln w="9525">
                          <a:miter lim="800000"/>
                        </a:ln>
                      </wps:spPr>
                      <wps:bodyPr rot="0">
                        <a:noAutofit/>
                      </wps:bodyPr>
                    </wps:wsp>
                  </a:graphicData>
                </a:graphic>
              </wp:inline>
            </w:drawing>
          </mc:Choice>
          <mc:Fallback>
            <w:pict>
              <v:rect id="矩形 2" o:spid="_x0000_s1026" o:spt="1" style="height:0.05pt;width:0.05pt;" filled="f" stroked="f" coordsize="21600,21600" o:gfxdata="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mnMcqzwAAAP8AAAAPAAAAAAAAAAEAIAAAACIAAABkcnMvZG93&#10;bnJldi54bWxQSwECFAAUAAAACACHTuJAXPzDktABAACSAwAADgAAAAAAAAABACAAAAAeAQAAZHJz&#10;L2Uyb0RvYy54bWxQSwUGAAAAAAYABgBZAQAAYAUAAAAA&#10;">
                <v:fill on="f" focussize="0,0"/>
                <v:stroke on="f" miterlimit="8" joinstyle="miter"/>
                <v:imagedata o:title=""/>
                <o:lock v:ext="edit" aspectratio="t"/>
                <w10:wrap type="none"/>
                <w10:anchorlock/>
              </v:rect>
            </w:pict>
          </mc:Fallback>
        </mc:AlternateContent>
      </w:r>
      <w:r>
        <w:rPr>
          <w:rFonts w:cs="Times New Roman"/>
          <w:color w:val="000000"/>
          <w:sz w:val="21"/>
          <w:szCs w:val="21"/>
        </w:rPr>
        <w:t>日</w:t>
      </w:r>
    </w:p>
    <w:p w14:paraId="03301FF1">
      <w:pPr>
        <w:pStyle w:val="49"/>
        <w:rPr>
          <w:rFonts w:hint="eastAsia" w:cs="Times New Roman"/>
          <w:color w:val="000000"/>
          <w:sz w:val="21"/>
          <w:szCs w:val="21"/>
        </w:rPr>
      </w:pPr>
      <w:r>
        <w:rPr>
          <w:rFonts w:cs="Times New Roman"/>
          <w:color w:val="000000"/>
          <w:sz w:val="21"/>
          <w:szCs w:val="21"/>
        </w:rPr>
        <w:t>填写说明：</w:t>
      </w:r>
    </w:p>
    <w:p w14:paraId="1B145D9C">
      <w:pPr>
        <w:pStyle w:val="49"/>
        <w:rPr>
          <w:rFonts w:hint="eastAsia" w:cs="Times New Roman"/>
          <w:color w:val="000000"/>
          <w:sz w:val="21"/>
          <w:szCs w:val="21"/>
        </w:rPr>
      </w:pPr>
      <w:r>
        <w:rPr>
          <w:rFonts w:cs="Times New Roman"/>
          <w:color w:val="000000"/>
          <w:sz w:val="21"/>
          <w:szCs w:val="21"/>
        </w:rPr>
        <w:t>1.开标一览表必须加盖</w:t>
      </w:r>
      <w:r>
        <w:rPr>
          <w:rFonts w:hint="eastAsia" w:cs="Times New Roman"/>
          <w:color w:val="000000"/>
          <w:sz w:val="21"/>
          <w:szCs w:val="21"/>
        </w:rPr>
        <w:t>供应商</w:t>
      </w:r>
      <w:r>
        <w:rPr>
          <w:rFonts w:cs="Times New Roman"/>
          <w:color w:val="000000"/>
          <w:sz w:val="21"/>
          <w:szCs w:val="21"/>
        </w:rPr>
        <w:t>公章（复印件无效）。</w:t>
      </w:r>
    </w:p>
    <w:p w14:paraId="69C26809">
      <w:pPr>
        <w:pStyle w:val="49"/>
        <w:rPr>
          <w:rFonts w:hint="eastAsia" w:cs="Times New Roman"/>
          <w:color w:val="000000"/>
          <w:sz w:val="21"/>
          <w:szCs w:val="21"/>
        </w:rPr>
      </w:pPr>
      <w:r>
        <w:rPr>
          <w:rFonts w:cs="Times New Roman"/>
          <w:color w:val="000000"/>
          <w:sz w:val="21"/>
          <w:szCs w:val="21"/>
        </w:rPr>
        <w:t>2.如有分包，</w:t>
      </w:r>
      <w:r>
        <w:rPr>
          <w:rFonts w:hint="eastAsia" w:cs="Times New Roman"/>
          <w:color w:val="000000"/>
          <w:sz w:val="21"/>
          <w:szCs w:val="21"/>
        </w:rPr>
        <w:t>供应商</w:t>
      </w:r>
      <w:r>
        <w:rPr>
          <w:rFonts w:cs="Times New Roman"/>
          <w:color w:val="000000"/>
          <w:sz w:val="21"/>
          <w:szCs w:val="21"/>
        </w:rPr>
        <w:t>投任何一个包的标的，都需单独填写开标一览表。</w:t>
      </w:r>
    </w:p>
    <w:p w14:paraId="30457F77">
      <w:pPr>
        <w:rPr>
          <w:rFonts w:hint="eastAsia" w:ascii="宋体" w:hAnsi="宋体"/>
          <w:sz w:val="24"/>
          <w:lang w:val="zh-CN"/>
        </w:rPr>
        <w:sectPr>
          <w:pgSz w:w="11906" w:h="16838"/>
          <w:pgMar w:top="1474" w:right="1247" w:bottom="1247" w:left="1531" w:header="851" w:footer="680" w:gutter="0"/>
          <w:cols w:space="425" w:num="1"/>
          <w:docGrid w:linePitch="360" w:charSpace="0"/>
        </w:sectPr>
      </w:pPr>
      <w:bookmarkStart w:id="94" w:name="_Toc161067523"/>
    </w:p>
    <w:p w14:paraId="6614C9BC">
      <w:pPr>
        <w:pStyle w:val="3"/>
        <w:spacing w:before="0" w:after="0" w:line="360" w:lineRule="auto"/>
        <w:rPr>
          <w:rFonts w:hint="eastAsia" w:ascii="黑体" w:hAnsi="黑体"/>
          <w:u w:val="single"/>
          <w:lang w:val="zh-CN"/>
        </w:rPr>
      </w:pPr>
      <w:bookmarkStart w:id="95" w:name="_Toc161126695"/>
      <w:r>
        <w:rPr>
          <w:rFonts w:hint="eastAsia" w:ascii="黑体" w:hAnsi="黑体"/>
          <w:u w:val="single"/>
          <w:lang w:val="zh-CN"/>
        </w:rPr>
        <w:t>七、报价分析表</w:t>
      </w:r>
      <w:bookmarkEnd w:id="94"/>
      <w:bookmarkEnd w:id="95"/>
    </w:p>
    <w:p w14:paraId="1AB0160C">
      <w:pPr>
        <w:pStyle w:val="277"/>
        <w:spacing w:line="360" w:lineRule="auto"/>
        <w:jc w:val="center"/>
        <w:rPr>
          <w:rFonts w:hint="eastAsia" w:hAnsi="宋体" w:eastAsia="宋体"/>
          <w:color w:val="000000"/>
          <w:sz w:val="21"/>
          <w:szCs w:val="21"/>
        </w:rPr>
      </w:pPr>
      <w:r>
        <w:rPr>
          <w:rFonts w:hAnsi="宋体" w:eastAsia="宋体"/>
          <w:i/>
          <w:iCs/>
          <w:sz w:val="21"/>
          <w:szCs w:val="24"/>
          <w:u w:val="single"/>
        </w:rPr>
        <w:t xml:space="preserve">（项目名称）  </w:t>
      </w:r>
      <w:r>
        <w:rPr>
          <w:rFonts w:hAnsi="宋体" w:eastAsia="宋体"/>
          <w:color w:val="000000"/>
          <w:sz w:val="21"/>
          <w:szCs w:val="21"/>
        </w:rPr>
        <w:t>报价分析表</w:t>
      </w:r>
    </w:p>
    <w:p w14:paraId="432C3B2E">
      <w:pPr>
        <w:spacing w:line="360" w:lineRule="auto"/>
        <w:jc w:val="right"/>
        <w:rPr>
          <w:rFonts w:hint="eastAsia"/>
        </w:rPr>
      </w:pPr>
    </w:p>
    <w:p w14:paraId="2D5565AB">
      <w:pPr>
        <w:spacing w:line="360" w:lineRule="auto"/>
        <w:jc w:val="right"/>
        <w:rPr>
          <w:rFonts w:hint="eastAsia"/>
        </w:rPr>
      </w:pPr>
    </w:p>
    <w:p w14:paraId="32D4E7AF">
      <w:pPr>
        <w:spacing w:line="360" w:lineRule="auto"/>
        <w:jc w:val="right"/>
        <w:rPr>
          <w:rFonts w:hint="eastAsia"/>
        </w:rPr>
      </w:pPr>
    </w:p>
    <w:p w14:paraId="50AC4506">
      <w:pPr>
        <w:spacing w:line="360" w:lineRule="auto"/>
        <w:jc w:val="right"/>
        <w:rPr>
          <w:rFonts w:hint="eastAsia"/>
        </w:rPr>
      </w:pPr>
    </w:p>
    <w:p w14:paraId="6C6E3805">
      <w:pPr>
        <w:spacing w:line="360" w:lineRule="auto"/>
        <w:jc w:val="right"/>
      </w:pPr>
      <w:r>
        <w:rPr>
          <w:rFonts w:hint="eastAsia"/>
        </w:rPr>
        <w:t>供应商</w:t>
      </w:r>
      <w:r>
        <w:t>：（加盖</w:t>
      </w:r>
      <w:r>
        <w:rPr>
          <w:rFonts w:hint="eastAsia"/>
        </w:rPr>
        <w:t>公章</w:t>
      </w:r>
      <w:r>
        <w:t>）</w:t>
      </w:r>
    </w:p>
    <w:p w14:paraId="3394518D">
      <w:pPr>
        <w:spacing w:line="360" w:lineRule="auto"/>
        <w:jc w:val="right"/>
      </w:pPr>
      <w:r>
        <w:rPr>
          <w:rFonts w:hint="eastAsia"/>
        </w:rPr>
        <w:t xml:space="preserve">日期：    </w:t>
      </w:r>
      <w:r>
        <w:t>年</w:t>
      </w:r>
      <w:r>
        <w:rPr>
          <w:rFonts w:hint="eastAsia"/>
        </w:rPr>
        <w:t xml:space="preserve"> </w:t>
      </w:r>
      <w:r>
        <w:t xml:space="preserve"> 月</w:t>
      </w:r>
      <w:r>
        <w:rPr>
          <w:rFonts w:hint="eastAsia"/>
        </w:rPr>
        <w:t xml:space="preserve"> </w:t>
      </w:r>
      <w:r>
        <w:t xml:space="preserve"> 日</w:t>
      </w:r>
    </w:p>
    <w:p w14:paraId="47A02740">
      <w:pPr>
        <w:rPr>
          <w:rFonts w:hint="eastAsia" w:ascii="宋体" w:hAnsi="宋体"/>
          <w:sz w:val="24"/>
          <w:lang w:val="zh-CN"/>
        </w:rPr>
        <w:sectPr>
          <w:pgSz w:w="11906" w:h="16838"/>
          <w:pgMar w:top="1474" w:right="1247" w:bottom="1247" w:left="1531" w:header="851" w:footer="680" w:gutter="0"/>
          <w:cols w:space="425" w:num="1"/>
          <w:docGrid w:linePitch="360" w:charSpace="0"/>
        </w:sectPr>
      </w:pPr>
      <w:bookmarkStart w:id="96" w:name="_Toc161067524"/>
    </w:p>
    <w:p w14:paraId="28112170">
      <w:pPr>
        <w:pStyle w:val="3"/>
        <w:spacing w:before="0" w:after="0" w:line="360" w:lineRule="auto"/>
        <w:rPr>
          <w:rFonts w:hint="eastAsia" w:ascii="黑体" w:hAnsi="黑体"/>
          <w:u w:val="single"/>
          <w:lang w:val="zh-CN"/>
        </w:rPr>
      </w:pPr>
      <w:bookmarkStart w:id="97" w:name="_Toc161126696"/>
      <w:r>
        <w:rPr>
          <w:rFonts w:hint="eastAsia" w:ascii="黑体" w:hAnsi="黑体"/>
          <w:u w:val="single"/>
          <w:lang w:val="zh-CN"/>
        </w:rPr>
        <w:t>八、响应及</w:t>
      </w:r>
      <w:r>
        <w:rPr>
          <w:rFonts w:ascii="黑体" w:hAnsi="黑体"/>
          <w:u w:val="single"/>
          <w:lang w:val="zh-CN"/>
        </w:rPr>
        <w:t>偏离表（技术</w:t>
      </w:r>
      <w:r>
        <w:rPr>
          <w:rFonts w:hint="eastAsia" w:ascii="黑体" w:hAnsi="黑体"/>
          <w:u w:val="single"/>
          <w:lang w:val="zh-CN"/>
        </w:rPr>
        <w:t>要求</w:t>
      </w:r>
      <w:r>
        <w:rPr>
          <w:rFonts w:ascii="黑体" w:hAnsi="黑体"/>
          <w:u w:val="single"/>
          <w:lang w:val="zh-CN"/>
        </w:rPr>
        <w:t>）</w:t>
      </w:r>
      <w:bookmarkEnd w:id="96"/>
      <w:bookmarkEnd w:id="97"/>
    </w:p>
    <w:p w14:paraId="74977433">
      <w:pPr>
        <w:spacing w:line="360" w:lineRule="auto"/>
        <w:jc w:val="center"/>
      </w:pPr>
      <w:r>
        <w:rPr>
          <w:rFonts w:hint="eastAsia"/>
        </w:rPr>
        <w:t>偏离表（技术要求）</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3622"/>
        <w:gridCol w:w="2343"/>
        <w:gridCol w:w="2475"/>
      </w:tblGrid>
      <w:tr w14:paraId="688B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31217242">
            <w:pPr>
              <w:spacing w:line="360" w:lineRule="auto"/>
              <w:jc w:val="center"/>
              <w:rPr>
                <w:rFonts w:hint="eastAsia" w:ascii="宋体" w:hAnsi="宋体"/>
                <w:color w:val="000000"/>
                <w:szCs w:val="21"/>
              </w:rPr>
            </w:pPr>
            <w:r>
              <w:rPr>
                <w:rFonts w:hint="eastAsia" w:ascii="宋体" w:hAnsi="宋体"/>
                <w:color w:val="000000"/>
                <w:szCs w:val="21"/>
              </w:rPr>
              <w:t>序号</w:t>
            </w:r>
          </w:p>
        </w:tc>
        <w:tc>
          <w:tcPr>
            <w:tcW w:w="1938" w:type="pct"/>
            <w:noWrap w:val="0"/>
            <w:vAlign w:val="center"/>
          </w:tcPr>
          <w:p w14:paraId="6D591528">
            <w:pPr>
              <w:spacing w:line="360" w:lineRule="auto"/>
              <w:jc w:val="center"/>
              <w:rPr>
                <w:rFonts w:hint="eastAsia" w:ascii="宋体" w:hAnsi="宋体"/>
                <w:color w:val="000000"/>
                <w:szCs w:val="21"/>
              </w:rPr>
            </w:pPr>
            <w:r>
              <w:rPr>
                <w:rFonts w:hint="eastAsia" w:ascii="宋体" w:hAnsi="宋体"/>
                <w:color w:val="000000"/>
                <w:szCs w:val="21"/>
              </w:rPr>
              <w:t>谈判文件要求</w:t>
            </w:r>
          </w:p>
        </w:tc>
        <w:tc>
          <w:tcPr>
            <w:tcW w:w="1254" w:type="pct"/>
            <w:noWrap w:val="0"/>
            <w:vAlign w:val="center"/>
          </w:tcPr>
          <w:p w14:paraId="68792743">
            <w:pPr>
              <w:spacing w:line="360" w:lineRule="auto"/>
              <w:jc w:val="center"/>
              <w:rPr>
                <w:rFonts w:hint="eastAsia" w:ascii="宋体" w:hAnsi="宋体"/>
                <w:color w:val="000000"/>
                <w:szCs w:val="21"/>
              </w:rPr>
            </w:pPr>
            <w:r>
              <w:rPr>
                <w:rFonts w:hint="eastAsia" w:ascii="宋体" w:hAnsi="宋体"/>
                <w:color w:val="000000"/>
                <w:szCs w:val="21"/>
              </w:rPr>
              <w:t>响应情况</w:t>
            </w:r>
          </w:p>
        </w:tc>
        <w:tc>
          <w:tcPr>
            <w:tcW w:w="1324" w:type="pct"/>
            <w:noWrap w:val="0"/>
            <w:vAlign w:val="center"/>
          </w:tcPr>
          <w:p w14:paraId="1F314BF9">
            <w:pPr>
              <w:spacing w:line="360" w:lineRule="auto"/>
              <w:jc w:val="center"/>
              <w:rPr>
                <w:rFonts w:hint="eastAsia" w:ascii="宋体" w:hAnsi="宋体"/>
                <w:color w:val="000000"/>
                <w:szCs w:val="21"/>
              </w:rPr>
            </w:pPr>
            <w:r>
              <w:rPr>
                <w:rFonts w:hint="eastAsia" w:ascii="宋体" w:hAnsi="宋体"/>
                <w:color w:val="000000"/>
                <w:szCs w:val="21"/>
              </w:rPr>
              <w:t>偏离说明</w:t>
            </w:r>
          </w:p>
        </w:tc>
      </w:tr>
      <w:tr w14:paraId="426A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01E3058B">
            <w:pPr>
              <w:spacing w:line="360" w:lineRule="auto"/>
              <w:jc w:val="center"/>
              <w:rPr>
                <w:rFonts w:hint="eastAsia" w:ascii="宋体" w:hAnsi="宋体"/>
                <w:color w:val="000000"/>
                <w:szCs w:val="21"/>
              </w:rPr>
            </w:pPr>
            <w:r>
              <w:rPr>
                <w:rFonts w:hint="eastAsia" w:ascii="宋体" w:hAnsi="宋体"/>
                <w:color w:val="000000"/>
                <w:szCs w:val="21"/>
              </w:rPr>
              <w:t>1</w:t>
            </w:r>
          </w:p>
        </w:tc>
        <w:tc>
          <w:tcPr>
            <w:tcW w:w="1938" w:type="pct"/>
            <w:noWrap w:val="0"/>
            <w:vAlign w:val="center"/>
          </w:tcPr>
          <w:p w14:paraId="0EED4566">
            <w:pPr>
              <w:spacing w:line="360" w:lineRule="auto"/>
              <w:jc w:val="center"/>
              <w:rPr>
                <w:rFonts w:hint="eastAsia" w:ascii="宋体" w:hAnsi="宋体"/>
                <w:color w:val="000000"/>
                <w:szCs w:val="21"/>
              </w:rPr>
            </w:pPr>
            <w:r>
              <w:rPr>
                <w:rFonts w:hint="eastAsia"/>
              </w:rPr>
              <w:t>服务内容</w:t>
            </w:r>
          </w:p>
        </w:tc>
        <w:tc>
          <w:tcPr>
            <w:tcW w:w="1254" w:type="pct"/>
            <w:noWrap w:val="0"/>
            <w:vAlign w:val="center"/>
          </w:tcPr>
          <w:p w14:paraId="1163FE4A">
            <w:pPr>
              <w:spacing w:line="360" w:lineRule="auto"/>
              <w:jc w:val="center"/>
              <w:rPr>
                <w:rFonts w:hint="eastAsia" w:ascii="宋体" w:hAnsi="宋体"/>
                <w:color w:val="000000"/>
                <w:szCs w:val="21"/>
              </w:rPr>
            </w:pPr>
          </w:p>
        </w:tc>
        <w:tc>
          <w:tcPr>
            <w:tcW w:w="1324" w:type="pct"/>
            <w:noWrap w:val="0"/>
            <w:vAlign w:val="center"/>
          </w:tcPr>
          <w:p w14:paraId="7D340D81">
            <w:pPr>
              <w:spacing w:line="360" w:lineRule="auto"/>
              <w:jc w:val="center"/>
              <w:rPr>
                <w:rFonts w:hint="eastAsia" w:ascii="宋体" w:hAnsi="宋体"/>
                <w:color w:val="000000"/>
                <w:szCs w:val="21"/>
              </w:rPr>
            </w:pPr>
          </w:p>
        </w:tc>
      </w:tr>
      <w:tr w14:paraId="1781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0A9EAC84">
            <w:pPr>
              <w:spacing w:line="360" w:lineRule="auto"/>
              <w:jc w:val="center"/>
              <w:rPr>
                <w:rFonts w:hint="eastAsia" w:ascii="宋体" w:hAnsi="宋体"/>
                <w:color w:val="000000"/>
                <w:szCs w:val="21"/>
              </w:rPr>
            </w:pPr>
            <w:r>
              <w:rPr>
                <w:rFonts w:hint="eastAsia" w:ascii="宋体" w:hAnsi="宋体"/>
                <w:color w:val="000000"/>
                <w:szCs w:val="21"/>
              </w:rPr>
              <w:t>2</w:t>
            </w:r>
          </w:p>
        </w:tc>
        <w:tc>
          <w:tcPr>
            <w:tcW w:w="1938" w:type="pct"/>
            <w:noWrap w:val="0"/>
            <w:vAlign w:val="center"/>
          </w:tcPr>
          <w:p w14:paraId="30406383">
            <w:pPr>
              <w:spacing w:line="360" w:lineRule="auto"/>
              <w:jc w:val="center"/>
              <w:rPr>
                <w:rFonts w:hint="eastAsia" w:ascii="宋体" w:hAnsi="宋体"/>
                <w:color w:val="000000"/>
                <w:szCs w:val="21"/>
              </w:rPr>
            </w:pPr>
            <w:r>
              <w:rPr>
                <w:rFonts w:hint="eastAsia"/>
              </w:rPr>
              <w:t>服务人员配置要求</w:t>
            </w:r>
          </w:p>
        </w:tc>
        <w:tc>
          <w:tcPr>
            <w:tcW w:w="1254" w:type="pct"/>
            <w:noWrap w:val="0"/>
            <w:vAlign w:val="center"/>
          </w:tcPr>
          <w:p w14:paraId="5106C3A0">
            <w:pPr>
              <w:spacing w:line="360" w:lineRule="auto"/>
              <w:jc w:val="center"/>
              <w:rPr>
                <w:rFonts w:hint="eastAsia" w:ascii="宋体" w:hAnsi="宋体"/>
                <w:color w:val="000000"/>
                <w:szCs w:val="21"/>
              </w:rPr>
            </w:pPr>
          </w:p>
        </w:tc>
        <w:tc>
          <w:tcPr>
            <w:tcW w:w="1324" w:type="pct"/>
            <w:noWrap w:val="0"/>
            <w:vAlign w:val="center"/>
          </w:tcPr>
          <w:p w14:paraId="446013CD">
            <w:pPr>
              <w:spacing w:line="360" w:lineRule="auto"/>
              <w:jc w:val="center"/>
              <w:rPr>
                <w:rFonts w:hint="eastAsia" w:ascii="宋体" w:hAnsi="宋体"/>
                <w:color w:val="000000"/>
                <w:szCs w:val="21"/>
              </w:rPr>
            </w:pPr>
          </w:p>
        </w:tc>
      </w:tr>
      <w:tr w14:paraId="1733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658B0757">
            <w:pPr>
              <w:spacing w:line="360" w:lineRule="auto"/>
              <w:jc w:val="center"/>
              <w:rPr>
                <w:rFonts w:hint="eastAsia" w:ascii="宋体" w:hAnsi="宋体"/>
                <w:color w:val="000000"/>
                <w:szCs w:val="21"/>
              </w:rPr>
            </w:pPr>
            <w:r>
              <w:rPr>
                <w:rFonts w:hint="eastAsia" w:ascii="宋体" w:hAnsi="宋体"/>
                <w:color w:val="000000"/>
                <w:szCs w:val="21"/>
              </w:rPr>
              <w:t>3</w:t>
            </w:r>
          </w:p>
        </w:tc>
        <w:tc>
          <w:tcPr>
            <w:tcW w:w="1938" w:type="pct"/>
            <w:noWrap w:val="0"/>
            <w:vAlign w:val="center"/>
          </w:tcPr>
          <w:p w14:paraId="0D4244C3">
            <w:pPr>
              <w:spacing w:line="360" w:lineRule="auto"/>
              <w:jc w:val="center"/>
              <w:rPr>
                <w:rFonts w:hint="eastAsia" w:ascii="宋体" w:hAnsi="宋体"/>
                <w:color w:val="000000"/>
                <w:szCs w:val="21"/>
              </w:rPr>
            </w:pPr>
            <w:r>
              <w:rPr>
                <w:rFonts w:hint="eastAsia"/>
              </w:rPr>
              <w:t>服务人员综合素质</w:t>
            </w:r>
          </w:p>
        </w:tc>
        <w:tc>
          <w:tcPr>
            <w:tcW w:w="1254" w:type="pct"/>
            <w:noWrap w:val="0"/>
            <w:vAlign w:val="center"/>
          </w:tcPr>
          <w:p w14:paraId="4A37842E">
            <w:pPr>
              <w:spacing w:line="360" w:lineRule="auto"/>
              <w:jc w:val="center"/>
              <w:rPr>
                <w:rFonts w:hint="eastAsia" w:ascii="宋体" w:hAnsi="宋体"/>
                <w:color w:val="000000"/>
                <w:szCs w:val="21"/>
              </w:rPr>
            </w:pPr>
          </w:p>
        </w:tc>
        <w:tc>
          <w:tcPr>
            <w:tcW w:w="1324" w:type="pct"/>
            <w:noWrap w:val="0"/>
            <w:vAlign w:val="center"/>
          </w:tcPr>
          <w:p w14:paraId="48971356">
            <w:pPr>
              <w:spacing w:line="360" w:lineRule="auto"/>
              <w:jc w:val="center"/>
              <w:rPr>
                <w:rFonts w:hint="eastAsia" w:ascii="宋体" w:hAnsi="宋体"/>
                <w:color w:val="000000"/>
                <w:szCs w:val="21"/>
              </w:rPr>
            </w:pPr>
          </w:p>
        </w:tc>
      </w:tr>
      <w:tr w14:paraId="10F5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169FD10B">
            <w:pPr>
              <w:spacing w:line="360" w:lineRule="auto"/>
              <w:jc w:val="center"/>
              <w:rPr>
                <w:rFonts w:hint="eastAsia" w:ascii="宋体" w:hAnsi="宋体"/>
                <w:color w:val="000000"/>
                <w:szCs w:val="21"/>
              </w:rPr>
            </w:pPr>
            <w:r>
              <w:rPr>
                <w:rFonts w:hint="eastAsia" w:ascii="宋体" w:hAnsi="宋体"/>
                <w:color w:val="000000"/>
                <w:szCs w:val="21"/>
              </w:rPr>
              <w:t>4</w:t>
            </w:r>
          </w:p>
        </w:tc>
        <w:tc>
          <w:tcPr>
            <w:tcW w:w="1938" w:type="pct"/>
            <w:noWrap w:val="0"/>
            <w:vAlign w:val="center"/>
          </w:tcPr>
          <w:p w14:paraId="4282C459">
            <w:pPr>
              <w:spacing w:line="360" w:lineRule="auto"/>
              <w:jc w:val="center"/>
              <w:rPr>
                <w:rFonts w:hint="eastAsia" w:ascii="宋体" w:hAnsi="宋体"/>
                <w:color w:val="000000"/>
                <w:szCs w:val="21"/>
              </w:rPr>
            </w:pPr>
            <w:r>
              <w:rPr>
                <w:rFonts w:hint="eastAsia"/>
              </w:rPr>
              <w:t>服务标准</w:t>
            </w:r>
          </w:p>
        </w:tc>
        <w:tc>
          <w:tcPr>
            <w:tcW w:w="1254" w:type="pct"/>
            <w:noWrap w:val="0"/>
            <w:vAlign w:val="center"/>
          </w:tcPr>
          <w:p w14:paraId="012F2C1B">
            <w:pPr>
              <w:spacing w:line="360" w:lineRule="auto"/>
              <w:jc w:val="center"/>
              <w:rPr>
                <w:rFonts w:hint="eastAsia" w:ascii="宋体" w:hAnsi="宋体"/>
                <w:color w:val="000000"/>
                <w:szCs w:val="21"/>
              </w:rPr>
            </w:pPr>
          </w:p>
        </w:tc>
        <w:tc>
          <w:tcPr>
            <w:tcW w:w="1324" w:type="pct"/>
            <w:noWrap w:val="0"/>
            <w:vAlign w:val="center"/>
          </w:tcPr>
          <w:p w14:paraId="3BB8C545">
            <w:pPr>
              <w:spacing w:line="360" w:lineRule="auto"/>
              <w:jc w:val="center"/>
              <w:rPr>
                <w:rFonts w:hint="eastAsia" w:ascii="宋体" w:hAnsi="宋体"/>
                <w:color w:val="000000"/>
                <w:szCs w:val="21"/>
              </w:rPr>
            </w:pPr>
          </w:p>
        </w:tc>
      </w:tr>
      <w:tr w14:paraId="1054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12D967C9">
            <w:pPr>
              <w:spacing w:line="360" w:lineRule="auto"/>
              <w:jc w:val="center"/>
              <w:rPr>
                <w:rFonts w:hint="eastAsia" w:ascii="宋体" w:hAnsi="宋体"/>
                <w:color w:val="000000"/>
                <w:szCs w:val="21"/>
              </w:rPr>
            </w:pPr>
            <w:r>
              <w:rPr>
                <w:rFonts w:hint="eastAsia" w:ascii="宋体" w:hAnsi="宋体"/>
                <w:color w:val="000000"/>
                <w:szCs w:val="21"/>
              </w:rPr>
              <w:t>5</w:t>
            </w:r>
          </w:p>
        </w:tc>
        <w:tc>
          <w:tcPr>
            <w:tcW w:w="1938" w:type="pct"/>
            <w:noWrap w:val="0"/>
            <w:vAlign w:val="center"/>
          </w:tcPr>
          <w:p w14:paraId="5AB61DDD">
            <w:pPr>
              <w:spacing w:line="360" w:lineRule="auto"/>
              <w:jc w:val="center"/>
              <w:rPr>
                <w:rFonts w:hint="eastAsia" w:ascii="宋体" w:hAnsi="宋体"/>
                <w:color w:val="000000"/>
                <w:szCs w:val="21"/>
              </w:rPr>
            </w:pPr>
            <w:r>
              <w:rPr>
                <w:rFonts w:hint="eastAsia" w:ascii="宋体" w:hAnsi="宋体"/>
                <w:szCs w:val="21"/>
              </w:rPr>
              <w:t>其他要求</w:t>
            </w:r>
          </w:p>
        </w:tc>
        <w:tc>
          <w:tcPr>
            <w:tcW w:w="1254" w:type="pct"/>
            <w:noWrap w:val="0"/>
            <w:vAlign w:val="center"/>
          </w:tcPr>
          <w:p w14:paraId="7C157BE8">
            <w:pPr>
              <w:spacing w:line="360" w:lineRule="auto"/>
              <w:jc w:val="center"/>
              <w:rPr>
                <w:rFonts w:hint="eastAsia" w:ascii="宋体" w:hAnsi="宋体"/>
                <w:color w:val="000000"/>
                <w:szCs w:val="21"/>
              </w:rPr>
            </w:pPr>
          </w:p>
        </w:tc>
        <w:tc>
          <w:tcPr>
            <w:tcW w:w="1324" w:type="pct"/>
            <w:noWrap w:val="0"/>
            <w:vAlign w:val="center"/>
          </w:tcPr>
          <w:p w14:paraId="66D0F71C">
            <w:pPr>
              <w:spacing w:line="360" w:lineRule="auto"/>
              <w:jc w:val="center"/>
              <w:rPr>
                <w:rFonts w:hint="eastAsia" w:ascii="宋体" w:hAnsi="宋体"/>
                <w:color w:val="000000"/>
                <w:szCs w:val="21"/>
              </w:rPr>
            </w:pPr>
          </w:p>
        </w:tc>
      </w:tr>
      <w:tr w14:paraId="452E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noWrap w:val="0"/>
            <w:vAlign w:val="center"/>
          </w:tcPr>
          <w:p w14:paraId="4F1F2798">
            <w:pPr>
              <w:spacing w:line="360" w:lineRule="auto"/>
              <w:jc w:val="center"/>
              <w:rPr>
                <w:rFonts w:hint="eastAsia" w:ascii="宋体" w:hAnsi="宋体"/>
                <w:color w:val="000000"/>
                <w:szCs w:val="21"/>
              </w:rPr>
            </w:pPr>
            <w:r>
              <w:rPr>
                <w:rFonts w:hint="eastAsia" w:ascii="宋体" w:hAnsi="宋体"/>
                <w:color w:val="000000"/>
                <w:szCs w:val="21"/>
              </w:rPr>
              <w:t>6</w:t>
            </w:r>
          </w:p>
        </w:tc>
        <w:tc>
          <w:tcPr>
            <w:tcW w:w="1938" w:type="pct"/>
            <w:noWrap w:val="0"/>
            <w:vAlign w:val="center"/>
          </w:tcPr>
          <w:p w14:paraId="1572D891">
            <w:pPr>
              <w:spacing w:line="360" w:lineRule="auto"/>
              <w:jc w:val="center"/>
              <w:rPr>
                <w:rFonts w:hint="eastAsia" w:ascii="宋体" w:hAnsi="宋体"/>
                <w:szCs w:val="21"/>
              </w:rPr>
            </w:pPr>
          </w:p>
        </w:tc>
        <w:tc>
          <w:tcPr>
            <w:tcW w:w="1254" w:type="pct"/>
            <w:noWrap w:val="0"/>
            <w:vAlign w:val="center"/>
          </w:tcPr>
          <w:p w14:paraId="0B458708">
            <w:pPr>
              <w:spacing w:line="360" w:lineRule="auto"/>
              <w:jc w:val="center"/>
              <w:rPr>
                <w:rFonts w:hint="eastAsia" w:ascii="宋体" w:hAnsi="宋体"/>
                <w:color w:val="000000"/>
                <w:szCs w:val="21"/>
              </w:rPr>
            </w:pPr>
          </w:p>
        </w:tc>
        <w:tc>
          <w:tcPr>
            <w:tcW w:w="1324" w:type="pct"/>
            <w:noWrap w:val="0"/>
            <w:vAlign w:val="center"/>
          </w:tcPr>
          <w:p w14:paraId="126217DA">
            <w:pPr>
              <w:spacing w:line="360" w:lineRule="auto"/>
              <w:jc w:val="center"/>
              <w:rPr>
                <w:rFonts w:hint="eastAsia" w:ascii="宋体" w:hAnsi="宋体"/>
                <w:color w:val="000000"/>
                <w:szCs w:val="21"/>
              </w:rPr>
            </w:pPr>
          </w:p>
        </w:tc>
      </w:tr>
    </w:tbl>
    <w:p w14:paraId="0E1F9F27">
      <w:pPr>
        <w:spacing w:line="360" w:lineRule="auto"/>
        <w:jc w:val="left"/>
      </w:pPr>
      <w:r>
        <w:rPr>
          <w:rFonts w:hint="eastAsia" w:ascii="宋体" w:hAnsi="宋体"/>
          <w:b/>
          <w:color w:val="000000"/>
          <w:szCs w:val="21"/>
        </w:rPr>
        <w:t>注：响应供应商须在偏离表中如实填写响应情况，如有要求提供材料的，须按要求提供相应材料。偏离表未填写、负偏离、未提供所要求的材料的，将被视为无效响应。</w:t>
      </w:r>
    </w:p>
    <w:p w14:paraId="7643C7B0">
      <w:pPr>
        <w:spacing w:line="360" w:lineRule="auto"/>
        <w:jc w:val="right"/>
      </w:pPr>
      <w:r>
        <w:rPr>
          <w:rFonts w:hint="eastAsia"/>
        </w:rPr>
        <w:t>供应商</w:t>
      </w:r>
      <w:r>
        <w:t>：（加盖</w:t>
      </w:r>
      <w:r>
        <w:rPr>
          <w:rFonts w:hint="eastAsia"/>
        </w:rPr>
        <w:t>公章</w:t>
      </w:r>
      <w:r>
        <w:t>）</w:t>
      </w:r>
    </w:p>
    <w:p w14:paraId="2852246E">
      <w:pPr>
        <w:spacing w:line="360" w:lineRule="auto"/>
        <w:jc w:val="right"/>
      </w:pPr>
      <w:r>
        <w:rPr>
          <w:rFonts w:hint="eastAsia"/>
        </w:rPr>
        <w:t xml:space="preserve">日期：    </w:t>
      </w:r>
      <w:r>
        <w:t>年</w:t>
      </w:r>
      <w:r>
        <w:rPr>
          <w:rFonts w:hint="eastAsia"/>
        </w:rPr>
        <w:t xml:space="preserve"> </w:t>
      </w:r>
      <w:r>
        <w:t xml:space="preserve"> 月</w:t>
      </w:r>
      <w:r>
        <w:rPr>
          <w:rFonts w:hint="eastAsia"/>
        </w:rPr>
        <w:t xml:space="preserve"> </w:t>
      </w:r>
      <w:r>
        <w:t xml:space="preserve"> 日</w:t>
      </w:r>
    </w:p>
    <w:p w14:paraId="124A42C0">
      <w:pPr>
        <w:rPr>
          <w:rFonts w:hint="eastAsia" w:ascii="宋体" w:hAnsi="宋体"/>
          <w:sz w:val="24"/>
          <w:lang w:val="zh-CN"/>
        </w:rPr>
        <w:sectPr>
          <w:pgSz w:w="11906" w:h="16838"/>
          <w:pgMar w:top="1474" w:right="1247" w:bottom="1247" w:left="1531" w:header="851" w:footer="680" w:gutter="0"/>
          <w:cols w:space="425" w:num="1"/>
          <w:docGrid w:linePitch="360" w:charSpace="0"/>
        </w:sectPr>
      </w:pPr>
      <w:bookmarkStart w:id="98" w:name="_Toc161067525"/>
    </w:p>
    <w:p w14:paraId="3F0D158B">
      <w:pPr>
        <w:pStyle w:val="3"/>
        <w:spacing w:before="0" w:after="0" w:line="360" w:lineRule="auto"/>
        <w:rPr>
          <w:rFonts w:hint="eastAsia" w:ascii="黑体" w:hAnsi="黑体"/>
          <w:u w:val="single"/>
          <w:lang w:val="zh-CN"/>
        </w:rPr>
      </w:pPr>
      <w:bookmarkStart w:id="99" w:name="_Toc161126697"/>
      <w:r>
        <w:rPr>
          <w:rFonts w:hint="eastAsia" w:ascii="黑体" w:hAnsi="黑体"/>
          <w:u w:val="single"/>
          <w:lang w:val="zh-CN"/>
        </w:rPr>
        <w:t>九、响应及</w:t>
      </w:r>
      <w:r>
        <w:rPr>
          <w:rFonts w:ascii="黑体" w:hAnsi="黑体"/>
          <w:u w:val="single"/>
          <w:lang w:val="zh-CN"/>
        </w:rPr>
        <w:t>偏离表（</w:t>
      </w:r>
      <w:r>
        <w:rPr>
          <w:rFonts w:hint="eastAsia" w:ascii="黑体" w:hAnsi="黑体"/>
          <w:u w:val="single"/>
          <w:lang w:val="zh-CN"/>
        </w:rPr>
        <w:t>商务要求</w:t>
      </w:r>
      <w:r>
        <w:rPr>
          <w:rFonts w:ascii="黑体" w:hAnsi="黑体"/>
          <w:u w:val="single"/>
          <w:lang w:val="zh-CN"/>
        </w:rPr>
        <w:t>）</w:t>
      </w:r>
      <w:bookmarkEnd w:id="99"/>
    </w:p>
    <w:p w14:paraId="3577EC4E">
      <w:pPr>
        <w:spacing w:line="360" w:lineRule="auto"/>
        <w:jc w:val="center"/>
      </w:pPr>
      <w:r>
        <w:rPr>
          <w:rFonts w:hint="eastAsia"/>
        </w:rPr>
        <w:t>偏离表（商务要求）</w:t>
      </w:r>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3620"/>
        <w:gridCol w:w="2343"/>
        <w:gridCol w:w="2473"/>
      </w:tblGrid>
      <w:tr w14:paraId="0732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noWrap w:val="0"/>
            <w:vAlign w:val="center"/>
          </w:tcPr>
          <w:p w14:paraId="040AD108">
            <w:pPr>
              <w:spacing w:line="360" w:lineRule="auto"/>
              <w:jc w:val="center"/>
              <w:rPr>
                <w:rFonts w:hint="eastAsia" w:ascii="宋体" w:hAnsi="宋体"/>
                <w:color w:val="000000"/>
                <w:szCs w:val="21"/>
              </w:rPr>
            </w:pPr>
            <w:r>
              <w:rPr>
                <w:rFonts w:hint="eastAsia" w:ascii="宋体" w:hAnsi="宋体"/>
                <w:color w:val="000000"/>
                <w:szCs w:val="21"/>
              </w:rPr>
              <w:t>序号</w:t>
            </w:r>
          </w:p>
        </w:tc>
        <w:tc>
          <w:tcPr>
            <w:tcW w:w="1937" w:type="pct"/>
            <w:noWrap w:val="0"/>
            <w:vAlign w:val="center"/>
          </w:tcPr>
          <w:p w14:paraId="5A06405B">
            <w:pPr>
              <w:spacing w:line="360" w:lineRule="auto"/>
              <w:jc w:val="center"/>
              <w:rPr>
                <w:rFonts w:hint="eastAsia" w:ascii="宋体" w:hAnsi="宋体"/>
                <w:color w:val="000000"/>
                <w:szCs w:val="21"/>
              </w:rPr>
            </w:pPr>
            <w:r>
              <w:rPr>
                <w:rFonts w:hint="eastAsia" w:ascii="宋体" w:hAnsi="宋体"/>
                <w:color w:val="000000"/>
                <w:szCs w:val="21"/>
              </w:rPr>
              <w:t>谈判文件要求</w:t>
            </w:r>
          </w:p>
        </w:tc>
        <w:tc>
          <w:tcPr>
            <w:tcW w:w="1254" w:type="pct"/>
            <w:noWrap w:val="0"/>
            <w:vAlign w:val="center"/>
          </w:tcPr>
          <w:p w14:paraId="0066A678">
            <w:pPr>
              <w:spacing w:line="360" w:lineRule="auto"/>
              <w:jc w:val="center"/>
              <w:rPr>
                <w:rFonts w:hint="eastAsia" w:ascii="宋体" w:hAnsi="宋体"/>
                <w:color w:val="000000"/>
                <w:szCs w:val="21"/>
              </w:rPr>
            </w:pPr>
            <w:r>
              <w:rPr>
                <w:rFonts w:hint="eastAsia" w:ascii="宋体" w:hAnsi="宋体"/>
                <w:color w:val="000000"/>
                <w:szCs w:val="21"/>
              </w:rPr>
              <w:t>响应情况</w:t>
            </w:r>
          </w:p>
        </w:tc>
        <w:tc>
          <w:tcPr>
            <w:tcW w:w="1323" w:type="pct"/>
            <w:noWrap w:val="0"/>
            <w:vAlign w:val="center"/>
          </w:tcPr>
          <w:p w14:paraId="60527597">
            <w:pPr>
              <w:spacing w:line="360" w:lineRule="auto"/>
              <w:jc w:val="center"/>
              <w:rPr>
                <w:rFonts w:hint="eastAsia" w:ascii="宋体" w:hAnsi="宋体"/>
                <w:color w:val="000000"/>
                <w:szCs w:val="21"/>
              </w:rPr>
            </w:pPr>
            <w:r>
              <w:rPr>
                <w:rFonts w:hint="eastAsia" w:ascii="宋体" w:hAnsi="宋体"/>
                <w:color w:val="000000"/>
                <w:szCs w:val="21"/>
              </w:rPr>
              <w:t>偏离说明</w:t>
            </w:r>
          </w:p>
        </w:tc>
      </w:tr>
      <w:tr w14:paraId="5626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noWrap w:val="0"/>
            <w:vAlign w:val="center"/>
          </w:tcPr>
          <w:p w14:paraId="161ACF5D">
            <w:pPr>
              <w:spacing w:line="360" w:lineRule="auto"/>
              <w:jc w:val="center"/>
              <w:rPr>
                <w:rFonts w:hint="eastAsia" w:ascii="宋体" w:hAnsi="宋体"/>
                <w:color w:val="000000"/>
                <w:szCs w:val="21"/>
              </w:rPr>
            </w:pPr>
            <w:r>
              <w:rPr>
                <w:rFonts w:hint="eastAsia" w:ascii="宋体" w:hAnsi="宋体"/>
                <w:color w:val="000000"/>
                <w:szCs w:val="21"/>
              </w:rPr>
              <w:t>1</w:t>
            </w:r>
          </w:p>
        </w:tc>
        <w:tc>
          <w:tcPr>
            <w:tcW w:w="1937" w:type="pct"/>
            <w:noWrap w:val="0"/>
            <w:vAlign w:val="center"/>
          </w:tcPr>
          <w:p w14:paraId="4AB5C8C5">
            <w:pPr>
              <w:spacing w:line="360" w:lineRule="auto"/>
              <w:jc w:val="center"/>
              <w:rPr>
                <w:rFonts w:hint="eastAsia" w:ascii="宋体" w:hAnsi="宋体"/>
                <w:color w:val="000000"/>
                <w:szCs w:val="21"/>
              </w:rPr>
            </w:pPr>
            <w:r>
              <w:rPr>
                <w:rFonts w:hint="eastAsia" w:ascii="宋体" w:hAnsi="宋体"/>
                <w:color w:val="000000"/>
                <w:szCs w:val="21"/>
              </w:rPr>
              <w:t>商务要求</w:t>
            </w:r>
          </w:p>
        </w:tc>
        <w:tc>
          <w:tcPr>
            <w:tcW w:w="1254" w:type="pct"/>
            <w:noWrap w:val="0"/>
            <w:vAlign w:val="center"/>
          </w:tcPr>
          <w:p w14:paraId="6BE20E93">
            <w:pPr>
              <w:spacing w:line="360" w:lineRule="auto"/>
              <w:jc w:val="center"/>
              <w:rPr>
                <w:rFonts w:hint="eastAsia" w:ascii="宋体" w:hAnsi="宋体"/>
                <w:color w:val="000000"/>
                <w:szCs w:val="21"/>
              </w:rPr>
            </w:pPr>
          </w:p>
        </w:tc>
        <w:tc>
          <w:tcPr>
            <w:tcW w:w="1323" w:type="pct"/>
            <w:noWrap w:val="0"/>
            <w:vAlign w:val="center"/>
          </w:tcPr>
          <w:p w14:paraId="2FB50C4C">
            <w:pPr>
              <w:spacing w:line="360" w:lineRule="auto"/>
              <w:jc w:val="center"/>
              <w:rPr>
                <w:rFonts w:hint="eastAsia" w:ascii="宋体" w:hAnsi="宋体"/>
                <w:color w:val="000000"/>
                <w:szCs w:val="21"/>
              </w:rPr>
            </w:pPr>
          </w:p>
        </w:tc>
      </w:tr>
    </w:tbl>
    <w:p w14:paraId="322E4F64">
      <w:pPr>
        <w:spacing w:line="360" w:lineRule="auto"/>
        <w:jc w:val="left"/>
      </w:pPr>
      <w:r>
        <w:rPr>
          <w:rFonts w:hint="eastAsia" w:ascii="宋体" w:hAnsi="宋体"/>
          <w:b/>
          <w:color w:val="000000"/>
          <w:szCs w:val="21"/>
        </w:rPr>
        <w:t>注：响应供应商须在偏离表中如实填写响应情况，如有要求提供材料的，须按要求提供相应材料。偏离表未填写、负偏离、未提供所要求的材料的，将被视为无效响应。</w:t>
      </w:r>
    </w:p>
    <w:p w14:paraId="559550A9">
      <w:pPr>
        <w:spacing w:line="360" w:lineRule="auto"/>
        <w:jc w:val="right"/>
      </w:pPr>
      <w:r>
        <w:rPr>
          <w:rFonts w:hint="eastAsia"/>
        </w:rPr>
        <w:t>供应商</w:t>
      </w:r>
      <w:r>
        <w:t>：（加盖</w:t>
      </w:r>
      <w:r>
        <w:rPr>
          <w:rFonts w:hint="eastAsia"/>
        </w:rPr>
        <w:t>公章</w:t>
      </w:r>
      <w:r>
        <w:t>）</w:t>
      </w:r>
    </w:p>
    <w:p w14:paraId="32CC4A6E">
      <w:pPr>
        <w:spacing w:line="360" w:lineRule="auto"/>
        <w:jc w:val="right"/>
      </w:pPr>
      <w:r>
        <w:rPr>
          <w:rFonts w:hint="eastAsia"/>
        </w:rPr>
        <w:t xml:space="preserve">日期：    </w:t>
      </w:r>
      <w:r>
        <w:t>年</w:t>
      </w:r>
      <w:r>
        <w:rPr>
          <w:rFonts w:hint="eastAsia"/>
        </w:rPr>
        <w:t xml:space="preserve"> </w:t>
      </w:r>
      <w:r>
        <w:t xml:space="preserve"> 月</w:t>
      </w:r>
      <w:r>
        <w:rPr>
          <w:rFonts w:hint="eastAsia"/>
        </w:rPr>
        <w:t xml:space="preserve"> </w:t>
      </w:r>
      <w:r>
        <w:t xml:space="preserve"> 日</w:t>
      </w:r>
      <w:bookmarkEnd w:id="98"/>
    </w:p>
    <w:p w14:paraId="284DB2C4">
      <w:pPr>
        <w:rPr>
          <w:rFonts w:hint="eastAsia" w:ascii="宋体" w:hAnsi="宋体"/>
          <w:sz w:val="24"/>
          <w:lang w:val="zh-CN"/>
        </w:rPr>
        <w:sectPr>
          <w:pgSz w:w="11906" w:h="16838"/>
          <w:pgMar w:top="1474" w:right="1247" w:bottom="1247" w:left="1531" w:header="851" w:footer="680" w:gutter="0"/>
          <w:cols w:space="425" w:num="1"/>
          <w:docGrid w:linePitch="360" w:charSpace="0"/>
        </w:sectPr>
      </w:pPr>
    </w:p>
    <w:p w14:paraId="52665E3B">
      <w:pPr>
        <w:pStyle w:val="3"/>
        <w:spacing w:before="0" w:after="0" w:line="360" w:lineRule="auto"/>
        <w:rPr>
          <w:rFonts w:hint="eastAsia" w:ascii="黑体" w:hAnsi="黑体"/>
          <w:u w:val="single"/>
          <w:lang w:val="zh-CN"/>
        </w:rPr>
      </w:pPr>
      <w:bookmarkStart w:id="100" w:name="_Toc161126698"/>
      <w:r>
        <w:rPr>
          <w:rFonts w:hint="eastAsia" w:ascii="黑体" w:hAnsi="黑体"/>
          <w:u w:val="single"/>
          <w:lang w:val="zh-CN"/>
        </w:rPr>
        <w:t>十、</w:t>
      </w:r>
      <w:bookmarkEnd w:id="100"/>
      <w:r>
        <w:rPr>
          <w:rFonts w:ascii="黑体" w:hAnsi="黑体"/>
          <w:u w:val="single"/>
          <w:lang w:val="zh-CN"/>
        </w:rPr>
        <w:t>人员配置表</w:t>
      </w:r>
      <w:bookmarkStart w:id="101" w:name="_Toc161126699"/>
    </w:p>
    <w:p w14:paraId="7CB8217D">
      <w:pPr>
        <w:pStyle w:val="255"/>
        <w:ind w:firstLine="0"/>
        <w:jc w:val="center"/>
        <w:rPr>
          <w:sz w:val="24"/>
          <w:szCs w:val="21"/>
        </w:rPr>
      </w:pPr>
      <w:r>
        <w:rPr>
          <w:rFonts w:hint="eastAsia"/>
          <w:sz w:val="24"/>
          <w:szCs w:val="21"/>
        </w:rPr>
        <w:t>人员配置表</w:t>
      </w:r>
    </w:p>
    <w:p w14:paraId="13539FFD">
      <w:pPr>
        <w:pStyle w:val="255"/>
        <w:ind w:firstLine="0"/>
        <w:jc w:val="center"/>
        <w:rPr>
          <w:sz w:val="24"/>
          <w:szCs w:val="21"/>
        </w:rPr>
      </w:pPr>
    </w:p>
    <w:p w14:paraId="729A5EFF">
      <w:pPr>
        <w:pStyle w:val="255"/>
        <w:ind w:firstLine="0"/>
        <w:rPr>
          <w:szCs w:val="21"/>
        </w:rPr>
      </w:pPr>
    </w:p>
    <w:p w14:paraId="60ED096F">
      <w:pPr>
        <w:pStyle w:val="255"/>
        <w:ind w:firstLine="0"/>
        <w:rPr>
          <w:szCs w:val="21"/>
        </w:rPr>
      </w:pPr>
    </w:p>
    <w:p w14:paraId="54E83B0D">
      <w:pPr>
        <w:pStyle w:val="255"/>
        <w:ind w:firstLine="0"/>
        <w:rPr>
          <w:szCs w:val="21"/>
        </w:rPr>
      </w:pPr>
    </w:p>
    <w:p w14:paraId="4119AB49">
      <w:pPr>
        <w:pStyle w:val="388"/>
        <w:spacing w:line="360" w:lineRule="auto"/>
        <w:ind w:right="-210"/>
        <w:jc w:val="left"/>
        <w:rPr>
          <w:rFonts w:hAnsi="宋体" w:eastAsia="宋体"/>
          <w:b/>
          <w:color w:val="000000"/>
          <w:sz w:val="21"/>
          <w:szCs w:val="21"/>
          <w:highlight w:val="yellow"/>
        </w:rPr>
      </w:pPr>
      <w:r>
        <w:rPr>
          <w:rFonts w:hAnsi="宋体" w:eastAsia="宋体"/>
          <w:b/>
          <w:color w:val="000000"/>
          <w:sz w:val="21"/>
          <w:szCs w:val="21"/>
        </w:rPr>
        <w:t>注：根据采购文件实质性响应要求及评审指标中涉及的人员配置填写相关人员信息。其中，关键岗位人员为在响应环节需要明确相关信息的人员以及评审指标中涉及的人员，其他岗位人员为在响应环节无需明确具体信息的人员。专业能力填写学历、工作经验、持证情况等。</w:t>
      </w:r>
      <w:r>
        <w:rPr>
          <w:rFonts w:hAnsi="宋体" w:eastAsia="宋体"/>
          <w:b/>
          <w:color w:val="000000"/>
          <w:sz w:val="21"/>
          <w:szCs w:val="21"/>
          <w:highlight w:val="yellow"/>
        </w:rPr>
        <w:t>关键岗位人员的身份证、证书、社保缴纳证明的电子件均须附在此表后（电子件形式为有效原件的扫描件、复印件、电子证照等数字化版本件）。</w:t>
      </w:r>
    </w:p>
    <w:p w14:paraId="19DD499B">
      <w:pPr>
        <w:pStyle w:val="388"/>
        <w:spacing w:line="360" w:lineRule="auto"/>
        <w:ind w:right="-210"/>
        <w:jc w:val="left"/>
        <w:rPr>
          <w:rFonts w:hAnsi="宋体" w:eastAsia="宋体"/>
          <w:b/>
          <w:color w:val="000000"/>
          <w:sz w:val="21"/>
          <w:szCs w:val="21"/>
        </w:rPr>
      </w:pPr>
    </w:p>
    <w:p w14:paraId="267EB59C">
      <w:pPr>
        <w:pStyle w:val="389"/>
        <w:spacing w:line="360" w:lineRule="auto"/>
        <w:jc w:val="right"/>
        <w:rPr>
          <w:rFonts w:hint="eastAsia" w:hAnsi="宋体" w:eastAsia="宋体"/>
          <w:sz w:val="21"/>
          <w:szCs w:val="21"/>
        </w:rPr>
      </w:pPr>
      <w:r>
        <w:rPr>
          <w:rFonts w:hint="eastAsia" w:hAnsi="宋体" w:eastAsia="宋体"/>
          <w:sz w:val="21"/>
          <w:szCs w:val="21"/>
        </w:rPr>
        <w:t>投标人：（公章）</w:t>
      </w:r>
    </w:p>
    <w:p w14:paraId="2B7DA508">
      <w:pPr>
        <w:pStyle w:val="389"/>
        <w:spacing w:line="360" w:lineRule="auto"/>
        <w:ind w:right="210"/>
        <w:jc w:val="right"/>
        <w:rPr>
          <w:rFonts w:hint="eastAsia" w:hAnsi="宋体" w:eastAsia="宋体"/>
          <w:sz w:val="21"/>
          <w:szCs w:val="21"/>
        </w:rPr>
      </w:pPr>
      <w:r>
        <w:rPr>
          <w:rFonts w:hint="eastAsia" w:hAnsi="宋体" w:eastAsia="宋体"/>
          <w:sz w:val="21"/>
          <w:szCs w:val="21"/>
        </w:rPr>
        <w:t>法定代表人或代理人：（签字或盖章）</w:t>
      </w:r>
    </w:p>
    <w:p w14:paraId="344B3821">
      <w:pPr>
        <w:pStyle w:val="389"/>
        <w:spacing w:line="360" w:lineRule="auto"/>
        <w:ind w:right="210"/>
        <w:jc w:val="right"/>
        <w:rPr>
          <w:rFonts w:hint="eastAsia" w:hAnsi="宋体" w:eastAsia="宋体"/>
          <w:b/>
          <w:sz w:val="21"/>
          <w:szCs w:val="21"/>
        </w:rPr>
      </w:pPr>
      <w:r>
        <w:rPr>
          <w:rFonts w:hint="eastAsia" w:hAnsi="宋体" w:eastAsia="宋体"/>
          <w:sz w:val="21"/>
          <w:szCs w:val="21"/>
        </w:rPr>
        <w:t xml:space="preserve">日期： 年 </w:t>
      </w:r>
      <w:r>
        <w:rPr>
          <w:rFonts w:hAnsi="宋体" w:eastAsia="宋体"/>
          <w:sz w:val="21"/>
          <w:szCs w:val="21"/>
        </w:rPr>
        <w:t xml:space="preserve"> </w:t>
      </w:r>
      <w:r>
        <w:rPr>
          <w:rFonts w:hint="eastAsia" w:hAnsi="宋体" w:eastAsia="宋体"/>
          <w:sz w:val="21"/>
          <w:szCs w:val="21"/>
        </w:rPr>
        <w:t xml:space="preserve">月 </w:t>
      </w:r>
      <w:r>
        <w:rPr>
          <w:rFonts w:hAnsi="宋体" w:eastAsia="宋体"/>
          <w:sz w:val="21"/>
          <w:szCs w:val="21"/>
        </w:rPr>
        <w:t xml:space="preserve"> </w:t>
      </w:r>
      <w:r>
        <w:rPr>
          <w:rFonts w:hint="eastAsia" w:hAnsi="宋体" w:eastAsia="宋体"/>
          <w:sz w:val="21"/>
          <w:szCs w:val="21"/>
        </w:rPr>
        <w:t>日</w:t>
      </w:r>
    </w:p>
    <w:p w14:paraId="12A8557D">
      <w:pPr>
        <w:widowControl/>
        <w:jc w:val="left"/>
        <w:rPr>
          <w:rFonts w:hint="eastAsia" w:ascii="宋体" w:hAnsi="宋体"/>
          <w:szCs w:val="21"/>
        </w:rPr>
      </w:pPr>
      <w:r>
        <w:rPr>
          <w:rFonts w:hAnsi="宋体"/>
          <w:szCs w:val="21"/>
        </w:rPr>
        <w:br w:type="page" w:clear="all"/>
      </w:r>
    </w:p>
    <w:p w14:paraId="203D90DB">
      <w:pPr>
        <w:pStyle w:val="3"/>
        <w:spacing w:before="0" w:after="0" w:line="360" w:lineRule="auto"/>
        <w:rPr>
          <w:rFonts w:hint="eastAsia" w:ascii="黑体" w:hAnsi="黑体"/>
          <w:u w:val="single"/>
          <w:lang w:val="zh-CN"/>
        </w:rPr>
      </w:pPr>
      <w:r>
        <w:rPr>
          <w:rFonts w:hint="eastAsia" w:ascii="黑体" w:hAnsi="黑体"/>
          <w:u w:val="single"/>
          <w:lang w:val="zh-CN"/>
        </w:rPr>
        <w:t>十一、类似业绩一览表</w:t>
      </w:r>
      <w:bookmarkEnd w:id="101"/>
    </w:p>
    <w:p w14:paraId="1E34A92D">
      <w:pPr>
        <w:jc w:val="center"/>
        <w:rPr>
          <w:b/>
          <w:lang w:val="zh-CN"/>
        </w:rPr>
      </w:pPr>
      <w:r>
        <w:rPr>
          <w:rFonts w:hint="eastAsia"/>
          <w:b/>
          <w:lang w:val="zh-CN"/>
        </w:rPr>
        <w:t>类似业绩一览表</w:t>
      </w:r>
    </w:p>
    <w:tbl>
      <w:tblPr>
        <w:tblStyle w:val="5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46"/>
        <w:gridCol w:w="2363"/>
        <w:gridCol w:w="1784"/>
        <w:gridCol w:w="2107"/>
        <w:gridCol w:w="1784"/>
      </w:tblGrid>
      <w:tr w14:paraId="16F9E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624" w:type="pct"/>
            <w:noWrap w:val="0"/>
            <w:vAlign w:val="center"/>
          </w:tcPr>
          <w:p w14:paraId="33CC5F0B">
            <w:pPr>
              <w:spacing w:line="360" w:lineRule="auto"/>
              <w:jc w:val="center"/>
              <w:rPr>
                <w:rFonts w:hint="eastAsia" w:ascii="宋体" w:hAnsi="宋体"/>
                <w:szCs w:val="21"/>
              </w:rPr>
            </w:pPr>
            <w:r>
              <w:rPr>
                <w:rFonts w:ascii="宋体" w:hAnsi="宋体"/>
                <w:szCs w:val="21"/>
              </w:rPr>
              <w:t>序号</w:t>
            </w:r>
          </w:p>
        </w:tc>
        <w:tc>
          <w:tcPr>
            <w:tcW w:w="1286" w:type="pct"/>
            <w:noWrap w:val="0"/>
            <w:vAlign w:val="center"/>
          </w:tcPr>
          <w:p w14:paraId="24EE8A41">
            <w:pPr>
              <w:spacing w:line="360" w:lineRule="auto"/>
              <w:jc w:val="center"/>
              <w:rPr>
                <w:rFonts w:hint="eastAsia" w:ascii="宋体" w:hAnsi="宋体"/>
                <w:szCs w:val="21"/>
              </w:rPr>
            </w:pPr>
            <w:r>
              <w:rPr>
                <w:rFonts w:ascii="宋体" w:hAnsi="宋体"/>
                <w:szCs w:val="21"/>
              </w:rPr>
              <w:t>项目名称</w:t>
            </w:r>
          </w:p>
        </w:tc>
        <w:tc>
          <w:tcPr>
            <w:tcW w:w="971" w:type="pct"/>
            <w:noWrap w:val="0"/>
            <w:vAlign w:val="center"/>
          </w:tcPr>
          <w:p w14:paraId="2D7D0CBB">
            <w:pPr>
              <w:spacing w:line="360" w:lineRule="auto"/>
              <w:jc w:val="center"/>
              <w:rPr>
                <w:rFonts w:hint="eastAsia" w:ascii="宋体" w:hAnsi="宋体"/>
                <w:szCs w:val="21"/>
              </w:rPr>
            </w:pPr>
            <w:r>
              <w:rPr>
                <w:rFonts w:hint="eastAsia" w:ascii="宋体" w:hAnsi="宋体"/>
                <w:szCs w:val="21"/>
              </w:rPr>
              <w:t>合同金额</w:t>
            </w:r>
          </w:p>
        </w:tc>
        <w:tc>
          <w:tcPr>
            <w:tcW w:w="1147" w:type="pct"/>
            <w:tcBorders>
              <w:right w:val="single" w:color="auto" w:sz="4" w:space="0"/>
            </w:tcBorders>
            <w:noWrap w:val="0"/>
            <w:vAlign w:val="center"/>
          </w:tcPr>
          <w:p w14:paraId="635E9193">
            <w:pPr>
              <w:spacing w:line="360" w:lineRule="auto"/>
              <w:jc w:val="center"/>
              <w:rPr>
                <w:rFonts w:hint="eastAsia" w:ascii="宋体" w:hAnsi="宋体"/>
                <w:szCs w:val="21"/>
              </w:rPr>
            </w:pPr>
            <w:r>
              <w:rPr>
                <w:rFonts w:hint="eastAsia" w:ascii="宋体" w:hAnsi="宋体"/>
                <w:szCs w:val="21"/>
              </w:rPr>
              <w:t>合同内容</w:t>
            </w:r>
          </w:p>
        </w:tc>
        <w:tc>
          <w:tcPr>
            <w:tcW w:w="971" w:type="pct"/>
            <w:noWrap w:val="0"/>
            <w:vAlign w:val="center"/>
          </w:tcPr>
          <w:p w14:paraId="35A3EF1B">
            <w:pPr>
              <w:spacing w:line="360" w:lineRule="auto"/>
              <w:jc w:val="center"/>
              <w:rPr>
                <w:rFonts w:hint="eastAsia" w:ascii="宋体" w:hAnsi="宋体"/>
                <w:szCs w:val="21"/>
              </w:rPr>
            </w:pPr>
            <w:r>
              <w:rPr>
                <w:rFonts w:ascii="宋体" w:hAnsi="宋体"/>
                <w:szCs w:val="21"/>
              </w:rPr>
              <w:t>备注</w:t>
            </w:r>
          </w:p>
        </w:tc>
      </w:tr>
      <w:tr w14:paraId="0241A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624" w:type="pct"/>
            <w:noWrap w:val="0"/>
            <w:vAlign w:val="center"/>
          </w:tcPr>
          <w:p w14:paraId="058D3029">
            <w:pPr>
              <w:spacing w:line="360" w:lineRule="auto"/>
              <w:jc w:val="center"/>
              <w:rPr>
                <w:rFonts w:hint="eastAsia" w:ascii="宋体" w:hAnsi="宋体"/>
                <w:szCs w:val="21"/>
              </w:rPr>
            </w:pPr>
            <w:r>
              <w:rPr>
                <w:rFonts w:ascii="宋体" w:hAnsi="宋体"/>
                <w:szCs w:val="21"/>
              </w:rPr>
              <w:t>1</w:t>
            </w:r>
          </w:p>
        </w:tc>
        <w:tc>
          <w:tcPr>
            <w:tcW w:w="1286" w:type="pct"/>
            <w:noWrap w:val="0"/>
            <w:vAlign w:val="center"/>
          </w:tcPr>
          <w:p w14:paraId="29D41FA2">
            <w:pPr>
              <w:spacing w:line="360" w:lineRule="auto"/>
              <w:jc w:val="center"/>
              <w:rPr>
                <w:rFonts w:hint="eastAsia" w:ascii="宋体" w:hAnsi="宋体"/>
                <w:szCs w:val="21"/>
              </w:rPr>
            </w:pPr>
          </w:p>
        </w:tc>
        <w:tc>
          <w:tcPr>
            <w:tcW w:w="971" w:type="pct"/>
            <w:noWrap w:val="0"/>
            <w:vAlign w:val="center"/>
          </w:tcPr>
          <w:p w14:paraId="61B6ADDB">
            <w:pPr>
              <w:spacing w:line="360" w:lineRule="auto"/>
              <w:jc w:val="center"/>
              <w:rPr>
                <w:rFonts w:hint="eastAsia" w:ascii="宋体" w:hAnsi="宋体"/>
                <w:szCs w:val="21"/>
              </w:rPr>
            </w:pPr>
          </w:p>
        </w:tc>
        <w:tc>
          <w:tcPr>
            <w:tcW w:w="1147" w:type="pct"/>
            <w:tcBorders>
              <w:right w:val="single" w:color="auto" w:sz="4" w:space="0"/>
            </w:tcBorders>
            <w:noWrap w:val="0"/>
            <w:vAlign w:val="center"/>
          </w:tcPr>
          <w:p w14:paraId="5B2E06BE">
            <w:pPr>
              <w:spacing w:line="360" w:lineRule="auto"/>
              <w:jc w:val="center"/>
              <w:rPr>
                <w:rFonts w:hint="eastAsia" w:ascii="宋体" w:hAnsi="宋体"/>
                <w:szCs w:val="21"/>
              </w:rPr>
            </w:pPr>
          </w:p>
        </w:tc>
        <w:tc>
          <w:tcPr>
            <w:tcW w:w="971" w:type="pct"/>
            <w:noWrap w:val="0"/>
            <w:vAlign w:val="center"/>
          </w:tcPr>
          <w:p w14:paraId="3E36AAED">
            <w:pPr>
              <w:spacing w:line="360" w:lineRule="auto"/>
              <w:jc w:val="center"/>
              <w:rPr>
                <w:rFonts w:hint="eastAsia" w:ascii="宋体" w:hAnsi="宋体"/>
                <w:szCs w:val="21"/>
              </w:rPr>
            </w:pPr>
          </w:p>
        </w:tc>
      </w:tr>
      <w:tr w14:paraId="4E13E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624" w:type="pct"/>
            <w:noWrap w:val="0"/>
            <w:vAlign w:val="center"/>
          </w:tcPr>
          <w:p w14:paraId="0FBD096C">
            <w:pPr>
              <w:spacing w:line="360" w:lineRule="auto"/>
              <w:jc w:val="center"/>
              <w:rPr>
                <w:rFonts w:hint="eastAsia" w:ascii="宋体" w:hAnsi="宋体"/>
                <w:szCs w:val="21"/>
              </w:rPr>
            </w:pPr>
            <w:r>
              <w:rPr>
                <w:rFonts w:ascii="宋体" w:hAnsi="宋体"/>
                <w:szCs w:val="21"/>
              </w:rPr>
              <w:t>2</w:t>
            </w:r>
          </w:p>
        </w:tc>
        <w:tc>
          <w:tcPr>
            <w:tcW w:w="1286" w:type="pct"/>
            <w:noWrap w:val="0"/>
            <w:vAlign w:val="center"/>
          </w:tcPr>
          <w:p w14:paraId="37AD1E4F">
            <w:pPr>
              <w:spacing w:line="360" w:lineRule="auto"/>
              <w:jc w:val="center"/>
              <w:rPr>
                <w:rFonts w:hint="eastAsia" w:ascii="宋体" w:hAnsi="宋体"/>
                <w:szCs w:val="21"/>
              </w:rPr>
            </w:pPr>
          </w:p>
        </w:tc>
        <w:tc>
          <w:tcPr>
            <w:tcW w:w="971" w:type="pct"/>
            <w:noWrap w:val="0"/>
            <w:vAlign w:val="center"/>
          </w:tcPr>
          <w:p w14:paraId="412F8574">
            <w:pPr>
              <w:spacing w:line="360" w:lineRule="auto"/>
              <w:jc w:val="center"/>
              <w:rPr>
                <w:rFonts w:hint="eastAsia" w:ascii="宋体" w:hAnsi="宋体"/>
                <w:szCs w:val="21"/>
              </w:rPr>
            </w:pPr>
          </w:p>
        </w:tc>
        <w:tc>
          <w:tcPr>
            <w:tcW w:w="1147" w:type="pct"/>
            <w:tcBorders>
              <w:right w:val="single" w:color="auto" w:sz="4" w:space="0"/>
            </w:tcBorders>
            <w:noWrap w:val="0"/>
            <w:vAlign w:val="center"/>
          </w:tcPr>
          <w:p w14:paraId="55B915C2">
            <w:pPr>
              <w:spacing w:line="360" w:lineRule="auto"/>
              <w:jc w:val="center"/>
              <w:rPr>
                <w:rFonts w:hint="eastAsia" w:ascii="宋体" w:hAnsi="宋体"/>
                <w:szCs w:val="21"/>
              </w:rPr>
            </w:pPr>
          </w:p>
        </w:tc>
        <w:tc>
          <w:tcPr>
            <w:tcW w:w="971" w:type="pct"/>
            <w:noWrap w:val="0"/>
            <w:vAlign w:val="center"/>
          </w:tcPr>
          <w:p w14:paraId="6242E9F2">
            <w:pPr>
              <w:spacing w:line="360" w:lineRule="auto"/>
              <w:jc w:val="center"/>
              <w:rPr>
                <w:rFonts w:hint="eastAsia" w:ascii="宋体" w:hAnsi="宋体"/>
                <w:szCs w:val="21"/>
              </w:rPr>
            </w:pPr>
          </w:p>
        </w:tc>
      </w:tr>
      <w:tr w14:paraId="6D314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624" w:type="pct"/>
            <w:noWrap w:val="0"/>
            <w:vAlign w:val="center"/>
          </w:tcPr>
          <w:p w14:paraId="42AAE364">
            <w:pPr>
              <w:spacing w:line="360" w:lineRule="auto"/>
              <w:jc w:val="center"/>
              <w:rPr>
                <w:rFonts w:hint="eastAsia" w:ascii="宋体" w:hAnsi="宋体"/>
                <w:szCs w:val="21"/>
              </w:rPr>
            </w:pPr>
            <w:r>
              <w:rPr>
                <w:rFonts w:ascii="宋体" w:hAnsi="宋体"/>
                <w:szCs w:val="21"/>
              </w:rPr>
              <w:t>3</w:t>
            </w:r>
          </w:p>
        </w:tc>
        <w:tc>
          <w:tcPr>
            <w:tcW w:w="1286" w:type="pct"/>
            <w:noWrap w:val="0"/>
            <w:vAlign w:val="center"/>
          </w:tcPr>
          <w:p w14:paraId="49D8A901">
            <w:pPr>
              <w:spacing w:line="360" w:lineRule="auto"/>
              <w:jc w:val="center"/>
              <w:rPr>
                <w:rFonts w:hint="eastAsia" w:ascii="宋体" w:hAnsi="宋体"/>
                <w:szCs w:val="21"/>
              </w:rPr>
            </w:pPr>
          </w:p>
        </w:tc>
        <w:tc>
          <w:tcPr>
            <w:tcW w:w="971" w:type="pct"/>
            <w:noWrap w:val="0"/>
            <w:vAlign w:val="center"/>
          </w:tcPr>
          <w:p w14:paraId="10E63FBA">
            <w:pPr>
              <w:spacing w:line="360" w:lineRule="auto"/>
              <w:jc w:val="center"/>
              <w:rPr>
                <w:rFonts w:hint="eastAsia" w:ascii="宋体" w:hAnsi="宋体"/>
                <w:szCs w:val="21"/>
              </w:rPr>
            </w:pPr>
          </w:p>
        </w:tc>
        <w:tc>
          <w:tcPr>
            <w:tcW w:w="1147" w:type="pct"/>
            <w:tcBorders>
              <w:right w:val="single" w:color="auto" w:sz="4" w:space="0"/>
            </w:tcBorders>
            <w:noWrap w:val="0"/>
            <w:vAlign w:val="center"/>
          </w:tcPr>
          <w:p w14:paraId="788997AF">
            <w:pPr>
              <w:spacing w:line="360" w:lineRule="auto"/>
              <w:jc w:val="center"/>
              <w:rPr>
                <w:rFonts w:hint="eastAsia" w:ascii="宋体" w:hAnsi="宋体"/>
                <w:szCs w:val="21"/>
              </w:rPr>
            </w:pPr>
          </w:p>
        </w:tc>
        <w:tc>
          <w:tcPr>
            <w:tcW w:w="971" w:type="pct"/>
            <w:noWrap w:val="0"/>
            <w:vAlign w:val="center"/>
          </w:tcPr>
          <w:p w14:paraId="19F56BE6">
            <w:pPr>
              <w:spacing w:line="360" w:lineRule="auto"/>
              <w:jc w:val="center"/>
              <w:rPr>
                <w:rFonts w:hint="eastAsia" w:ascii="宋体" w:hAnsi="宋体"/>
                <w:szCs w:val="21"/>
              </w:rPr>
            </w:pPr>
          </w:p>
        </w:tc>
      </w:tr>
      <w:tr w14:paraId="7CDDF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624" w:type="pct"/>
            <w:noWrap w:val="0"/>
            <w:vAlign w:val="center"/>
          </w:tcPr>
          <w:p w14:paraId="51A253B9">
            <w:pPr>
              <w:spacing w:line="360" w:lineRule="auto"/>
              <w:jc w:val="center"/>
              <w:rPr>
                <w:rFonts w:hint="eastAsia" w:ascii="宋体" w:hAnsi="宋体"/>
                <w:szCs w:val="21"/>
              </w:rPr>
            </w:pPr>
            <w:r>
              <w:rPr>
                <w:rFonts w:ascii="宋体" w:hAnsi="宋体"/>
                <w:szCs w:val="21"/>
              </w:rPr>
              <w:t>…</w:t>
            </w:r>
          </w:p>
        </w:tc>
        <w:tc>
          <w:tcPr>
            <w:tcW w:w="1286" w:type="pct"/>
            <w:noWrap w:val="0"/>
            <w:vAlign w:val="center"/>
          </w:tcPr>
          <w:p w14:paraId="321E4616">
            <w:pPr>
              <w:spacing w:line="360" w:lineRule="auto"/>
              <w:jc w:val="center"/>
              <w:rPr>
                <w:rFonts w:hint="eastAsia" w:ascii="宋体" w:hAnsi="宋体"/>
                <w:szCs w:val="21"/>
              </w:rPr>
            </w:pPr>
          </w:p>
        </w:tc>
        <w:tc>
          <w:tcPr>
            <w:tcW w:w="971" w:type="pct"/>
            <w:noWrap w:val="0"/>
            <w:vAlign w:val="center"/>
          </w:tcPr>
          <w:p w14:paraId="5A6B70DA">
            <w:pPr>
              <w:spacing w:line="360" w:lineRule="auto"/>
              <w:jc w:val="center"/>
              <w:rPr>
                <w:rFonts w:hint="eastAsia" w:ascii="宋体" w:hAnsi="宋体"/>
                <w:szCs w:val="21"/>
              </w:rPr>
            </w:pPr>
          </w:p>
        </w:tc>
        <w:tc>
          <w:tcPr>
            <w:tcW w:w="1147" w:type="pct"/>
            <w:tcBorders>
              <w:right w:val="single" w:color="auto" w:sz="4" w:space="0"/>
            </w:tcBorders>
            <w:noWrap w:val="0"/>
            <w:vAlign w:val="center"/>
          </w:tcPr>
          <w:p w14:paraId="51F2936C">
            <w:pPr>
              <w:spacing w:line="360" w:lineRule="auto"/>
              <w:jc w:val="center"/>
              <w:rPr>
                <w:rFonts w:hint="eastAsia" w:ascii="宋体" w:hAnsi="宋体"/>
                <w:szCs w:val="21"/>
              </w:rPr>
            </w:pPr>
          </w:p>
        </w:tc>
        <w:tc>
          <w:tcPr>
            <w:tcW w:w="971" w:type="pct"/>
            <w:noWrap w:val="0"/>
            <w:vAlign w:val="center"/>
          </w:tcPr>
          <w:p w14:paraId="7928C139">
            <w:pPr>
              <w:spacing w:line="360" w:lineRule="auto"/>
              <w:jc w:val="center"/>
              <w:rPr>
                <w:rFonts w:hint="eastAsia" w:ascii="宋体" w:hAnsi="宋体"/>
                <w:szCs w:val="21"/>
              </w:rPr>
            </w:pPr>
          </w:p>
        </w:tc>
      </w:tr>
    </w:tbl>
    <w:p w14:paraId="014C17F0">
      <w:pPr>
        <w:spacing w:line="360" w:lineRule="auto"/>
        <w:jc w:val="left"/>
        <w:rPr>
          <w:rFonts w:hint="eastAsia" w:hAnsi="宋体"/>
          <w:b/>
          <w:color w:val="000000"/>
          <w:szCs w:val="21"/>
        </w:rPr>
      </w:pPr>
      <w:r>
        <w:rPr>
          <w:rFonts w:hAnsi="宋体"/>
          <w:b/>
          <w:color w:val="000000"/>
          <w:szCs w:val="21"/>
        </w:rPr>
        <w:t>注：响应供应商可根据谈判内容自行调整</w:t>
      </w:r>
    </w:p>
    <w:p w14:paraId="16FA7355">
      <w:pPr>
        <w:spacing w:line="360" w:lineRule="auto"/>
        <w:jc w:val="right"/>
      </w:pPr>
      <w:r>
        <w:rPr>
          <w:rFonts w:hint="eastAsia"/>
        </w:rPr>
        <w:t>供应商</w:t>
      </w:r>
      <w:r>
        <w:t>：（加盖</w:t>
      </w:r>
      <w:r>
        <w:rPr>
          <w:rFonts w:hint="eastAsia"/>
        </w:rPr>
        <w:t>公章</w:t>
      </w:r>
      <w:r>
        <w:t>）</w:t>
      </w:r>
    </w:p>
    <w:p w14:paraId="7631AB85">
      <w:pPr>
        <w:spacing w:line="360" w:lineRule="auto"/>
        <w:jc w:val="right"/>
      </w:pPr>
      <w:r>
        <w:rPr>
          <w:rFonts w:hint="eastAsia"/>
        </w:rPr>
        <w:t xml:space="preserve">日期：    </w:t>
      </w:r>
      <w:r>
        <w:t>年</w:t>
      </w:r>
      <w:r>
        <w:rPr>
          <w:rFonts w:hint="eastAsia"/>
        </w:rPr>
        <w:t xml:space="preserve"> </w:t>
      </w:r>
      <w:r>
        <w:t xml:space="preserve"> 月</w:t>
      </w:r>
      <w:r>
        <w:rPr>
          <w:rFonts w:hint="eastAsia"/>
        </w:rPr>
        <w:t xml:space="preserve"> </w:t>
      </w:r>
      <w:r>
        <w:t xml:space="preserve"> 日</w:t>
      </w:r>
    </w:p>
    <w:sectPr>
      <w:pgSz w:w="11906" w:h="16838"/>
      <w:pgMar w:top="1474" w:right="1247" w:bottom="1247" w:left="1531" w:header="851" w:footer="680" w:gutter="0"/>
      <w:cols w:space="425"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楷体_GB2312">
    <w:altName w:val="楷体"/>
    <w:panose1 w:val="02010609060101010101"/>
    <w:charset w:val="00"/>
    <w:family w:val="auto"/>
    <w:pitch w:val="default"/>
    <w:sig w:usb0="00000000" w:usb1="00000000" w:usb2="00000000" w:usb3="00000000" w:csb0="00000000" w:csb1="00000000"/>
  </w:font>
  <w:font w:name="BankGothic Lt BT">
    <w:altName w:val="DejaVu Math TeX Gyre"/>
    <w:panose1 w:val="020B0503020202020204"/>
    <w:charset w:val="00"/>
    <w:family w:val="auto"/>
    <w:pitch w:val="default"/>
    <w:sig w:usb0="00000000" w:usb1="00000000" w:usb2="00000000" w:usb3="00000000" w:csb0="00000000" w:csb1="00000000"/>
  </w:font>
  <w:font w:name="方正仿宋简体">
    <w:altName w:val="微软雅黑"/>
    <w:panose1 w:val="020B0503020202020204"/>
    <w:charset w:val="00"/>
    <w:family w:val="auto"/>
    <w:pitch w:val="default"/>
    <w:sig w:usb0="00000000" w:usb1="00000000" w:usb2="00000000" w:usb3="00000000" w:csb0="00000000" w:csb1="00000000"/>
  </w:font>
  <w:font w:name="创艺简仿宋">
    <w:altName w:val="仿宋"/>
    <w:panose1 w:val="020B0503020202020204"/>
    <w:charset w:val="00"/>
    <w:family w:val="auto"/>
    <w:pitch w:val="default"/>
    <w:sig w:usb0="00000000" w:usb1="00000000" w:usb2="00000000" w:usb3="00000000" w:csb0="00000000" w:csb1="00000000"/>
  </w:font>
  <w:font w:name="仿宋_GB2312">
    <w:altName w:val="仿宋"/>
    <w:panose1 w:val="02010609060101010101"/>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Cambria">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Arial Unicode MS">
    <w:altName w:val="Arial"/>
    <w:panose1 w:val="020B0604020202020204"/>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ˎ̥">
    <w:altName w:val="DejaVu Math TeX Gyre"/>
    <w:panose1 w:val="020B0503020202020204"/>
    <w:charset w:val="00"/>
    <w:family w:val="auto"/>
    <w:pitch w:val="default"/>
    <w:sig w:usb0="00000000" w:usb1="00000000" w:usb2="00000000" w:usb3="00000000" w:csb0="00000000" w:csb1="00000000"/>
  </w:font>
  <w:font w:name=".a..DD..">
    <w:altName w:val="DejaVu Math TeX Gyre"/>
    <w:panose1 w:val="020B0503020202020204"/>
    <w:charset w:val="00"/>
    <w:family w:val="auto"/>
    <w:pitch w:val="default"/>
    <w:sig w:usb0="00000000" w:usb1="00000000" w:usb2="00000000" w:usb3="00000000" w:csb0="00000000" w:csb1="00000000"/>
  </w:font>
  <w:font w:name="MS Mincho">
    <w:altName w:val="Segoe Print"/>
    <w:panose1 w:val="02020603050405090304"/>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00"/>
    <w:family w:val="auto"/>
    <w:pitch w:val="default"/>
    <w:sig w:usb0="00000000" w:usb1="00000000" w:usb2="00000000" w:usb3="00000000" w:csb0="00000000" w:csb1="00000000"/>
  </w:font>
  <w:font w:name="方正小标宋_GBK">
    <w:altName w:val="微软雅黑"/>
    <w:panose1 w:val="020B0503020202020204"/>
    <w:charset w:val="00"/>
    <w:family w:val="auto"/>
    <w:pitch w:val="default"/>
    <w:sig w:usb0="00000000" w:usb1="00000000" w:usb2="00000000" w:usb3="00000000" w:csb0="00000000" w:csb1="00000000"/>
  </w:font>
  <w:font w:name="Segoe UI Symbol">
    <w:panose1 w:val="020B0502040204020203"/>
    <w:charset w:val="00"/>
    <w:family w:val="auto"/>
    <w:pitch w:val="default"/>
    <w:sig w:usb0="800001E3" w:usb1="1200FFEF" w:usb2="00040000" w:usb3="04000000" w:csb0="00000001" w:csb1="4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5385101"/>
    </w:sdtPr>
    <w:sdtContent>
      <w:sdt>
        <w:sdtPr>
          <w:id w:val="383001030"/>
        </w:sdtPr>
        <w:sdtContent>
          <w:p w14:paraId="6BC1108C">
            <w:pPr>
              <w:pStyle w:val="32"/>
              <w:jc w:val="center"/>
            </w:pPr>
            <w: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18105">
    <w:pPr>
      <w:pStyle w:val="32"/>
      <w:framePr w:wrap="around" w:vAnchor="text" w:hAnchor="margin" w:xAlign="center" w:y="1"/>
      <w:rPr>
        <w:rStyle w:val="61"/>
      </w:rPr>
    </w:pPr>
    <w:r>
      <w:rPr>
        <w:rStyle w:val="61"/>
      </w:rPr>
      <w:fldChar w:fldCharType="begin"/>
    </w:r>
    <w:r>
      <w:rPr>
        <w:rStyle w:val="61"/>
      </w:rPr>
      <w:instrText xml:space="preserve">PAGE  </w:instrText>
    </w:r>
    <w:r>
      <w:rPr>
        <w:rStyle w:val="61"/>
      </w:rPr>
      <w:fldChar w:fldCharType="end"/>
    </w:r>
  </w:p>
  <w:p w14:paraId="6F5D26F5">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0599821"/>
    </w:sdtPr>
    <w:sdtContent>
      <w:sdt>
        <w:sdtPr>
          <w:id w:val="1359465473"/>
        </w:sdtPr>
        <w:sdtContent>
          <w:p w14:paraId="13A4C27C">
            <w:pPr>
              <w:pStyle w:val="32"/>
              <w:jc w:val="center"/>
            </w:pPr>
            <w:r>
              <w:t xml:space="preserve">   </w:t>
            </w: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44</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A1469">
    <w:pPr>
      <w:pStyle w:val="33"/>
      <w:jc w:val="both"/>
      <w:rPr>
        <w:rFonts w:hint="eastAsia" w:eastAsia="宋体"/>
        <w:lang w:eastAsia="zh-CN"/>
      </w:rPr>
    </w:pPr>
    <w:r>
      <w:rPr>
        <w:rFonts w:hint="eastAsia"/>
        <w:lang w:eastAsia="zh-CN"/>
      </w:rPr>
      <w:t>中诚运玛咨询股份有限公司</w:t>
    </w:r>
    <w:r>
      <w:t xml:space="preserve">      </w:t>
    </w:r>
    <w:r>
      <w:rPr>
        <w:rFonts w:hint="eastAsia"/>
        <w:lang w:val="en-US" w:eastAsia="zh-CN"/>
      </w:rPr>
      <w:t xml:space="preserve">                                  </w:t>
    </w:r>
    <w:r>
      <w:rPr>
        <w:rFonts w:hint="eastAsia"/>
      </w:rPr>
      <w:t>项目编号：</w:t>
    </w:r>
    <w:r>
      <w:rPr>
        <w:rFonts w:hint="eastAsia" w:ascii="宋体" w:hAnsi="宋体"/>
        <w:lang w:eastAsia="zh-CN"/>
      </w:rPr>
      <w:t>JSZC-320583-JSYM-T2025-0013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33CB">
    <w:pPr>
      <w:pStyle w:val="33"/>
      <w:jc w:val="both"/>
      <w:rPr>
        <w:rFonts w:hint="eastAsia" w:eastAsia="宋体"/>
        <w:lang w:eastAsia="zh-CN"/>
      </w:rPr>
    </w:pPr>
    <w:r>
      <w:rPr>
        <w:rFonts w:hint="eastAsia"/>
        <w:lang w:eastAsia="zh-CN"/>
      </w:rPr>
      <w:t>中诚运玛咨询股份有限公司</w:t>
    </w:r>
    <w:r>
      <w:t xml:space="preserve">      </w:t>
    </w:r>
    <w:r>
      <w:rPr>
        <w:rFonts w:hint="eastAsia"/>
        <w:lang w:val="en-US" w:eastAsia="zh-CN"/>
      </w:rPr>
      <w:t xml:space="preserve">                                  </w:t>
    </w:r>
    <w:r>
      <w:rPr>
        <w:rFonts w:hint="eastAsia"/>
      </w:rPr>
      <w:t>项目编号：</w:t>
    </w:r>
    <w:r>
      <w:rPr>
        <w:rFonts w:hint="eastAsia" w:ascii="宋体" w:hAnsi="宋体"/>
        <w:lang w:eastAsia="zh-CN"/>
      </w:rPr>
      <w:t>JSZC-320583-JSYM-T2025-0013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99FF">
    <w:pPr>
      <w:pStyle w:val="33"/>
      <w:jc w:val="both"/>
      <w:rPr>
        <w:rFonts w:hint="eastAsia" w:eastAsia="宋体"/>
        <w:lang w:eastAsia="zh-CN"/>
      </w:rPr>
    </w:pPr>
    <w:r>
      <w:rPr>
        <w:rFonts w:hint="eastAsia"/>
        <w:lang w:eastAsia="zh-CN"/>
      </w:rPr>
      <w:t>中诚运玛咨询股份有限公司</w:t>
    </w:r>
    <w:r>
      <w:t xml:space="preserve">      </w:t>
    </w:r>
    <w:r>
      <w:rPr>
        <w:rFonts w:hint="eastAsia"/>
        <w:lang w:val="en-US" w:eastAsia="zh-CN"/>
      </w:rPr>
      <w:t xml:space="preserve">                                  </w:t>
    </w:r>
    <w:r>
      <w:rPr>
        <w:rFonts w:hint="eastAsia"/>
      </w:rPr>
      <w:t>项目编号：</w:t>
    </w:r>
    <w:r>
      <w:rPr>
        <w:rFonts w:hint="eastAsia" w:ascii="宋体" w:hAnsi="宋体"/>
        <w:lang w:eastAsia="zh-CN"/>
      </w:rPr>
      <w:t>JSZC-320583-JSYM-T2025-0013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chineseCountingThousand"/>
      <w:pStyle w:val="403"/>
      <w:lvlText w:val="第%1章"/>
      <w:lvlJc w:val="center"/>
      <w:pPr>
        <w:tabs>
          <w:tab w:val="left" w:pos="0"/>
        </w:tabs>
        <w:ind w:left="0" w:firstLine="288"/>
      </w:pPr>
      <w:rPr>
        <w:rFonts w:hint="default" w:ascii="Arial" w:hAnsi="Arial"/>
        <w:b/>
        <w:i w:val="0"/>
        <w:sz w:val="36"/>
        <w:szCs w:val="36"/>
      </w:rPr>
    </w:lvl>
    <w:lvl w:ilvl="1" w:tentative="0">
      <w:start w:val="1"/>
      <w:numFmt w:val="decimal"/>
      <w:pStyle w:val="404"/>
      <w:isLgl/>
      <w:lvlText w:val="%1.%2"/>
      <w:lvlJc w:val="left"/>
      <w:pPr>
        <w:tabs>
          <w:tab w:val="left" w:pos="0"/>
        </w:tabs>
        <w:ind w:left="0" w:firstLine="0"/>
      </w:pPr>
      <w:rPr>
        <w:rFonts w:hint="default" w:ascii="宋体" w:hAnsi="宋体" w:eastAsia="宋体"/>
        <w:b w:val="0"/>
        <w:i w:val="0"/>
        <w:sz w:val="30"/>
        <w:szCs w:val="30"/>
      </w:rPr>
    </w:lvl>
    <w:lvl w:ilvl="2" w:tentative="0">
      <w:start w:val="1"/>
      <w:numFmt w:val="decimal"/>
      <w:isLgl/>
      <w:lvlText w:val="%1.%2.%3"/>
      <w:lvlJc w:val="left"/>
      <w:pPr>
        <w:tabs>
          <w:tab w:val="left" w:pos="0"/>
        </w:tabs>
        <w:ind w:left="0" w:firstLine="0"/>
      </w:pPr>
      <w:rPr>
        <w:rFonts w:hint="default" w:ascii="Times New Roman" w:hAnsi="Times New Roman" w:eastAsia="黑体" w:cs="Times New Roman"/>
        <w:b w:val="0"/>
        <w:i w:val="0"/>
        <w:iCs w:val="0"/>
        <w:caps w:val="0"/>
        <w:smallCaps w:val="0"/>
        <w:strike w:val="0"/>
        <w:vanish w:val="0"/>
        <w:color w:val="000000"/>
        <w:spacing w:val="0"/>
        <w:position w:val="0"/>
        <w:u w:val="none"/>
        <w:vertAlign w:val="baseline"/>
      </w:rPr>
    </w:lvl>
    <w:lvl w:ilvl="3" w:tentative="0">
      <w:start w:val="1"/>
      <w:numFmt w:val="decimal"/>
      <w:isLgl/>
      <w:lvlText w:val="%1.%2.%3.%4"/>
      <w:lvlJc w:val="left"/>
      <w:pPr>
        <w:tabs>
          <w:tab w:val="left" w:pos="0"/>
        </w:tabs>
        <w:ind w:left="0" w:firstLine="0"/>
      </w:pPr>
      <w:rPr>
        <w:rFonts w:hint="default" w:ascii="Times New Roman" w:hAnsi="Times New Roman" w:eastAsia="黑体"/>
        <w:b w:val="0"/>
        <w:i w:val="0"/>
        <w:sz w:val="24"/>
        <w:szCs w:val="24"/>
      </w:rPr>
    </w:lvl>
    <w:lvl w:ilvl="4" w:tentative="0">
      <w:start w:val="1"/>
      <w:numFmt w:val="decimal"/>
      <w:isLgl/>
      <w:lvlText w:val="%1.%2.%3.%4.%5"/>
      <w:lvlJc w:val="left"/>
      <w:pPr>
        <w:tabs>
          <w:tab w:val="left" w:pos="0"/>
        </w:tabs>
        <w:ind w:left="0" w:firstLine="0"/>
      </w:pPr>
      <w:rPr>
        <w:rFonts w:hint="default" w:ascii="Times New Roman" w:hAnsi="Times New Roman" w:eastAsia="黑体"/>
        <w:b w:val="0"/>
        <w:i w:val="0"/>
        <w:sz w:val="24"/>
        <w:szCs w:val="24"/>
      </w:rPr>
    </w:lvl>
    <w:lvl w:ilvl="5" w:tentative="0">
      <w:start w:val="1"/>
      <w:numFmt w:val="decimal"/>
      <w:isLgl/>
      <w:lvlText w:val="%1.%2.%3.%4.%5.%6"/>
      <w:lvlJc w:val="left"/>
      <w:pPr>
        <w:tabs>
          <w:tab w:val="left" w:pos="-2160"/>
        </w:tabs>
        <w:ind w:left="0" w:firstLine="0"/>
      </w:pPr>
      <w:rPr>
        <w:rFonts w:hint="default" w:ascii="Times New Roman" w:hAnsi="Times New Roman" w:eastAsia="黑体"/>
        <w:b w:val="0"/>
        <w:i w:val="0"/>
        <w:sz w:val="24"/>
        <w:szCs w:val="24"/>
      </w:rPr>
    </w:lvl>
    <w:lvl w:ilvl="6" w:tentative="0">
      <w:start w:val="1"/>
      <w:numFmt w:val="decimal"/>
      <w:isLgl/>
      <w:lvlText w:val="%1.%2.%3.%4.%5.%6.%7"/>
      <w:lvlJc w:val="left"/>
      <w:pPr>
        <w:tabs>
          <w:tab w:val="left" w:pos="-2160"/>
        </w:tabs>
        <w:ind w:left="0" w:firstLine="0"/>
      </w:pPr>
      <w:rPr>
        <w:rFonts w:hint="default" w:ascii="Times New Roman" w:hAnsi="Times New Roman"/>
        <w:sz w:val="24"/>
      </w:rPr>
    </w:lvl>
    <w:lvl w:ilvl="7" w:tentative="0">
      <w:start w:val="1"/>
      <w:numFmt w:val="decimal"/>
      <w:isLgl/>
      <w:lvlText w:val="%1.%2.%3.%4.%5.%6.%7.%8"/>
      <w:lvlJc w:val="left"/>
      <w:pPr>
        <w:tabs>
          <w:tab w:val="left" w:pos="-2160"/>
        </w:tabs>
        <w:ind w:left="0" w:firstLine="0"/>
      </w:pPr>
      <w:rPr>
        <w:rFonts w:hint="default" w:ascii="Times New Roman" w:hAnsi="Times New Roman"/>
        <w:sz w:val="24"/>
      </w:rPr>
    </w:lvl>
    <w:lvl w:ilvl="8" w:tentative="0">
      <w:start w:val="1"/>
      <w:numFmt w:val="decimal"/>
      <w:isLgl/>
      <w:lvlText w:val="%1.%2.%3.%4.%5.%6.%7.%8.%9"/>
      <w:lvlJc w:val="left"/>
      <w:pPr>
        <w:tabs>
          <w:tab w:val="left" w:pos="-2160"/>
        </w:tabs>
        <w:ind w:left="0" w:firstLine="0"/>
      </w:pPr>
      <w:rPr>
        <w:rFonts w:hint="default" w:ascii="Times New Roman" w:hAnsi="Times New Roman"/>
        <w:sz w:val="24"/>
      </w:rPr>
    </w:lvl>
  </w:abstractNum>
  <w:abstractNum w:abstractNumId="1">
    <w:nsid w:val="B5E306ED"/>
    <w:multiLevelType w:val="multilevel"/>
    <w:tmpl w:val="B5E306ED"/>
    <w:lvl w:ilvl="0" w:tentative="0">
      <w:start w:val="1"/>
      <w:numFmt w:val="bullet"/>
      <w:pStyle w:val="285"/>
      <w:lvlText w:val=""/>
      <w:lvlJc w:val="left"/>
      <w:pPr>
        <w:tabs>
          <w:tab w:val="left" w:pos="1409"/>
        </w:tabs>
        <w:ind w:left="1409" w:hanging="724"/>
      </w:pPr>
      <w:rPr>
        <w:rFonts w:hint="default" w:ascii="Wingdings" w:hAnsi="Wingdings"/>
      </w:rPr>
    </w:lvl>
    <w:lvl w:ilvl="1" w:tentative="0">
      <w:start w:val="1"/>
      <w:numFmt w:val="lowerLetter"/>
      <w:lvlText w:val="%2)"/>
      <w:lvlJc w:val="right"/>
      <w:pPr>
        <w:tabs>
          <w:tab w:val="left" w:pos="1474"/>
        </w:tabs>
        <w:ind w:left="1474" w:hanging="340"/>
      </w:pPr>
      <w:rPr>
        <w:rFonts w:hint="eastAsia"/>
      </w:rPr>
    </w:lvl>
    <w:lvl w:ilvl="2" w:tentative="0">
      <w:start w:val="1"/>
      <w:numFmt w:val="decimal"/>
      <w:lvlText w:val="%3、"/>
      <w:lvlJc w:val="left"/>
      <w:pPr>
        <w:tabs>
          <w:tab w:val="left" w:pos="2155"/>
        </w:tabs>
        <w:ind w:left="2155" w:hanging="360"/>
      </w:pPr>
      <w:rPr>
        <w:rFonts w:hint="eastAsia"/>
      </w:rPr>
    </w:lvl>
    <w:lvl w:ilvl="3" w:tentative="0">
      <w:start w:val="1"/>
      <w:numFmt w:val="bullet"/>
      <w:lvlText w:val=""/>
      <w:lvlJc w:val="left"/>
      <w:pPr>
        <w:tabs>
          <w:tab w:val="left" w:pos="2635"/>
        </w:tabs>
        <w:ind w:left="2635" w:hanging="420"/>
      </w:pPr>
      <w:rPr>
        <w:rFonts w:hint="default" w:ascii="Wingdings" w:hAnsi="Wingdings"/>
      </w:rPr>
    </w:lvl>
    <w:lvl w:ilvl="4" w:tentative="0">
      <w:start w:val="1"/>
      <w:numFmt w:val="bullet"/>
      <w:lvlText w:val=""/>
      <w:lvlJc w:val="left"/>
      <w:pPr>
        <w:tabs>
          <w:tab w:val="left" w:pos="3055"/>
        </w:tabs>
        <w:ind w:left="3055" w:hanging="420"/>
      </w:pPr>
      <w:rPr>
        <w:rFonts w:hint="default" w:ascii="Wingdings" w:hAnsi="Wingdings"/>
      </w:rPr>
    </w:lvl>
    <w:lvl w:ilvl="5" w:tentative="0">
      <w:start w:val="1"/>
      <w:numFmt w:val="bullet"/>
      <w:lvlText w:val=""/>
      <w:lvlJc w:val="left"/>
      <w:pPr>
        <w:tabs>
          <w:tab w:val="left" w:pos="3475"/>
        </w:tabs>
        <w:ind w:left="3475" w:hanging="420"/>
      </w:pPr>
      <w:rPr>
        <w:rFonts w:hint="default" w:ascii="Wingdings" w:hAnsi="Wingdings"/>
      </w:rPr>
    </w:lvl>
    <w:lvl w:ilvl="6" w:tentative="0">
      <w:start w:val="1"/>
      <w:numFmt w:val="bullet"/>
      <w:lvlText w:val=""/>
      <w:lvlJc w:val="left"/>
      <w:pPr>
        <w:tabs>
          <w:tab w:val="left" w:pos="3895"/>
        </w:tabs>
        <w:ind w:left="3895" w:hanging="420"/>
      </w:pPr>
      <w:rPr>
        <w:rFonts w:hint="default" w:ascii="Wingdings" w:hAnsi="Wingdings"/>
      </w:rPr>
    </w:lvl>
    <w:lvl w:ilvl="7" w:tentative="0">
      <w:start w:val="1"/>
      <w:numFmt w:val="bullet"/>
      <w:lvlText w:val=""/>
      <w:lvlJc w:val="left"/>
      <w:pPr>
        <w:tabs>
          <w:tab w:val="left" w:pos="4315"/>
        </w:tabs>
        <w:ind w:left="4315" w:hanging="420"/>
      </w:pPr>
      <w:rPr>
        <w:rFonts w:hint="default" w:ascii="Wingdings" w:hAnsi="Wingdings"/>
      </w:rPr>
    </w:lvl>
    <w:lvl w:ilvl="8" w:tentative="0">
      <w:start w:val="1"/>
      <w:numFmt w:val="bullet"/>
      <w:lvlText w:val=""/>
      <w:lvlJc w:val="left"/>
      <w:pPr>
        <w:tabs>
          <w:tab w:val="left" w:pos="4735"/>
        </w:tabs>
        <w:ind w:left="4735" w:hanging="420"/>
      </w:pPr>
      <w:rPr>
        <w:rFonts w:hint="default" w:ascii="Wingdings" w:hAnsi="Wingdings"/>
      </w:rPr>
    </w:lvl>
  </w:abstractNum>
  <w:abstractNum w:abstractNumId="2">
    <w:nsid w:val="BF205925"/>
    <w:multiLevelType w:val="multilevel"/>
    <w:tmpl w:val="BF205925"/>
    <w:lvl w:ilvl="0" w:tentative="0">
      <w:start w:val="1"/>
      <w:numFmt w:val="japaneseCounting"/>
      <w:pStyle w:val="270"/>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CF092B84"/>
    <w:multiLevelType w:val="multilevel"/>
    <w:tmpl w:val="CF092B84"/>
    <w:lvl w:ilvl="0" w:tentative="0">
      <w:start w:val="1"/>
      <w:numFmt w:val="chineseCountingThousand"/>
      <w:pStyle w:val="249"/>
      <w:lvlText w:val="第%1章"/>
      <w:lvlJc w:val="center"/>
      <w:pPr>
        <w:tabs>
          <w:tab w:val="left" w:pos="720"/>
        </w:tabs>
        <w:ind w:left="144" w:hanging="144"/>
      </w:pPr>
      <w:rPr>
        <w:rFonts w:hint="eastAsia" w:eastAsia="黑体"/>
        <w:b w:val="0"/>
        <w:i w:val="0"/>
        <w:sz w:val="36"/>
        <w:szCs w:val="36"/>
      </w:rPr>
    </w:lvl>
    <w:lvl w:ilvl="1" w:tentative="0">
      <w:start w:val="1"/>
      <w:numFmt w:val="decimal"/>
      <w:pStyle w:val="250"/>
      <w:isLgl/>
      <w:lvlText w:val="%1.%2"/>
      <w:lvlJc w:val="left"/>
      <w:pPr>
        <w:tabs>
          <w:tab w:val="left" w:pos="315"/>
        </w:tabs>
        <w:ind w:left="315" w:firstLine="0"/>
      </w:pPr>
      <w:rPr>
        <w:rFonts w:hint="default" w:ascii="Times New Roman" w:hAnsi="Times New Roman" w:eastAsia="宋体" w:cs="Times New Roman"/>
        <w:b w:val="0"/>
        <w:i w:val="0"/>
        <w:sz w:val="30"/>
        <w:szCs w:val="30"/>
      </w:rPr>
    </w:lvl>
    <w:lvl w:ilvl="2" w:tentative="0">
      <w:start w:val="1"/>
      <w:numFmt w:val="decimal"/>
      <w:isLgl/>
      <w:lvlText w:val="%1.%2.%3"/>
      <w:lvlJc w:val="left"/>
      <w:pPr>
        <w:tabs>
          <w:tab w:val="left" w:pos="720"/>
        </w:tabs>
        <w:ind w:left="720" w:hanging="720"/>
      </w:pPr>
      <w:rPr>
        <w:rFonts w:hint="default" w:ascii="Times New Roman" w:hAnsi="Times New Roman" w:eastAsia="宋体" w:cs="Times New Roman"/>
        <w:b w:val="0"/>
        <w:i w:val="0"/>
        <w:sz w:val="28"/>
        <w:szCs w:val="28"/>
      </w:rPr>
    </w:lvl>
    <w:lvl w:ilvl="3" w:tentative="0">
      <w:start w:val="1"/>
      <w:numFmt w:val="decimal"/>
      <w:isLgl/>
      <w:lvlText w:val="%4."/>
      <w:lvlJc w:val="left"/>
      <w:pPr>
        <w:tabs>
          <w:tab w:val="left" w:pos="360"/>
        </w:tabs>
        <w:ind w:left="0" w:firstLine="0"/>
      </w:pPr>
      <w:rPr>
        <w:rFonts w:hint="eastAsia" w:ascii="黑体" w:eastAsia="黑体"/>
        <w:b w:val="0"/>
        <w:i w:val="0"/>
        <w:sz w:val="24"/>
        <w:szCs w:val="24"/>
      </w:rPr>
    </w:lvl>
    <w:lvl w:ilvl="4" w:tentative="0">
      <w:start w:val="1"/>
      <w:numFmt w:val="decimal"/>
      <w:isLgl/>
      <w:lvlText w:val="（%5）"/>
      <w:lvlJc w:val="left"/>
      <w:pPr>
        <w:tabs>
          <w:tab w:val="left" w:pos="0"/>
        </w:tabs>
        <w:ind w:left="0" w:firstLine="0"/>
      </w:pPr>
      <w:rPr>
        <w:rFonts w:hint="eastAsia"/>
      </w:rPr>
    </w:lvl>
    <w:lvl w:ilvl="5" w:tentative="0">
      <w:start w:val="1"/>
      <w:numFmt w:val="upperLetter"/>
      <w:lvlText w:val="%6."/>
      <w:lvlJc w:val="left"/>
      <w:pPr>
        <w:tabs>
          <w:tab w:val="left" w:pos="0"/>
        </w:tabs>
        <w:ind w:left="0" w:firstLine="0"/>
      </w:pPr>
      <w:rPr>
        <w:rFonts w:hint="eastAsia"/>
      </w:rPr>
    </w:lvl>
    <w:lvl w:ilvl="6" w:tentative="0">
      <w:start w:val="1"/>
      <w:numFmt w:val="bullet"/>
      <w:lvlText w:val=""/>
      <w:lvlJc w:val="left"/>
      <w:pPr>
        <w:tabs>
          <w:tab w:val="left" w:pos="0"/>
        </w:tabs>
        <w:ind w:left="0" w:firstLine="0"/>
      </w:pPr>
      <w:rPr>
        <w:rFonts w:hint="default" w:ascii="Symbol" w:hAnsi="Symbol" w:cs="Times New Roman"/>
        <w:color w:val="auto"/>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FB854B10"/>
    <w:multiLevelType w:val="multilevel"/>
    <w:tmpl w:val="FB854B10"/>
    <w:lvl w:ilvl="0" w:tentative="0">
      <w:start w:val="1"/>
      <w:numFmt w:val="decimal"/>
      <w:suff w:val="nothing"/>
      <w:lvlText w:val="%1."/>
      <w:lvlJc w:val="left"/>
      <w:pPr>
        <w:ind w:left="0" w:firstLine="422"/>
      </w:pPr>
      <w:rPr>
        <w:color w:val="auto"/>
        <w:sz w:val="21"/>
        <w:szCs w:val="21"/>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0053208E"/>
    <w:multiLevelType w:val="multilevel"/>
    <w:tmpl w:val="0053208E"/>
    <w:lvl w:ilvl="0" w:tentative="0">
      <w:start w:val="1"/>
      <w:numFmt w:val="decimal"/>
      <w:pStyle w:val="243"/>
      <w:lvlText w:val="%1．"/>
      <w:lvlJc w:val="left"/>
      <w:pPr>
        <w:tabs>
          <w:tab w:val="left" w:pos="720"/>
        </w:tabs>
        <w:ind w:left="720" w:hanging="720"/>
      </w:pPr>
      <w:rPr>
        <w:rFonts w:hint="eastAsia"/>
      </w:rPr>
    </w:lvl>
    <w:lvl w:ilvl="1" w:tentative="0">
      <w:start w:val="1"/>
      <w:numFmt w:val="lowerLetter"/>
      <w:pStyle w:val="37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8"/>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248C179"/>
    <w:multiLevelType w:val="multilevel"/>
    <w:tmpl w:val="0248C179"/>
    <w:lvl w:ilvl="0" w:tentative="0">
      <w:start w:val="1"/>
      <w:numFmt w:val="bullet"/>
      <w:pStyle w:val="370"/>
      <w:lvlText w:val=""/>
      <w:lvlJc w:val="left"/>
      <w:pPr>
        <w:tabs>
          <w:tab w:val="left" w:pos="980"/>
        </w:tabs>
        <w:ind w:left="980" w:hanging="420"/>
      </w:pPr>
      <w:rPr>
        <w:rFonts w:hint="default" w:ascii="Wingdings" w:hAnsi="Wingdings"/>
      </w:rPr>
    </w:lvl>
    <w:lvl w:ilvl="1" w:tentative="0">
      <w:start w:val="1"/>
      <w:numFmt w:val="bullet"/>
      <w:lvlText w:val=""/>
      <w:lvlJc w:val="left"/>
      <w:pPr>
        <w:tabs>
          <w:tab w:val="left" w:pos="1400"/>
        </w:tabs>
        <w:ind w:left="1400" w:hanging="420"/>
      </w:pPr>
      <w:rPr>
        <w:rFonts w:hint="default" w:ascii="Wingdings" w:hAnsi="Wingdings"/>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7">
    <w:nsid w:val="03D62ECE"/>
    <w:multiLevelType w:val="multilevel"/>
    <w:tmpl w:val="03D62ECE"/>
    <w:lvl w:ilvl="0" w:tentative="0">
      <w:start w:val="1"/>
      <w:numFmt w:val="japaneseCounting"/>
      <w:pStyle w:val="334"/>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5B654F3"/>
    <w:multiLevelType w:val="multilevel"/>
    <w:tmpl w:val="25B654F3"/>
    <w:lvl w:ilvl="0" w:tentative="0">
      <w:start w:val="1"/>
      <w:numFmt w:val="bullet"/>
      <w:pStyle w:val="36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2A8F537B"/>
    <w:multiLevelType w:val="multilevel"/>
    <w:tmpl w:val="2A8F537B"/>
    <w:lvl w:ilvl="0" w:tentative="0">
      <w:start w:val="1"/>
      <w:numFmt w:val="decimal"/>
      <w:pStyle w:val="438"/>
      <w:lvlText w:val="%1)"/>
      <w:lvlJc w:val="left"/>
      <w:pPr>
        <w:ind w:left="722" w:hanging="420"/>
      </w:pPr>
      <w:rPr>
        <w:rFonts w:hint="eastAsia" w:ascii="宋体" w:hAnsi="宋体"/>
        <w:caps w:val="0"/>
        <w:strike w:val="0"/>
        <w:vanish w:val="0"/>
        <w:vertAlign w:val="baseline"/>
      </w:rPr>
    </w:lvl>
    <w:lvl w:ilvl="1" w:tentative="0">
      <w:start w:val="1"/>
      <w:numFmt w:val="lowerLetter"/>
      <w:lvlText w:val="%2)"/>
      <w:lvlJc w:val="left"/>
      <w:pPr>
        <w:ind w:left="1142" w:hanging="420"/>
      </w:pPr>
    </w:lvl>
    <w:lvl w:ilvl="2" w:tentative="0">
      <w:start w:val="1"/>
      <w:numFmt w:val="lowerRoman"/>
      <w:lvlText w:val="%3."/>
      <w:lvlJc w:val="right"/>
      <w:pPr>
        <w:ind w:left="1562" w:hanging="420"/>
      </w:pPr>
    </w:lvl>
    <w:lvl w:ilvl="3" w:tentative="0">
      <w:start w:val="1"/>
      <w:numFmt w:val="decimal"/>
      <w:lvlText w:val="%4."/>
      <w:lvlJc w:val="left"/>
      <w:pPr>
        <w:ind w:left="1982" w:hanging="420"/>
      </w:pPr>
    </w:lvl>
    <w:lvl w:ilvl="4" w:tentative="0">
      <w:start w:val="1"/>
      <w:numFmt w:val="lowerLetter"/>
      <w:lvlText w:val="%5)"/>
      <w:lvlJc w:val="left"/>
      <w:pPr>
        <w:ind w:left="2402" w:hanging="420"/>
      </w:pPr>
    </w:lvl>
    <w:lvl w:ilvl="5" w:tentative="0">
      <w:start w:val="1"/>
      <w:numFmt w:val="lowerRoman"/>
      <w:lvlText w:val="%6."/>
      <w:lvlJc w:val="right"/>
      <w:pPr>
        <w:ind w:left="2822" w:hanging="420"/>
      </w:pPr>
    </w:lvl>
    <w:lvl w:ilvl="6" w:tentative="0">
      <w:start w:val="1"/>
      <w:numFmt w:val="decimal"/>
      <w:lvlText w:val="%7."/>
      <w:lvlJc w:val="left"/>
      <w:pPr>
        <w:ind w:left="3242" w:hanging="420"/>
      </w:pPr>
    </w:lvl>
    <w:lvl w:ilvl="7" w:tentative="0">
      <w:start w:val="1"/>
      <w:numFmt w:val="lowerLetter"/>
      <w:lvlText w:val="%8)"/>
      <w:lvlJc w:val="left"/>
      <w:pPr>
        <w:ind w:left="3662" w:hanging="420"/>
      </w:pPr>
    </w:lvl>
    <w:lvl w:ilvl="8" w:tentative="0">
      <w:start w:val="1"/>
      <w:numFmt w:val="lowerRoman"/>
      <w:lvlText w:val="%9."/>
      <w:lvlJc w:val="right"/>
      <w:pPr>
        <w:ind w:left="4082" w:hanging="420"/>
      </w:pPr>
    </w:lvl>
  </w:abstractNum>
  <w:abstractNum w:abstractNumId="10">
    <w:nsid w:val="2D6A81AF"/>
    <w:multiLevelType w:val="multilevel"/>
    <w:tmpl w:val="2D6A81AF"/>
    <w:lvl w:ilvl="0" w:tentative="0">
      <w:start w:val="1"/>
      <w:numFmt w:val="bullet"/>
      <w:lvlText w:val=""/>
      <w:lvlJc w:val="left"/>
      <w:pPr>
        <w:ind w:left="1381" w:hanging="702"/>
      </w:pPr>
      <w:rPr>
        <w:rFonts w:hint="default" w:ascii="Wingdings" w:hAnsi="Wingdings"/>
        <w:spacing w:val="-2"/>
        <w:sz w:val="26"/>
        <w:szCs w:val="26"/>
      </w:rPr>
    </w:lvl>
    <w:lvl w:ilvl="1" w:tentative="0">
      <w:start w:val="0"/>
      <w:numFmt w:val="bullet"/>
      <w:lvlText w:val="•"/>
      <w:lvlJc w:val="left"/>
      <w:pPr>
        <w:ind w:left="2124" w:hanging="702"/>
      </w:pPr>
      <w:rPr>
        <w:rFonts w:hint="default"/>
      </w:rPr>
    </w:lvl>
    <w:lvl w:ilvl="2" w:tentative="0">
      <w:start w:val="0"/>
      <w:numFmt w:val="bullet"/>
      <w:lvlText w:val="•"/>
      <w:lvlJc w:val="left"/>
      <w:pPr>
        <w:ind w:left="2869" w:hanging="702"/>
      </w:pPr>
      <w:rPr>
        <w:rFonts w:hint="default"/>
      </w:rPr>
    </w:lvl>
    <w:lvl w:ilvl="3" w:tentative="0">
      <w:start w:val="0"/>
      <w:numFmt w:val="bullet"/>
      <w:lvlText w:val="•"/>
      <w:lvlJc w:val="left"/>
      <w:pPr>
        <w:ind w:left="3613" w:hanging="702"/>
      </w:pPr>
      <w:rPr>
        <w:rFonts w:hint="default"/>
      </w:rPr>
    </w:lvl>
    <w:lvl w:ilvl="4" w:tentative="0">
      <w:start w:val="0"/>
      <w:numFmt w:val="bullet"/>
      <w:lvlText w:val="•"/>
      <w:lvlJc w:val="left"/>
      <w:pPr>
        <w:ind w:left="4358" w:hanging="702"/>
      </w:pPr>
      <w:rPr>
        <w:rFonts w:hint="default"/>
      </w:rPr>
    </w:lvl>
    <w:lvl w:ilvl="5" w:tentative="0">
      <w:start w:val="0"/>
      <w:numFmt w:val="bullet"/>
      <w:lvlText w:val="•"/>
      <w:lvlJc w:val="left"/>
      <w:pPr>
        <w:ind w:left="5103" w:hanging="702"/>
      </w:pPr>
      <w:rPr>
        <w:rFonts w:hint="default"/>
      </w:rPr>
    </w:lvl>
    <w:lvl w:ilvl="6" w:tentative="0">
      <w:start w:val="0"/>
      <w:numFmt w:val="bullet"/>
      <w:lvlText w:val="•"/>
      <w:lvlJc w:val="left"/>
      <w:pPr>
        <w:ind w:left="5847" w:hanging="702"/>
      </w:pPr>
      <w:rPr>
        <w:rFonts w:hint="default"/>
      </w:rPr>
    </w:lvl>
    <w:lvl w:ilvl="7" w:tentative="0">
      <w:start w:val="0"/>
      <w:numFmt w:val="bullet"/>
      <w:lvlText w:val="•"/>
      <w:lvlJc w:val="left"/>
      <w:pPr>
        <w:ind w:left="6592" w:hanging="702"/>
      </w:pPr>
      <w:rPr>
        <w:rFonts w:hint="default"/>
      </w:rPr>
    </w:lvl>
    <w:lvl w:ilvl="8" w:tentative="0">
      <w:start w:val="0"/>
      <w:numFmt w:val="bullet"/>
      <w:lvlText w:val="•"/>
      <w:lvlJc w:val="left"/>
      <w:pPr>
        <w:ind w:left="7337" w:hanging="702"/>
      </w:pPr>
      <w:rPr>
        <w:rFonts w:hint="default"/>
      </w:rPr>
    </w:lvl>
  </w:abstractNum>
  <w:abstractNum w:abstractNumId="11">
    <w:nsid w:val="59ADCABA"/>
    <w:multiLevelType w:val="multilevel"/>
    <w:tmpl w:val="59ADCABA"/>
    <w:lvl w:ilvl="0" w:tentative="0">
      <w:start w:val="1"/>
      <w:numFmt w:val="bullet"/>
      <w:pStyle w:val="25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675EA495"/>
    <w:multiLevelType w:val="singleLevel"/>
    <w:tmpl w:val="675EA495"/>
    <w:lvl w:ilvl="0" w:tentative="0">
      <w:start w:val="3"/>
      <w:numFmt w:val="decimal"/>
      <w:lvlText w:val="%1."/>
      <w:lvlJc w:val="left"/>
      <w:pPr>
        <w:tabs>
          <w:tab w:val="left" w:pos="312"/>
        </w:tabs>
      </w:pPr>
    </w:lvl>
  </w:abstractNum>
  <w:abstractNum w:abstractNumId="13">
    <w:nsid w:val="72183CF9"/>
    <w:multiLevelType w:val="multilevel"/>
    <w:tmpl w:val="72183CF9"/>
    <w:lvl w:ilvl="0" w:tentative="0">
      <w:start w:val="1"/>
      <w:numFmt w:val="bullet"/>
      <w:pStyle w:val="36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3"/>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3AE65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99"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99" w:semiHidden="0" w:name="Date"/>
    <w:lsdException w:qFormat="1" w:uiPriority="99" w:semiHidden="0" w:name="Body Text First Indent"/>
    <w:lsdException w:qFormat="1" w:uiPriority="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szCs w:val="24"/>
    </w:rPr>
  </w:style>
  <w:style w:type="paragraph" w:styleId="2">
    <w:name w:val="heading 1"/>
    <w:basedOn w:val="1"/>
    <w:next w:val="1"/>
    <w:link w:val="206"/>
    <w:qFormat/>
    <w:uiPriority w:val="0"/>
    <w:pPr>
      <w:keepNext/>
      <w:keepLines/>
      <w:outlineLvl w:val="0"/>
    </w:pPr>
    <w:rPr>
      <w:rFonts w:ascii="Calibri" w:hAnsi="Calibri"/>
      <w:b/>
      <w:bCs/>
      <w:szCs w:val="44"/>
    </w:rPr>
  </w:style>
  <w:style w:type="paragraph" w:styleId="3">
    <w:name w:val="heading 2"/>
    <w:basedOn w:val="1"/>
    <w:next w:val="1"/>
    <w:link w:val="20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08"/>
    <w:qFormat/>
    <w:uiPriority w:val="9"/>
    <w:pPr>
      <w:keepNext/>
      <w:keepLines/>
      <w:spacing w:before="20" w:after="20" w:line="416" w:lineRule="auto"/>
      <w:ind w:left="200"/>
      <w:outlineLvl w:val="2"/>
    </w:pPr>
    <w:rPr>
      <w:rFonts w:ascii="Calibri" w:hAnsi="Calibri"/>
      <w:b/>
      <w:bCs/>
      <w:szCs w:val="32"/>
    </w:rPr>
  </w:style>
  <w:style w:type="paragraph" w:styleId="5">
    <w:name w:val="heading 4"/>
    <w:basedOn w:val="1"/>
    <w:next w:val="1"/>
    <w:link w:val="209"/>
    <w:qFormat/>
    <w:uiPriority w:val="0"/>
    <w:pPr>
      <w:keepNext/>
      <w:keepLines/>
      <w:spacing w:before="280" w:after="290" w:line="374" w:lineRule="auto"/>
      <w:outlineLvl w:val="3"/>
    </w:pPr>
    <w:rPr>
      <w:rFonts w:ascii="Arial" w:hAnsi="Arial" w:eastAsia="黑体"/>
      <w:b/>
      <w:sz w:val="28"/>
      <w:szCs w:val="20"/>
    </w:rPr>
  </w:style>
  <w:style w:type="paragraph" w:styleId="6">
    <w:name w:val="heading 5"/>
    <w:basedOn w:val="1"/>
    <w:next w:val="1"/>
    <w:link w:val="210"/>
    <w:qFormat/>
    <w:uiPriority w:val="0"/>
    <w:pPr>
      <w:keepNext/>
      <w:keepLines/>
      <w:widowControl/>
      <w:numPr>
        <w:ilvl w:val="4"/>
        <w:numId w:val="1"/>
      </w:numPr>
      <w:tabs>
        <w:tab w:val="left" w:pos="1800"/>
        <w:tab w:val="left" w:pos="2520"/>
      </w:tabs>
      <w:spacing w:before="280" w:after="290" w:line="372" w:lineRule="auto"/>
      <w:jc w:val="left"/>
      <w:outlineLvl w:val="4"/>
    </w:pPr>
    <w:rPr>
      <w:rFonts w:ascii="Calibri" w:hAnsi="Calibri"/>
      <w:b/>
      <w:sz w:val="24"/>
      <w:szCs w:val="20"/>
    </w:rPr>
  </w:style>
  <w:style w:type="paragraph" w:styleId="7">
    <w:name w:val="heading 6"/>
    <w:basedOn w:val="1"/>
    <w:next w:val="1"/>
    <w:link w:val="211"/>
    <w:qFormat/>
    <w:uiPriority w:val="0"/>
    <w:pPr>
      <w:keepNext/>
      <w:keepLines/>
      <w:widowControl/>
      <w:numPr>
        <w:ilvl w:val="5"/>
        <w:numId w:val="1"/>
      </w:numPr>
      <w:tabs>
        <w:tab w:val="left" w:pos="2160"/>
        <w:tab w:val="left" w:pos="2940"/>
      </w:tabs>
      <w:spacing w:before="240" w:after="64" w:line="317" w:lineRule="auto"/>
      <w:jc w:val="left"/>
      <w:outlineLvl w:val="5"/>
    </w:pPr>
    <w:rPr>
      <w:rFonts w:ascii="Calibri" w:hAnsi="Calibri"/>
      <w:b/>
      <w:sz w:val="24"/>
      <w:szCs w:val="20"/>
    </w:rPr>
  </w:style>
  <w:style w:type="paragraph" w:styleId="8">
    <w:name w:val="heading 7"/>
    <w:basedOn w:val="1"/>
    <w:next w:val="1"/>
    <w:link w:val="212"/>
    <w:qFormat/>
    <w:uiPriority w:val="0"/>
    <w:pPr>
      <w:keepNext/>
      <w:keepLines/>
      <w:widowControl/>
      <w:numPr>
        <w:ilvl w:val="6"/>
        <w:numId w:val="1"/>
      </w:numPr>
      <w:tabs>
        <w:tab w:val="left" w:pos="2520"/>
        <w:tab w:val="left" w:pos="3360"/>
      </w:tabs>
      <w:spacing w:before="240" w:after="64" w:line="317" w:lineRule="auto"/>
      <w:jc w:val="left"/>
      <w:outlineLvl w:val="6"/>
    </w:pPr>
    <w:rPr>
      <w:rFonts w:ascii="Calibri" w:hAnsi="Calibri"/>
      <w:b/>
      <w:sz w:val="24"/>
      <w:szCs w:val="20"/>
    </w:rPr>
  </w:style>
  <w:style w:type="paragraph" w:styleId="9">
    <w:name w:val="heading 8"/>
    <w:basedOn w:val="1"/>
    <w:next w:val="1"/>
    <w:link w:val="213"/>
    <w:qFormat/>
    <w:uiPriority w:val="0"/>
    <w:pPr>
      <w:keepNext/>
      <w:keepLines/>
      <w:tabs>
        <w:tab w:val="left" w:pos="1440"/>
      </w:tabs>
      <w:spacing w:before="240" w:after="64" w:line="319" w:lineRule="auto"/>
      <w:ind w:left="1440" w:hanging="1440"/>
      <w:outlineLvl w:val="7"/>
    </w:pPr>
    <w:rPr>
      <w:rFonts w:ascii="Arial" w:hAnsi="Arial" w:eastAsia="黑体"/>
      <w:sz w:val="24"/>
    </w:rPr>
  </w:style>
  <w:style w:type="paragraph" w:styleId="10">
    <w:name w:val="heading 9"/>
    <w:basedOn w:val="1"/>
    <w:next w:val="1"/>
    <w:link w:val="214"/>
    <w:qFormat/>
    <w:uiPriority w:val="0"/>
    <w:pPr>
      <w:keepNext/>
      <w:keepLines/>
      <w:tabs>
        <w:tab w:val="left" w:pos="1584"/>
      </w:tabs>
      <w:spacing w:before="240" w:after="64" w:line="319" w:lineRule="auto"/>
      <w:ind w:left="1584" w:hanging="1584"/>
      <w:outlineLvl w:val="8"/>
    </w:pPr>
    <w:rPr>
      <w:rFonts w:ascii="Arial" w:hAnsi="Arial" w:eastAsia="黑体"/>
      <w:szCs w:val="21"/>
    </w:rPr>
  </w:style>
  <w:style w:type="character" w:default="1" w:styleId="58">
    <w:name w:val="Default Paragraph Font"/>
    <w:semiHidden/>
    <w:unhideWhenUsed/>
    <w:qFormat/>
    <w:uiPriority w:val="1"/>
  </w:style>
  <w:style w:type="table" w:default="1" w:styleId="55">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spacing w:line="360" w:lineRule="auto"/>
      <w:ind w:left="1440"/>
      <w:jc w:val="left"/>
    </w:pPr>
    <w:rPr>
      <w:rFonts w:ascii="Calibri" w:hAnsi="Calibri" w:cs="Calibri"/>
      <w:sz w:val="18"/>
      <w:szCs w:val="18"/>
    </w:rPr>
  </w:style>
  <w:style w:type="paragraph" w:styleId="12">
    <w:name w:val="Normal Indent"/>
    <w:basedOn w:val="1"/>
    <w:link w:val="215"/>
    <w:qFormat/>
    <w:uiPriority w:val="0"/>
    <w:pPr>
      <w:ind w:firstLine="420"/>
      <w:jc w:val="left"/>
    </w:pPr>
    <w:rPr>
      <w:rFonts w:ascii="Calibri" w:hAnsi="Calibri" w:eastAsia="楷体_GB2312"/>
      <w:sz w:val="24"/>
      <w:szCs w:val="20"/>
    </w:rPr>
  </w:style>
  <w:style w:type="paragraph" w:styleId="13">
    <w:name w:val="caption"/>
    <w:basedOn w:val="1"/>
    <w:next w:val="1"/>
    <w:qFormat/>
    <w:uiPriority w:val="35"/>
    <w:pPr>
      <w:ind w:left="640" w:hanging="640"/>
      <w:jc w:val="center"/>
    </w:pPr>
    <w:rPr>
      <w:rFonts w:ascii="BankGothic Lt BT" w:hAnsi="BankGothic Lt BT" w:cs="Arial"/>
      <w:sz w:val="32"/>
    </w:rPr>
  </w:style>
  <w:style w:type="paragraph" w:styleId="14">
    <w:name w:val="Document Map"/>
    <w:basedOn w:val="1"/>
    <w:link w:val="216"/>
    <w:semiHidden/>
    <w:qFormat/>
    <w:uiPriority w:val="99"/>
    <w:pPr>
      <w:shd w:val="clear" w:color="auto" w:fill="000080"/>
    </w:pPr>
    <w:rPr>
      <w:szCs w:val="20"/>
    </w:rPr>
  </w:style>
  <w:style w:type="paragraph" w:styleId="15">
    <w:name w:val="annotation text"/>
    <w:basedOn w:val="1"/>
    <w:link w:val="217"/>
    <w:unhideWhenUsed/>
    <w:qFormat/>
    <w:uiPriority w:val="99"/>
    <w:pPr>
      <w:jc w:val="left"/>
    </w:pPr>
  </w:style>
  <w:style w:type="paragraph" w:styleId="16">
    <w:name w:val="Salutation"/>
    <w:basedOn w:val="1"/>
    <w:next w:val="1"/>
    <w:qFormat/>
    <w:uiPriority w:val="0"/>
    <w:rPr>
      <w:rFonts w:ascii="宋体" w:hAnsi="宋体"/>
      <w:spacing w:val="20"/>
      <w:sz w:val="24"/>
      <w:szCs w:val="22"/>
      <w:lang w:eastAsia="en-US" w:bidi="en-US"/>
    </w:rPr>
  </w:style>
  <w:style w:type="paragraph" w:styleId="17">
    <w:name w:val="Body Text 3"/>
    <w:basedOn w:val="1"/>
    <w:link w:val="218"/>
    <w:qFormat/>
    <w:uiPriority w:val="0"/>
    <w:pPr>
      <w:spacing w:after="120" w:line="300" w:lineRule="auto"/>
      <w:ind w:firstLine="250"/>
    </w:pPr>
    <w:rPr>
      <w:sz w:val="16"/>
      <w:szCs w:val="16"/>
    </w:rPr>
  </w:style>
  <w:style w:type="paragraph" w:styleId="18">
    <w:name w:val="Closing"/>
    <w:basedOn w:val="1"/>
    <w:qFormat/>
    <w:uiPriority w:val="0"/>
    <w:pPr>
      <w:ind w:left="100"/>
    </w:pPr>
    <w:rPr>
      <w:rFonts w:ascii="宋体" w:hAnsi="宋体"/>
      <w:spacing w:val="20"/>
      <w:sz w:val="24"/>
      <w:szCs w:val="22"/>
      <w:lang w:eastAsia="en-US" w:bidi="en-US"/>
    </w:rPr>
  </w:style>
  <w:style w:type="paragraph" w:styleId="19">
    <w:name w:val="Body Text"/>
    <w:basedOn w:val="1"/>
    <w:link w:val="219"/>
    <w:qFormat/>
    <w:uiPriority w:val="99"/>
    <w:pPr>
      <w:tabs>
        <w:tab w:val="left" w:pos="5250"/>
      </w:tabs>
    </w:pPr>
    <w:rPr>
      <w:rFonts w:ascii="Calibri" w:hAnsi="Calibri"/>
      <w:sz w:val="28"/>
    </w:rPr>
  </w:style>
  <w:style w:type="paragraph" w:styleId="20">
    <w:name w:val="Body Text Indent"/>
    <w:basedOn w:val="1"/>
    <w:link w:val="220"/>
    <w:qFormat/>
    <w:uiPriority w:val="0"/>
    <w:pPr>
      <w:spacing w:line="520" w:lineRule="exact"/>
      <w:ind w:left="570"/>
    </w:pPr>
    <w:rPr>
      <w:rFonts w:ascii="方正仿宋简体" w:hAnsi="创艺简仿宋" w:eastAsia="方正仿宋简体"/>
      <w:sz w:val="24"/>
      <w:szCs w:val="20"/>
    </w:rPr>
  </w:style>
  <w:style w:type="paragraph" w:styleId="21">
    <w:name w:val="List 2"/>
    <w:basedOn w:val="1"/>
    <w:qFormat/>
    <w:uiPriority w:val="0"/>
    <w:pPr>
      <w:ind w:left="100" w:hanging="200"/>
    </w:pPr>
    <w:rPr>
      <w:lang w:eastAsia="en-US" w:bidi="en-US"/>
    </w:rPr>
  </w:style>
  <w:style w:type="paragraph" w:styleId="22">
    <w:name w:val="Block Text"/>
    <w:basedOn w:val="1"/>
    <w:qFormat/>
    <w:uiPriority w:val="0"/>
    <w:pPr>
      <w:ind w:left="113" w:right="113"/>
      <w:jc w:val="center"/>
    </w:pPr>
    <w:rPr>
      <w:rFonts w:ascii="仿宋_GB2312" w:eastAsia="仿宋_GB2312"/>
      <w:b/>
      <w:szCs w:val="20"/>
    </w:rPr>
  </w:style>
  <w:style w:type="paragraph" w:styleId="23">
    <w:name w:val="List Bullet 2"/>
    <w:basedOn w:val="1"/>
    <w:qFormat/>
    <w:uiPriority w:val="0"/>
    <w:pPr>
      <w:tabs>
        <w:tab w:val="left" w:pos="780"/>
      </w:tabs>
      <w:ind w:left="780" w:hanging="360"/>
      <w:outlineLvl w:val="0"/>
    </w:pPr>
    <w:rPr>
      <w:color w:val="0000FF"/>
      <w:sz w:val="24"/>
      <w:szCs w:val="20"/>
    </w:rPr>
  </w:style>
  <w:style w:type="paragraph" w:styleId="24">
    <w:name w:val="toc 5"/>
    <w:basedOn w:val="1"/>
    <w:next w:val="1"/>
    <w:qFormat/>
    <w:uiPriority w:val="39"/>
    <w:pPr>
      <w:spacing w:line="360" w:lineRule="auto"/>
      <w:ind w:left="960"/>
      <w:jc w:val="left"/>
    </w:pPr>
    <w:rPr>
      <w:rFonts w:ascii="Calibri" w:hAnsi="Calibri" w:cs="Calibri"/>
      <w:sz w:val="18"/>
      <w:szCs w:val="18"/>
    </w:rPr>
  </w:style>
  <w:style w:type="paragraph" w:styleId="25">
    <w:name w:val="toc 3"/>
    <w:basedOn w:val="1"/>
    <w:next w:val="1"/>
    <w:qFormat/>
    <w:uiPriority w:val="39"/>
    <w:pPr>
      <w:ind w:left="840"/>
    </w:pPr>
  </w:style>
  <w:style w:type="paragraph" w:styleId="26">
    <w:name w:val="Plain Text"/>
    <w:basedOn w:val="1"/>
    <w:link w:val="221"/>
    <w:qFormat/>
    <w:uiPriority w:val="0"/>
    <w:rPr>
      <w:rFonts w:ascii="宋体" w:hAnsi="Courier New" w:eastAsia="楷体_GB2312"/>
      <w:sz w:val="28"/>
      <w:szCs w:val="20"/>
    </w:rPr>
  </w:style>
  <w:style w:type="paragraph" w:styleId="27">
    <w:name w:val="toc 8"/>
    <w:basedOn w:val="1"/>
    <w:next w:val="1"/>
    <w:qFormat/>
    <w:uiPriority w:val="39"/>
    <w:pPr>
      <w:spacing w:line="360" w:lineRule="auto"/>
      <w:ind w:left="1680"/>
      <w:jc w:val="left"/>
    </w:pPr>
    <w:rPr>
      <w:rFonts w:ascii="Calibri" w:hAnsi="Calibri" w:cs="Calibri"/>
      <w:sz w:val="18"/>
      <w:szCs w:val="18"/>
    </w:rPr>
  </w:style>
  <w:style w:type="paragraph" w:styleId="28">
    <w:name w:val="Date"/>
    <w:basedOn w:val="1"/>
    <w:next w:val="1"/>
    <w:link w:val="222"/>
    <w:qFormat/>
    <w:uiPriority w:val="99"/>
    <w:pPr>
      <w:ind w:left="100"/>
    </w:pPr>
    <w:rPr>
      <w:rFonts w:ascii="Calibri" w:hAnsi="Calibri"/>
      <w:sz w:val="28"/>
    </w:rPr>
  </w:style>
  <w:style w:type="paragraph" w:styleId="29">
    <w:name w:val="Body Text Indent 2"/>
    <w:basedOn w:val="1"/>
    <w:link w:val="223"/>
    <w:qFormat/>
    <w:uiPriority w:val="0"/>
    <w:pPr>
      <w:spacing w:line="520" w:lineRule="exact"/>
      <w:ind w:firstLine="570"/>
    </w:pPr>
    <w:rPr>
      <w:rFonts w:ascii="方正仿宋简体" w:hAnsi="创艺简仿宋" w:eastAsia="方正仿宋简体"/>
      <w:bCs/>
      <w:sz w:val="24"/>
      <w:szCs w:val="20"/>
    </w:rPr>
  </w:style>
  <w:style w:type="paragraph" w:styleId="30">
    <w:name w:val="endnote text"/>
    <w:basedOn w:val="1"/>
    <w:link w:val="486"/>
    <w:semiHidden/>
    <w:unhideWhenUsed/>
    <w:qFormat/>
    <w:uiPriority w:val="99"/>
    <w:rPr>
      <w:rFonts w:ascii="Calibri" w:hAnsi="Calibri"/>
      <w:sz w:val="20"/>
    </w:rPr>
  </w:style>
  <w:style w:type="paragraph" w:styleId="31">
    <w:name w:val="Balloon Text"/>
    <w:basedOn w:val="1"/>
    <w:link w:val="224"/>
    <w:qFormat/>
    <w:uiPriority w:val="0"/>
    <w:rPr>
      <w:sz w:val="18"/>
      <w:szCs w:val="18"/>
    </w:rPr>
  </w:style>
  <w:style w:type="paragraph" w:styleId="32">
    <w:name w:val="footer"/>
    <w:basedOn w:val="1"/>
    <w:link w:val="225"/>
    <w:qFormat/>
    <w:uiPriority w:val="0"/>
    <w:pPr>
      <w:tabs>
        <w:tab w:val="center" w:pos="4153"/>
        <w:tab w:val="right" w:pos="8306"/>
      </w:tabs>
      <w:jc w:val="left"/>
    </w:pPr>
    <w:rPr>
      <w:sz w:val="18"/>
      <w:szCs w:val="18"/>
    </w:rPr>
  </w:style>
  <w:style w:type="paragraph" w:styleId="33">
    <w:name w:val="header"/>
    <w:basedOn w:val="1"/>
    <w:link w:val="226"/>
    <w:qFormat/>
    <w:uiPriority w:val="0"/>
    <w:pPr>
      <w:pBdr>
        <w:bottom w:val="single" w:color="auto" w:sz="6" w:space="1"/>
      </w:pBdr>
      <w:tabs>
        <w:tab w:val="center" w:pos="4153"/>
        <w:tab w:val="right" w:pos="8306"/>
      </w:tabs>
      <w:jc w:val="center"/>
    </w:pPr>
    <w:rPr>
      <w:rFonts w:ascii="Calibri" w:hAnsi="Calibri"/>
      <w:sz w:val="18"/>
      <w:szCs w:val="18"/>
    </w:rPr>
  </w:style>
  <w:style w:type="paragraph" w:styleId="34">
    <w:name w:val="toc 1"/>
    <w:basedOn w:val="1"/>
    <w:next w:val="1"/>
    <w:qFormat/>
    <w:uiPriority w:val="39"/>
    <w:rPr>
      <w:sz w:val="30"/>
    </w:rPr>
  </w:style>
  <w:style w:type="paragraph" w:styleId="35">
    <w:name w:val="toc 4"/>
    <w:basedOn w:val="1"/>
    <w:next w:val="1"/>
    <w:qFormat/>
    <w:uiPriority w:val="39"/>
    <w:pPr>
      <w:spacing w:line="360" w:lineRule="auto"/>
      <w:ind w:left="720"/>
      <w:jc w:val="left"/>
    </w:pPr>
    <w:rPr>
      <w:rFonts w:ascii="Calibri" w:hAnsi="Calibri" w:cs="Calibri"/>
      <w:sz w:val="18"/>
      <w:szCs w:val="18"/>
    </w:rPr>
  </w:style>
  <w:style w:type="paragraph" w:styleId="36">
    <w:name w:val="index heading"/>
    <w:basedOn w:val="1"/>
    <w:next w:val="37"/>
    <w:semiHidden/>
    <w:qFormat/>
    <w:uiPriority w:val="0"/>
    <w:pPr>
      <w:widowControl/>
      <w:spacing w:after="200" w:line="276" w:lineRule="auto"/>
      <w:jc w:val="left"/>
    </w:pPr>
    <w:rPr>
      <w:rFonts w:ascii="Arial" w:hAnsi="Arial" w:cs="Arial"/>
      <w:b/>
      <w:bCs/>
      <w:sz w:val="22"/>
      <w:szCs w:val="22"/>
      <w:lang w:eastAsia="en-US" w:bidi="en-US"/>
    </w:rPr>
  </w:style>
  <w:style w:type="paragraph" w:styleId="37">
    <w:name w:val="index 1"/>
    <w:basedOn w:val="1"/>
    <w:next w:val="1"/>
    <w:qFormat/>
    <w:uiPriority w:val="0"/>
    <w:rPr>
      <w:b/>
      <w:bCs/>
    </w:rPr>
  </w:style>
  <w:style w:type="paragraph" w:styleId="38">
    <w:name w:val="Subtitle"/>
    <w:basedOn w:val="1"/>
    <w:next w:val="1"/>
    <w:link w:val="227"/>
    <w:qFormat/>
    <w:uiPriority w:val="11"/>
    <w:pPr>
      <w:widowControl/>
      <w:spacing w:after="200" w:line="276" w:lineRule="auto"/>
      <w:jc w:val="left"/>
    </w:pPr>
    <w:rPr>
      <w:rFonts w:ascii="Calibri" w:hAnsi="Calibri"/>
    </w:rPr>
  </w:style>
  <w:style w:type="paragraph" w:styleId="39">
    <w:name w:val="List"/>
    <w:basedOn w:val="1"/>
    <w:qFormat/>
    <w:uiPriority w:val="0"/>
    <w:pPr>
      <w:ind w:left="420" w:hanging="420"/>
    </w:pPr>
    <w:rPr>
      <w:szCs w:val="20"/>
    </w:rPr>
  </w:style>
  <w:style w:type="paragraph" w:styleId="40">
    <w:name w:val="footnote text"/>
    <w:basedOn w:val="1"/>
    <w:link w:val="485"/>
    <w:semiHidden/>
    <w:unhideWhenUsed/>
    <w:qFormat/>
    <w:uiPriority w:val="99"/>
    <w:pPr>
      <w:spacing w:after="40"/>
    </w:pPr>
    <w:rPr>
      <w:rFonts w:ascii="Calibri" w:hAnsi="Calibri"/>
      <w:sz w:val="18"/>
    </w:rPr>
  </w:style>
  <w:style w:type="paragraph" w:styleId="41">
    <w:name w:val="toc 6"/>
    <w:basedOn w:val="1"/>
    <w:next w:val="1"/>
    <w:qFormat/>
    <w:uiPriority w:val="39"/>
    <w:pPr>
      <w:ind w:left="2100"/>
    </w:pPr>
  </w:style>
  <w:style w:type="paragraph" w:styleId="42">
    <w:name w:val="Body Text Indent 3"/>
    <w:basedOn w:val="1"/>
    <w:qFormat/>
    <w:uiPriority w:val="0"/>
    <w:pPr>
      <w:spacing w:line="360" w:lineRule="auto"/>
      <w:ind w:left="659"/>
    </w:pPr>
    <w:rPr>
      <w:rFonts w:ascii="宋体" w:hAnsi="宋体"/>
      <w:sz w:val="24"/>
    </w:rPr>
  </w:style>
  <w:style w:type="paragraph" w:styleId="43">
    <w:name w:val="table of figures"/>
    <w:basedOn w:val="1"/>
    <w:next w:val="1"/>
    <w:unhideWhenUsed/>
    <w:qFormat/>
    <w:uiPriority w:val="99"/>
    <w:rPr>
      <w:rFonts w:ascii="Calibri" w:hAnsi="Calibri"/>
    </w:rPr>
  </w:style>
  <w:style w:type="paragraph" w:styleId="44">
    <w:name w:val="toc 2"/>
    <w:basedOn w:val="1"/>
    <w:next w:val="1"/>
    <w:qFormat/>
    <w:uiPriority w:val="39"/>
    <w:pPr>
      <w:ind w:left="420"/>
    </w:pPr>
  </w:style>
  <w:style w:type="paragraph" w:styleId="45">
    <w:name w:val="toc 9"/>
    <w:basedOn w:val="1"/>
    <w:next w:val="1"/>
    <w:qFormat/>
    <w:uiPriority w:val="39"/>
    <w:pPr>
      <w:spacing w:line="360" w:lineRule="auto"/>
      <w:ind w:left="1920"/>
      <w:jc w:val="left"/>
    </w:pPr>
    <w:rPr>
      <w:rFonts w:ascii="Calibri" w:hAnsi="Calibri" w:cs="Calibri"/>
      <w:sz w:val="18"/>
      <w:szCs w:val="18"/>
    </w:rPr>
  </w:style>
  <w:style w:type="paragraph" w:styleId="46">
    <w:name w:val="Body Text 2"/>
    <w:basedOn w:val="1"/>
    <w:qFormat/>
    <w:uiPriority w:val="0"/>
    <w:pPr>
      <w:spacing w:after="120" w:line="480" w:lineRule="auto"/>
    </w:pPr>
  </w:style>
  <w:style w:type="paragraph" w:styleId="47">
    <w:name w:val="List Continue 2"/>
    <w:basedOn w:val="1"/>
    <w:qFormat/>
    <w:uiPriority w:val="0"/>
    <w:pPr>
      <w:spacing w:after="120"/>
      <w:ind w:left="840"/>
    </w:pPr>
    <w:rPr>
      <w:lang w:eastAsia="en-US" w:bidi="en-US"/>
    </w:rPr>
  </w:style>
  <w:style w:type="paragraph" w:styleId="48">
    <w:name w:val="HTML Preformatted"/>
    <w:basedOn w:val="1"/>
    <w:link w:val="42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rPr>
  </w:style>
  <w:style w:type="paragraph" w:styleId="49">
    <w:name w:val="Normal (Web)"/>
    <w:basedOn w:val="1"/>
    <w:unhideWhenUsed/>
    <w:qFormat/>
    <w:uiPriority w:val="99"/>
    <w:pPr>
      <w:widowControl/>
      <w:spacing w:before="100" w:beforeAutospacing="1" w:after="100" w:afterAutospacing="1"/>
      <w:jc w:val="left"/>
    </w:pPr>
    <w:rPr>
      <w:rFonts w:ascii="宋体" w:hAnsi="宋体" w:cs="宋体"/>
      <w:sz w:val="24"/>
    </w:rPr>
  </w:style>
  <w:style w:type="paragraph" w:styleId="50">
    <w:name w:val="Title"/>
    <w:basedOn w:val="1"/>
    <w:next w:val="1"/>
    <w:link w:val="228"/>
    <w:qFormat/>
    <w:uiPriority w:val="0"/>
    <w:pPr>
      <w:widowControl/>
      <w:spacing w:after="300"/>
      <w:contextualSpacing/>
      <w:jc w:val="left"/>
    </w:pPr>
    <w:rPr>
      <w:rFonts w:ascii="Cambria" w:hAnsi="Cambria"/>
      <w:smallCaps/>
      <w:sz w:val="52"/>
      <w:szCs w:val="52"/>
      <w:lang w:eastAsia="en-US" w:bidi="en-US"/>
    </w:rPr>
  </w:style>
  <w:style w:type="paragraph" w:styleId="51">
    <w:name w:val="annotation subject"/>
    <w:basedOn w:val="15"/>
    <w:next w:val="15"/>
    <w:link w:val="229"/>
    <w:semiHidden/>
    <w:unhideWhenUsed/>
    <w:qFormat/>
    <w:uiPriority w:val="99"/>
    <w:rPr>
      <w:b/>
      <w:bCs/>
    </w:rPr>
  </w:style>
  <w:style w:type="paragraph" w:styleId="52">
    <w:name w:val="Body Text First Indent"/>
    <w:next w:val="53"/>
    <w:link w:val="230"/>
    <w:unhideWhenUsed/>
    <w:qFormat/>
    <w:uiPriority w:val="99"/>
    <w:pPr>
      <w:spacing w:before="200" w:after="120" w:line="276" w:lineRule="auto"/>
      <w:ind w:firstLine="420"/>
    </w:pPr>
    <w:rPr>
      <w:rFonts w:hint="default" w:ascii="Cambria" w:hAnsi="Cambria" w:eastAsia="宋体" w:cs="Times New Roman"/>
      <w:sz w:val="21"/>
      <w:szCs w:val="24"/>
    </w:rPr>
  </w:style>
  <w:style w:type="paragraph" w:customStyle="1" w:styleId="53">
    <w:name w:val="样式 正文首行缩进 + 首行缩进:  1 字符"/>
    <w:basedOn w:val="1"/>
    <w:next w:val="33"/>
    <w:qFormat/>
    <w:uiPriority w:val="0"/>
    <w:pPr>
      <w:widowControl/>
      <w:spacing w:after="40" w:line="276" w:lineRule="auto"/>
      <w:ind w:firstLine="200"/>
      <w:jc w:val="left"/>
    </w:pPr>
    <w:rPr>
      <w:rFonts w:ascii="Cambria" w:hAnsi="Cambria"/>
      <w:sz w:val="22"/>
      <w:szCs w:val="20"/>
      <w:lang w:eastAsia="en-US" w:bidi="en-US"/>
    </w:rPr>
  </w:style>
  <w:style w:type="paragraph" w:styleId="54">
    <w:name w:val="Body Text First Indent 2"/>
    <w:basedOn w:val="20"/>
    <w:link w:val="472"/>
    <w:semiHidden/>
    <w:unhideWhenUsed/>
    <w:qFormat/>
    <w:uiPriority w:val="0"/>
    <w:pPr>
      <w:spacing w:after="120" w:line="240" w:lineRule="auto"/>
      <w:ind w:left="420" w:firstLine="420"/>
    </w:pPr>
    <w:rPr>
      <w:rFonts w:ascii="Times New Roman" w:hAnsi="Times New Roman" w:eastAsia="宋体"/>
      <w:sz w:val="21"/>
      <w:szCs w:val="24"/>
    </w:rPr>
  </w:style>
  <w:style w:type="table" w:styleId="56">
    <w:name w:val="Table Grid"/>
    <w:basedOn w:val="55"/>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7">
    <w:name w:val="Table Theme"/>
    <w:basedOn w:val="55"/>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9">
    <w:name w:val="Strong"/>
    <w:qFormat/>
    <w:uiPriority w:val="22"/>
    <w:rPr>
      <w:b/>
      <w:bCs/>
    </w:rPr>
  </w:style>
  <w:style w:type="character" w:styleId="60">
    <w:name w:val="endnote reference"/>
    <w:basedOn w:val="58"/>
    <w:semiHidden/>
    <w:unhideWhenUsed/>
    <w:qFormat/>
    <w:uiPriority w:val="99"/>
    <w:rPr>
      <w:vertAlign w:val="superscript"/>
    </w:rPr>
  </w:style>
  <w:style w:type="character" w:styleId="61">
    <w:name w:val="page number"/>
    <w:basedOn w:val="58"/>
    <w:qFormat/>
    <w:uiPriority w:val="99"/>
  </w:style>
  <w:style w:type="character" w:styleId="62">
    <w:name w:val="FollowedHyperlink"/>
    <w:qFormat/>
    <w:uiPriority w:val="99"/>
    <w:rPr>
      <w:color w:val="800080"/>
      <w:u w:val="single"/>
    </w:rPr>
  </w:style>
  <w:style w:type="character" w:styleId="63">
    <w:name w:val="Emphasis"/>
    <w:basedOn w:val="58"/>
    <w:qFormat/>
    <w:uiPriority w:val="0"/>
  </w:style>
  <w:style w:type="character" w:styleId="64">
    <w:name w:val="Hyperlink"/>
    <w:qFormat/>
    <w:uiPriority w:val="99"/>
    <w:rPr>
      <w:color w:val="0000FF"/>
      <w:u w:val="single"/>
    </w:rPr>
  </w:style>
  <w:style w:type="character" w:styleId="65">
    <w:name w:val="annotation reference"/>
    <w:basedOn w:val="58"/>
    <w:semiHidden/>
    <w:unhideWhenUsed/>
    <w:qFormat/>
    <w:uiPriority w:val="99"/>
    <w:rPr>
      <w:sz w:val="21"/>
      <w:szCs w:val="21"/>
    </w:rPr>
  </w:style>
  <w:style w:type="character" w:styleId="66">
    <w:name w:val="footnote reference"/>
    <w:unhideWhenUsed/>
    <w:qFormat/>
    <w:uiPriority w:val="99"/>
    <w:rPr>
      <w:vertAlign w:val="superscript"/>
    </w:rPr>
  </w:style>
  <w:style w:type="character" w:customStyle="1" w:styleId="67">
    <w:name w:val="Heading 1 Char"/>
    <w:basedOn w:val="58"/>
    <w:qFormat/>
    <w:uiPriority w:val="9"/>
    <w:rPr>
      <w:rFonts w:ascii="Arial" w:hAnsi="Arial" w:eastAsia="Arial" w:cs="Arial"/>
      <w:sz w:val="40"/>
      <w:szCs w:val="40"/>
    </w:rPr>
  </w:style>
  <w:style w:type="character" w:customStyle="1" w:styleId="68">
    <w:name w:val="Heading 2 Char"/>
    <w:basedOn w:val="58"/>
    <w:qFormat/>
    <w:uiPriority w:val="9"/>
    <w:rPr>
      <w:rFonts w:ascii="Arial" w:hAnsi="Arial" w:eastAsia="Arial" w:cs="Arial"/>
      <w:sz w:val="34"/>
    </w:rPr>
  </w:style>
  <w:style w:type="character" w:customStyle="1" w:styleId="69">
    <w:name w:val="Heading 5 Char"/>
    <w:basedOn w:val="58"/>
    <w:qFormat/>
    <w:uiPriority w:val="9"/>
    <w:rPr>
      <w:rFonts w:ascii="Arial" w:hAnsi="Arial" w:eastAsia="Arial" w:cs="Arial"/>
      <w:b/>
      <w:bCs/>
      <w:sz w:val="24"/>
      <w:szCs w:val="24"/>
    </w:rPr>
  </w:style>
  <w:style w:type="character" w:customStyle="1" w:styleId="70">
    <w:name w:val="Heading 6 Char"/>
    <w:basedOn w:val="58"/>
    <w:qFormat/>
    <w:uiPriority w:val="9"/>
    <w:rPr>
      <w:rFonts w:ascii="Arial" w:hAnsi="Arial" w:eastAsia="Arial" w:cs="Arial"/>
      <w:b/>
      <w:bCs/>
      <w:sz w:val="22"/>
      <w:szCs w:val="22"/>
    </w:rPr>
  </w:style>
  <w:style w:type="character" w:customStyle="1" w:styleId="71">
    <w:name w:val="Heading 7 Char"/>
    <w:basedOn w:val="58"/>
    <w:qFormat/>
    <w:uiPriority w:val="9"/>
    <w:rPr>
      <w:rFonts w:ascii="Arial" w:hAnsi="Arial" w:eastAsia="Arial" w:cs="Arial"/>
      <w:b/>
      <w:bCs/>
      <w:i/>
      <w:iCs/>
      <w:sz w:val="22"/>
      <w:szCs w:val="22"/>
    </w:rPr>
  </w:style>
  <w:style w:type="character" w:customStyle="1" w:styleId="72">
    <w:name w:val="Heading 8 Char"/>
    <w:basedOn w:val="58"/>
    <w:qFormat/>
    <w:uiPriority w:val="9"/>
    <w:rPr>
      <w:rFonts w:ascii="Arial" w:hAnsi="Arial" w:eastAsia="Arial" w:cs="Arial"/>
      <w:i/>
      <w:iCs/>
      <w:sz w:val="22"/>
      <w:szCs w:val="22"/>
    </w:rPr>
  </w:style>
  <w:style w:type="character" w:customStyle="1" w:styleId="73">
    <w:name w:val="Heading 9 Char"/>
    <w:basedOn w:val="58"/>
    <w:qFormat/>
    <w:uiPriority w:val="9"/>
    <w:rPr>
      <w:rFonts w:ascii="Arial" w:hAnsi="Arial" w:eastAsia="Arial" w:cs="Arial"/>
      <w:i/>
      <w:iCs/>
      <w:sz w:val="21"/>
      <w:szCs w:val="21"/>
    </w:rPr>
  </w:style>
  <w:style w:type="character" w:customStyle="1" w:styleId="74">
    <w:name w:val="Title Char"/>
    <w:basedOn w:val="58"/>
    <w:qFormat/>
    <w:uiPriority w:val="10"/>
    <w:rPr>
      <w:sz w:val="48"/>
      <w:szCs w:val="48"/>
    </w:rPr>
  </w:style>
  <w:style w:type="character" w:customStyle="1" w:styleId="75">
    <w:name w:val="Subtitle Char"/>
    <w:basedOn w:val="58"/>
    <w:qFormat/>
    <w:uiPriority w:val="11"/>
    <w:rPr>
      <w:sz w:val="24"/>
      <w:szCs w:val="24"/>
    </w:rPr>
  </w:style>
  <w:style w:type="character" w:customStyle="1" w:styleId="76">
    <w:name w:val="Quote Char"/>
    <w:qFormat/>
    <w:uiPriority w:val="29"/>
    <w:rPr>
      <w:i/>
    </w:rPr>
  </w:style>
  <w:style w:type="character" w:customStyle="1" w:styleId="77">
    <w:name w:val="Intense Quote Char"/>
    <w:qFormat/>
    <w:uiPriority w:val="30"/>
    <w:rPr>
      <w:i/>
    </w:rPr>
  </w:style>
  <w:style w:type="table" w:customStyle="1" w:styleId="78">
    <w:name w:val="Table Grid Light"/>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79">
    <w:name w:val="Plain Table 1"/>
    <w:basedOn w:val="55"/>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0">
    <w:name w:val="Plain Table 2"/>
    <w:basedOn w:val="55"/>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81">
    <w:name w:val="Plain Table 3"/>
    <w:basedOn w:val="55"/>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2">
    <w:name w:val="Plain Table 4"/>
    <w:basedOn w:val="55"/>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3">
    <w:name w:val="Plain Table 5"/>
    <w:basedOn w:val="55"/>
    <w:qFormat/>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4">
    <w:name w:val="Grid Table 1 Light"/>
    <w:basedOn w:val="55"/>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85">
    <w:name w:val="Grid Table 1 Light - Accent 1"/>
    <w:basedOn w:val="55"/>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86">
    <w:name w:val="Grid Table 1 Light - Accent 2"/>
    <w:basedOn w:val="55"/>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87">
    <w:name w:val="Grid Table 1 Light - Accent 3"/>
    <w:basedOn w:val="55"/>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88">
    <w:name w:val="Grid Table 1 Light - Accent 4"/>
    <w:basedOn w:val="55"/>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89">
    <w:name w:val="Grid Table 1 Light - Accent 5"/>
    <w:basedOn w:val="55"/>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90">
    <w:name w:val="Grid Table 1 Light - Accent 6"/>
    <w:basedOn w:val="55"/>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91">
    <w:name w:val="Grid Table 2"/>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2">
    <w:name w:val="Grid Table 2 - Accent 1"/>
    <w:basedOn w:val="55"/>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93">
    <w:name w:val="Grid Table 2 - Accent 2"/>
    <w:basedOn w:val="55"/>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94">
    <w:name w:val="Grid Table 2 - Accent 3"/>
    <w:basedOn w:val="55"/>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95">
    <w:name w:val="Grid Table 2 - Accent 4"/>
    <w:basedOn w:val="55"/>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96">
    <w:name w:val="Grid Table 2 - Accent 5"/>
    <w:basedOn w:val="55"/>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97">
    <w:name w:val="Grid Table 2 - Accent 6"/>
    <w:basedOn w:val="55"/>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98">
    <w:name w:val="Grid Table 3"/>
    <w:basedOn w:val="55"/>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9">
    <w:name w:val="Grid Table 3 - Accent 1"/>
    <w:basedOn w:val="55"/>
    <w:qFormat/>
    <w:uiPriority w:val="99"/>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100">
    <w:name w:val="Grid Table 3 - Accent 2"/>
    <w:basedOn w:val="55"/>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1">
    <w:name w:val="Grid Table 3 - Accent 3"/>
    <w:basedOn w:val="55"/>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2">
    <w:name w:val="Grid Table 3 - Accent 4"/>
    <w:basedOn w:val="55"/>
    <w:qFormat/>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03">
    <w:name w:val="Grid Table 3 - Accent 5"/>
    <w:basedOn w:val="55"/>
    <w:qFormat/>
    <w:uiPriority w:val="99"/>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04">
    <w:name w:val="Grid Table 3 - Accent 6"/>
    <w:basedOn w:val="55"/>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05">
    <w:name w:val="Grid Table 4"/>
    <w:basedOn w:val="55"/>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6">
    <w:name w:val="Grid Table 4 - Accent 1"/>
    <w:basedOn w:val="55"/>
    <w:qFormat/>
    <w:uiPriority w:val="5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107">
    <w:name w:val="Grid Table 4 - Accent 2"/>
    <w:basedOn w:val="55"/>
    <w:qFormat/>
    <w:uiPriority w:val="5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8">
    <w:name w:val="Grid Table 4 - Accent 3"/>
    <w:basedOn w:val="55"/>
    <w:qFormat/>
    <w:uiPriority w:val="5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9">
    <w:name w:val="Grid Table 4 - Accent 4"/>
    <w:basedOn w:val="55"/>
    <w:qFormat/>
    <w:uiPriority w:val="5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10">
    <w:name w:val="Grid Table 4 - Accent 5"/>
    <w:basedOn w:val="55"/>
    <w:qFormat/>
    <w:uiPriority w:val="5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11">
    <w:name w:val="Grid Table 4 - Accent 6"/>
    <w:basedOn w:val="55"/>
    <w:qFormat/>
    <w:uiPriority w:val="5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12">
    <w:name w:val="Grid Table 5 Dark"/>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13">
    <w:name w:val="Grid Table 5 Dark- Accent 1"/>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114">
    <w:name w:val="Grid Table 5 Dark - Accent 2"/>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115">
    <w:name w:val="Grid Table 5 Dark - Accent 3"/>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116">
    <w:name w:val="Grid Table 5 Dark- Accent 4"/>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117">
    <w:name w:val="Grid Table 5 Dark - Accent 5"/>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118">
    <w:name w:val="Grid Table 5 Dark - Accent 6"/>
    <w:basedOn w:val="5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119">
    <w:name w:val="Grid Table 6 Colorful"/>
    <w:basedOn w:val="55"/>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0">
    <w:name w:val="Grid Table 6 Colorful - Accent 1"/>
    <w:basedOn w:val="55"/>
    <w:qFormat/>
    <w:uiPriority w:val="99"/>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21">
    <w:name w:val="Grid Table 6 Colorful - Accent 2"/>
    <w:basedOn w:val="55"/>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2">
    <w:name w:val="Grid Table 6 Colorful - Accent 3"/>
    <w:basedOn w:val="55"/>
    <w:qFormat/>
    <w:uiPriority w:val="99"/>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23">
    <w:name w:val="Grid Table 6 Colorful - Accent 4"/>
    <w:basedOn w:val="55"/>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24">
    <w:name w:val="Grid Table 6 Colorful - Accent 5"/>
    <w:basedOn w:val="55"/>
    <w:qFormat/>
    <w:uiPriority w:val="99"/>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25">
    <w:name w:val="Grid Table 6 Colorful - Accent 6"/>
    <w:basedOn w:val="55"/>
    <w:qFormat/>
    <w:uiPriority w:val="99"/>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themeColor="accent6" w:themeTint="34" w:fill="E1EFD8" w:themeFill="accent6" w:themeFillTint="34"/>
      </w:tcPr>
    </w:tblStylePr>
    <w:tblStylePr w:type="band1Horz">
      <w:rPr>
        <w:rFonts w:ascii="Arial" w:hAnsi="Arial"/>
        <w:color w:val="254174" w:themeColor="accent5" w:themeShade="94"/>
        <w:sz w:val="22"/>
      </w:rPr>
      <w:tcPr>
        <w:shd w:val="clear" w:color="E1EFD8" w:themeColor="accent6" w:themeTint="34" w:fill="E1EFD8" w:themeFill="accent6" w:themeFillTint="34"/>
      </w:tcPr>
    </w:tblStylePr>
    <w:tblStylePr w:type="band2Horz">
      <w:rPr>
        <w:rFonts w:ascii="Arial" w:hAnsi="Arial"/>
        <w:color w:val="254174" w:themeColor="accent5" w:themeShade="94"/>
        <w:sz w:val="22"/>
      </w:rPr>
    </w:tblStylePr>
  </w:style>
  <w:style w:type="table" w:customStyle="1" w:styleId="126">
    <w:name w:val="Grid Table 7 Colorful"/>
    <w:basedOn w:val="55"/>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7">
    <w:name w:val="Grid Table 7 Colorful - Accent 1"/>
    <w:basedOn w:val="55"/>
    <w:qFormat/>
    <w:uiPriority w:val="99"/>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28">
    <w:name w:val="Grid Table 7 Colorful - Accent 2"/>
    <w:basedOn w:val="55"/>
    <w:qFormat/>
    <w:uiPriority w:val="99"/>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9">
    <w:name w:val="Grid Table 7 Colorful - Accent 3"/>
    <w:basedOn w:val="55"/>
    <w:qFormat/>
    <w:uiPriority w:val="99"/>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30">
    <w:name w:val="Grid Table 7 Colorful - Accent 4"/>
    <w:basedOn w:val="55"/>
    <w:qFormat/>
    <w:uiPriority w:val="99"/>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31">
    <w:name w:val="Grid Table 7 Colorful - Accent 5"/>
    <w:basedOn w:val="55"/>
    <w:qFormat/>
    <w:uiPriority w:val="99"/>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32">
    <w:name w:val="Grid Table 7 Colorful - Accent 6"/>
    <w:basedOn w:val="55"/>
    <w:qFormat/>
    <w:uiPriority w:val="99"/>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style>
  <w:style w:type="table" w:customStyle="1" w:styleId="133">
    <w:name w:val="List Table 1 Light"/>
    <w:basedOn w:val="55"/>
    <w:qFormat/>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34">
    <w:name w:val="List Table 1 Light - Accent 1"/>
    <w:basedOn w:val="55"/>
    <w:qFormat/>
    <w:uiPriority w:val="99"/>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135">
    <w:name w:val="List Table 1 Light - Accent 2"/>
    <w:basedOn w:val="55"/>
    <w:qFormat/>
    <w:uiPriority w:val="99"/>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36">
    <w:name w:val="List Table 1 Light - Accent 3"/>
    <w:basedOn w:val="55"/>
    <w:qFormat/>
    <w:uiPriority w:val="99"/>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37">
    <w:name w:val="List Table 1 Light - Accent 4"/>
    <w:basedOn w:val="55"/>
    <w:qFormat/>
    <w:uiPriority w:val="99"/>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38">
    <w:name w:val="List Table 1 Light - Accent 5"/>
    <w:basedOn w:val="55"/>
    <w:qFormat/>
    <w:uiPriority w:val="99"/>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139">
    <w:name w:val="List Table 1 Light - Accent 6"/>
    <w:basedOn w:val="55"/>
    <w:qFormat/>
    <w:uiPriority w:val="99"/>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40">
    <w:name w:val="List Table 2"/>
    <w:basedOn w:val="55"/>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1">
    <w:name w:val="List Table 2 - Accent 1"/>
    <w:basedOn w:val="55"/>
    <w:qFormat/>
    <w:uiPriority w:val="99"/>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42">
    <w:name w:val="List Table 2 - Accent 2"/>
    <w:basedOn w:val="55"/>
    <w:qFormat/>
    <w:uiPriority w:val="99"/>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43">
    <w:name w:val="List Table 2 - Accent 3"/>
    <w:basedOn w:val="55"/>
    <w:qFormat/>
    <w:uiPriority w:val="99"/>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44">
    <w:name w:val="List Table 2 - Accent 4"/>
    <w:basedOn w:val="55"/>
    <w:qFormat/>
    <w:uiPriority w:val="99"/>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45">
    <w:name w:val="List Table 2 - Accent 5"/>
    <w:basedOn w:val="55"/>
    <w:qFormat/>
    <w:uiPriority w:val="99"/>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46">
    <w:name w:val="List Table 2 - Accent 6"/>
    <w:basedOn w:val="55"/>
    <w:qFormat/>
    <w:uiPriority w:val="99"/>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47">
    <w:name w:val="List Table 3"/>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48">
    <w:name w:val="List Table 3 - Accent 1"/>
    <w:basedOn w:val="55"/>
    <w:qFormat/>
    <w:uiPriority w:val="99"/>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49">
    <w:name w:val="List Table 3 - Accent 2"/>
    <w:basedOn w:val="55"/>
    <w:qFormat/>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50">
    <w:name w:val="List Table 3 - Accent 3"/>
    <w:basedOn w:val="55"/>
    <w:qFormat/>
    <w:uiPriority w:val="99"/>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51">
    <w:name w:val="List Table 3 - Accent 4"/>
    <w:basedOn w:val="55"/>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52">
    <w:name w:val="List Table 3 - Accent 5"/>
    <w:basedOn w:val="55"/>
    <w:qFormat/>
    <w:uiPriority w:val="99"/>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53">
    <w:name w:val="List Table 3 - Accent 6"/>
    <w:basedOn w:val="55"/>
    <w:qFormat/>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54">
    <w:name w:val="List Table 4"/>
    <w:basedOn w:val="55"/>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5">
    <w:name w:val="List Table 4 - Accent 1"/>
    <w:basedOn w:val="55"/>
    <w:qFormat/>
    <w:uiPriority w:val="99"/>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56">
    <w:name w:val="List Table 4 - Accent 2"/>
    <w:basedOn w:val="55"/>
    <w:qFormat/>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57">
    <w:name w:val="List Table 4 - Accent 3"/>
    <w:basedOn w:val="55"/>
    <w:qFormat/>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58">
    <w:name w:val="List Table 4 - Accent 4"/>
    <w:basedOn w:val="55"/>
    <w:qFormat/>
    <w:uiPriority w:val="9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59">
    <w:name w:val="List Table 4 - Accent 5"/>
    <w:basedOn w:val="55"/>
    <w:qFormat/>
    <w:uiPriority w:val="99"/>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60">
    <w:name w:val="List Table 4 - Accent 6"/>
    <w:basedOn w:val="55"/>
    <w:qFormat/>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61">
    <w:name w:val="List Table 5 Dark"/>
    <w:basedOn w:val="55"/>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2">
    <w:name w:val="List Table 5 Dark - Accent 1"/>
    <w:basedOn w:val="55"/>
    <w:qFormat/>
    <w:uiPriority w:val="99"/>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163">
    <w:name w:val="List Table 5 Dark - Accent 2"/>
    <w:basedOn w:val="55"/>
    <w:qFormat/>
    <w:uiPriority w:val="99"/>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64">
    <w:name w:val="List Table 5 Dark - Accent 3"/>
    <w:basedOn w:val="55"/>
    <w:qFormat/>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65">
    <w:name w:val="List Table 5 Dark - Accent 4"/>
    <w:basedOn w:val="55"/>
    <w:qFormat/>
    <w:uiPriority w:val="99"/>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166">
    <w:name w:val="List Table 5 Dark - Accent 5"/>
    <w:basedOn w:val="55"/>
    <w:qFormat/>
    <w:uiPriority w:val="99"/>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167">
    <w:name w:val="List Table 5 Dark - Accent 6"/>
    <w:basedOn w:val="55"/>
    <w:qFormat/>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168">
    <w:name w:val="List Table 6 Colorful"/>
    <w:basedOn w:val="55"/>
    <w:qFormat/>
    <w:uiPriority w:val="99"/>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69">
    <w:name w:val="List Table 6 Colorful - Accent 1"/>
    <w:basedOn w:val="55"/>
    <w:qFormat/>
    <w:uiPriority w:val="99"/>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170">
    <w:name w:val="List Table 6 Colorful - Accent 2"/>
    <w:basedOn w:val="55"/>
    <w:qFormat/>
    <w:uiPriority w:val="99"/>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1">
    <w:name w:val="List Table 6 Colorful - Accent 3"/>
    <w:basedOn w:val="55"/>
    <w:qFormat/>
    <w:uiPriority w:val="99"/>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2">
    <w:name w:val="List Table 6 Colorful - Accent 4"/>
    <w:basedOn w:val="55"/>
    <w:qFormat/>
    <w:uiPriority w:val="99"/>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73">
    <w:name w:val="List Table 6 Colorful - Accent 5"/>
    <w:basedOn w:val="55"/>
    <w:qFormat/>
    <w:uiPriority w:val="99"/>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74">
    <w:name w:val="List Table 6 Colorful - Accent 6"/>
    <w:basedOn w:val="55"/>
    <w:qFormat/>
    <w:uiPriority w:val="99"/>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75">
    <w:name w:val="List Table 7 Colorful"/>
    <w:basedOn w:val="55"/>
    <w:qFormat/>
    <w:uiPriority w:val="99"/>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76">
    <w:name w:val="List Table 7 Colorful - Accent 1"/>
    <w:basedOn w:val="55"/>
    <w:qFormat/>
    <w:uiPriority w:val="99"/>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177">
    <w:name w:val="List Table 7 Colorful - Accent 2"/>
    <w:basedOn w:val="55"/>
    <w:qFormat/>
    <w:uiPriority w:val="99"/>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8">
    <w:name w:val="List Table 7 Colorful - Accent 3"/>
    <w:basedOn w:val="55"/>
    <w:qFormat/>
    <w:uiPriority w:val="99"/>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9">
    <w:name w:val="List Table 7 Colorful - Accent 4"/>
    <w:basedOn w:val="55"/>
    <w:qFormat/>
    <w:uiPriority w:val="99"/>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80">
    <w:name w:val="List Table 7 Colorful - Accent 5"/>
    <w:basedOn w:val="55"/>
    <w:qFormat/>
    <w:uiPriority w:val="99"/>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81">
    <w:name w:val="List Table 7 Colorful - Accent 6"/>
    <w:basedOn w:val="55"/>
    <w:qFormat/>
    <w:uiPriority w:val="99"/>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82">
    <w:name w:val="Lined - Accent"/>
    <w:basedOn w:val="55"/>
    <w:qFormat/>
    <w:uiPriority w:val="99"/>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3">
    <w:name w:val="Lined - Accent 1"/>
    <w:basedOn w:val="55"/>
    <w:qFormat/>
    <w:uiPriority w:val="99"/>
    <w:rPr>
      <w:color w:val="404040"/>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84">
    <w:name w:val="Lined - Accent 2"/>
    <w:basedOn w:val="55"/>
    <w:qFormat/>
    <w:uiPriority w:val="99"/>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85">
    <w:name w:val="Lined - Accent 3"/>
    <w:basedOn w:val="55"/>
    <w:qFormat/>
    <w:uiPriority w:val="99"/>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86">
    <w:name w:val="Lined - Accent 4"/>
    <w:basedOn w:val="55"/>
    <w:qFormat/>
    <w:uiPriority w:val="99"/>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87">
    <w:name w:val="Lined - Accent 5"/>
    <w:basedOn w:val="55"/>
    <w:qFormat/>
    <w:uiPriority w:val="99"/>
    <w:rPr>
      <w:color w:val="404040"/>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88">
    <w:name w:val="Lined - Accent 6"/>
    <w:basedOn w:val="55"/>
    <w:qFormat/>
    <w:uiPriority w:val="99"/>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89">
    <w:name w:val="Bordered &amp; Lined - Accent"/>
    <w:basedOn w:val="55"/>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0">
    <w:name w:val="Bordered &amp; Lined - Accent 1"/>
    <w:basedOn w:val="55"/>
    <w:qFormat/>
    <w:uiPriority w:val="99"/>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91">
    <w:name w:val="Bordered &amp; Lined - Accent 2"/>
    <w:basedOn w:val="55"/>
    <w:qFormat/>
    <w:uiPriority w:val="99"/>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92">
    <w:name w:val="Bordered &amp; Lined - Accent 3"/>
    <w:basedOn w:val="55"/>
    <w:qFormat/>
    <w:uiPriority w:val="99"/>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93">
    <w:name w:val="Bordered &amp; Lined - Accent 4"/>
    <w:basedOn w:val="55"/>
    <w:qFormat/>
    <w:uiPriority w:val="99"/>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94">
    <w:name w:val="Bordered &amp; Lined - Accent 5"/>
    <w:basedOn w:val="55"/>
    <w:qFormat/>
    <w:uiPriority w:val="99"/>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95">
    <w:name w:val="Bordered &amp; Lined - Accent 6"/>
    <w:basedOn w:val="55"/>
    <w:qFormat/>
    <w:uiPriority w:val="99"/>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96">
    <w:name w:val="Bordered"/>
    <w:basedOn w:val="55"/>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97">
    <w:name w:val="Bordered - Accent 1"/>
    <w:basedOn w:val="55"/>
    <w:qFormat/>
    <w:uiPriority w:val="99"/>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98">
    <w:name w:val="Bordered - Accent 2"/>
    <w:basedOn w:val="55"/>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99">
    <w:name w:val="Bordered - Accent 3"/>
    <w:basedOn w:val="55"/>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200">
    <w:name w:val="Bordered - Accent 4"/>
    <w:basedOn w:val="55"/>
    <w:qFormat/>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201">
    <w:name w:val="Bordered - Accent 5"/>
    <w:basedOn w:val="55"/>
    <w:qFormat/>
    <w:uiPriority w:val="99"/>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202">
    <w:name w:val="Bordered - Accent 6"/>
    <w:basedOn w:val="55"/>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203">
    <w:name w:val="Footnote Text Char"/>
    <w:qFormat/>
    <w:uiPriority w:val="99"/>
    <w:rPr>
      <w:sz w:val="18"/>
    </w:rPr>
  </w:style>
  <w:style w:type="character" w:customStyle="1" w:styleId="204">
    <w:name w:val="Endnote Text Char"/>
    <w:qFormat/>
    <w:uiPriority w:val="99"/>
    <w:rPr>
      <w:sz w:val="20"/>
    </w:rPr>
  </w:style>
  <w:style w:type="paragraph" w:customStyle="1" w:styleId="205">
    <w:name w:val="TOC Heading"/>
    <w:unhideWhenUsed/>
    <w:qFormat/>
    <w:uiPriority w:val="39"/>
    <w:rPr>
      <w:rFonts w:hint="default" w:ascii="Times New Roman" w:hAnsi="Times New Roman" w:eastAsia="宋体" w:cs="Times New Roman"/>
    </w:rPr>
  </w:style>
  <w:style w:type="character" w:customStyle="1" w:styleId="206">
    <w:name w:val="标题 1 字符"/>
    <w:link w:val="2"/>
    <w:qFormat/>
    <w:uiPriority w:val="9"/>
    <w:rPr>
      <w:rFonts w:ascii="Calibri" w:hAnsi="Calibri"/>
      <w:b/>
      <w:bCs/>
      <w:sz w:val="21"/>
      <w:szCs w:val="44"/>
    </w:rPr>
  </w:style>
  <w:style w:type="character" w:customStyle="1" w:styleId="207">
    <w:name w:val="标题 2 字符1"/>
    <w:link w:val="3"/>
    <w:qFormat/>
    <w:uiPriority w:val="0"/>
    <w:rPr>
      <w:rFonts w:ascii="Arial" w:hAnsi="Arial" w:eastAsia="黑体"/>
      <w:b/>
      <w:bCs/>
      <w:sz w:val="32"/>
      <w:szCs w:val="32"/>
      <w:lang w:val="en-US" w:eastAsia="zh-CN" w:bidi="ar-SA"/>
    </w:rPr>
  </w:style>
  <w:style w:type="character" w:customStyle="1" w:styleId="208">
    <w:name w:val="标题 3 字符"/>
    <w:link w:val="4"/>
    <w:qFormat/>
    <w:uiPriority w:val="9"/>
    <w:rPr>
      <w:rFonts w:eastAsia="宋体"/>
      <w:b/>
      <w:bCs/>
      <w:sz w:val="21"/>
      <w:szCs w:val="32"/>
      <w:lang w:val="en-US" w:eastAsia="zh-CN" w:bidi="ar-SA"/>
    </w:rPr>
  </w:style>
  <w:style w:type="character" w:customStyle="1" w:styleId="209">
    <w:name w:val="标题 4 字符"/>
    <w:link w:val="5"/>
    <w:qFormat/>
    <w:uiPriority w:val="0"/>
    <w:rPr>
      <w:rFonts w:ascii="Arial" w:hAnsi="Arial" w:eastAsia="黑体"/>
      <w:b/>
      <w:sz w:val="28"/>
      <w:lang w:val="en-US" w:eastAsia="zh-CN" w:bidi="ar-SA"/>
    </w:rPr>
  </w:style>
  <w:style w:type="character" w:customStyle="1" w:styleId="210">
    <w:name w:val="标题 5 字符"/>
    <w:link w:val="6"/>
    <w:qFormat/>
    <w:uiPriority w:val="9"/>
    <w:rPr>
      <w:rFonts w:ascii="Calibri" w:hAnsi="Calibri"/>
      <w:b/>
      <w:sz w:val="24"/>
    </w:rPr>
  </w:style>
  <w:style w:type="character" w:customStyle="1" w:styleId="211">
    <w:name w:val="标题 6 字符"/>
    <w:link w:val="7"/>
    <w:qFormat/>
    <w:uiPriority w:val="9"/>
    <w:rPr>
      <w:rFonts w:ascii="Calibri" w:hAnsi="Calibri"/>
      <w:b/>
      <w:sz w:val="24"/>
    </w:rPr>
  </w:style>
  <w:style w:type="character" w:customStyle="1" w:styleId="212">
    <w:name w:val="标题 7 字符"/>
    <w:link w:val="8"/>
    <w:qFormat/>
    <w:uiPriority w:val="9"/>
    <w:rPr>
      <w:rFonts w:ascii="Calibri" w:hAnsi="Calibri"/>
      <w:b/>
      <w:sz w:val="24"/>
    </w:rPr>
  </w:style>
  <w:style w:type="character" w:customStyle="1" w:styleId="213">
    <w:name w:val="标题 8 字符"/>
    <w:link w:val="9"/>
    <w:qFormat/>
    <w:uiPriority w:val="9"/>
    <w:rPr>
      <w:rFonts w:ascii="Arial" w:hAnsi="Arial" w:eastAsia="黑体"/>
      <w:sz w:val="24"/>
      <w:szCs w:val="24"/>
      <w:lang w:val="en-US" w:eastAsia="zh-CN" w:bidi="ar-SA"/>
    </w:rPr>
  </w:style>
  <w:style w:type="character" w:customStyle="1" w:styleId="214">
    <w:name w:val="标题 9 字符"/>
    <w:link w:val="10"/>
    <w:qFormat/>
    <w:uiPriority w:val="9"/>
    <w:rPr>
      <w:rFonts w:ascii="Arial" w:hAnsi="Arial" w:eastAsia="黑体"/>
      <w:sz w:val="21"/>
      <w:szCs w:val="21"/>
      <w:lang w:val="en-US" w:eastAsia="zh-CN" w:bidi="ar-SA"/>
    </w:rPr>
  </w:style>
  <w:style w:type="character" w:customStyle="1" w:styleId="215">
    <w:name w:val="正文缩进 字符1"/>
    <w:link w:val="12"/>
    <w:qFormat/>
    <w:uiPriority w:val="0"/>
    <w:rPr>
      <w:rFonts w:eastAsia="楷体_GB2312"/>
      <w:sz w:val="24"/>
      <w:lang w:val="en-US" w:eastAsia="zh-CN" w:bidi="ar-SA"/>
    </w:rPr>
  </w:style>
  <w:style w:type="character" w:customStyle="1" w:styleId="216">
    <w:name w:val="文档结构图 字符"/>
    <w:link w:val="14"/>
    <w:semiHidden/>
    <w:qFormat/>
    <w:uiPriority w:val="99"/>
    <w:rPr>
      <w:sz w:val="21"/>
      <w:shd w:val="clear" w:color="auto" w:fill="000080"/>
    </w:rPr>
  </w:style>
  <w:style w:type="character" w:customStyle="1" w:styleId="217">
    <w:name w:val="批注文字 字符"/>
    <w:basedOn w:val="58"/>
    <w:link w:val="15"/>
    <w:qFormat/>
    <w:uiPriority w:val="99"/>
    <w:rPr>
      <w:sz w:val="21"/>
      <w:szCs w:val="24"/>
    </w:rPr>
  </w:style>
  <w:style w:type="character" w:customStyle="1" w:styleId="218">
    <w:name w:val="正文文本 3 字符"/>
    <w:basedOn w:val="58"/>
    <w:link w:val="17"/>
    <w:qFormat/>
    <w:uiPriority w:val="0"/>
    <w:rPr>
      <w:sz w:val="16"/>
      <w:szCs w:val="16"/>
    </w:rPr>
  </w:style>
  <w:style w:type="character" w:customStyle="1" w:styleId="219">
    <w:name w:val="正文文本 字符"/>
    <w:link w:val="19"/>
    <w:qFormat/>
    <w:uiPriority w:val="0"/>
    <w:rPr>
      <w:rFonts w:eastAsia="宋体"/>
      <w:sz w:val="28"/>
      <w:szCs w:val="24"/>
      <w:lang w:val="en-US" w:eastAsia="zh-CN" w:bidi="ar-SA"/>
    </w:rPr>
  </w:style>
  <w:style w:type="character" w:customStyle="1" w:styleId="220">
    <w:name w:val="正文文本缩进 字符"/>
    <w:link w:val="20"/>
    <w:qFormat/>
    <w:uiPriority w:val="0"/>
    <w:rPr>
      <w:rFonts w:ascii="方正仿宋简体" w:hAnsi="创艺简仿宋" w:eastAsia="方正仿宋简体"/>
      <w:sz w:val="24"/>
    </w:rPr>
  </w:style>
  <w:style w:type="character" w:customStyle="1" w:styleId="221">
    <w:name w:val="纯文本 字符"/>
    <w:link w:val="26"/>
    <w:qFormat/>
    <w:uiPriority w:val="0"/>
    <w:rPr>
      <w:rFonts w:ascii="宋体" w:hAnsi="Courier New" w:eastAsia="楷体_GB2312"/>
      <w:sz w:val="28"/>
      <w:lang w:val="en-US" w:eastAsia="zh-CN" w:bidi="ar-SA"/>
    </w:rPr>
  </w:style>
  <w:style w:type="character" w:customStyle="1" w:styleId="222">
    <w:name w:val="日期 字符"/>
    <w:link w:val="28"/>
    <w:qFormat/>
    <w:uiPriority w:val="0"/>
    <w:rPr>
      <w:sz w:val="28"/>
      <w:szCs w:val="24"/>
    </w:rPr>
  </w:style>
  <w:style w:type="character" w:customStyle="1" w:styleId="223">
    <w:name w:val="正文文本缩进 2 字符1"/>
    <w:link w:val="29"/>
    <w:qFormat/>
    <w:uiPriority w:val="0"/>
    <w:rPr>
      <w:rFonts w:ascii="方正仿宋简体" w:hAnsi="创艺简仿宋" w:eastAsia="方正仿宋简体"/>
      <w:bCs/>
      <w:sz w:val="24"/>
    </w:rPr>
  </w:style>
  <w:style w:type="character" w:customStyle="1" w:styleId="224">
    <w:name w:val="批注框文本 字符"/>
    <w:link w:val="31"/>
    <w:qFormat/>
    <w:uiPriority w:val="0"/>
    <w:rPr>
      <w:sz w:val="18"/>
      <w:szCs w:val="18"/>
    </w:rPr>
  </w:style>
  <w:style w:type="character" w:customStyle="1" w:styleId="225">
    <w:name w:val="页脚 字符"/>
    <w:link w:val="32"/>
    <w:qFormat/>
    <w:uiPriority w:val="0"/>
    <w:rPr>
      <w:sz w:val="18"/>
      <w:szCs w:val="18"/>
    </w:rPr>
  </w:style>
  <w:style w:type="character" w:customStyle="1" w:styleId="226">
    <w:name w:val="页眉 字符"/>
    <w:link w:val="33"/>
    <w:qFormat/>
    <w:uiPriority w:val="0"/>
    <w:rPr>
      <w:rFonts w:eastAsia="宋体"/>
      <w:sz w:val="18"/>
      <w:szCs w:val="18"/>
      <w:lang w:val="en-US" w:eastAsia="zh-CN" w:bidi="ar-SA"/>
    </w:rPr>
  </w:style>
  <w:style w:type="character" w:customStyle="1" w:styleId="227">
    <w:name w:val="副标题 字符"/>
    <w:link w:val="38"/>
    <w:qFormat/>
    <w:uiPriority w:val="11"/>
    <w:rPr>
      <w:rFonts w:eastAsia="宋体"/>
      <w:sz w:val="21"/>
      <w:szCs w:val="24"/>
      <w:lang w:val="en-US" w:eastAsia="zh-CN" w:bidi="ar-SA"/>
    </w:rPr>
  </w:style>
  <w:style w:type="character" w:customStyle="1" w:styleId="228">
    <w:name w:val="标题 字符"/>
    <w:link w:val="50"/>
    <w:qFormat/>
    <w:uiPriority w:val="0"/>
    <w:rPr>
      <w:rFonts w:ascii="Cambria" w:hAnsi="Cambria"/>
      <w:smallCaps/>
      <w:sz w:val="52"/>
      <w:szCs w:val="52"/>
      <w:lang w:eastAsia="en-US" w:bidi="en-US"/>
    </w:rPr>
  </w:style>
  <w:style w:type="character" w:customStyle="1" w:styleId="229">
    <w:name w:val="批注主题 字符"/>
    <w:basedOn w:val="217"/>
    <w:link w:val="51"/>
    <w:semiHidden/>
    <w:qFormat/>
    <w:uiPriority w:val="99"/>
    <w:rPr>
      <w:b/>
      <w:bCs/>
      <w:sz w:val="21"/>
      <w:szCs w:val="24"/>
    </w:rPr>
  </w:style>
  <w:style w:type="character" w:customStyle="1" w:styleId="230">
    <w:name w:val="正文文本首行缩进 字符"/>
    <w:link w:val="52"/>
    <w:qFormat/>
    <w:uiPriority w:val="0"/>
    <w:rPr>
      <w:rFonts w:ascii="Cambria" w:hAnsi="Cambria"/>
      <w:sz w:val="21"/>
      <w:szCs w:val="24"/>
      <w:lang w:val="en-US" w:eastAsia="zh-CN" w:bidi="ar-SA"/>
    </w:rPr>
  </w:style>
  <w:style w:type="table" w:customStyle="1" w:styleId="231">
    <w:name w:val="浅色网格 - 强调文字颜色 61"/>
    <w:basedOn w:val="55"/>
    <w:qFormat/>
    <w:uiPriority w:val="0"/>
    <w:rPr>
      <w:rFonts w:ascii="Cambria" w:hAnsi="Cambria"/>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等线" w:hAnsi="等线" w:eastAsia="宋体" w:cs="Times New Roman"/>
        <w:b/>
        <w:bCs/>
      </w:r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等线" w:hAnsi="等线" w:eastAsia="宋体" w:cs="Times New Roman"/>
        <w:b/>
        <w:bCs/>
      </w:rPr>
      <w:tcPr>
        <w:tcBorders>
          <w:top w:val="sing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等线" w:hAnsi="等线" w:eastAsia="宋体" w:cs="Times New Roman"/>
        <w:b/>
        <w:bCs/>
      </w:rPr>
    </w:tblStylePr>
    <w:tblStylePr w:type="lastCol">
      <w:rPr>
        <w:rFonts w:ascii="等线" w:hAnsi="等线" w:eastAsia="宋体" w:cs="Times New Roman"/>
        <w:b/>
        <w:bCs/>
      </w:rPr>
      <w:tcPr>
        <w:tcBorders>
          <w:top w:val="single" w:color="F79646" w:sz="8" w:space="0"/>
          <w:left w:val="single" w:color="F79646" w:sz="8" w:space="0"/>
          <w:bottom w:val="single" w:color="F79646" w:sz="8" w:space="0"/>
          <w:right w:val="single" w:color="F79646" w:sz="8" w:space="0"/>
        </w:tcBorders>
      </w:tcPr>
    </w:tblStylePr>
    <w:tblStylePr w:type="band1Vert">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customStyle="1" w:styleId="232">
    <w:name w:val="彩色底纹 - 强调文字颜色 51"/>
    <w:basedOn w:val="55"/>
    <w:qFormat/>
    <w:uiPriority w:val="0"/>
    <w:rPr>
      <w:rFonts w:ascii="Cambria" w:hAnsi="Cambria"/>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cPr>
        <w:tcBorders>
          <w:top w:val="nil"/>
          <w:left w:val="nil"/>
          <w:bottom w:val="single" w:color="F79646"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76A7C"/>
      </w:tcPr>
    </w:tblStylePr>
    <w:tblStylePr w:type="firstCol">
      <w:rPr>
        <w:color w:val="FFFFFF"/>
      </w:rPr>
      <w:tcPr>
        <w:tcBorders>
          <w:top w:val="nil"/>
          <w:left w:val="nil"/>
          <w:bottom w:val="nil"/>
          <w:right w:val="nil"/>
          <w:insideH w:val="single" w:sz="4" w:space="0"/>
          <w:insideV w:val="nil"/>
        </w:tcBorders>
        <w:shd w:val="clear" w:color="auto" w:fill="276A7C"/>
      </w:tcPr>
    </w:tblStylePr>
    <w:tblStylePr w:type="lastCol">
      <w:rPr>
        <w:color w:val="FFFFFF"/>
      </w:rPr>
      <w:tcPr>
        <w:tcBorders>
          <w:top w:val="nil"/>
          <w:left w:val="nil"/>
          <w:bottom w:val="nil"/>
          <w:right w:val="nil"/>
          <w:insideH w:val="nil"/>
          <w:insideV w:val="nil"/>
        </w:tcBorders>
        <w:shd w:val="clear" w:color="auto" w:fill="276A7C"/>
      </w:tcPr>
    </w:tblStylePr>
    <w:tblStylePr w:type="band1Vert">
      <w:tcPr>
        <w:shd w:val="clear" w:color="auto" w:fill="B6DDE8"/>
      </w:tcPr>
    </w:tblStylePr>
    <w:tblStylePr w:type="band1Horz">
      <w:tcPr>
        <w:shd w:val="clear" w:color="auto" w:fill="A5D5E2"/>
      </w:tcPr>
    </w:tblStylePr>
    <w:tblStylePr w:type="neCell">
      <w:rPr>
        <w:color w:val="000000"/>
      </w:rPr>
    </w:tblStylePr>
    <w:tblStylePr w:type="nwCell">
      <w:rPr>
        <w:color w:val="000000"/>
      </w:rPr>
    </w:tblStylePr>
  </w:style>
  <w:style w:type="table" w:customStyle="1" w:styleId="233">
    <w:name w:val="彩色列表 - 强调文字颜色 41"/>
    <w:basedOn w:val="55"/>
    <w:qFormat/>
    <w:uiPriority w:val="0"/>
    <w:rPr>
      <w:rFonts w:ascii="Cambria" w:hAnsi="Cambria"/>
      <w:color w:val="000000"/>
    </w:rPr>
    <w:tcPr>
      <w:shd w:val="clear" w:color="auto" w:fill="F2EFF6"/>
    </w:tcPr>
    <w:tblStylePr w:type="firstRow">
      <w:rPr>
        <w:b/>
        <w:bCs/>
        <w:color w:val="FFFFFF"/>
      </w:rPr>
      <w:tcPr>
        <w:tcBorders>
          <w:bottom w:val="single" w:color="FFFFFF" w:sz="12" w:space="0"/>
        </w:tcBorders>
        <w:shd w:val="clear" w:color="auto" w:fill="7E9C40"/>
      </w:tcPr>
    </w:tblStylePr>
    <w:tblStylePr w:type="lastRow">
      <w:rPr>
        <w:b/>
        <w:bCs/>
        <w:color w:val="7E9C40"/>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cPr>
    </w:tblStylePr>
    <w:tblStylePr w:type="band1Horz">
      <w:tcPr>
        <w:shd w:val="clear" w:color="auto" w:fill="E5DFEC"/>
      </w:tcPr>
    </w:tblStylePr>
  </w:style>
  <w:style w:type="paragraph" w:customStyle="1" w:styleId="234">
    <w:name w:val="pa-0"/>
    <w:basedOn w:val="1"/>
    <w:qFormat/>
    <w:uiPriority w:val="0"/>
    <w:pPr>
      <w:widowControl/>
      <w:spacing w:line="320" w:lineRule="atLeast"/>
      <w:jc w:val="center"/>
    </w:pPr>
    <w:rPr>
      <w:rFonts w:ascii="宋体" w:hAnsi="宋体" w:cs="宋体"/>
      <w:sz w:val="24"/>
    </w:rPr>
  </w:style>
  <w:style w:type="paragraph" w:customStyle="1" w:styleId="235">
    <w:name w:val="pa-1"/>
    <w:basedOn w:val="1"/>
    <w:qFormat/>
    <w:uiPriority w:val="0"/>
    <w:pPr>
      <w:widowControl/>
      <w:spacing w:line="360" w:lineRule="atLeast"/>
      <w:ind w:firstLine="540"/>
    </w:pPr>
    <w:rPr>
      <w:rFonts w:ascii="宋体" w:hAnsi="宋体" w:cs="宋体"/>
      <w:sz w:val="24"/>
    </w:rPr>
  </w:style>
  <w:style w:type="paragraph" w:customStyle="1" w:styleId="236">
    <w:name w:val="pa-2"/>
    <w:basedOn w:val="1"/>
    <w:qFormat/>
    <w:uiPriority w:val="0"/>
    <w:pPr>
      <w:widowControl/>
      <w:spacing w:line="280" w:lineRule="atLeast"/>
      <w:ind w:firstLine="480"/>
    </w:pPr>
    <w:rPr>
      <w:rFonts w:ascii="宋体" w:hAnsi="宋体" w:cs="宋体"/>
      <w:sz w:val="24"/>
    </w:rPr>
  </w:style>
  <w:style w:type="paragraph" w:customStyle="1" w:styleId="237">
    <w:name w:val="pa-3"/>
    <w:basedOn w:val="1"/>
    <w:qFormat/>
    <w:uiPriority w:val="0"/>
    <w:pPr>
      <w:widowControl/>
      <w:spacing w:line="360" w:lineRule="atLeast"/>
      <w:ind w:firstLine="480"/>
    </w:pPr>
    <w:rPr>
      <w:rFonts w:ascii="宋体" w:hAnsi="宋体" w:cs="宋体"/>
      <w:sz w:val="24"/>
    </w:rPr>
  </w:style>
  <w:style w:type="paragraph" w:customStyle="1" w:styleId="238">
    <w:name w:val="pa-4"/>
    <w:basedOn w:val="1"/>
    <w:qFormat/>
    <w:uiPriority w:val="0"/>
    <w:pPr>
      <w:widowControl/>
      <w:spacing w:line="360" w:lineRule="atLeast"/>
    </w:pPr>
    <w:rPr>
      <w:rFonts w:ascii="宋体" w:hAnsi="宋体" w:cs="宋体"/>
      <w:sz w:val="24"/>
    </w:rPr>
  </w:style>
  <w:style w:type="paragraph" w:customStyle="1" w:styleId="239">
    <w:name w:val="pa-5"/>
    <w:basedOn w:val="1"/>
    <w:qFormat/>
    <w:uiPriority w:val="0"/>
    <w:pPr>
      <w:widowControl/>
      <w:spacing w:line="280" w:lineRule="atLeast"/>
    </w:pPr>
    <w:rPr>
      <w:rFonts w:ascii="宋体" w:hAnsi="宋体" w:cs="宋体"/>
      <w:sz w:val="24"/>
    </w:rPr>
  </w:style>
  <w:style w:type="character" w:customStyle="1" w:styleId="240">
    <w:name w:val="ca-01"/>
    <w:qFormat/>
    <w:uiPriority w:val="0"/>
    <w:rPr>
      <w:rFonts w:hint="eastAsia" w:ascii="黑体" w:eastAsia="黑体"/>
      <w:sz w:val="28"/>
      <w:szCs w:val="28"/>
    </w:rPr>
  </w:style>
  <w:style w:type="character" w:customStyle="1" w:styleId="241">
    <w:name w:val="ca-11"/>
    <w:qFormat/>
    <w:uiPriority w:val="0"/>
    <w:rPr>
      <w:rFonts w:hint="eastAsia" w:ascii="宋体" w:hAnsi="宋体" w:eastAsia="宋体"/>
      <w:sz w:val="24"/>
      <w:szCs w:val="24"/>
    </w:rPr>
  </w:style>
  <w:style w:type="character" w:customStyle="1" w:styleId="242">
    <w:name w:val="ca-21"/>
    <w:qFormat/>
    <w:uiPriority w:val="0"/>
    <w:rPr>
      <w:rFonts w:hint="eastAsia" w:ascii="宋体" w:hAnsi="宋体" w:eastAsia="宋体"/>
      <w:b/>
      <w:bCs/>
      <w:color w:val="000000"/>
      <w:spacing w:val="-20"/>
      <w:sz w:val="24"/>
      <w:szCs w:val="24"/>
    </w:rPr>
  </w:style>
  <w:style w:type="paragraph" w:customStyle="1" w:styleId="243">
    <w:name w:val="Char"/>
    <w:basedOn w:val="1"/>
    <w:qFormat/>
    <w:uiPriority w:val="0"/>
    <w:pPr>
      <w:numPr>
        <w:ilvl w:val="0"/>
        <w:numId w:val="1"/>
      </w:numPr>
    </w:pPr>
    <w:rPr>
      <w:sz w:val="24"/>
    </w:rPr>
  </w:style>
  <w:style w:type="paragraph" w:customStyle="1" w:styleId="244">
    <w:name w:val="Char2"/>
    <w:basedOn w:val="1"/>
    <w:qFormat/>
    <w:uiPriority w:val="0"/>
    <w:rPr>
      <w:rFonts w:ascii="Tahoma" w:hAnsi="Tahoma"/>
      <w:sz w:val="24"/>
      <w:szCs w:val="20"/>
    </w:rPr>
  </w:style>
  <w:style w:type="character" w:customStyle="1" w:styleId="245">
    <w:name w:val="正文（首行缩进两字） Char1"/>
    <w:qFormat/>
    <w:uiPriority w:val="0"/>
    <w:rPr>
      <w:rFonts w:eastAsia="宋体"/>
      <w:sz w:val="21"/>
      <w:szCs w:val="24"/>
      <w:lang w:val="en-US" w:eastAsia="zh-CN" w:bidi="ar-SA"/>
    </w:rPr>
  </w:style>
  <w:style w:type="paragraph" w:customStyle="1" w:styleId="246">
    <w:name w:val="Char Char"/>
    <w:basedOn w:val="1"/>
    <w:qFormat/>
    <w:uiPriority w:val="0"/>
    <w:rPr>
      <w:rFonts w:ascii="Tahoma" w:hAnsi="Tahoma"/>
      <w:sz w:val="24"/>
      <w:szCs w:val="20"/>
    </w:rPr>
  </w:style>
  <w:style w:type="paragraph" w:customStyle="1" w:styleId="247">
    <w:name w:val="默认段落字体 Para Char Char Char Char"/>
    <w:basedOn w:val="1"/>
    <w:qFormat/>
    <w:uiPriority w:val="0"/>
  </w:style>
  <w:style w:type="paragraph" w:customStyle="1" w:styleId="248">
    <w:name w:val="默认段落字体 Para Char Char"/>
    <w:basedOn w:val="1"/>
    <w:qFormat/>
    <w:uiPriority w:val="0"/>
  </w:style>
  <w:style w:type="paragraph" w:customStyle="1" w:styleId="249">
    <w:name w:val="金保标题1"/>
    <w:basedOn w:val="2"/>
    <w:next w:val="1"/>
    <w:qFormat/>
    <w:uiPriority w:val="0"/>
    <w:pPr>
      <w:pageBreakBefore/>
      <w:numPr>
        <w:ilvl w:val="0"/>
        <w:numId w:val="2"/>
      </w:numPr>
      <w:jc w:val="center"/>
    </w:pPr>
    <w:rPr>
      <w:rFonts w:ascii="黑体" w:hAnsi="Tahoma" w:eastAsia="黑体"/>
      <w:sz w:val="32"/>
      <w:szCs w:val="32"/>
    </w:rPr>
  </w:style>
  <w:style w:type="paragraph" w:customStyle="1" w:styleId="250">
    <w:name w:val="标题2"/>
    <w:basedOn w:val="3"/>
    <w:next w:val="1"/>
    <w:link w:val="251"/>
    <w:qFormat/>
    <w:uiPriority w:val="0"/>
    <w:pPr>
      <w:numPr>
        <w:ilvl w:val="1"/>
        <w:numId w:val="2"/>
      </w:numPr>
      <w:spacing w:line="415" w:lineRule="auto"/>
      <w:jc w:val="left"/>
    </w:pPr>
    <w:rPr>
      <w:rFonts w:ascii="Calibri" w:hAnsi="Calibri"/>
      <w:b w:val="0"/>
      <w:sz w:val="30"/>
      <w:szCs w:val="30"/>
    </w:rPr>
  </w:style>
  <w:style w:type="character" w:customStyle="1" w:styleId="251">
    <w:name w:val="标题2 Char"/>
    <w:link w:val="250"/>
    <w:qFormat/>
    <w:uiPriority w:val="0"/>
    <w:rPr>
      <w:rFonts w:ascii="Calibri" w:hAnsi="Calibri" w:eastAsia="黑体"/>
      <w:bCs/>
      <w:sz w:val="30"/>
      <w:szCs w:val="30"/>
    </w:rPr>
  </w:style>
  <w:style w:type="paragraph" w:customStyle="1" w:styleId="252">
    <w:name w:val="金保标题3"/>
    <w:basedOn w:val="4"/>
    <w:next w:val="1"/>
    <w:qFormat/>
    <w:uiPriority w:val="0"/>
    <w:pPr>
      <w:tabs>
        <w:tab w:val="left" w:pos="720"/>
        <w:tab w:val="left" w:pos="900"/>
      </w:tabs>
      <w:spacing w:line="480" w:lineRule="auto"/>
      <w:ind w:left="720" w:hanging="720"/>
    </w:pPr>
    <w:rPr>
      <w:rFonts w:ascii="黑体" w:hAnsi="黑体" w:eastAsia="黑体" w:cs="Arial"/>
      <w:b w:val="0"/>
      <w:color w:val="000000"/>
      <w:sz w:val="28"/>
      <w:szCs w:val="28"/>
    </w:rPr>
  </w:style>
  <w:style w:type="paragraph" w:customStyle="1" w:styleId="253">
    <w:name w:val="标准正文格式"/>
    <w:basedOn w:val="1"/>
    <w:link w:val="254"/>
    <w:qFormat/>
    <w:uiPriority w:val="0"/>
    <w:pPr>
      <w:widowControl/>
      <w:spacing w:before="60" w:after="120" w:line="360" w:lineRule="auto"/>
      <w:ind w:firstLine="200"/>
    </w:pPr>
    <w:rPr>
      <w:rFonts w:ascii="Calibri" w:hAnsi="Calibri" w:eastAsia="仿宋_GB2312"/>
      <w:bCs/>
      <w:sz w:val="28"/>
      <w:szCs w:val="20"/>
    </w:rPr>
  </w:style>
  <w:style w:type="character" w:customStyle="1" w:styleId="254">
    <w:name w:val="标准正文格式 Char"/>
    <w:link w:val="253"/>
    <w:qFormat/>
    <w:uiPriority w:val="0"/>
    <w:rPr>
      <w:rFonts w:eastAsia="仿宋_GB2312"/>
      <w:bCs/>
      <w:sz w:val="28"/>
      <w:lang w:val="en-US" w:eastAsia="zh-CN" w:bidi="ar-SA"/>
    </w:rPr>
  </w:style>
  <w:style w:type="paragraph" w:styleId="255">
    <w:name w:val="List Paragraph"/>
    <w:basedOn w:val="1"/>
    <w:link w:val="256"/>
    <w:qFormat/>
    <w:uiPriority w:val="99"/>
    <w:pPr>
      <w:ind w:firstLine="420"/>
    </w:pPr>
    <w:rPr>
      <w:rFonts w:ascii="Calibri" w:hAnsi="Calibri"/>
      <w:szCs w:val="20"/>
    </w:rPr>
  </w:style>
  <w:style w:type="character" w:customStyle="1" w:styleId="256">
    <w:name w:val="列表段落 字符"/>
    <w:link w:val="255"/>
    <w:qFormat/>
    <w:uiPriority w:val="34"/>
    <w:rPr>
      <w:rFonts w:ascii="Calibri" w:hAnsi="Calibri"/>
      <w:sz w:val="21"/>
    </w:rPr>
  </w:style>
  <w:style w:type="paragraph" w:customStyle="1" w:styleId="257">
    <w:name w:val="样式 标题 1第一章：标题 1µÚÒ»ÕÂ£º±êÌâ 1合同标题H1标书1h1Section HeadingH..."/>
    <w:basedOn w:val="2"/>
    <w:qFormat/>
    <w:uiPriority w:val="0"/>
    <w:pPr>
      <w:pageBreakBefore/>
      <w:numPr>
        <w:ilvl w:val="0"/>
        <w:numId w:val="3"/>
      </w:numPr>
      <w:pBdr>
        <w:top w:val="single" w:color="auto" w:sz="18" w:space="1"/>
      </w:pBdr>
      <w:spacing w:after="120" w:line="360" w:lineRule="auto"/>
      <w:jc w:val="left"/>
    </w:pPr>
    <w:rPr>
      <w:rFonts w:ascii="Times New Roman" w:hAnsi="Times New Roman"/>
      <w:szCs w:val="20"/>
    </w:rPr>
  </w:style>
  <w:style w:type="paragraph" w:customStyle="1" w:styleId="258">
    <w:name w:val="标准正文1"/>
    <w:basedOn w:val="1"/>
    <w:link w:val="259"/>
    <w:qFormat/>
    <w:uiPriority w:val="0"/>
    <w:pPr>
      <w:spacing w:line="288" w:lineRule="auto"/>
      <w:ind w:firstLine="420"/>
    </w:pPr>
    <w:rPr>
      <w:rFonts w:ascii="Calibri" w:hAnsi="Calibri" w:cs="宋体"/>
      <w:szCs w:val="20"/>
    </w:rPr>
  </w:style>
  <w:style w:type="character" w:customStyle="1" w:styleId="259">
    <w:name w:val="标准正文1 Char"/>
    <w:link w:val="258"/>
    <w:qFormat/>
    <w:uiPriority w:val="0"/>
    <w:rPr>
      <w:rFonts w:eastAsia="宋体" w:cs="宋体"/>
      <w:sz w:val="21"/>
      <w:lang w:val="en-US" w:eastAsia="zh-CN" w:bidi="ar-SA"/>
    </w:rPr>
  </w:style>
  <w:style w:type="paragraph" w:customStyle="1" w:styleId="260">
    <w:name w:val="样式 标题 2h22nd levelheading 2H2Title2H21Heading 2 HiddenHe...1"/>
    <w:basedOn w:val="3"/>
    <w:qFormat/>
    <w:uiPriority w:val="0"/>
    <w:pPr>
      <w:widowControl/>
      <w:tabs>
        <w:tab w:val="left" w:pos="576"/>
      </w:tabs>
      <w:spacing w:before="0" w:after="0" w:line="360" w:lineRule="auto"/>
      <w:ind w:left="576" w:hanging="576"/>
      <w:jc w:val="left"/>
    </w:pPr>
    <w:rPr>
      <w:rFonts w:ascii="黑体" w:hAnsi="宋体" w:cs="宋体"/>
      <w:szCs w:val="20"/>
    </w:rPr>
  </w:style>
  <w:style w:type="paragraph" w:customStyle="1" w:styleId="261">
    <w:name w:val="样式 标题 3heading 3H3h33rd levelHeading 3 - oldl3CTLevel 3 ..."/>
    <w:basedOn w:val="4"/>
    <w:qFormat/>
    <w:uiPriority w:val="0"/>
    <w:pPr>
      <w:widowControl/>
      <w:tabs>
        <w:tab w:val="left" w:pos="720"/>
      </w:tabs>
      <w:spacing w:before="0" w:after="0" w:line="360" w:lineRule="auto"/>
      <w:ind w:left="720" w:hanging="720"/>
      <w:jc w:val="left"/>
    </w:pPr>
    <w:rPr>
      <w:rFonts w:ascii="宋体" w:hAnsi="宋体" w:cs="宋体"/>
      <w:sz w:val="28"/>
      <w:szCs w:val="20"/>
    </w:rPr>
  </w:style>
  <w:style w:type="paragraph" w:customStyle="1" w:styleId="262">
    <w:name w:val="Char Char Char Char Char Char Char Char Char Char Char Char Char Char Char Char"/>
    <w:basedOn w:val="1"/>
    <w:qFormat/>
    <w:uiPriority w:val="0"/>
    <w:rPr>
      <w:rFonts w:ascii="Tahoma" w:hAnsi="Tahoma" w:eastAsia="仿宋_GB2312"/>
      <w:color w:val="000000"/>
      <w:sz w:val="24"/>
      <w:szCs w:val="20"/>
    </w:rPr>
  </w:style>
  <w:style w:type="character" w:customStyle="1" w:styleId="263">
    <w:name w:val="grame"/>
    <w:basedOn w:val="58"/>
    <w:qFormat/>
    <w:uiPriority w:val="0"/>
  </w:style>
  <w:style w:type="character" w:customStyle="1" w:styleId="264">
    <w:name w:val="p101"/>
    <w:qFormat/>
    <w:uiPriority w:val="0"/>
    <w:rPr>
      <w:rFonts w:hint="default"/>
      <w:sz w:val="20"/>
      <w:u w:val="none"/>
    </w:rPr>
  </w:style>
  <w:style w:type="paragraph" w:customStyle="1" w:styleId="265">
    <w:name w:val="textfontgray"/>
    <w:basedOn w:val="1"/>
    <w:qFormat/>
    <w:uiPriority w:val="0"/>
    <w:pPr>
      <w:widowControl/>
      <w:spacing w:before="100" w:beforeAutospacing="1" w:after="100" w:afterAutospacing="1" w:line="432" w:lineRule="auto"/>
      <w:jc w:val="left"/>
    </w:pPr>
    <w:rPr>
      <w:color w:val="999999"/>
      <w:sz w:val="18"/>
      <w:szCs w:val="20"/>
    </w:rPr>
  </w:style>
  <w:style w:type="paragraph" w:customStyle="1" w:styleId="266">
    <w:name w:val="dashed"/>
    <w:basedOn w:val="1"/>
    <w:qFormat/>
    <w:uiPriority w:val="0"/>
    <w:pPr>
      <w:widowControl/>
      <w:pBdr>
        <w:top w:val="single" w:color="999999" w:sz="6" w:space="0"/>
        <w:left w:val="single" w:color="999999" w:sz="6" w:space="0"/>
        <w:bottom w:val="single" w:color="999999" w:sz="6" w:space="0"/>
        <w:right w:val="single" w:color="999999" w:sz="6" w:space="0"/>
      </w:pBdr>
      <w:spacing w:before="100" w:beforeAutospacing="1" w:after="100" w:afterAutospacing="1"/>
      <w:jc w:val="left"/>
    </w:pPr>
    <w:rPr>
      <w:rFonts w:ascii="Arial Unicode MS" w:hAnsi="Arial Unicode MS"/>
      <w:color w:val="000000"/>
      <w:sz w:val="24"/>
      <w:szCs w:val="20"/>
    </w:rPr>
  </w:style>
  <w:style w:type="paragraph" w:customStyle="1" w:styleId="267">
    <w:name w:val="salefont9"/>
    <w:basedOn w:val="1"/>
    <w:qFormat/>
    <w:uiPriority w:val="0"/>
    <w:pPr>
      <w:widowControl/>
      <w:spacing w:before="100" w:beforeAutospacing="1" w:after="100" w:afterAutospacing="1" w:line="384" w:lineRule="auto"/>
      <w:jc w:val="left"/>
    </w:pPr>
    <w:rPr>
      <w:color w:val="FF3300"/>
      <w:sz w:val="18"/>
      <w:szCs w:val="20"/>
    </w:rPr>
  </w:style>
  <w:style w:type="paragraph" w:customStyle="1" w:styleId="268">
    <w:name w:val="flType"/>
    <w:basedOn w:val="1"/>
    <w:qFormat/>
    <w:uiPriority w:val="0"/>
    <w:pPr>
      <w:spacing w:after="284" w:line="113" w:lineRule="atLeast"/>
      <w:jc w:val="center"/>
    </w:pPr>
    <w:rPr>
      <w:sz w:val="24"/>
      <w:szCs w:val="20"/>
    </w:rPr>
  </w:style>
  <w:style w:type="paragraph" w:customStyle="1" w:styleId="269">
    <w:name w:val="Char1"/>
    <w:basedOn w:val="14"/>
    <w:qFormat/>
    <w:uiPriority w:val="0"/>
    <w:rPr>
      <w:rFonts w:ascii="Tahoma" w:hAnsi="Tahoma"/>
      <w:sz w:val="24"/>
    </w:rPr>
  </w:style>
  <w:style w:type="paragraph" w:customStyle="1" w:styleId="270">
    <w:name w:val="序号正文"/>
    <w:basedOn w:val="1"/>
    <w:qFormat/>
    <w:uiPriority w:val="0"/>
    <w:pPr>
      <w:numPr>
        <w:ilvl w:val="0"/>
        <w:numId w:val="4"/>
      </w:numPr>
      <w:tabs>
        <w:tab w:val="left" w:pos="360"/>
        <w:tab w:val="left" w:pos="425"/>
      </w:tabs>
      <w:spacing w:before="156" w:after="156" w:line="300" w:lineRule="auto"/>
      <w:ind w:left="0" w:firstLine="0"/>
    </w:pPr>
    <w:rPr>
      <w:sz w:val="24"/>
      <w:szCs w:val="20"/>
    </w:rPr>
  </w:style>
  <w:style w:type="paragraph" w:customStyle="1" w:styleId="271">
    <w:name w:val="p10"/>
    <w:basedOn w:val="1"/>
    <w:qFormat/>
    <w:uiPriority w:val="0"/>
    <w:pPr>
      <w:widowControl/>
      <w:spacing w:before="100" w:beforeAutospacing="1" w:after="100" w:afterAutospacing="1" w:line="432" w:lineRule="auto"/>
      <w:jc w:val="left"/>
    </w:pPr>
    <w:rPr>
      <w:color w:val="000000"/>
      <w:sz w:val="20"/>
      <w:szCs w:val="20"/>
    </w:rPr>
  </w:style>
  <w:style w:type="paragraph" w:customStyle="1" w:styleId="272">
    <w:name w:val="headfont9"/>
    <w:basedOn w:val="1"/>
    <w:qFormat/>
    <w:uiPriority w:val="0"/>
    <w:pPr>
      <w:widowControl/>
      <w:spacing w:before="100" w:beforeAutospacing="1" w:after="100" w:afterAutospacing="1"/>
      <w:jc w:val="left"/>
    </w:pPr>
    <w:rPr>
      <w:color w:val="FFFFFF"/>
      <w:sz w:val="18"/>
      <w:szCs w:val="20"/>
    </w:rPr>
  </w:style>
  <w:style w:type="paragraph" w:customStyle="1" w:styleId="273">
    <w:name w:val="textfont12"/>
    <w:basedOn w:val="1"/>
    <w:qFormat/>
    <w:uiPriority w:val="0"/>
    <w:pPr>
      <w:widowControl/>
      <w:spacing w:before="100" w:beforeAutospacing="1" w:after="100" w:afterAutospacing="1"/>
      <w:jc w:val="left"/>
    </w:pPr>
    <w:rPr>
      <w:b/>
      <w:color w:val="000000"/>
      <w:sz w:val="24"/>
      <w:szCs w:val="20"/>
    </w:rPr>
  </w:style>
  <w:style w:type="paragraph" w:customStyle="1" w:styleId="274">
    <w:name w:val="表1"/>
    <w:basedOn w:val="1"/>
    <w:qFormat/>
    <w:uiPriority w:val="0"/>
    <w:pPr>
      <w:jc w:val="center"/>
    </w:pPr>
    <w:rPr>
      <w:spacing w:val="20"/>
      <w:szCs w:val="20"/>
    </w:rPr>
  </w:style>
  <w:style w:type="paragraph" w:customStyle="1" w:styleId="275">
    <w:name w:val="p9"/>
    <w:basedOn w:val="1"/>
    <w:qFormat/>
    <w:uiPriority w:val="0"/>
    <w:pPr>
      <w:widowControl/>
      <w:spacing w:before="100" w:beforeAutospacing="1" w:after="100" w:afterAutospacing="1"/>
      <w:jc w:val="left"/>
    </w:pPr>
    <w:rPr>
      <w:color w:val="000000"/>
      <w:sz w:val="18"/>
      <w:szCs w:val="20"/>
    </w:rPr>
  </w:style>
  <w:style w:type="paragraph" w:customStyle="1" w:styleId="276">
    <w:name w:val="profont"/>
    <w:basedOn w:val="1"/>
    <w:qFormat/>
    <w:uiPriority w:val="0"/>
    <w:pPr>
      <w:widowControl/>
      <w:spacing w:before="100" w:beforeAutospacing="1" w:after="100" w:afterAutospacing="1"/>
      <w:jc w:val="left"/>
    </w:pPr>
    <w:rPr>
      <w:rFonts w:ascii="Verdana" w:hAnsi="Verdana"/>
      <w:b/>
      <w:color w:val="333333"/>
      <w:sz w:val="24"/>
      <w:szCs w:val="20"/>
    </w:rPr>
  </w:style>
  <w:style w:type="paragraph" w:customStyle="1" w:styleId="277">
    <w:name w:val="纯文本1"/>
    <w:basedOn w:val="1"/>
    <w:link w:val="278"/>
    <w:qFormat/>
    <w:uiPriority w:val="0"/>
    <w:rPr>
      <w:rFonts w:ascii="宋体" w:hAnsi="Courier New" w:eastAsia="楷体_GB2312"/>
      <w:sz w:val="28"/>
      <w:szCs w:val="20"/>
    </w:rPr>
  </w:style>
  <w:style w:type="character" w:customStyle="1" w:styleId="278">
    <w:name w:val="Plain Text Char"/>
    <w:link w:val="277"/>
    <w:qFormat/>
    <w:uiPriority w:val="0"/>
    <w:rPr>
      <w:rFonts w:ascii="宋体" w:hAnsi="Courier New" w:eastAsia="楷体_GB2312"/>
      <w:sz w:val="28"/>
    </w:rPr>
  </w:style>
  <w:style w:type="paragraph" w:customStyle="1" w:styleId="279">
    <w:name w:val="段"/>
    <w:qFormat/>
    <w:uiPriority w:val="0"/>
    <w:pPr>
      <w:ind w:firstLine="200"/>
      <w:jc w:val="both"/>
    </w:pPr>
    <w:rPr>
      <w:rFonts w:hint="default" w:ascii="宋体" w:hAnsi="Times New Roman" w:eastAsia="宋体" w:cs="Times New Roman"/>
      <w:sz w:val="21"/>
    </w:rPr>
  </w:style>
  <w:style w:type="paragraph" w:customStyle="1" w:styleId="280">
    <w:name w:val="font0"/>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281">
    <w:name w:val="input"/>
    <w:basedOn w:val="1"/>
    <w:qFormat/>
    <w:uiPriority w:val="0"/>
    <w:pPr>
      <w:widowControl/>
      <w:pBdr>
        <w:top w:val="single" w:color="666666" w:sz="6" w:space="0"/>
        <w:left w:val="single" w:color="666666" w:sz="6" w:space="0"/>
        <w:bottom w:val="single" w:color="CCCCCC" w:sz="6" w:space="0"/>
        <w:right w:val="single" w:color="CCCCCC" w:sz="6" w:space="0"/>
      </w:pBdr>
      <w:spacing w:before="100" w:beforeAutospacing="1" w:after="100" w:afterAutospacing="1"/>
      <w:jc w:val="left"/>
    </w:pPr>
    <w:rPr>
      <w:color w:val="000000"/>
      <w:sz w:val="18"/>
      <w:szCs w:val="20"/>
    </w:rPr>
  </w:style>
  <w:style w:type="paragraph" w:customStyle="1" w:styleId="282">
    <w:name w:val="小标题"/>
    <w:basedOn w:val="1"/>
    <w:qFormat/>
    <w:uiPriority w:val="0"/>
    <w:rPr>
      <w:rFonts w:ascii="宋体" w:hAnsi="宋体"/>
      <w:b/>
      <w:sz w:val="24"/>
      <w:szCs w:val="20"/>
    </w:rPr>
  </w:style>
  <w:style w:type="paragraph" w:customStyle="1" w:styleId="283">
    <w:name w:val="样式 Arial 小四 行距: 1.5 倍行距"/>
    <w:basedOn w:val="1"/>
    <w:qFormat/>
    <w:uiPriority w:val="0"/>
    <w:pPr>
      <w:spacing w:line="360" w:lineRule="auto"/>
      <w:ind w:firstLine="480"/>
    </w:pPr>
    <w:rPr>
      <w:rFonts w:ascii="Arial" w:hAnsi="Arial"/>
      <w:sz w:val="24"/>
      <w:szCs w:val="20"/>
    </w:rPr>
  </w:style>
  <w:style w:type="paragraph" w:customStyle="1" w:styleId="284">
    <w:name w:val="条例"/>
    <w:basedOn w:val="1"/>
    <w:qFormat/>
    <w:uiPriority w:val="0"/>
    <w:pPr>
      <w:keepLines/>
      <w:widowControl/>
      <w:spacing w:line="320" w:lineRule="exact"/>
      <w:ind w:left="2" w:right="210" w:firstLine="2"/>
    </w:pPr>
    <w:rPr>
      <w:rFonts w:ascii="宋体" w:hAnsi="宋体"/>
      <w:sz w:val="24"/>
      <w:szCs w:val="20"/>
    </w:rPr>
  </w:style>
  <w:style w:type="paragraph" w:customStyle="1" w:styleId="285">
    <w:name w:val="符号列表"/>
    <w:basedOn w:val="1"/>
    <w:qFormat/>
    <w:uiPriority w:val="0"/>
    <w:pPr>
      <w:numPr>
        <w:ilvl w:val="0"/>
        <w:numId w:val="5"/>
      </w:numPr>
      <w:spacing w:line="440" w:lineRule="exact"/>
    </w:pPr>
    <w:rPr>
      <w:sz w:val="24"/>
      <w:szCs w:val="20"/>
    </w:rPr>
  </w:style>
  <w:style w:type="paragraph" w:customStyle="1" w:styleId="286">
    <w:name w:val="font5"/>
    <w:basedOn w:val="1"/>
    <w:qFormat/>
    <w:uiPriority w:val="0"/>
    <w:pPr>
      <w:widowControl/>
      <w:spacing w:before="100" w:beforeAutospacing="1" w:after="100" w:afterAutospacing="1"/>
      <w:jc w:val="left"/>
    </w:pPr>
    <w:rPr>
      <w:rFonts w:ascii="宋体" w:hAnsi="宋体" w:cs="宋体"/>
      <w:sz w:val="18"/>
      <w:szCs w:val="18"/>
    </w:rPr>
  </w:style>
  <w:style w:type="paragraph" w:customStyle="1" w:styleId="287">
    <w:name w:val="xl23"/>
    <w:basedOn w:val="1"/>
    <w:qFormat/>
    <w:uiPriority w:val="0"/>
    <w:pPr>
      <w:widowControl/>
      <w:spacing w:before="100" w:beforeAutospacing="1" w:after="100" w:afterAutospacing="1"/>
      <w:jc w:val="center"/>
    </w:pPr>
    <w:rPr>
      <w:rFonts w:ascii="宋体" w:hAnsi="宋体" w:cs="宋体"/>
      <w:sz w:val="24"/>
    </w:rPr>
  </w:style>
  <w:style w:type="paragraph" w:customStyle="1" w:styleId="28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4"/>
    </w:rPr>
  </w:style>
  <w:style w:type="paragraph" w:customStyle="1" w:styleId="28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sz w:val="24"/>
    </w:rPr>
  </w:style>
  <w:style w:type="paragraph" w:customStyle="1" w:styleId="2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18"/>
      <w:szCs w:val="18"/>
    </w:rPr>
  </w:style>
  <w:style w:type="paragraph" w:customStyle="1" w:styleId="29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rPr>
  </w:style>
  <w:style w:type="paragraph" w:customStyle="1" w:styleId="29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18"/>
      <w:szCs w:val="18"/>
    </w:rPr>
  </w:style>
  <w:style w:type="paragraph" w:customStyle="1" w:styleId="29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18"/>
      <w:szCs w:val="18"/>
    </w:rPr>
  </w:style>
  <w:style w:type="paragraph" w:customStyle="1" w:styleId="29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sz w:val="12"/>
      <w:szCs w:val="12"/>
    </w:rPr>
  </w:style>
  <w:style w:type="paragraph" w:customStyle="1" w:styleId="2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12"/>
      <w:szCs w:val="12"/>
    </w:rPr>
  </w:style>
  <w:style w:type="paragraph" w:customStyle="1" w:styleId="296">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sz w:val="24"/>
    </w:rPr>
  </w:style>
  <w:style w:type="paragraph" w:customStyle="1" w:styleId="297">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sz w:val="24"/>
    </w:rPr>
  </w:style>
  <w:style w:type="paragraph" w:customStyle="1" w:styleId="298">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rPr>
  </w:style>
  <w:style w:type="paragraph" w:customStyle="1" w:styleId="299">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sz w:val="18"/>
      <w:szCs w:val="18"/>
    </w:rPr>
  </w:style>
  <w:style w:type="paragraph" w:customStyle="1" w:styleId="300">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sz w:val="18"/>
      <w:szCs w:val="18"/>
    </w:rPr>
  </w:style>
  <w:style w:type="paragraph" w:customStyle="1" w:styleId="301">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18"/>
      <w:szCs w:val="18"/>
    </w:rPr>
  </w:style>
  <w:style w:type="paragraph" w:customStyle="1" w:styleId="302">
    <w:name w:val="xl38"/>
    <w:basedOn w:val="1"/>
    <w:qFormat/>
    <w:uiPriority w:val="0"/>
    <w:pPr>
      <w:widowControl/>
      <w:spacing w:before="100" w:beforeAutospacing="1" w:after="100" w:afterAutospacing="1"/>
      <w:jc w:val="center"/>
    </w:pPr>
    <w:rPr>
      <w:rFonts w:ascii="宋体" w:hAnsi="宋体" w:cs="宋体"/>
      <w:b/>
      <w:bCs/>
      <w:sz w:val="32"/>
      <w:szCs w:val="32"/>
    </w:rPr>
  </w:style>
  <w:style w:type="paragraph" w:customStyle="1" w:styleId="303">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sz w:val="24"/>
    </w:rPr>
  </w:style>
  <w:style w:type="paragraph" w:customStyle="1" w:styleId="304">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4"/>
    </w:rPr>
  </w:style>
  <w:style w:type="character" w:customStyle="1" w:styleId="305">
    <w:name w:val="style31"/>
    <w:qFormat/>
    <w:uiPriority w:val="0"/>
    <w:rPr>
      <w:sz w:val="23"/>
      <w:szCs w:val="23"/>
    </w:rPr>
  </w:style>
  <w:style w:type="character" w:customStyle="1" w:styleId="306">
    <w:name w:val="headertext"/>
    <w:basedOn w:val="58"/>
    <w:qFormat/>
    <w:uiPriority w:val="0"/>
  </w:style>
  <w:style w:type="character" w:customStyle="1" w:styleId="307">
    <w:name w:val="style5"/>
    <w:basedOn w:val="58"/>
    <w:qFormat/>
    <w:uiPriority w:val="0"/>
  </w:style>
  <w:style w:type="character" w:customStyle="1" w:styleId="308">
    <w:name w:val="style3"/>
    <w:basedOn w:val="58"/>
    <w:qFormat/>
    <w:uiPriority w:val="0"/>
  </w:style>
  <w:style w:type="character" w:customStyle="1" w:styleId="309">
    <w:name w:val="font1"/>
    <w:qFormat/>
    <w:uiPriority w:val="0"/>
    <w:rPr>
      <w:color w:val="0066CC"/>
      <w:sz w:val="18"/>
      <w:szCs w:val="18"/>
      <w:u w:val="none"/>
    </w:rPr>
  </w:style>
  <w:style w:type="character" w:customStyle="1" w:styleId="310">
    <w:name w:val="txt1"/>
    <w:qFormat/>
    <w:uiPriority w:val="0"/>
    <w:rPr>
      <w:rFonts w:hint="default"/>
      <w:sz w:val="18"/>
      <w:szCs w:val="18"/>
    </w:rPr>
  </w:style>
  <w:style w:type="character" w:customStyle="1" w:styleId="311">
    <w:name w:val="font-121"/>
    <w:qFormat/>
    <w:uiPriority w:val="0"/>
    <w:rPr>
      <w:color w:val="666666"/>
      <w:sz w:val="24"/>
      <w:szCs w:val="24"/>
      <w:u w:val="none"/>
    </w:rPr>
  </w:style>
  <w:style w:type="character" w:customStyle="1" w:styleId="312">
    <w:name w:val="style41"/>
    <w:qFormat/>
    <w:uiPriority w:val="0"/>
    <w:rPr>
      <w:color w:val="F49304"/>
    </w:rPr>
  </w:style>
  <w:style w:type="character" w:customStyle="1" w:styleId="313">
    <w:name w:val="正文缩进 Char"/>
    <w:qFormat/>
    <w:uiPriority w:val="0"/>
    <w:rPr>
      <w:rFonts w:eastAsia="宋体"/>
      <w:sz w:val="24"/>
      <w:lang w:val="en-US" w:eastAsia="zh-CN" w:bidi="ar-SA"/>
    </w:rPr>
  </w:style>
  <w:style w:type="character" w:customStyle="1" w:styleId="314">
    <w:name w:val="text1"/>
    <w:qFormat/>
    <w:uiPriority w:val="0"/>
    <w:rPr>
      <w:rFonts w:hint="default" w:ascii="ˎ̥" w:hAnsi="ˎ̥"/>
      <w:color w:val="000000"/>
      <w:sz w:val="18"/>
      <w:szCs w:val="18"/>
      <w:u w:val="none"/>
    </w:rPr>
  </w:style>
  <w:style w:type="character" w:customStyle="1" w:styleId="315">
    <w:name w:val="style61"/>
    <w:qFormat/>
    <w:uiPriority w:val="0"/>
    <w:rPr>
      <w:b/>
      <w:bCs/>
      <w:color w:val="F49304"/>
    </w:rPr>
  </w:style>
  <w:style w:type="character" w:customStyle="1" w:styleId="316">
    <w:name w:val="headerboxgreen"/>
    <w:basedOn w:val="58"/>
    <w:qFormat/>
    <w:uiPriority w:val="0"/>
  </w:style>
  <w:style w:type="character" w:customStyle="1" w:styleId="317">
    <w:name w:val="textnorm_chn1"/>
    <w:qFormat/>
    <w:uiPriority w:val="0"/>
    <w:rPr>
      <w:rFonts w:hint="default" w:ascii="Arial" w:hAnsi="Arial" w:cs="Arial"/>
      <w:color w:val="21254A"/>
      <w:sz w:val="22"/>
      <w:szCs w:val="22"/>
    </w:rPr>
  </w:style>
  <w:style w:type="character" w:customStyle="1" w:styleId="318">
    <w:name w:val="marklong"/>
    <w:basedOn w:val="58"/>
    <w:qFormat/>
    <w:uiPriority w:val="0"/>
  </w:style>
  <w:style w:type="character" w:customStyle="1" w:styleId="319">
    <w:name w:val="style51"/>
    <w:qFormat/>
    <w:uiPriority w:val="0"/>
    <w:rPr>
      <w:color w:val="FFFFFF"/>
    </w:rPr>
  </w:style>
  <w:style w:type="character" w:customStyle="1" w:styleId="320">
    <w:name w:val="Char Char4"/>
    <w:qFormat/>
    <w:uiPriority w:val="0"/>
    <w:rPr>
      <w:rFonts w:ascii="Times New Roman" w:hAnsi="Times New Roman" w:eastAsia="宋体" w:cs="Times New Roman"/>
      <w:sz w:val="21"/>
      <w:szCs w:val="24"/>
      <w:lang w:val="en-US" w:eastAsia="zh-CN" w:bidi="ar-SA"/>
    </w:rPr>
  </w:style>
  <w:style w:type="character" w:customStyle="1" w:styleId="321">
    <w:name w:val="H2 Char"/>
    <w:qFormat/>
    <w:uiPriority w:val="0"/>
    <w:rPr>
      <w:rFonts w:ascii="Arial" w:hAnsi="Arial" w:eastAsia="黑体"/>
      <w:b/>
      <w:bCs/>
      <w:sz w:val="32"/>
      <w:szCs w:val="32"/>
    </w:rPr>
  </w:style>
  <w:style w:type="character" w:customStyle="1" w:styleId="322">
    <w:name w:val="style35"/>
    <w:basedOn w:val="58"/>
    <w:qFormat/>
    <w:uiPriority w:val="0"/>
  </w:style>
  <w:style w:type="character" w:customStyle="1" w:styleId="323">
    <w:name w:val="black1"/>
    <w:qFormat/>
    <w:uiPriority w:val="0"/>
    <w:rPr>
      <w:b/>
      <w:bCs/>
      <w:color w:val="000000"/>
      <w:sz w:val="19"/>
      <w:szCs w:val="19"/>
    </w:rPr>
  </w:style>
  <w:style w:type="paragraph" w:customStyle="1" w:styleId="324">
    <w:name w:val="样式 标题 2 + 宋体 小四"/>
    <w:basedOn w:val="3"/>
    <w:next w:val="22"/>
    <w:qFormat/>
    <w:uiPriority w:val="0"/>
    <w:pPr>
      <w:spacing w:line="415" w:lineRule="auto"/>
    </w:pPr>
    <w:rPr>
      <w:rFonts w:ascii="宋体" w:hAnsi="宋体" w:eastAsia="宋体"/>
      <w:sz w:val="24"/>
    </w:rPr>
  </w:style>
  <w:style w:type="paragraph" w:customStyle="1" w:styleId="325">
    <w:name w:val="CM20"/>
    <w:basedOn w:val="1"/>
    <w:next w:val="1"/>
    <w:qFormat/>
    <w:uiPriority w:val="0"/>
    <w:pPr>
      <w:spacing w:after="115"/>
      <w:jc w:val="left"/>
    </w:pPr>
    <w:rPr>
      <w:rFonts w:ascii=".a..DD.." w:eastAsia=".a..DD.."/>
      <w:sz w:val="24"/>
    </w:rPr>
  </w:style>
  <w:style w:type="paragraph" w:customStyle="1" w:styleId="326">
    <w:name w:val="标准"/>
    <w:basedOn w:val="1"/>
    <w:qFormat/>
    <w:uiPriority w:val="0"/>
    <w:pPr>
      <w:spacing w:line="240" w:lineRule="atLeast"/>
    </w:pPr>
    <w:rPr>
      <w:rFonts w:eastAsia="楷体_GB2312"/>
      <w:sz w:val="24"/>
      <w:szCs w:val="20"/>
    </w:rPr>
  </w:style>
  <w:style w:type="paragraph" w:customStyle="1" w:styleId="327">
    <w:name w:val="CM3"/>
    <w:basedOn w:val="328"/>
    <w:next w:val="328"/>
    <w:qFormat/>
    <w:uiPriority w:val="0"/>
    <w:pPr>
      <w:spacing w:line="626" w:lineRule="atLeast"/>
    </w:pPr>
    <w:rPr>
      <w:color w:val="auto"/>
    </w:rPr>
  </w:style>
  <w:style w:type="paragraph" w:customStyle="1" w:styleId="328">
    <w:name w:val="Default"/>
    <w:qFormat/>
    <w:uiPriority w:val="0"/>
    <w:pPr>
      <w:widowControl w:val="0"/>
    </w:pPr>
    <w:rPr>
      <w:rFonts w:hint="default" w:ascii=".a..DD.." w:hAnsi="Times New Roman" w:eastAsia=".a..DD.." w:cs="Times New Roman"/>
      <w:color w:val="000000"/>
      <w:sz w:val="24"/>
      <w:szCs w:val="24"/>
    </w:rPr>
  </w:style>
  <w:style w:type="paragraph" w:customStyle="1" w:styleId="329">
    <w:name w:val="Char21"/>
    <w:basedOn w:val="1"/>
    <w:qFormat/>
    <w:uiPriority w:val="0"/>
    <w:rPr>
      <w:rFonts w:ascii="Tahoma" w:hAnsi="Tahoma"/>
      <w:sz w:val="24"/>
      <w:szCs w:val="20"/>
    </w:rPr>
  </w:style>
  <w:style w:type="paragraph" w:customStyle="1" w:styleId="330">
    <w:name w:val="6"/>
    <w:basedOn w:val="1"/>
    <w:next w:val="19"/>
    <w:qFormat/>
    <w:uiPriority w:val="0"/>
    <w:pPr>
      <w:spacing w:after="120"/>
    </w:pPr>
  </w:style>
  <w:style w:type="paragraph" w:customStyle="1" w:styleId="331">
    <w:name w:val="标题 61"/>
    <w:basedOn w:val="1"/>
    <w:qFormat/>
    <w:uiPriority w:val="0"/>
    <w:pPr>
      <w:widowControl/>
      <w:jc w:val="left"/>
      <w:outlineLvl w:val="6"/>
    </w:pPr>
    <w:rPr>
      <w:rFonts w:ascii="宋体" w:hAnsi="宋体" w:cs="宋体"/>
      <w:color w:val="00569B"/>
      <w:szCs w:val="21"/>
    </w:rPr>
  </w:style>
  <w:style w:type="paragraph" w:customStyle="1" w:styleId="332">
    <w:name w:val="项符&gt;"/>
    <w:basedOn w:val="1"/>
    <w:qFormat/>
    <w:uiPriority w:val="0"/>
    <w:pPr>
      <w:tabs>
        <w:tab w:val="left" w:pos="420"/>
        <w:tab w:val="left" w:pos="720"/>
      </w:tabs>
      <w:spacing w:line="360" w:lineRule="auto"/>
      <w:ind w:left="720" w:hanging="720"/>
    </w:pPr>
    <w:rPr>
      <w:rFonts w:ascii="宋体" w:hAnsi="宋体"/>
      <w:sz w:val="24"/>
      <w:szCs w:val="30"/>
    </w:rPr>
  </w:style>
  <w:style w:type="paragraph" w:customStyle="1" w:styleId="333">
    <w:name w:val="样式1"/>
    <w:basedOn w:val="2"/>
    <w:qFormat/>
    <w:uiPriority w:val="0"/>
    <w:pPr>
      <w:tabs>
        <w:tab w:val="left" w:pos="720"/>
        <w:tab w:val="left" w:pos="840"/>
      </w:tabs>
      <w:spacing w:line="576" w:lineRule="auto"/>
      <w:ind w:left="720" w:hanging="720"/>
      <w:jc w:val="center"/>
    </w:pPr>
    <w:rPr>
      <w:rFonts w:ascii="Times New Roman" w:hAnsi="Times New Roman"/>
      <w:sz w:val="28"/>
    </w:rPr>
  </w:style>
  <w:style w:type="paragraph" w:customStyle="1" w:styleId="334">
    <w:name w:val="样式2"/>
    <w:basedOn w:val="3"/>
    <w:qFormat/>
    <w:uiPriority w:val="0"/>
    <w:pPr>
      <w:numPr>
        <w:ilvl w:val="0"/>
        <w:numId w:val="6"/>
      </w:numPr>
      <w:tabs>
        <w:tab w:val="left" w:pos="840"/>
      </w:tabs>
      <w:spacing w:line="415" w:lineRule="auto"/>
    </w:pPr>
    <w:rPr>
      <w:rFonts w:eastAsia="宋体"/>
      <w:sz w:val="24"/>
    </w:rPr>
  </w:style>
  <w:style w:type="paragraph" w:customStyle="1" w:styleId="335">
    <w:name w:val="CM2"/>
    <w:basedOn w:val="328"/>
    <w:next w:val="328"/>
    <w:qFormat/>
    <w:uiPriority w:val="0"/>
    <w:pPr>
      <w:spacing w:line="623" w:lineRule="atLeast"/>
    </w:pPr>
    <w:rPr>
      <w:color w:val="auto"/>
    </w:rPr>
  </w:style>
  <w:style w:type="paragraph" w:customStyle="1" w:styleId="336">
    <w:name w:val="样式 Verdana 首行缩进:  0.74 厘米"/>
    <w:basedOn w:val="1"/>
    <w:qFormat/>
    <w:uiPriority w:val="0"/>
    <w:pPr>
      <w:spacing w:line="360" w:lineRule="auto"/>
      <w:ind w:firstLine="420"/>
    </w:pPr>
    <w:rPr>
      <w:rFonts w:ascii="Verdana" w:hAnsi="Verdana" w:cs="宋体"/>
      <w:sz w:val="24"/>
      <w:szCs w:val="20"/>
    </w:rPr>
  </w:style>
  <w:style w:type="paragraph" w:customStyle="1" w:styleId="337">
    <w:name w:val="样式 正文（首行缩进两字） + 首行缩进:  2 字符"/>
    <w:basedOn w:val="12"/>
    <w:qFormat/>
    <w:uiPriority w:val="0"/>
    <w:pPr>
      <w:ind w:firstLine="200"/>
      <w:jc w:val="both"/>
    </w:pPr>
    <w:rPr>
      <w:rFonts w:eastAsia="宋体"/>
      <w:sz w:val="21"/>
      <w:szCs w:val="24"/>
    </w:rPr>
  </w:style>
  <w:style w:type="paragraph" w:customStyle="1" w:styleId="338">
    <w:name w:val="样式3"/>
    <w:basedOn w:val="334"/>
    <w:next w:val="334"/>
    <w:qFormat/>
    <w:uiPriority w:val="0"/>
  </w:style>
  <w:style w:type="paragraph" w:customStyle="1" w:styleId="339">
    <w:name w:val="Char Char Char Char"/>
    <w:basedOn w:val="1"/>
    <w:qFormat/>
    <w:uiPriority w:val="0"/>
  </w:style>
  <w:style w:type="paragraph" w:customStyle="1" w:styleId="340">
    <w:name w:val="Definition Term"/>
    <w:basedOn w:val="1"/>
    <w:next w:val="1"/>
    <w:qFormat/>
    <w:uiPriority w:val="0"/>
    <w:pPr>
      <w:widowControl/>
      <w:jc w:val="left"/>
    </w:pPr>
    <w:rPr>
      <w:sz w:val="20"/>
      <w:lang w:eastAsia="en-US"/>
    </w:rPr>
  </w:style>
  <w:style w:type="paragraph" w:customStyle="1" w:styleId="341">
    <w:name w:val="7"/>
    <w:basedOn w:val="1"/>
    <w:next w:val="26"/>
    <w:qFormat/>
    <w:uiPriority w:val="0"/>
    <w:rPr>
      <w:rFonts w:ascii="宋体" w:hAnsi="Courier New"/>
      <w:sz w:val="24"/>
      <w:szCs w:val="20"/>
    </w:rPr>
  </w:style>
  <w:style w:type="paragraph" w:customStyle="1" w:styleId="342">
    <w:name w:val="Char3"/>
    <w:basedOn w:val="1"/>
    <w:qFormat/>
    <w:uiPriority w:val="0"/>
    <w:pPr>
      <w:widowControl/>
      <w:tabs>
        <w:tab w:val="left" w:pos="76"/>
      </w:tabs>
      <w:spacing w:after="160" w:line="240" w:lineRule="exact"/>
      <w:ind w:left="-284"/>
      <w:jc w:val="left"/>
    </w:pPr>
    <w:rPr>
      <w:rFonts w:ascii="Verdana" w:hAnsi="Verdana" w:eastAsia="MS Mincho" w:cs="Verdana"/>
      <w:sz w:val="20"/>
      <w:szCs w:val="20"/>
      <w:lang w:eastAsia="en-US" w:bidi="kn-IN"/>
    </w:rPr>
  </w:style>
  <w:style w:type="paragraph" w:customStyle="1" w:styleId="343">
    <w:name w:val="-"/>
    <w:basedOn w:val="1"/>
    <w:qFormat/>
    <w:uiPriority w:val="0"/>
    <w:pPr>
      <w:tabs>
        <w:tab w:val="left" w:pos="720"/>
        <w:tab w:val="left" w:pos="840"/>
      </w:tabs>
      <w:spacing w:line="360" w:lineRule="auto"/>
      <w:ind w:left="720" w:hanging="720"/>
    </w:pPr>
    <w:rPr>
      <w:rFonts w:ascii="Arial" w:hAnsi="Arial" w:cs="Arial"/>
      <w:b/>
      <w:bCs/>
      <w:sz w:val="24"/>
      <w:szCs w:val="32"/>
    </w:rPr>
  </w:style>
  <w:style w:type="paragraph" w:customStyle="1" w:styleId="344">
    <w:name w:val="style8801"/>
    <w:basedOn w:val="1"/>
    <w:qFormat/>
    <w:uiPriority w:val="0"/>
    <w:pPr>
      <w:widowControl/>
      <w:spacing w:before="100" w:beforeAutospacing="1" w:after="100" w:afterAutospacing="1"/>
      <w:jc w:val="left"/>
    </w:pPr>
    <w:rPr>
      <w:rFonts w:ascii="宋体" w:hAnsi="宋体" w:cs="宋体"/>
      <w:color w:val="000000"/>
      <w:sz w:val="24"/>
    </w:rPr>
  </w:style>
  <w:style w:type="paragraph" w:customStyle="1" w:styleId="345">
    <w:name w:val="biaoge1"/>
    <w:basedOn w:val="1"/>
    <w:qFormat/>
    <w:uiPriority w:val="0"/>
    <w:pPr>
      <w:widowControl/>
      <w:spacing w:before="100" w:beforeAutospacing="1" w:after="100" w:afterAutospacing="1" w:line="375" w:lineRule="atLeast"/>
      <w:jc w:val="left"/>
    </w:pPr>
    <w:rPr>
      <w:rFonts w:ascii="宋体" w:hAnsi="宋体" w:cs="宋体"/>
      <w:color w:val="000000"/>
      <w:sz w:val="20"/>
      <w:szCs w:val="20"/>
    </w:rPr>
  </w:style>
  <w:style w:type="character" w:customStyle="1" w:styleId="346">
    <w:name w:val="info4"/>
    <w:qFormat/>
    <w:uiPriority w:val="0"/>
  </w:style>
  <w:style w:type="paragraph" w:styleId="347">
    <w:name w:val="No Spacing"/>
    <w:basedOn w:val="1"/>
    <w:link w:val="348"/>
    <w:qFormat/>
    <w:uiPriority w:val="1"/>
    <w:pPr>
      <w:widowControl/>
      <w:jc w:val="left"/>
    </w:pPr>
    <w:rPr>
      <w:rFonts w:ascii="Cambria" w:hAnsi="Cambria"/>
      <w:sz w:val="22"/>
      <w:szCs w:val="22"/>
      <w:lang w:eastAsia="en-US" w:bidi="en-US"/>
    </w:rPr>
  </w:style>
  <w:style w:type="character" w:customStyle="1" w:styleId="348">
    <w:name w:val="无间隔 字符"/>
    <w:link w:val="347"/>
    <w:qFormat/>
    <w:uiPriority w:val="0"/>
    <w:rPr>
      <w:rFonts w:ascii="Cambria" w:hAnsi="Cambria" w:eastAsia="宋体"/>
      <w:sz w:val="22"/>
      <w:szCs w:val="22"/>
      <w:lang w:val="en-US" w:eastAsia="en-US" w:bidi="en-US"/>
    </w:rPr>
  </w:style>
  <w:style w:type="paragraph" w:styleId="349">
    <w:name w:val="Quote"/>
    <w:basedOn w:val="1"/>
    <w:next w:val="1"/>
    <w:link w:val="350"/>
    <w:qFormat/>
    <w:uiPriority w:val="29"/>
    <w:pPr>
      <w:widowControl/>
      <w:spacing w:after="200" w:line="276" w:lineRule="auto"/>
      <w:jc w:val="left"/>
    </w:pPr>
    <w:rPr>
      <w:rFonts w:ascii="Cambria" w:hAnsi="Cambria"/>
      <w:i/>
      <w:iCs/>
      <w:sz w:val="22"/>
      <w:szCs w:val="22"/>
      <w:lang w:eastAsia="en-US" w:bidi="en-US"/>
    </w:rPr>
  </w:style>
  <w:style w:type="character" w:customStyle="1" w:styleId="350">
    <w:name w:val="引用 字符"/>
    <w:link w:val="349"/>
    <w:qFormat/>
    <w:uiPriority w:val="29"/>
    <w:rPr>
      <w:rFonts w:ascii="Cambria" w:hAnsi="Cambria" w:eastAsia="宋体"/>
      <w:i/>
      <w:iCs/>
      <w:sz w:val="22"/>
      <w:szCs w:val="22"/>
      <w:lang w:val="en-US" w:eastAsia="en-US" w:bidi="en-US"/>
    </w:rPr>
  </w:style>
  <w:style w:type="paragraph" w:styleId="351">
    <w:name w:val="Intense Quote"/>
    <w:basedOn w:val="1"/>
    <w:next w:val="1"/>
    <w:link w:val="352"/>
    <w:qFormat/>
    <w:uiPriority w:val="30"/>
    <w:pPr>
      <w:widowControl/>
      <w:pBdr>
        <w:top w:val="single" w:color="auto" w:sz="4" w:space="10"/>
        <w:bottom w:val="single" w:color="auto" w:sz="4" w:space="10"/>
      </w:pBdr>
      <w:spacing w:before="240" w:after="240" w:line="300" w:lineRule="auto"/>
      <w:ind w:left="1152" w:right="1152"/>
    </w:pPr>
    <w:rPr>
      <w:rFonts w:ascii="Cambria" w:hAnsi="Cambria"/>
      <w:i/>
      <w:iCs/>
      <w:sz w:val="22"/>
      <w:szCs w:val="22"/>
      <w:lang w:eastAsia="en-US" w:bidi="en-US"/>
    </w:rPr>
  </w:style>
  <w:style w:type="character" w:customStyle="1" w:styleId="352">
    <w:name w:val="明显引用 字符"/>
    <w:link w:val="351"/>
    <w:qFormat/>
    <w:uiPriority w:val="30"/>
    <w:rPr>
      <w:rFonts w:ascii="Cambria" w:hAnsi="Cambria" w:eastAsia="宋体"/>
      <w:i/>
      <w:iCs/>
      <w:sz w:val="22"/>
      <w:szCs w:val="22"/>
      <w:lang w:val="en-US" w:eastAsia="en-US" w:bidi="en-US"/>
    </w:rPr>
  </w:style>
  <w:style w:type="paragraph" w:customStyle="1" w:styleId="353">
    <w:name w:val="TOC 标题1"/>
    <w:basedOn w:val="2"/>
    <w:next w:val="1"/>
    <w:qFormat/>
    <w:uiPriority w:val="99"/>
    <w:pPr>
      <w:keepNext w:val="0"/>
      <w:keepLines w:val="0"/>
      <w:widowControl/>
      <w:spacing w:before="480" w:line="276" w:lineRule="auto"/>
      <w:contextualSpacing/>
      <w:jc w:val="left"/>
      <w:outlineLvl w:val="9"/>
    </w:pPr>
    <w:rPr>
      <w:rFonts w:ascii="Cambria" w:hAnsi="Cambria"/>
      <w:b w:val="0"/>
      <w:bCs w:val="0"/>
      <w:smallCaps/>
      <w:spacing w:val="5"/>
      <w:sz w:val="36"/>
      <w:szCs w:val="36"/>
      <w:lang w:eastAsia="en-US" w:bidi="en-US"/>
    </w:rPr>
  </w:style>
  <w:style w:type="table" w:customStyle="1" w:styleId="354">
    <w:name w:val="浅色列表 - 强调文字颜色 11"/>
    <w:basedOn w:val="55"/>
    <w:qFormat/>
    <w:uiPriority w:val="0"/>
    <w:rPr>
      <w:rFonts w:ascii="Cambria" w:hAnsi="Cambria"/>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sing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55">
    <w:name w:val="浅色网格 - 强调文字颜色 11"/>
    <w:basedOn w:val="55"/>
    <w:qFormat/>
    <w:uiPriority w:val="0"/>
    <w:rPr>
      <w:rFonts w:ascii="Cambria" w:hAnsi="Cambria"/>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等线" w:hAnsi="等线"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等线" w:hAnsi="等线" w:eastAsia="宋体" w:cs="Times New Roman"/>
        <w:b/>
        <w:bCs/>
      </w:rPr>
      <w:tcPr>
        <w:tcBorders>
          <w:top w:val="sing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等线" w:hAnsi="等线" w:eastAsia="宋体" w:cs="Times New Roman"/>
        <w:b/>
        <w:bCs/>
      </w:rPr>
    </w:tblStylePr>
    <w:tblStylePr w:type="lastCol">
      <w:rPr>
        <w:rFonts w:ascii="等线" w:hAnsi="等线"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paragraph" w:customStyle="1" w:styleId="356">
    <w:name w:val="navtext"/>
    <w:basedOn w:val="1"/>
    <w:qFormat/>
    <w:uiPriority w:val="0"/>
    <w:pPr>
      <w:widowControl/>
      <w:spacing w:before="100" w:beforeAutospacing="1" w:after="100" w:afterAutospacing="1"/>
    </w:pPr>
    <w:rPr>
      <w:rFonts w:ascii="Arial" w:hAnsi="Arial" w:cs="Arial"/>
      <w:color w:val="333333"/>
      <w:sz w:val="18"/>
      <w:szCs w:val="18"/>
      <w:lang w:eastAsia="en-US" w:bidi="en-US"/>
    </w:rPr>
  </w:style>
  <w:style w:type="paragraph" w:customStyle="1" w:styleId="357">
    <w:name w:val="锐丰正文 Char"/>
    <w:basedOn w:val="1"/>
    <w:link w:val="358"/>
    <w:qFormat/>
    <w:uiPriority w:val="0"/>
    <w:pPr>
      <w:spacing w:line="520" w:lineRule="exact"/>
      <w:ind w:firstLine="200"/>
    </w:pPr>
    <w:rPr>
      <w:rFonts w:ascii="Calibri" w:hAnsi="Calibri" w:eastAsia="楷体_GB2312"/>
      <w:sz w:val="28"/>
      <w:lang w:eastAsia="en-US" w:bidi="en-US"/>
    </w:rPr>
  </w:style>
  <w:style w:type="character" w:customStyle="1" w:styleId="358">
    <w:name w:val="锐丰正文 Char Char"/>
    <w:link w:val="357"/>
    <w:qFormat/>
    <w:uiPriority w:val="0"/>
    <w:rPr>
      <w:rFonts w:eastAsia="楷体_GB2312"/>
      <w:sz w:val="28"/>
      <w:szCs w:val="24"/>
      <w:lang w:val="en-US" w:eastAsia="en-US" w:bidi="en-US"/>
    </w:rPr>
  </w:style>
  <w:style w:type="paragraph" w:customStyle="1" w:styleId="359">
    <w:name w:val="锐丰图片"/>
    <w:link w:val="360"/>
    <w:qFormat/>
    <w:uiPriority w:val="0"/>
    <w:pPr>
      <w:spacing w:after="200" w:line="276" w:lineRule="auto"/>
      <w:jc w:val="center"/>
    </w:pPr>
    <w:rPr>
      <w:rFonts w:hint="default" w:ascii="Calibri" w:hAnsi="Calibri" w:eastAsia="楷体_GB2312" w:cs="Times New Roman"/>
      <w:color w:val="0000FF"/>
      <w:sz w:val="28"/>
      <w:szCs w:val="28"/>
    </w:rPr>
  </w:style>
  <w:style w:type="character" w:customStyle="1" w:styleId="360">
    <w:name w:val="锐丰图片 Char"/>
    <w:link w:val="359"/>
    <w:qFormat/>
    <w:uiPriority w:val="0"/>
    <w:rPr>
      <w:rFonts w:eastAsia="楷体_GB2312"/>
      <w:color w:val="0000FF"/>
      <w:sz w:val="28"/>
      <w:szCs w:val="28"/>
      <w:lang w:val="en-US" w:eastAsia="zh-CN" w:bidi="ar-SA"/>
    </w:rPr>
  </w:style>
  <w:style w:type="paragraph" w:customStyle="1" w:styleId="361">
    <w:name w:val="锐丰图片 Char Char"/>
    <w:link w:val="362"/>
    <w:qFormat/>
    <w:uiPriority w:val="0"/>
    <w:pPr>
      <w:spacing w:after="200" w:line="276" w:lineRule="auto"/>
      <w:jc w:val="center"/>
    </w:pPr>
    <w:rPr>
      <w:rFonts w:hint="default" w:ascii="Calibri" w:hAnsi="Calibri" w:eastAsia="楷体_GB2312" w:cs="Times New Roman"/>
      <w:color w:val="0000FF"/>
      <w:sz w:val="28"/>
      <w:szCs w:val="28"/>
    </w:rPr>
  </w:style>
  <w:style w:type="character" w:customStyle="1" w:styleId="362">
    <w:name w:val="锐丰图片 Char Char Char"/>
    <w:link w:val="361"/>
    <w:qFormat/>
    <w:uiPriority w:val="0"/>
    <w:rPr>
      <w:rFonts w:eastAsia="楷体_GB2312"/>
      <w:color w:val="0000FF"/>
      <w:sz w:val="28"/>
      <w:szCs w:val="28"/>
      <w:lang w:val="en-US" w:eastAsia="zh-CN" w:bidi="ar-SA"/>
    </w:rPr>
  </w:style>
  <w:style w:type="paragraph" w:customStyle="1" w:styleId="363">
    <w:name w:val="样式 样式 标题 4 + 楷体_GB2312 非加粗 段前: 0 磅 段后: 0 磅 + 段前: 0.5 行"/>
    <w:basedOn w:val="1"/>
    <w:qFormat/>
    <w:uiPriority w:val="0"/>
    <w:pPr>
      <w:keepNext/>
      <w:keepLines/>
      <w:spacing w:line="377" w:lineRule="auto"/>
      <w:outlineLvl w:val="3"/>
    </w:pPr>
    <w:rPr>
      <w:rFonts w:ascii="楷体_GB2312" w:hAnsi="Arial" w:eastAsia="楷体_GB2312" w:cs="宋体"/>
      <w:b/>
      <w:bCs/>
      <w:sz w:val="28"/>
      <w:szCs w:val="22"/>
      <w:lang w:eastAsia="en-US" w:bidi="en-US"/>
    </w:rPr>
  </w:style>
  <w:style w:type="paragraph" w:customStyle="1" w:styleId="364">
    <w:name w:val="锐丰表格"/>
    <w:basedOn w:val="1"/>
    <w:qFormat/>
    <w:uiPriority w:val="0"/>
    <w:pPr>
      <w:jc w:val="left"/>
    </w:pPr>
    <w:rPr>
      <w:rFonts w:ascii="Arial" w:hAnsi="Arial" w:cs="Arial"/>
      <w:sz w:val="24"/>
      <w:lang w:eastAsia="en-US" w:bidi="en-US"/>
    </w:rPr>
  </w:style>
  <w:style w:type="paragraph" w:customStyle="1" w:styleId="365">
    <w:name w:val="bodytext"/>
    <w:basedOn w:val="1"/>
    <w:qFormat/>
    <w:uiPriority w:val="0"/>
    <w:pPr>
      <w:widowControl/>
      <w:spacing w:before="100" w:beforeAutospacing="1" w:after="100" w:afterAutospacing="1"/>
    </w:pPr>
    <w:rPr>
      <w:rFonts w:ascii="Arial" w:hAnsi="Arial" w:cs="Arial"/>
      <w:color w:val="000033"/>
      <w:sz w:val="16"/>
      <w:szCs w:val="16"/>
      <w:lang w:eastAsia="en-US" w:bidi="en-US"/>
    </w:rPr>
  </w:style>
  <w:style w:type="paragraph" w:customStyle="1" w:styleId="366">
    <w:name w:val="样式 (中文) 楷体_GB2312 四号 左 行距: 固定值 28 磅"/>
    <w:basedOn w:val="1"/>
    <w:qFormat/>
    <w:uiPriority w:val="0"/>
    <w:pPr>
      <w:spacing w:line="560" w:lineRule="exact"/>
      <w:ind w:firstLine="200"/>
      <w:jc w:val="left"/>
    </w:pPr>
    <w:rPr>
      <w:rFonts w:eastAsia="楷体_GB2312" w:cs="宋体"/>
      <w:sz w:val="28"/>
      <w:szCs w:val="22"/>
      <w:lang w:eastAsia="en-US" w:bidi="en-US"/>
    </w:rPr>
  </w:style>
  <w:style w:type="paragraph" w:customStyle="1" w:styleId="367">
    <w:name w:val="锐丰正文"/>
    <w:basedOn w:val="1"/>
    <w:qFormat/>
    <w:uiPriority w:val="0"/>
    <w:pPr>
      <w:spacing w:line="520" w:lineRule="exact"/>
      <w:ind w:firstLine="200"/>
    </w:pPr>
    <w:rPr>
      <w:rFonts w:eastAsia="楷体_GB2312"/>
      <w:sz w:val="28"/>
      <w:lang w:eastAsia="en-US" w:bidi="en-US"/>
    </w:rPr>
  </w:style>
  <w:style w:type="paragraph" w:customStyle="1" w:styleId="368">
    <w:name w:val="锐丰编号3"/>
    <w:basedOn w:val="367"/>
    <w:qFormat/>
    <w:uiPriority w:val="0"/>
    <w:pPr>
      <w:numPr>
        <w:ilvl w:val="0"/>
        <w:numId w:val="7"/>
      </w:numPr>
      <w:ind w:firstLine="0"/>
    </w:pPr>
    <w:rPr>
      <w:szCs w:val="20"/>
    </w:rPr>
  </w:style>
  <w:style w:type="paragraph" w:customStyle="1" w:styleId="369">
    <w:name w:val="锐丰编号二"/>
    <w:basedOn w:val="367"/>
    <w:qFormat/>
    <w:uiPriority w:val="0"/>
    <w:pPr>
      <w:numPr>
        <w:ilvl w:val="0"/>
        <w:numId w:val="8"/>
      </w:numPr>
      <w:ind w:firstLine="0"/>
    </w:pPr>
    <w:rPr>
      <w:szCs w:val="20"/>
    </w:rPr>
  </w:style>
  <w:style w:type="paragraph" w:customStyle="1" w:styleId="370">
    <w:name w:val="样式 宋体 小三 行距: 1.5 倍行距1"/>
    <w:basedOn w:val="19"/>
    <w:qFormat/>
    <w:uiPriority w:val="0"/>
    <w:pPr>
      <w:numPr>
        <w:ilvl w:val="0"/>
        <w:numId w:val="9"/>
      </w:numPr>
      <w:tabs>
        <w:tab w:val="left" w:pos="600"/>
        <w:tab w:val="clear" w:pos="980"/>
        <w:tab w:val="clear" w:pos="5250"/>
      </w:tabs>
      <w:ind w:left="601" w:hanging="201"/>
    </w:pPr>
    <w:rPr>
      <w:rFonts w:cs="宋体"/>
      <w:sz w:val="30"/>
      <w:szCs w:val="20"/>
    </w:rPr>
  </w:style>
  <w:style w:type="character" w:customStyle="1" w:styleId="371">
    <w:name w:val="bigtitle1"/>
    <w:qFormat/>
    <w:uiPriority w:val="0"/>
    <w:rPr>
      <w:rFonts w:hint="default" w:ascii="Arial" w:hAnsi="Arial" w:cs="Arial"/>
      <w:color w:val="263470"/>
      <w:sz w:val="48"/>
      <w:szCs w:val="48"/>
    </w:rPr>
  </w:style>
  <w:style w:type="character" w:customStyle="1" w:styleId="372">
    <w:name w:val="product_nav_bg1"/>
    <w:basedOn w:val="58"/>
    <w:qFormat/>
    <w:uiPriority w:val="0"/>
  </w:style>
  <w:style w:type="paragraph" w:customStyle="1" w:styleId="373">
    <w:name w:val="标题 3 + 宋体"/>
    <w:basedOn w:val="3"/>
    <w:qFormat/>
    <w:uiPriority w:val="0"/>
    <w:pPr>
      <w:keepLines w:val="0"/>
      <w:spacing w:before="0" w:after="0" w:line="360" w:lineRule="auto"/>
    </w:pPr>
    <w:rPr>
      <w:rFonts w:ascii="宋体" w:hAnsi="宋体" w:eastAsia="宋体"/>
      <w:caps/>
      <w:smallCaps/>
      <w:color w:val="000000"/>
      <w:sz w:val="21"/>
      <w:szCs w:val="21"/>
      <w:lang w:bidi="en-US"/>
    </w:rPr>
  </w:style>
  <w:style w:type="paragraph" w:customStyle="1" w:styleId="374">
    <w:name w:val="样式 样式 标题 2H2Heading 2 HiddenHeading 2 CCBS部分标题h2Underrubrik1... ..."/>
    <w:basedOn w:val="1"/>
    <w:qFormat/>
    <w:uiPriority w:val="0"/>
    <w:pPr>
      <w:keepNext/>
      <w:keepLines/>
      <w:widowControl/>
      <w:numPr>
        <w:ilvl w:val="1"/>
        <w:numId w:val="1"/>
      </w:numPr>
      <w:spacing w:beforeAutospacing="1" w:after="100" w:afterAutospacing="1"/>
      <w:contextualSpacing/>
      <w:jc w:val="left"/>
      <w:outlineLvl w:val="1"/>
    </w:pPr>
    <w:rPr>
      <w:rFonts w:ascii="宋体" w:hAnsi="宋体" w:eastAsia="黑体" w:cs="宋体"/>
      <w:bCs/>
      <w:sz w:val="28"/>
      <w:szCs w:val="21"/>
    </w:rPr>
  </w:style>
  <w:style w:type="paragraph" w:customStyle="1" w:styleId="375">
    <w:name w:val="列出段落1"/>
    <w:basedOn w:val="1"/>
    <w:qFormat/>
    <w:uiPriority w:val="99"/>
    <w:pPr>
      <w:ind w:firstLine="420"/>
    </w:pPr>
    <w:rPr>
      <w:sz w:val="28"/>
    </w:rPr>
  </w:style>
  <w:style w:type="character" w:customStyle="1" w:styleId="376">
    <w:name w:val="Heading 3 Char"/>
    <w:qFormat/>
    <w:uiPriority w:val="9"/>
    <w:rPr>
      <w:rFonts w:eastAsia="黑体" w:cs="Times New Roman"/>
      <w:b/>
      <w:bCs/>
      <w:sz w:val="32"/>
      <w:szCs w:val="32"/>
    </w:rPr>
  </w:style>
  <w:style w:type="character" w:customStyle="1" w:styleId="377">
    <w:name w:val="short_text"/>
    <w:basedOn w:val="58"/>
    <w:qFormat/>
    <w:uiPriority w:val="0"/>
  </w:style>
  <w:style w:type="character" w:customStyle="1" w:styleId="378">
    <w:name w:val="普通文字 Char1"/>
    <w:qFormat/>
    <w:uiPriority w:val="0"/>
    <w:rPr>
      <w:rFonts w:ascii="宋体" w:hAnsi="Courier New" w:eastAsia="楷体_GB2312"/>
      <w:sz w:val="28"/>
      <w:lang w:val="en-US" w:eastAsia="zh-CN" w:bidi="ar-SA"/>
    </w:rPr>
  </w:style>
  <w:style w:type="paragraph" w:customStyle="1" w:styleId="379">
    <w:name w:val="样式 仿宋_GB2312 四号 黑色 行距: 1.5 倍行距1"/>
    <w:basedOn w:val="1"/>
    <w:qFormat/>
    <w:uiPriority w:val="0"/>
    <w:pPr>
      <w:spacing w:line="360" w:lineRule="auto"/>
    </w:pPr>
    <w:rPr>
      <w:rFonts w:ascii="仿宋_GB2312" w:hAnsi="宋体" w:eastAsia="仿宋_GB2312"/>
      <w:color w:val="000000"/>
      <w:sz w:val="24"/>
      <w:szCs w:val="20"/>
    </w:rPr>
  </w:style>
  <w:style w:type="character" w:customStyle="1" w:styleId="380">
    <w:name w:val="正文缩进 Char Char Char Char Char Char Char Char Char Char Char Char Char Char Char Char Char Char Char Char Char Char Char Char Char Char Char Char Char"/>
    <w:qFormat/>
    <w:uiPriority w:val="0"/>
    <w:rPr>
      <w:rFonts w:eastAsia="楷体_GB2312"/>
      <w:sz w:val="24"/>
      <w:lang w:val="en-US" w:eastAsia="zh-CN" w:bidi="ar-SA"/>
    </w:rPr>
  </w:style>
  <w:style w:type="paragraph" w:customStyle="1" w:styleId="381">
    <w:name w:val="纯文本3"/>
    <w:basedOn w:val="1"/>
    <w:qFormat/>
    <w:uiPriority w:val="0"/>
    <w:rPr>
      <w:rFonts w:hint="eastAsia" w:ascii="宋体" w:hAnsi="Courier New" w:eastAsia="楷体_GB2312"/>
      <w:sz w:val="28"/>
      <w:szCs w:val="20"/>
    </w:rPr>
  </w:style>
  <w:style w:type="paragraph" w:customStyle="1" w:styleId="382">
    <w:name w:val="p0"/>
    <w:basedOn w:val="1"/>
    <w:qFormat/>
    <w:uiPriority w:val="0"/>
    <w:pPr>
      <w:widowControl/>
      <w:spacing w:before="100" w:beforeAutospacing="1" w:after="100" w:afterAutospacing="1"/>
      <w:jc w:val="left"/>
    </w:pPr>
    <w:rPr>
      <w:rFonts w:ascii="宋体" w:hAnsi="宋体" w:cs="宋体"/>
      <w:sz w:val="24"/>
    </w:rPr>
  </w:style>
  <w:style w:type="paragraph" w:customStyle="1" w:styleId="383">
    <w:name w:val="p15"/>
    <w:basedOn w:val="1"/>
    <w:qFormat/>
    <w:uiPriority w:val="0"/>
    <w:pPr>
      <w:widowControl/>
    </w:pPr>
    <w:rPr>
      <w:rFonts w:ascii="宋体" w:hAnsi="宋体" w:cs="宋体"/>
      <w:sz w:val="28"/>
      <w:szCs w:val="28"/>
    </w:rPr>
  </w:style>
  <w:style w:type="paragraph" w:customStyle="1" w:styleId="384">
    <w:name w:val="纯文本11"/>
    <w:basedOn w:val="1"/>
    <w:link w:val="385"/>
    <w:qFormat/>
    <w:uiPriority w:val="0"/>
    <w:rPr>
      <w:rFonts w:ascii="宋体" w:hAnsi="Courier New" w:eastAsia="楷体_GB2312"/>
      <w:sz w:val="28"/>
      <w:szCs w:val="20"/>
    </w:rPr>
  </w:style>
  <w:style w:type="character" w:customStyle="1" w:styleId="385">
    <w:name w:val="Plain Text Char Char"/>
    <w:link w:val="384"/>
    <w:qFormat/>
    <w:uiPriority w:val="0"/>
    <w:rPr>
      <w:rFonts w:ascii="宋体" w:hAnsi="Courier New" w:eastAsia="楷体_GB2312"/>
      <w:sz w:val="28"/>
    </w:rPr>
  </w:style>
  <w:style w:type="paragraph" w:customStyle="1" w:styleId="386">
    <w:name w:val="列出段落4"/>
    <w:basedOn w:val="1"/>
    <w:qFormat/>
    <w:uiPriority w:val="34"/>
    <w:pPr>
      <w:widowControl/>
      <w:spacing w:after="200"/>
      <w:ind w:firstLine="420"/>
      <w:jc w:val="left"/>
    </w:pPr>
    <w:rPr>
      <w:rFonts w:ascii="Tahoma" w:hAnsi="Tahoma" w:eastAsia="微软雅黑"/>
      <w:sz w:val="22"/>
      <w:szCs w:val="22"/>
    </w:rPr>
  </w:style>
  <w:style w:type="character" w:customStyle="1" w:styleId="387">
    <w:name w:val="正文缩进 字符"/>
    <w:qFormat/>
    <w:uiPriority w:val="0"/>
    <w:rPr>
      <w:rFonts w:eastAsia="楷体_GB2312"/>
      <w:sz w:val="24"/>
      <w:lang w:val="en-US" w:eastAsia="zh-CN" w:bidi="ar-SA"/>
    </w:rPr>
  </w:style>
  <w:style w:type="paragraph" w:customStyle="1" w:styleId="388">
    <w:name w:val="纯文本2"/>
    <w:basedOn w:val="1"/>
    <w:qFormat/>
    <w:uiPriority w:val="0"/>
    <w:rPr>
      <w:rFonts w:hint="eastAsia" w:ascii="宋体" w:hAnsi="Courier New" w:eastAsia="楷体_GB2312"/>
      <w:sz w:val="28"/>
      <w:szCs w:val="20"/>
    </w:rPr>
  </w:style>
  <w:style w:type="paragraph" w:customStyle="1" w:styleId="389">
    <w:name w:val="纯文本4"/>
    <w:basedOn w:val="1"/>
    <w:qFormat/>
    <w:uiPriority w:val="0"/>
    <w:rPr>
      <w:rFonts w:ascii="宋体" w:hAnsi="Courier New" w:eastAsia="楷体_GB2312"/>
      <w:sz w:val="28"/>
      <w:szCs w:val="20"/>
    </w:rPr>
  </w:style>
  <w:style w:type="character" w:customStyle="1" w:styleId="390">
    <w:name w:val="标题 2 字符"/>
    <w:qFormat/>
    <w:uiPriority w:val="9"/>
    <w:rPr>
      <w:rFonts w:ascii="Arial" w:hAnsi="Arial" w:eastAsia="黑体"/>
      <w:b/>
      <w:bCs/>
      <w:sz w:val="32"/>
      <w:szCs w:val="32"/>
    </w:rPr>
  </w:style>
  <w:style w:type="paragraph" w:customStyle="1" w:styleId="391">
    <w:name w:val="纯文本41"/>
    <w:basedOn w:val="1"/>
    <w:qFormat/>
    <w:uiPriority w:val="0"/>
    <w:rPr>
      <w:rFonts w:ascii="宋体" w:hAnsi="Courier New" w:eastAsia="楷体_GB2312"/>
      <w:sz w:val="28"/>
      <w:szCs w:val="20"/>
    </w:rPr>
  </w:style>
  <w:style w:type="paragraph" w:customStyle="1" w:styleId="392">
    <w:name w:val="纯文本5"/>
    <w:basedOn w:val="1"/>
    <w:qFormat/>
    <w:uiPriority w:val="0"/>
    <w:rPr>
      <w:rFonts w:ascii="宋体" w:hAnsi="Courier New" w:eastAsia="楷体_GB2312"/>
      <w:sz w:val="28"/>
      <w:szCs w:val="20"/>
    </w:rPr>
  </w:style>
  <w:style w:type="paragraph" w:customStyle="1" w:styleId="393">
    <w:name w:val="TOC 标题2"/>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sz w:val="32"/>
      <w:szCs w:val="32"/>
    </w:rPr>
  </w:style>
  <w:style w:type="paragraph" w:customStyle="1" w:styleId="394">
    <w:name w:val="正文首行缩进1"/>
    <w:basedOn w:val="19"/>
    <w:qFormat/>
    <w:uiPriority w:val="0"/>
    <w:pPr>
      <w:widowControl/>
      <w:tabs>
        <w:tab w:val="clear" w:pos="5250"/>
      </w:tabs>
      <w:spacing w:line="360" w:lineRule="auto"/>
      <w:ind w:firstLine="420"/>
    </w:pPr>
    <w:rPr>
      <w:rFonts w:hAnsi="Times New Roman"/>
      <w:sz w:val="24"/>
      <w:szCs w:val="20"/>
    </w:rPr>
  </w:style>
  <w:style w:type="paragraph" w:customStyle="1" w:styleId="395">
    <w:name w:val="首行缩进"/>
    <w:basedOn w:val="1"/>
    <w:qFormat/>
    <w:uiPriority w:val="0"/>
    <w:pPr>
      <w:widowControl/>
      <w:spacing w:line="360" w:lineRule="auto"/>
      <w:ind w:firstLine="480"/>
      <w:jc w:val="left"/>
    </w:pPr>
    <w:rPr>
      <w:rFonts w:ascii="宋体" w:hAnsi="宋体"/>
      <w:sz w:val="24"/>
    </w:rPr>
  </w:style>
  <w:style w:type="paragraph" w:customStyle="1" w:styleId="396">
    <w:name w:val="_Style 143"/>
    <w:basedOn w:val="19"/>
    <w:next w:val="394"/>
    <w:qFormat/>
    <w:uiPriority w:val="0"/>
    <w:pPr>
      <w:widowControl/>
      <w:tabs>
        <w:tab w:val="clear" w:pos="5250"/>
      </w:tabs>
      <w:spacing w:line="360" w:lineRule="auto"/>
      <w:ind w:firstLine="420"/>
    </w:pPr>
    <w:rPr>
      <w:rFonts w:hAnsi="Times New Roman"/>
      <w:sz w:val="24"/>
      <w:szCs w:val="20"/>
    </w:rPr>
  </w:style>
  <w:style w:type="paragraph" w:customStyle="1" w:styleId="397">
    <w:name w:val="纯文本12"/>
    <w:basedOn w:val="1"/>
    <w:qFormat/>
    <w:uiPriority w:val="0"/>
    <w:rPr>
      <w:rFonts w:hint="eastAsia" w:ascii="宋体" w:hAnsi="Courier New" w:eastAsia="楷体_GB2312"/>
      <w:sz w:val="28"/>
      <w:szCs w:val="20"/>
    </w:rPr>
  </w:style>
  <w:style w:type="paragraph" w:customStyle="1" w:styleId="398">
    <w:name w:val="paragraph"/>
    <w:basedOn w:val="1"/>
    <w:qFormat/>
    <w:uiPriority w:val="0"/>
    <w:pPr>
      <w:widowControl/>
      <w:spacing w:before="100" w:beforeAutospacing="1" w:after="100" w:afterAutospacing="1"/>
      <w:jc w:val="left"/>
    </w:pPr>
    <w:rPr>
      <w:rFonts w:ascii="宋体" w:hAnsi="宋体" w:cs="宋体"/>
      <w:sz w:val="24"/>
    </w:rPr>
  </w:style>
  <w:style w:type="character" w:customStyle="1" w:styleId="399">
    <w:name w:val="font101"/>
    <w:basedOn w:val="58"/>
    <w:qFormat/>
    <w:uiPriority w:val="0"/>
    <w:rPr>
      <w:rFonts w:hint="eastAsia" w:ascii="宋体" w:hAnsi="宋体" w:eastAsia="宋体" w:cs="宋体"/>
      <w:color w:val="000000"/>
      <w:sz w:val="18"/>
      <w:szCs w:val="18"/>
      <w:u w:val="none"/>
    </w:rPr>
  </w:style>
  <w:style w:type="character" w:customStyle="1" w:styleId="400">
    <w:name w:val="font91"/>
    <w:basedOn w:val="58"/>
    <w:qFormat/>
    <w:uiPriority w:val="0"/>
    <w:rPr>
      <w:rFonts w:hint="eastAsia" w:ascii="宋体" w:hAnsi="宋体" w:eastAsia="宋体" w:cs="宋体"/>
      <w:color w:val="000000"/>
      <w:sz w:val="18"/>
      <w:szCs w:val="18"/>
      <w:u w:val="none"/>
    </w:rPr>
  </w:style>
  <w:style w:type="paragraph" w:customStyle="1" w:styleId="401">
    <w:name w:val="表格"/>
    <w:link w:val="402"/>
    <w:qFormat/>
    <w:uiPriority w:val="0"/>
    <w:pPr>
      <w:jc w:val="center"/>
    </w:pPr>
    <w:rPr>
      <w:rFonts w:hint="default" w:ascii="Times New Roman" w:hAnsi="Times New Roman" w:eastAsia="仿宋" w:cs="Times New Roman"/>
      <w:sz w:val="21"/>
      <w:szCs w:val="22"/>
    </w:rPr>
  </w:style>
  <w:style w:type="character" w:customStyle="1" w:styleId="402">
    <w:name w:val="表格 Char"/>
    <w:link w:val="401"/>
    <w:qFormat/>
    <w:uiPriority w:val="0"/>
    <w:rPr>
      <w:rFonts w:eastAsia="仿宋"/>
      <w:sz w:val="21"/>
      <w:szCs w:val="22"/>
    </w:rPr>
  </w:style>
  <w:style w:type="paragraph" w:customStyle="1" w:styleId="403">
    <w:name w:val="1"/>
    <w:basedOn w:val="1"/>
    <w:qFormat/>
    <w:uiPriority w:val="0"/>
    <w:pPr>
      <w:keepNext/>
      <w:pageBreakBefore/>
      <w:widowControl/>
      <w:numPr>
        <w:ilvl w:val="0"/>
        <w:numId w:val="10"/>
      </w:numPr>
      <w:spacing w:before="156" w:after="156" w:line="360" w:lineRule="auto"/>
      <w:jc w:val="center"/>
      <w:outlineLvl w:val="0"/>
    </w:pPr>
    <w:rPr>
      <w:rFonts w:ascii="黑体" w:hAnsi="宋体" w:eastAsia="黑体" w:cs="宋体"/>
      <w:b/>
      <w:sz w:val="36"/>
      <w:szCs w:val="20"/>
    </w:rPr>
  </w:style>
  <w:style w:type="paragraph" w:customStyle="1" w:styleId="404">
    <w:name w:val="2"/>
    <w:basedOn w:val="1"/>
    <w:qFormat/>
    <w:uiPriority w:val="0"/>
    <w:pPr>
      <w:keepNext/>
      <w:keepLines/>
      <w:widowControl/>
      <w:numPr>
        <w:ilvl w:val="1"/>
        <w:numId w:val="10"/>
      </w:numPr>
      <w:spacing w:line="360" w:lineRule="auto"/>
      <w:jc w:val="left"/>
      <w:outlineLvl w:val="1"/>
    </w:pPr>
    <w:rPr>
      <w:rFonts w:ascii="黑体" w:hAnsi="Arial" w:eastAsia="黑体" w:cs="宋体"/>
      <w:color w:val="000000"/>
      <w:sz w:val="30"/>
      <w:szCs w:val="20"/>
    </w:rPr>
  </w:style>
  <w:style w:type="paragraph" w:customStyle="1" w:styleId="405">
    <w:name w:val="3"/>
    <w:basedOn w:val="4"/>
    <w:qFormat/>
    <w:uiPriority w:val="0"/>
    <w:pPr>
      <w:tabs>
        <w:tab w:val="left" w:pos="1440"/>
      </w:tabs>
      <w:spacing w:before="50" w:after="0" w:line="240" w:lineRule="auto"/>
      <w:ind w:left="720" w:hanging="720"/>
    </w:pPr>
    <w:rPr>
      <w:rFonts w:ascii="黑体" w:hAnsi="宋体" w:eastAsia="黑体"/>
      <w:sz w:val="28"/>
    </w:rPr>
  </w:style>
  <w:style w:type="paragraph" w:customStyle="1" w:styleId="406">
    <w:name w:val="_Style 43"/>
    <w:basedOn w:val="1"/>
    <w:next w:val="255"/>
    <w:qFormat/>
    <w:uiPriority w:val="34"/>
    <w:pPr>
      <w:ind w:firstLine="420"/>
    </w:pPr>
  </w:style>
  <w:style w:type="paragraph" w:customStyle="1" w:styleId="407">
    <w:name w:val="0正文"/>
    <w:basedOn w:val="1"/>
    <w:link w:val="408"/>
    <w:qFormat/>
    <w:uiPriority w:val="0"/>
    <w:pPr>
      <w:spacing w:line="360" w:lineRule="auto"/>
      <w:ind w:firstLine="480"/>
    </w:pPr>
    <w:rPr>
      <w:rFonts w:ascii="Verdana" w:hAnsi="Verdana" w:eastAsia="华文中宋"/>
      <w:color w:val="0070C0"/>
      <w:sz w:val="24"/>
    </w:rPr>
  </w:style>
  <w:style w:type="character" w:customStyle="1" w:styleId="408">
    <w:name w:val="0正文 Char"/>
    <w:link w:val="407"/>
    <w:qFormat/>
    <w:uiPriority w:val="0"/>
    <w:rPr>
      <w:rFonts w:ascii="Verdana" w:hAnsi="Verdana" w:eastAsia="华文中宋"/>
      <w:color w:val="0070C0"/>
      <w:sz w:val="24"/>
      <w:szCs w:val="24"/>
    </w:rPr>
  </w:style>
  <w:style w:type="paragraph" w:customStyle="1" w:styleId="409">
    <w:name w:val="样式 首行缩进:  2 字符"/>
    <w:basedOn w:val="1"/>
    <w:link w:val="410"/>
    <w:qFormat/>
    <w:uiPriority w:val="0"/>
    <w:pPr>
      <w:spacing w:line="360" w:lineRule="auto"/>
      <w:ind w:firstLine="480"/>
    </w:pPr>
    <w:rPr>
      <w:sz w:val="24"/>
      <w:szCs w:val="20"/>
    </w:rPr>
  </w:style>
  <w:style w:type="character" w:customStyle="1" w:styleId="410">
    <w:name w:val="样式 首行缩进:  2 字符 Char"/>
    <w:link w:val="409"/>
    <w:qFormat/>
    <w:uiPriority w:val="0"/>
    <w:rPr>
      <w:sz w:val="24"/>
    </w:rPr>
  </w:style>
  <w:style w:type="paragraph" w:customStyle="1" w:styleId="411">
    <w:name w:val="纯文本6"/>
    <w:basedOn w:val="1"/>
    <w:qFormat/>
    <w:uiPriority w:val="0"/>
    <w:rPr>
      <w:rFonts w:ascii="宋体" w:hAnsi="Courier New" w:eastAsia="楷体_GB2312"/>
      <w:sz w:val="28"/>
      <w:szCs w:val="20"/>
    </w:rPr>
  </w:style>
  <w:style w:type="paragraph" w:customStyle="1" w:styleId="412">
    <w:name w:val="正文1"/>
    <w:basedOn w:val="1"/>
    <w:qFormat/>
    <w:uiPriority w:val="0"/>
    <w:pPr>
      <w:tabs>
        <w:tab w:val="left" w:pos="420"/>
      </w:tabs>
      <w:spacing w:line="360" w:lineRule="auto"/>
      <w:ind w:firstLine="420"/>
    </w:pPr>
    <w:rPr>
      <w:rFonts w:ascii="宋体" w:hAnsi="宋体"/>
    </w:rPr>
  </w:style>
  <w:style w:type="paragraph" w:customStyle="1" w:styleId="413">
    <w:name w:val="投标标题2"/>
    <w:basedOn w:val="3"/>
    <w:next w:val="1"/>
    <w:link w:val="414"/>
    <w:qFormat/>
    <w:uiPriority w:val="0"/>
    <w:pPr>
      <w:tabs>
        <w:tab w:val="left" w:pos="576"/>
      </w:tabs>
      <w:spacing w:line="415" w:lineRule="auto"/>
      <w:ind w:left="576" w:hanging="576"/>
    </w:pPr>
    <w:rPr>
      <w:rFonts w:ascii="Times New Roman" w:hAnsi="Times New Roman"/>
      <w:sz w:val="28"/>
      <w:szCs w:val="28"/>
    </w:rPr>
  </w:style>
  <w:style w:type="character" w:customStyle="1" w:styleId="414">
    <w:name w:val="投标标题2 Char"/>
    <w:basedOn w:val="58"/>
    <w:link w:val="413"/>
    <w:qFormat/>
    <w:uiPriority w:val="0"/>
    <w:rPr>
      <w:rFonts w:eastAsia="黑体"/>
      <w:b/>
      <w:bCs/>
      <w:sz w:val="28"/>
      <w:szCs w:val="28"/>
    </w:rPr>
  </w:style>
  <w:style w:type="paragraph" w:customStyle="1" w:styleId="415">
    <w:name w:val="投标标题4"/>
    <w:basedOn w:val="5"/>
    <w:link w:val="416"/>
    <w:qFormat/>
    <w:uiPriority w:val="0"/>
    <w:pPr>
      <w:tabs>
        <w:tab w:val="left" w:pos="376"/>
      </w:tabs>
      <w:spacing w:line="360" w:lineRule="auto"/>
      <w:ind w:left="16"/>
    </w:pPr>
    <w:rPr>
      <w:rFonts w:ascii="宋体" w:hAnsi="宋体" w:eastAsia="宋体" w:cs="Arial"/>
      <w:bCs/>
      <w:color w:val="000000"/>
      <w:sz w:val="24"/>
      <w:szCs w:val="24"/>
    </w:rPr>
  </w:style>
  <w:style w:type="character" w:customStyle="1" w:styleId="416">
    <w:name w:val="投标标题4 Char"/>
    <w:basedOn w:val="58"/>
    <w:link w:val="415"/>
    <w:qFormat/>
    <w:uiPriority w:val="0"/>
    <w:rPr>
      <w:rFonts w:ascii="宋体" w:hAnsi="宋体" w:cs="Arial"/>
      <w:b/>
      <w:bCs/>
      <w:color w:val="000000"/>
      <w:sz w:val="24"/>
      <w:szCs w:val="24"/>
    </w:rPr>
  </w:style>
  <w:style w:type="paragraph" w:customStyle="1" w:styleId="417">
    <w:name w:val="投标标题3"/>
    <w:basedOn w:val="1"/>
    <w:link w:val="418"/>
    <w:qFormat/>
    <w:uiPriority w:val="0"/>
    <w:pPr>
      <w:keepNext/>
      <w:keepLines/>
      <w:tabs>
        <w:tab w:val="left" w:pos="720"/>
        <w:tab w:val="left" w:pos="900"/>
      </w:tabs>
      <w:spacing w:line="480" w:lineRule="auto"/>
      <w:ind w:left="720" w:hanging="720"/>
      <w:outlineLvl w:val="2"/>
    </w:pPr>
    <w:rPr>
      <w:rFonts w:ascii="宋体" w:hAnsi="宋体" w:cs="Arial" w:eastAsiaTheme="minorEastAsia"/>
      <w:b/>
      <w:bCs/>
      <w:color w:val="000000"/>
      <w:sz w:val="24"/>
    </w:rPr>
  </w:style>
  <w:style w:type="character" w:customStyle="1" w:styleId="418">
    <w:name w:val="投标标题3 Char"/>
    <w:basedOn w:val="58"/>
    <w:link w:val="417"/>
    <w:qFormat/>
    <w:uiPriority w:val="0"/>
    <w:rPr>
      <w:rFonts w:ascii="宋体" w:hAnsi="宋体" w:cs="Arial" w:eastAsiaTheme="minorEastAsia"/>
      <w:b/>
      <w:bCs/>
      <w:color w:val="000000"/>
      <w:sz w:val="24"/>
      <w:szCs w:val="24"/>
    </w:rPr>
  </w:style>
  <w:style w:type="paragraph" w:customStyle="1" w:styleId="419">
    <w:name w:val="投标正文"/>
    <w:basedOn w:val="1"/>
    <w:link w:val="420"/>
    <w:qFormat/>
    <w:uiPriority w:val="0"/>
    <w:pPr>
      <w:spacing w:line="360" w:lineRule="auto"/>
      <w:ind w:left="100" w:firstLine="480"/>
    </w:pPr>
    <w:rPr>
      <w:rFonts w:asciiTheme="minorHAnsi" w:hAnsiTheme="minorHAnsi" w:eastAsiaTheme="minorEastAsia" w:cstheme="minorBidi"/>
      <w:sz w:val="24"/>
    </w:rPr>
  </w:style>
  <w:style w:type="character" w:customStyle="1" w:styleId="420">
    <w:name w:val="投标正文 Char"/>
    <w:basedOn w:val="58"/>
    <w:link w:val="419"/>
    <w:qFormat/>
    <w:uiPriority w:val="0"/>
    <w:rPr>
      <w:rFonts w:asciiTheme="minorHAnsi" w:hAnsiTheme="minorHAnsi" w:eastAsiaTheme="minorEastAsia" w:cstheme="minorBidi"/>
      <w:sz w:val="24"/>
      <w:szCs w:val="24"/>
    </w:rPr>
  </w:style>
  <w:style w:type="character" w:customStyle="1" w:styleId="421">
    <w:name w:val="HTML 预设格式 字符"/>
    <w:basedOn w:val="58"/>
    <w:link w:val="48"/>
    <w:qFormat/>
    <w:uiPriority w:val="0"/>
    <w:rPr>
      <w:rFonts w:ascii="宋体" w:hAnsi="宋体" w:cs="宋体"/>
      <w:sz w:val="24"/>
      <w:szCs w:val="24"/>
    </w:rPr>
  </w:style>
  <w:style w:type="paragraph" w:customStyle="1" w:styleId="422">
    <w:name w:val="_Style 23"/>
    <w:basedOn w:val="1"/>
    <w:next w:val="255"/>
    <w:qFormat/>
    <w:uiPriority w:val="34"/>
    <w:pPr>
      <w:ind w:firstLine="420"/>
    </w:pPr>
    <w:rPr>
      <w:rFonts w:ascii="Calibri" w:hAnsi="Calibri"/>
      <w:szCs w:val="22"/>
    </w:rPr>
  </w:style>
  <w:style w:type="paragraph" w:customStyle="1" w:styleId="423">
    <w:name w:val="msonormal"/>
    <w:basedOn w:val="1"/>
    <w:qFormat/>
    <w:uiPriority w:val="0"/>
    <w:pPr>
      <w:widowControl/>
      <w:spacing w:before="100" w:beforeAutospacing="1" w:after="100" w:afterAutospacing="1"/>
      <w:jc w:val="left"/>
    </w:pPr>
    <w:rPr>
      <w:rFonts w:ascii="宋体" w:hAnsi="宋体" w:cs="宋体"/>
      <w:sz w:val="24"/>
    </w:rPr>
  </w:style>
  <w:style w:type="paragraph" w:customStyle="1" w:styleId="424">
    <w:name w:val="font6"/>
    <w:basedOn w:val="1"/>
    <w:qFormat/>
    <w:uiPriority w:val="0"/>
    <w:pPr>
      <w:widowControl/>
      <w:spacing w:before="100" w:beforeAutospacing="1" w:after="100" w:afterAutospacing="1"/>
      <w:jc w:val="left"/>
    </w:pPr>
    <w:rPr>
      <w:rFonts w:ascii="宋体" w:hAnsi="宋体" w:cs="宋体"/>
      <w:sz w:val="18"/>
      <w:szCs w:val="18"/>
    </w:rPr>
  </w:style>
  <w:style w:type="paragraph" w:customStyle="1" w:styleId="42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sz w:val="24"/>
    </w:rPr>
  </w:style>
  <w:style w:type="paragraph" w:customStyle="1" w:styleId="426">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rPr>
  </w:style>
  <w:style w:type="paragraph" w:customStyle="1" w:styleId="427">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rPr>
  </w:style>
  <w:style w:type="paragraph" w:customStyle="1" w:styleId="428">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rPr>
  </w:style>
  <w:style w:type="paragraph" w:customStyle="1" w:styleId="42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rPr>
  </w:style>
  <w:style w:type="paragraph" w:customStyle="1" w:styleId="430">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rPr>
  </w:style>
  <w:style w:type="paragraph" w:customStyle="1" w:styleId="4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rPr>
  </w:style>
  <w:style w:type="paragraph" w:customStyle="1" w:styleId="43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rPr>
  </w:style>
  <w:style w:type="paragraph" w:customStyle="1" w:styleId="433">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36"/>
      <w:szCs w:val="36"/>
    </w:rPr>
  </w:style>
  <w:style w:type="paragraph" w:customStyle="1" w:styleId="434">
    <w:name w:val="xl74"/>
    <w:basedOn w:val="1"/>
    <w:qFormat/>
    <w:uiPriority w:val="0"/>
    <w:pPr>
      <w:widowControl/>
      <w:pBdr>
        <w:bottom w:val="single" w:color="auto" w:sz="4" w:space="0"/>
      </w:pBdr>
      <w:spacing w:before="100" w:beforeAutospacing="1" w:after="100" w:afterAutospacing="1"/>
      <w:jc w:val="center"/>
    </w:pPr>
    <w:rPr>
      <w:rFonts w:ascii="宋体" w:hAnsi="宋体" w:cs="宋体"/>
      <w:sz w:val="52"/>
      <w:szCs w:val="52"/>
    </w:rPr>
  </w:style>
  <w:style w:type="character" w:customStyle="1" w:styleId="435">
    <w:name w:val="（三级）1.1.1 Char"/>
    <w:link w:val="436"/>
    <w:qFormat/>
    <w:uiPriority w:val="0"/>
    <w:rPr>
      <w:sz w:val="28"/>
    </w:rPr>
  </w:style>
  <w:style w:type="paragraph" w:customStyle="1" w:styleId="436">
    <w:name w:val="（三级）1.1.1"/>
    <w:basedOn w:val="1"/>
    <w:link w:val="435"/>
    <w:qFormat/>
    <w:uiPriority w:val="0"/>
    <w:pPr>
      <w:tabs>
        <w:tab w:val="left" w:pos="360"/>
        <w:tab w:val="left" w:pos="420"/>
        <w:tab w:val="left" w:pos="2982"/>
      </w:tabs>
      <w:ind w:left="1969" w:hanging="420"/>
      <w:jc w:val="left"/>
      <w:outlineLvl w:val="2"/>
    </w:pPr>
    <w:rPr>
      <w:sz w:val="28"/>
      <w:szCs w:val="20"/>
    </w:rPr>
  </w:style>
  <w:style w:type="paragraph" w:customStyle="1" w:styleId="437">
    <w:name w:val="（二级）1.1"/>
    <w:basedOn w:val="1"/>
    <w:qFormat/>
    <w:uiPriority w:val="0"/>
    <w:pPr>
      <w:tabs>
        <w:tab w:val="left" w:pos="360"/>
        <w:tab w:val="left" w:pos="420"/>
        <w:tab w:val="left" w:pos="2982"/>
      </w:tabs>
      <w:ind w:left="1407" w:hanging="420"/>
      <w:jc w:val="left"/>
      <w:outlineLvl w:val="1"/>
    </w:pPr>
    <w:rPr>
      <w:b/>
      <w:sz w:val="32"/>
      <w:szCs w:val="32"/>
    </w:rPr>
  </w:style>
  <w:style w:type="paragraph" w:customStyle="1" w:styleId="438">
    <w:name w:val="投标标题5"/>
    <w:basedOn w:val="419"/>
    <w:link w:val="439"/>
    <w:qFormat/>
    <w:uiPriority w:val="0"/>
    <w:pPr>
      <w:numPr>
        <w:ilvl w:val="0"/>
        <w:numId w:val="11"/>
      </w:numPr>
      <w:ind w:left="0" w:firstLine="482"/>
      <w:outlineLvl w:val="4"/>
    </w:pPr>
    <w:rPr>
      <w:b/>
    </w:rPr>
  </w:style>
  <w:style w:type="character" w:customStyle="1" w:styleId="439">
    <w:name w:val="投标标题5 Char"/>
    <w:basedOn w:val="420"/>
    <w:link w:val="438"/>
    <w:qFormat/>
    <w:uiPriority w:val="0"/>
    <w:rPr>
      <w:rFonts w:asciiTheme="minorHAnsi" w:hAnsiTheme="minorHAnsi" w:eastAsiaTheme="minorEastAsia" w:cstheme="minorBidi"/>
      <w:b/>
      <w:sz w:val="24"/>
      <w:szCs w:val="24"/>
    </w:rPr>
  </w:style>
  <w:style w:type="character" w:customStyle="1" w:styleId="440">
    <w:name w:val="批注主题 Char"/>
    <w:link w:val="441"/>
    <w:qFormat/>
    <w:uiPriority w:val="99"/>
    <w:rPr>
      <w:b/>
    </w:rPr>
  </w:style>
  <w:style w:type="paragraph" w:customStyle="1" w:styleId="441">
    <w:name w:val="批注主题1"/>
    <w:basedOn w:val="15"/>
    <w:next w:val="15"/>
    <w:link w:val="440"/>
    <w:qFormat/>
    <w:uiPriority w:val="99"/>
    <w:pPr>
      <w:spacing w:line="360" w:lineRule="auto"/>
      <w:ind w:firstLine="560"/>
    </w:pPr>
    <w:rPr>
      <w:b/>
      <w:sz w:val="20"/>
      <w:szCs w:val="20"/>
    </w:rPr>
  </w:style>
  <w:style w:type="character" w:customStyle="1" w:styleId="442">
    <w:name w:val="表格样式 Char"/>
    <w:link w:val="443"/>
    <w:qFormat/>
    <w:uiPriority w:val="99"/>
    <w:rPr>
      <w:rFonts w:ascii="宋体"/>
      <w:sz w:val="21"/>
    </w:rPr>
  </w:style>
  <w:style w:type="paragraph" w:customStyle="1" w:styleId="443">
    <w:name w:val="表格样式"/>
    <w:basedOn w:val="1"/>
    <w:link w:val="442"/>
    <w:qFormat/>
    <w:uiPriority w:val="99"/>
    <w:pPr>
      <w:spacing w:line="360" w:lineRule="auto"/>
      <w:jc w:val="center"/>
    </w:pPr>
    <w:rPr>
      <w:rFonts w:ascii="宋体"/>
      <w:szCs w:val="20"/>
    </w:rPr>
  </w:style>
  <w:style w:type="character" w:customStyle="1" w:styleId="444">
    <w:name w:val="样式 正文缩进 + 首行缩进:  2 字符 Char"/>
    <w:link w:val="445"/>
    <w:qFormat/>
    <w:uiPriority w:val="99"/>
  </w:style>
  <w:style w:type="paragraph" w:customStyle="1" w:styleId="445">
    <w:name w:val="样式 正文缩进 + 首行缩进:  2 字符"/>
    <w:basedOn w:val="12"/>
    <w:link w:val="444"/>
    <w:qFormat/>
    <w:uiPriority w:val="99"/>
    <w:pPr>
      <w:spacing w:line="360" w:lineRule="auto"/>
      <w:ind w:firstLine="200"/>
      <w:jc w:val="both"/>
    </w:pPr>
    <w:rPr>
      <w:rFonts w:ascii="Times New Roman" w:hAnsi="Times New Roman" w:eastAsia="宋体"/>
      <w:sz w:val="20"/>
    </w:rPr>
  </w:style>
  <w:style w:type="character" w:customStyle="1" w:styleId="446">
    <w:name w:val="图片样式 Char"/>
    <w:link w:val="447"/>
    <w:qFormat/>
    <w:uiPriority w:val="99"/>
    <w:rPr>
      <w:rFonts w:ascii="宋体"/>
      <w:sz w:val="21"/>
    </w:rPr>
  </w:style>
  <w:style w:type="paragraph" w:customStyle="1" w:styleId="447">
    <w:name w:val="图片样式"/>
    <w:basedOn w:val="1"/>
    <w:link w:val="446"/>
    <w:qFormat/>
    <w:uiPriority w:val="99"/>
    <w:pPr>
      <w:spacing w:line="360" w:lineRule="auto"/>
    </w:pPr>
    <w:rPr>
      <w:rFonts w:ascii="宋体"/>
      <w:szCs w:val="20"/>
    </w:rPr>
  </w:style>
  <w:style w:type="character" w:customStyle="1" w:styleId="448">
    <w:name w:val="普通(网站) Char"/>
    <w:link w:val="449"/>
    <w:qFormat/>
    <w:uiPriority w:val="99"/>
    <w:rPr>
      <w:sz w:val="24"/>
    </w:rPr>
  </w:style>
  <w:style w:type="paragraph" w:customStyle="1" w:styleId="449">
    <w:name w:val="普通(网站)1"/>
    <w:basedOn w:val="1"/>
    <w:link w:val="448"/>
    <w:qFormat/>
    <w:uiPriority w:val="99"/>
    <w:pPr>
      <w:spacing w:line="360" w:lineRule="auto"/>
      <w:ind w:firstLine="560"/>
      <w:jc w:val="left"/>
    </w:pPr>
    <w:rPr>
      <w:sz w:val="24"/>
      <w:szCs w:val="20"/>
    </w:rPr>
  </w:style>
  <w:style w:type="character" w:customStyle="1" w:styleId="450">
    <w:name w:val="图表标题 Char"/>
    <w:link w:val="451"/>
    <w:qFormat/>
    <w:uiPriority w:val="99"/>
    <w:rPr>
      <w:rFonts w:ascii="黑体" w:hAnsi="黑体" w:eastAsia="黑体"/>
      <w:b/>
      <w:sz w:val="21"/>
    </w:rPr>
  </w:style>
  <w:style w:type="paragraph" w:customStyle="1" w:styleId="451">
    <w:name w:val="图表标题"/>
    <w:basedOn w:val="447"/>
    <w:link w:val="450"/>
    <w:qFormat/>
    <w:uiPriority w:val="99"/>
    <w:pPr>
      <w:jc w:val="center"/>
    </w:pPr>
    <w:rPr>
      <w:rFonts w:ascii="黑体" w:hAnsi="黑体" w:eastAsia="黑体"/>
      <w:b/>
    </w:rPr>
  </w:style>
  <w:style w:type="character" w:customStyle="1" w:styleId="452">
    <w:name w:val="批注引用1"/>
    <w:qFormat/>
    <w:uiPriority w:val="99"/>
    <w:rPr>
      <w:sz w:val="21"/>
    </w:rPr>
  </w:style>
  <w:style w:type="paragraph" w:customStyle="1" w:styleId="453">
    <w:name w:val="*正文"/>
    <w:basedOn w:val="1"/>
    <w:qFormat/>
    <w:uiPriority w:val="99"/>
    <w:pPr>
      <w:widowControl/>
      <w:spacing w:before="100" w:line="300" w:lineRule="auto"/>
      <w:ind w:firstLine="560"/>
      <w:jc w:val="left"/>
    </w:pPr>
    <w:rPr>
      <w:rFonts w:ascii="仿宋" w:hAnsi="仿宋" w:eastAsia="仿宋"/>
      <w:sz w:val="30"/>
      <w:szCs w:val="28"/>
    </w:rPr>
  </w:style>
  <w:style w:type="paragraph" w:customStyle="1" w:styleId="454">
    <w:name w:val="_表格标题"/>
    <w:basedOn w:val="1"/>
    <w:qFormat/>
    <w:uiPriority w:val="99"/>
    <w:pPr>
      <w:spacing w:line="360" w:lineRule="auto"/>
      <w:ind w:firstLine="560"/>
      <w:jc w:val="center"/>
    </w:pPr>
    <w:rPr>
      <w:rFonts w:ascii="宋体" w:hAnsi="仿宋" w:eastAsia="仿宋"/>
      <w:b/>
      <w:sz w:val="30"/>
      <w:szCs w:val="32"/>
    </w:rPr>
  </w:style>
  <w:style w:type="paragraph" w:customStyle="1" w:styleId="455">
    <w:name w:val="_表格文字"/>
    <w:basedOn w:val="1"/>
    <w:qFormat/>
    <w:uiPriority w:val="99"/>
    <w:pPr>
      <w:spacing w:line="360" w:lineRule="auto"/>
      <w:ind w:firstLine="560"/>
    </w:pPr>
    <w:rPr>
      <w:rFonts w:ascii="宋体" w:hAnsi="仿宋" w:eastAsia="仿宋"/>
      <w:sz w:val="30"/>
      <w:szCs w:val="32"/>
    </w:rPr>
  </w:style>
  <w:style w:type="paragraph" w:customStyle="1" w:styleId="456">
    <w:name w:val="文档正文"/>
    <w:basedOn w:val="1"/>
    <w:link w:val="457"/>
    <w:qFormat/>
    <w:uiPriority w:val="99"/>
    <w:pPr>
      <w:spacing w:line="360" w:lineRule="auto"/>
      <w:jc w:val="center"/>
    </w:pPr>
    <w:rPr>
      <w:rFonts w:ascii="方正小标宋_GBK" w:hAnsi="方正小标宋_GBK" w:eastAsia="方正小标宋_GBK"/>
      <w:bCs/>
      <w:color w:val="000000"/>
      <w:sz w:val="52"/>
      <w:szCs w:val="52"/>
    </w:rPr>
  </w:style>
  <w:style w:type="character" w:customStyle="1" w:styleId="457">
    <w:name w:val="文档正文 Char"/>
    <w:link w:val="456"/>
    <w:qFormat/>
    <w:uiPriority w:val="99"/>
    <w:rPr>
      <w:rFonts w:ascii="方正小标宋_GBK" w:hAnsi="方正小标宋_GBK" w:eastAsia="方正小标宋_GBK"/>
      <w:bCs/>
      <w:color w:val="000000"/>
      <w:sz w:val="52"/>
      <w:szCs w:val="52"/>
    </w:rPr>
  </w:style>
  <w:style w:type="character" w:customStyle="1" w:styleId="458">
    <w:name w:val="图片居中 Char"/>
    <w:link w:val="459"/>
    <w:qFormat/>
    <w:uiPriority w:val="99"/>
    <w:rPr>
      <w:rFonts w:ascii="Arial" w:hAnsi="Arial"/>
      <w:sz w:val="22"/>
    </w:rPr>
  </w:style>
  <w:style w:type="paragraph" w:customStyle="1" w:styleId="459">
    <w:name w:val="图片居中"/>
    <w:basedOn w:val="1"/>
    <w:link w:val="458"/>
    <w:qFormat/>
    <w:uiPriority w:val="99"/>
    <w:pPr>
      <w:widowControl/>
      <w:spacing w:line="360" w:lineRule="auto"/>
      <w:jc w:val="center"/>
    </w:pPr>
    <w:rPr>
      <w:rFonts w:ascii="Arial" w:hAnsi="Arial"/>
      <w:sz w:val="22"/>
      <w:szCs w:val="20"/>
    </w:rPr>
  </w:style>
  <w:style w:type="character" w:customStyle="1" w:styleId="460">
    <w:name w:val="zw Char"/>
    <w:link w:val="461"/>
    <w:qFormat/>
    <w:uiPriority w:val="99"/>
    <w:rPr>
      <w:rFonts w:ascii="仿宋" w:hAnsi="仿宋" w:eastAsia="仿宋" w:cs="仿宋"/>
      <w:sz w:val="32"/>
      <w:szCs w:val="32"/>
    </w:rPr>
  </w:style>
  <w:style w:type="paragraph" w:customStyle="1" w:styleId="461">
    <w:name w:val="zw"/>
    <w:basedOn w:val="1"/>
    <w:link w:val="460"/>
    <w:qFormat/>
    <w:uiPriority w:val="99"/>
    <w:pPr>
      <w:spacing w:line="360" w:lineRule="auto"/>
      <w:ind w:firstLine="560"/>
    </w:pPr>
    <w:rPr>
      <w:rFonts w:ascii="仿宋" w:hAnsi="仿宋" w:eastAsia="仿宋" w:cs="仿宋"/>
      <w:sz w:val="32"/>
      <w:szCs w:val="32"/>
    </w:rPr>
  </w:style>
  <w:style w:type="paragraph" w:customStyle="1" w:styleId="462">
    <w:name w:val="Default Text"/>
    <w:basedOn w:val="1"/>
    <w:link w:val="463"/>
    <w:qFormat/>
    <w:uiPriority w:val="99"/>
    <w:pPr>
      <w:widowControl/>
      <w:spacing w:line="360" w:lineRule="auto"/>
      <w:ind w:firstLine="200"/>
      <w:jc w:val="left"/>
    </w:pPr>
    <w:rPr>
      <w:rFonts w:ascii="Arial" w:hAnsi="Arial"/>
      <w:sz w:val="24"/>
      <w:szCs w:val="20"/>
    </w:rPr>
  </w:style>
  <w:style w:type="character" w:customStyle="1" w:styleId="463">
    <w:name w:val="Default Text Char Char"/>
    <w:link w:val="462"/>
    <w:qFormat/>
    <w:uiPriority w:val="99"/>
    <w:rPr>
      <w:rFonts w:ascii="Arial" w:hAnsi="Arial"/>
      <w:sz w:val="24"/>
    </w:rPr>
  </w:style>
  <w:style w:type="paragraph" w:customStyle="1" w:styleId="46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sz w:val="24"/>
    </w:rPr>
  </w:style>
  <w:style w:type="paragraph" w:customStyle="1" w:styleId="465">
    <w:name w:val="xl64"/>
    <w:basedOn w:val="1"/>
    <w:qFormat/>
    <w:uiPriority w:val="0"/>
    <w:pPr>
      <w:widowControl/>
      <w:spacing w:before="100" w:beforeAutospacing="1" w:after="100" w:afterAutospacing="1"/>
      <w:jc w:val="left"/>
    </w:pPr>
    <w:rPr>
      <w:rFonts w:ascii="宋体" w:hAnsi="宋体" w:cs="宋体"/>
      <w:sz w:val="24"/>
    </w:rPr>
  </w:style>
  <w:style w:type="paragraph" w:customStyle="1" w:styleId="466">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sz w:val="24"/>
    </w:rPr>
  </w:style>
  <w:style w:type="paragraph" w:customStyle="1" w:styleId="467">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sz w:val="24"/>
    </w:rPr>
  </w:style>
  <w:style w:type="paragraph" w:customStyle="1" w:styleId="468">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sz w:val="24"/>
    </w:rPr>
  </w:style>
  <w:style w:type="character" w:customStyle="1" w:styleId="469">
    <w:name w:val="font71"/>
    <w:basedOn w:val="58"/>
    <w:qFormat/>
    <w:uiPriority w:val="0"/>
    <w:rPr>
      <w:rFonts w:hint="eastAsia" w:ascii="华文中宋" w:hAnsi="华文中宋" w:eastAsia="华文中宋" w:cs="华文中宋"/>
      <w:b/>
      <w:bCs/>
      <w:color w:val="000000"/>
      <w:sz w:val="20"/>
      <w:szCs w:val="20"/>
      <w:u w:val="none"/>
    </w:rPr>
  </w:style>
  <w:style w:type="character" w:customStyle="1" w:styleId="470">
    <w:name w:val="font121"/>
    <w:basedOn w:val="58"/>
    <w:qFormat/>
    <w:uiPriority w:val="0"/>
    <w:rPr>
      <w:rFonts w:hint="eastAsia" w:ascii="宋体" w:hAnsi="宋体" w:eastAsia="宋体" w:cs="宋体"/>
      <w:b/>
      <w:bCs/>
      <w:color w:val="000000"/>
      <w:sz w:val="20"/>
      <w:szCs w:val="20"/>
      <w:u w:val="none"/>
    </w:rPr>
  </w:style>
  <w:style w:type="character" w:customStyle="1" w:styleId="471">
    <w:name w:val="font31"/>
    <w:basedOn w:val="58"/>
    <w:qFormat/>
    <w:uiPriority w:val="0"/>
    <w:rPr>
      <w:rFonts w:hint="eastAsia" w:ascii="华文中宋" w:hAnsi="华文中宋" w:eastAsia="华文中宋" w:cs="华文中宋"/>
      <w:b/>
      <w:bCs/>
      <w:color w:val="000000"/>
      <w:sz w:val="20"/>
      <w:szCs w:val="20"/>
      <w:u w:val="none"/>
    </w:rPr>
  </w:style>
  <w:style w:type="character" w:customStyle="1" w:styleId="472">
    <w:name w:val="正文文本首行缩进 2 字符"/>
    <w:basedOn w:val="220"/>
    <w:link w:val="54"/>
    <w:semiHidden/>
    <w:qFormat/>
    <w:uiPriority w:val="0"/>
    <w:rPr>
      <w:rFonts w:ascii="方正仿宋简体" w:hAnsi="创艺简仿宋" w:eastAsia="方正仿宋简体"/>
      <w:sz w:val="21"/>
      <w:szCs w:val="24"/>
    </w:rPr>
  </w:style>
  <w:style w:type="character" w:customStyle="1" w:styleId="473">
    <w:name w:val="HTML 预设格式 Char2"/>
    <w:qFormat/>
    <w:uiPriority w:val="99"/>
    <w:rPr>
      <w:rFonts w:ascii="宋体" w:hAnsi="宋体" w:cs="宋体"/>
      <w:sz w:val="24"/>
      <w:szCs w:val="24"/>
    </w:rPr>
  </w:style>
  <w:style w:type="character" w:customStyle="1" w:styleId="474">
    <w:name w:val="正文缩进 Char2"/>
    <w:qFormat/>
    <w:uiPriority w:val="0"/>
    <w:rPr>
      <w:rFonts w:eastAsia="楷体_GB2312"/>
      <w:sz w:val="24"/>
    </w:rPr>
  </w:style>
  <w:style w:type="paragraph" w:customStyle="1" w:styleId="475">
    <w:name w:val="纯文本7"/>
    <w:basedOn w:val="1"/>
    <w:qFormat/>
    <w:uiPriority w:val="0"/>
    <w:rPr>
      <w:rFonts w:ascii="宋体" w:hAnsi="Courier New" w:eastAsia="楷体_GB2312"/>
      <w:sz w:val="28"/>
      <w:szCs w:val="20"/>
      <w:lang w:val="zh-CN"/>
    </w:rPr>
  </w:style>
  <w:style w:type="character" w:customStyle="1" w:styleId="476">
    <w:name w:val="正文缩进 Char1"/>
    <w:qFormat/>
    <w:uiPriority w:val="0"/>
    <w:rPr>
      <w:rFonts w:eastAsia="楷体_GB2312"/>
      <w:sz w:val="24"/>
      <w:lang w:val="en-US" w:eastAsia="zh-CN" w:bidi="ar-SA"/>
    </w:rPr>
  </w:style>
  <w:style w:type="paragraph" w:customStyle="1" w:styleId="477">
    <w:name w:val="正文左对齐"/>
    <w:basedOn w:val="1"/>
    <w:link w:val="478"/>
    <w:qFormat/>
    <w:uiPriority w:val="0"/>
    <w:pPr>
      <w:spacing w:line="360" w:lineRule="auto"/>
    </w:pPr>
    <w:rPr>
      <w:rFonts w:ascii="宋体" w:hAnsi="宋体" w:cstheme="minorBidi"/>
      <w:sz w:val="24"/>
      <w:szCs w:val="22"/>
    </w:rPr>
  </w:style>
  <w:style w:type="character" w:customStyle="1" w:styleId="478">
    <w:name w:val="正文左对齐 Char"/>
    <w:basedOn w:val="58"/>
    <w:link w:val="477"/>
    <w:qFormat/>
    <w:uiPriority w:val="0"/>
    <w:rPr>
      <w:rFonts w:ascii="宋体" w:hAnsi="宋体" w:cstheme="minorBidi"/>
      <w:sz w:val="24"/>
      <w:szCs w:val="22"/>
    </w:rPr>
  </w:style>
  <w:style w:type="character" w:customStyle="1" w:styleId="479">
    <w:name w:val="未处理的提及1"/>
    <w:basedOn w:val="58"/>
    <w:semiHidden/>
    <w:unhideWhenUsed/>
    <w:qFormat/>
    <w:uiPriority w:val="99"/>
    <w:rPr>
      <w:color w:val="605E5C"/>
      <w:shd w:val="clear" w:color="auto" w:fill="E1DFDD"/>
    </w:rPr>
  </w:style>
  <w:style w:type="paragraph" w:customStyle="1" w:styleId="480">
    <w:name w:val="TOC 标题3"/>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sz w:val="32"/>
      <w:szCs w:val="32"/>
    </w:rPr>
  </w:style>
  <w:style w:type="character" w:customStyle="1" w:styleId="481">
    <w:name w:val="Heading 4 Char"/>
    <w:qFormat/>
    <w:uiPriority w:val="9"/>
    <w:rPr>
      <w:rFonts w:ascii="Arial" w:hAnsi="Arial" w:eastAsia="Arial" w:cs="Arial"/>
      <w:b/>
      <w:bCs/>
      <w:sz w:val="26"/>
      <w:szCs w:val="26"/>
    </w:rPr>
  </w:style>
  <w:style w:type="character" w:customStyle="1" w:styleId="482">
    <w:name w:val="Header Char"/>
    <w:qFormat/>
    <w:uiPriority w:val="99"/>
  </w:style>
  <w:style w:type="character" w:customStyle="1" w:styleId="483">
    <w:name w:val="Footer Char"/>
    <w:qFormat/>
    <w:uiPriority w:val="99"/>
  </w:style>
  <w:style w:type="character" w:customStyle="1" w:styleId="484">
    <w:name w:val="Caption Char"/>
    <w:qFormat/>
    <w:uiPriority w:val="99"/>
  </w:style>
  <w:style w:type="character" w:customStyle="1" w:styleId="485">
    <w:name w:val="脚注文本 字符"/>
    <w:basedOn w:val="58"/>
    <w:link w:val="40"/>
    <w:semiHidden/>
    <w:qFormat/>
    <w:uiPriority w:val="99"/>
    <w:rPr>
      <w:rFonts w:ascii="Calibri" w:hAnsi="Calibri"/>
      <w:sz w:val="18"/>
      <w:szCs w:val="24"/>
    </w:rPr>
  </w:style>
  <w:style w:type="character" w:customStyle="1" w:styleId="486">
    <w:name w:val="尾注文本 字符"/>
    <w:basedOn w:val="58"/>
    <w:link w:val="30"/>
    <w:semiHidden/>
    <w:qFormat/>
    <w:uiPriority w:val="99"/>
    <w:rPr>
      <w:rFonts w:ascii="Calibri" w:hAnsi="Calibri"/>
      <w:szCs w:val="24"/>
    </w:rPr>
  </w:style>
  <w:style w:type="character" w:customStyle="1" w:styleId="487">
    <w:name w:val="正文缩进 字符2"/>
    <w:qFormat/>
    <w:uiPriority w:val="0"/>
    <w:rPr>
      <w:rFonts w:ascii="Times New Roman" w:hAnsi="Times New Roman" w:eastAsia="楷体_GB2312"/>
      <w:sz w:val="24"/>
    </w:rPr>
  </w:style>
  <w:style w:type="paragraph" w:customStyle="1" w:styleId="488">
    <w:name w:val="样式9"/>
    <w:basedOn w:val="3"/>
    <w:qFormat/>
    <w:uiPriority w:val="0"/>
    <w:pPr>
      <w:spacing w:before="0" w:after="0" w:line="360" w:lineRule="auto"/>
      <w:ind w:firstLine="200"/>
    </w:pPr>
    <w:rPr>
      <w:rFonts w:ascii="宋体" w:hAnsi="宋体" w:eastAsia="宋体"/>
      <w:sz w:val="21"/>
      <w:szCs w:val="21"/>
    </w:rPr>
  </w:style>
  <w:style w:type="paragraph" w:customStyle="1" w:styleId="489">
    <w:name w:val="Table Paragraph"/>
    <w:basedOn w:val="1"/>
    <w:qFormat/>
    <w:uiPriority w:val="1"/>
    <w:pPr>
      <w:jc w:val="left"/>
    </w:pPr>
    <w:rPr>
      <w:rFonts w:ascii="宋体" w:hAnsi="宋体" w:cs="宋体"/>
      <w:sz w:val="22"/>
      <w:szCs w:val="22"/>
    </w:rPr>
  </w:style>
  <w:style w:type="character" w:customStyle="1" w:styleId="490">
    <w:name w:val="正文文本缩进 2 字符"/>
    <w:qFormat/>
    <w:uiPriority w:val="0"/>
    <w:rPr>
      <w:rFonts w:ascii="宋体" w:hAnsi="宋体"/>
      <w:sz w:val="24"/>
    </w:rPr>
  </w:style>
  <w:style w:type="paragraph" w:customStyle="1" w:styleId="491">
    <w:name w:val="正文文本缩进 21"/>
    <w:basedOn w:val="1"/>
    <w:qFormat/>
    <w:uiPriority w:val="0"/>
    <w:pPr>
      <w:spacing w:line="360" w:lineRule="auto"/>
      <w:ind w:firstLine="540"/>
    </w:pPr>
    <w:rPr>
      <w:rFonts w:ascii="宋体" w:hAnsi="宋体"/>
      <w:sz w:val="24"/>
      <w:szCs w:val="20"/>
      <w:lang w:eastAsia="en-US"/>
    </w:rPr>
  </w:style>
  <w:style w:type="table" w:customStyle="1" w:styleId="492">
    <w:name w:val="普通表格1"/>
    <w:qFormat/>
    <w:uiPriority w:val="0"/>
    <w:tblPr>
      <w:tblCellMar>
        <w:top w:w="0" w:type="dxa"/>
        <w:left w:w="0" w:type="dxa"/>
        <w:bottom w:w="0" w:type="dxa"/>
        <w:right w:w="0" w:type="dxa"/>
      </w:tblCellMar>
    </w:tblPr>
  </w:style>
  <w:style w:type="paragraph" w:customStyle="1" w:styleId="493">
    <w:name w:val="标题 21"/>
    <w:basedOn w:val="412"/>
    <w:qFormat/>
    <w:uiPriority w:val="0"/>
    <w:pPr>
      <w:spacing w:before="260" w:after="260" w:line="413" w:lineRule="auto"/>
    </w:pPr>
    <w:rPr>
      <w:rFonts w:ascii="Arial" w:hAnsi="Arial"/>
      <w:b/>
      <w:sz w:val="32"/>
    </w:rPr>
  </w:style>
  <w:style w:type="character" w:customStyle="1" w:styleId="494">
    <w:name w:val="NormalCharacter"/>
    <w:qFormat/>
    <w:uiPriority w:val="0"/>
  </w:style>
  <w:style w:type="character" w:customStyle="1" w:styleId="495">
    <w:name w:val="列出段落 Char1"/>
    <w:qFormat/>
    <w:uiPriority w:val="34"/>
    <w:rPr>
      <w:rFonts w:ascii="Calibri" w:hAnsi="Calibri"/>
      <w:sz w:val="24"/>
      <w:szCs w:val="22"/>
    </w:rPr>
  </w:style>
  <w:style w:type="paragraph" w:customStyle="1" w:styleId="496">
    <w:name w:val="Revision"/>
    <w:hidden/>
    <w:semiHidden/>
    <w:uiPriority w:val="99"/>
    <w:rPr>
      <w:rFonts w:hint="default" w:ascii="Times New Roman" w:hAnsi="Times New Roman" w:eastAsia="宋体"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Arial"/>
      </a:majorFont>
      <a:minorFont>
        <a:latin typeface="等线"/>
        <a:ea typeface="宋体"/>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5E7267-0FD6-4E06-91DE-C5644C71349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36</Pages>
  <Words>19458</Words>
  <Characters>20996</Characters>
  <TotalTime>0</TotalTime>
  <ScaleCrop>false</ScaleCrop>
  <LinksUpToDate>false</LinksUpToDate>
  <CharactersWithSpaces>21405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2025-05-23T02:49:00Z</dcterms:created>
  <dc:creator>Microsoft</dc:creator>
  <cp:lastModifiedBy>威猛的小老虎</cp:lastModifiedBy>
  <dcterms:modified xsi:type="dcterms:W3CDTF">2025-09-25T06:55:47Z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92E45F51DF5F43FFABA83490813B76FA</vt:lpwstr>
  </property>
  <property fmtid="{D5CDD505-2E9C-101B-9397-08002B2CF9AE}" pid="4" name="KSOTemplateDocerSaveRecord">
    <vt:lpwstr>eyJoZGlkIjoiMjAzM2FkNGFjMmZlMzI2Y2NlYzQ5MmRkNTUzZTUxMTkiLCJ1c2VySWQiOiI1MDg4NDkyMjQifQ==</vt:lpwstr>
  </property>
</Properties>
</file>